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586C35">
      <w:pPr>
        <w:spacing w:line="259" w:lineRule="auto"/>
        <w:jc w:val="center"/>
        <w:rPr>
          <w:rFonts w:cs="Times New Roman"/>
          <w:b/>
          <w:color w:val="222222"/>
          <w:sz w:val="36"/>
          <w:szCs w:val="36"/>
          <w:shd w:val="clear" w:color="auto" w:fill="FFFFFF"/>
        </w:rPr>
      </w:pPr>
    </w:p>
    <w:p w14:paraId="0D3C17BB">
      <w:pPr>
        <w:spacing w:line="259" w:lineRule="auto"/>
        <w:jc w:val="center"/>
        <w:rPr>
          <w:rFonts w:cs="Times New Roman"/>
          <w:b/>
          <w:color w:val="222222"/>
          <w:sz w:val="36"/>
          <w:szCs w:val="36"/>
          <w:shd w:val="clear" w:color="auto" w:fill="FFFFFF"/>
        </w:rPr>
      </w:pPr>
    </w:p>
    <w:p w14:paraId="35D3D665">
      <w:pPr>
        <w:spacing w:line="259" w:lineRule="auto"/>
        <w:jc w:val="center"/>
        <w:rPr>
          <w:rFonts w:hint="eastAsia" w:ascii="FZShuTi" w:hAnsi="FZShuTi" w:eastAsia="FZShuTi" w:cs="FZShuTi"/>
          <w:b/>
          <w:bCs w:val="0"/>
          <w:color w:val="222222"/>
          <w:sz w:val="40"/>
          <w:szCs w:val="40"/>
          <w:shd w:val="clear" w:color="auto" w:fill="FFFFFF"/>
        </w:rPr>
      </w:pPr>
      <w:r>
        <w:rPr>
          <w:rFonts w:hint="eastAsia" w:ascii="FZShuTi" w:hAnsi="FZShuTi" w:eastAsia="FZShuTi" w:cs="FZShuTi"/>
          <w:b/>
          <w:bCs w:val="0"/>
          <w:color w:val="222222"/>
          <w:sz w:val="40"/>
          <w:szCs w:val="40"/>
          <w:shd w:val="clear" w:color="auto" w:fill="FFFFFF"/>
        </w:rPr>
        <w:t>A study on the evaluation of pricing strategies on consumer purchasing behaviour in the supermarket industry- A comparative analysis of Tesco and Sainsbury</w:t>
      </w:r>
    </w:p>
    <w:p w14:paraId="7E9D53E5">
      <w:pPr>
        <w:spacing w:line="259" w:lineRule="auto"/>
        <w:jc w:val="center"/>
        <w:rPr>
          <w:rFonts w:cs="Times New Roman"/>
          <w:b/>
          <w:color w:val="222222"/>
          <w:sz w:val="36"/>
          <w:szCs w:val="36"/>
          <w:shd w:val="clear" w:color="auto" w:fill="FFFFFF"/>
        </w:rPr>
      </w:pPr>
    </w:p>
    <w:p w14:paraId="48D159BC">
      <w:pPr>
        <w:spacing w:line="259" w:lineRule="auto"/>
        <w:jc w:val="center"/>
        <w:rPr>
          <w:rFonts w:cs="Times New Roman"/>
          <w:b/>
          <w:color w:val="222222"/>
          <w:sz w:val="36"/>
          <w:szCs w:val="36"/>
          <w:shd w:val="clear" w:color="auto" w:fill="FFFFFF"/>
        </w:rPr>
      </w:pPr>
    </w:p>
    <w:p w14:paraId="534CA4D1">
      <w:pPr>
        <w:spacing w:line="259" w:lineRule="auto"/>
        <w:jc w:val="center"/>
        <w:rPr>
          <w:rFonts w:cs="Times New Roman"/>
          <w:b/>
          <w:color w:val="222222"/>
          <w:sz w:val="36"/>
          <w:szCs w:val="36"/>
          <w:shd w:val="clear" w:color="auto" w:fill="FFFFFF"/>
        </w:rPr>
      </w:pPr>
    </w:p>
    <w:p w14:paraId="661DD207">
      <w:pPr>
        <w:spacing w:line="259" w:lineRule="auto"/>
        <w:jc w:val="center"/>
        <w:rPr>
          <w:rFonts w:cs="Times New Roman"/>
          <w:b/>
          <w:color w:val="222222"/>
          <w:sz w:val="36"/>
          <w:szCs w:val="36"/>
          <w:shd w:val="clear" w:color="auto" w:fill="FFFFFF"/>
        </w:rPr>
      </w:pPr>
    </w:p>
    <w:p w14:paraId="6F580BAB">
      <w:pPr>
        <w:spacing w:line="259" w:lineRule="auto"/>
        <w:jc w:val="center"/>
        <w:rPr>
          <w:rFonts w:cs="Times New Roman"/>
          <w:b/>
          <w:color w:val="222222"/>
          <w:sz w:val="36"/>
          <w:szCs w:val="36"/>
          <w:shd w:val="clear" w:color="auto" w:fill="FFFFFF"/>
        </w:rPr>
      </w:pPr>
    </w:p>
    <w:p w14:paraId="6BCBAAF4">
      <w:pPr>
        <w:spacing w:line="259" w:lineRule="auto"/>
        <w:jc w:val="center"/>
        <w:rPr>
          <w:rFonts w:cs="Times New Roman"/>
          <w:b/>
          <w:color w:val="222222"/>
          <w:sz w:val="36"/>
          <w:szCs w:val="36"/>
          <w:shd w:val="clear" w:color="auto" w:fill="FFFFFF"/>
        </w:rPr>
      </w:pPr>
    </w:p>
    <w:p w14:paraId="281555D8">
      <w:pPr>
        <w:spacing w:line="259" w:lineRule="auto"/>
        <w:jc w:val="center"/>
        <w:rPr>
          <w:rFonts w:cs="Times New Roman"/>
          <w:b/>
          <w:color w:val="222222"/>
          <w:sz w:val="36"/>
          <w:szCs w:val="36"/>
          <w:shd w:val="clear" w:color="auto" w:fill="FFFFFF"/>
        </w:rPr>
      </w:pPr>
    </w:p>
    <w:p w14:paraId="13337049">
      <w:pPr>
        <w:spacing w:line="259" w:lineRule="auto"/>
        <w:jc w:val="center"/>
        <w:rPr>
          <w:rFonts w:cs="Times New Roman"/>
          <w:b/>
          <w:color w:val="222222"/>
          <w:sz w:val="36"/>
          <w:szCs w:val="36"/>
          <w:shd w:val="clear" w:color="auto" w:fill="FFFFFF"/>
        </w:rPr>
      </w:pPr>
    </w:p>
    <w:p w14:paraId="6878E61B">
      <w:pPr>
        <w:spacing w:line="259" w:lineRule="auto"/>
        <w:jc w:val="center"/>
        <w:rPr>
          <w:rFonts w:cs="Times New Roman"/>
          <w:b/>
          <w:color w:val="222222"/>
          <w:sz w:val="36"/>
          <w:szCs w:val="36"/>
          <w:shd w:val="clear" w:color="auto" w:fill="FFFFFF"/>
        </w:rPr>
      </w:pPr>
    </w:p>
    <w:p w14:paraId="280B4F01">
      <w:pPr>
        <w:spacing w:line="259" w:lineRule="auto"/>
        <w:jc w:val="center"/>
        <w:rPr>
          <w:rFonts w:cs="Times New Roman"/>
          <w:b/>
          <w:color w:val="222222"/>
          <w:sz w:val="36"/>
          <w:szCs w:val="36"/>
          <w:shd w:val="clear" w:color="auto" w:fill="FFFFFF"/>
        </w:rPr>
      </w:pPr>
    </w:p>
    <w:p w14:paraId="604394F7">
      <w:pPr>
        <w:spacing w:line="259" w:lineRule="auto"/>
        <w:jc w:val="center"/>
        <w:rPr>
          <w:rFonts w:cs="Times New Roman"/>
          <w:b/>
          <w:color w:val="222222"/>
          <w:sz w:val="36"/>
          <w:szCs w:val="36"/>
          <w:shd w:val="clear" w:color="auto" w:fill="FFFFFF"/>
        </w:rPr>
      </w:pPr>
    </w:p>
    <w:p w14:paraId="3D5C4A1C">
      <w:pPr>
        <w:spacing w:line="259" w:lineRule="auto"/>
        <w:jc w:val="center"/>
        <w:rPr>
          <w:rFonts w:cs="Times New Roman"/>
          <w:b/>
          <w:color w:val="222222"/>
          <w:sz w:val="36"/>
          <w:szCs w:val="36"/>
          <w:shd w:val="clear" w:color="auto" w:fill="FFFFFF"/>
        </w:rPr>
      </w:pPr>
    </w:p>
    <w:p w14:paraId="5298A797">
      <w:pPr>
        <w:spacing w:line="259" w:lineRule="auto"/>
        <w:jc w:val="left"/>
        <w:rPr>
          <w:rFonts w:hint="default" w:cs="Times New Roman"/>
          <w:b/>
          <w:sz w:val="32"/>
          <w:szCs w:val="32"/>
          <w:lang w:val="en-US"/>
        </w:rPr>
      </w:pPr>
      <w:r>
        <w:rPr>
          <w:rFonts w:hint="default" w:cs="Times New Roman"/>
          <w:b/>
          <w:sz w:val="32"/>
          <w:szCs w:val="32"/>
          <w:lang w:val="en-US"/>
        </w:rPr>
        <w:t xml:space="preserve">Name          : </w:t>
      </w:r>
      <w:r>
        <w:rPr>
          <w:rFonts w:hint="default" w:cs="Times New Roman"/>
          <w:b w:val="0"/>
          <w:bCs/>
          <w:sz w:val="32"/>
          <w:szCs w:val="32"/>
          <w:lang w:val="en-US"/>
        </w:rPr>
        <w:t>Jawahar Raj Golla</w:t>
      </w:r>
    </w:p>
    <w:p w14:paraId="556718AE">
      <w:pPr>
        <w:spacing w:line="259" w:lineRule="auto"/>
        <w:jc w:val="left"/>
        <w:rPr>
          <w:rFonts w:cs="Times New Roman"/>
          <w:b/>
          <w:sz w:val="36"/>
          <w:szCs w:val="36"/>
        </w:rPr>
      </w:pPr>
      <w:r>
        <w:rPr>
          <w:rFonts w:hint="default" w:cs="Times New Roman"/>
          <w:b/>
          <w:sz w:val="32"/>
          <w:szCs w:val="32"/>
          <w:lang w:val="en-US"/>
        </w:rPr>
        <w:t xml:space="preserve">Student ID : </w:t>
      </w:r>
      <w:r>
        <w:rPr>
          <w:rFonts w:hint="default" w:cs="Times New Roman"/>
          <w:b w:val="0"/>
          <w:bCs/>
          <w:sz w:val="32"/>
          <w:szCs w:val="32"/>
          <w:lang w:val="en-US"/>
        </w:rPr>
        <w:t>2331515</w:t>
      </w:r>
      <w:r>
        <w:rPr>
          <w:rFonts w:cs="Times New Roman"/>
          <w:b/>
          <w:sz w:val="36"/>
          <w:szCs w:val="36"/>
        </w:rPr>
        <w:br w:type="page"/>
      </w:r>
    </w:p>
    <w:sdt>
      <w:sdtPr>
        <w:rPr>
          <w:rFonts w:ascii="Times New Roman" w:hAnsi="Times New Roman" w:eastAsiaTheme="minorHAnsi" w:cstheme="minorBidi"/>
          <w:color w:val="auto"/>
          <w:sz w:val="24"/>
          <w:szCs w:val="22"/>
          <w:lang w:val="en-GB"/>
        </w:rPr>
        <w:id w:val="1576775744"/>
        <w:docPartObj>
          <w:docPartGallery w:val="Table of Contents"/>
          <w:docPartUnique/>
        </w:docPartObj>
      </w:sdtPr>
      <w:sdtEndPr>
        <w:rPr>
          <w:rFonts w:ascii="Times New Roman" w:hAnsi="Times New Roman" w:eastAsiaTheme="minorHAnsi" w:cstheme="minorBidi"/>
          <w:b/>
          <w:bCs/>
          <w:color w:val="auto"/>
          <w:sz w:val="24"/>
          <w:szCs w:val="22"/>
          <w:lang w:val="en-GB"/>
        </w:rPr>
      </w:sdtEndPr>
      <w:sdtContent>
        <w:p w14:paraId="6F2AAA71">
          <w:pPr>
            <w:pStyle w:val="17"/>
            <w:jc w:val="center"/>
            <w:rPr>
              <w:b/>
              <w:color w:val="000000" w:themeColor="text1"/>
              <w14:textFill>
                <w14:solidFill>
                  <w14:schemeClr w14:val="tx1"/>
                </w14:solidFill>
              </w14:textFill>
            </w:rPr>
          </w:pPr>
          <w:r>
            <w:rPr>
              <w:b/>
              <w:color w:val="000000" w:themeColor="text1"/>
              <w14:textFill>
                <w14:solidFill>
                  <w14:schemeClr w14:val="tx1"/>
                </w14:solidFill>
              </w14:textFill>
            </w:rPr>
            <w:t>Table of Contents</w:t>
          </w:r>
        </w:p>
        <w:p w14:paraId="2D633709">
          <w:pPr>
            <w:pStyle w:val="13"/>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TOC \o "1-3" \h \z \u </w:instrText>
          </w:r>
          <w:r>
            <w:fldChar w:fldCharType="separate"/>
          </w:r>
          <w:r>
            <w:fldChar w:fldCharType="begin"/>
          </w:r>
          <w:r>
            <w:instrText xml:space="preserve"> HYPERLINK \l "_Toc192852727" </w:instrText>
          </w:r>
          <w:r>
            <w:fldChar w:fldCharType="separate"/>
          </w:r>
          <w:r>
            <w:rPr>
              <w:rStyle w:val="9"/>
            </w:rPr>
            <w:t>1: Introduction</w:t>
          </w:r>
          <w:r>
            <w:tab/>
          </w:r>
          <w:r>
            <w:fldChar w:fldCharType="begin"/>
          </w:r>
          <w:r>
            <w:instrText xml:space="preserve"> PAGEREF _Toc192852727 \h </w:instrText>
          </w:r>
          <w:r>
            <w:fldChar w:fldCharType="separate"/>
          </w:r>
          <w:r>
            <w:t>4</w:t>
          </w:r>
          <w:r>
            <w:fldChar w:fldCharType="end"/>
          </w:r>
          <w:r>
            <w:fldChar w:fldCharType="end"/>
          </w:r>
        </w:p>
        <w:p w14:paraId="52432797">
          <w:pPr>
            <w:pStyle w:val="14"/>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"_Toc192852728" </w:instrText>
          </w:r>
          <w:r>
            <w:fldChar w:fldCharType="separate"/>
          </w:r>
          <w:r>
            <w:rPr>
              <w:rStyle w:val="9"/>
            </w:rPr>
            <w:t>1.1 Background</w:t>
          </w:r>
          <w:r>
            <w:tab/>
          </w:r>
          <w:r>
            <w:fldChar w:fldCharType="begin"/>
          </w:r>
          <w:r>
            <w:instrText xml:space="preserve"> PAGEREF _Toc192852728 \h </w:instrText>
          </w:r>
          <w:r>
            <w:fldChar w:fldCharType="separate"/>
          </w:r>
          <w:r>
            <w:t>4</w:t>
          </w:r>
          <w:r>
            <w:fldChar w:fldCharType="end"/>
          </w:r>
          <w:r>
            <w:fldChar w:fldCharType="end"/>
          </w:r>
        </w:p>
        <w:p w14:paraId="7552A518">
          <w:pPr>
            <w:pStyle w:val="14"/>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"_Toc192852729" </w:instrText>
          </w:r>
          <w:r>
            <w:fldChar w:fldCharType="separate"/>
          </w:r>
          <w:r>
            <w:rPr>
              <w:rStyle w:val="9"/>
              <w:shd w:val="clear" w:color="auto" w:fill="FFFFFF"/>
            </w:rPr>
            <w:t>1.2 Research Problem</w:t>
          </w:r>
          <w:r>
            <w:tab/>
          </w:r>
          <w:r>
            <w:fldChar w:fldCharType="begin"/>
          </w:r>
          <w:r>
            <w:instrText xml:space="preserve"> PAGEREF _Toc192852729 \h </w:instrText>
          </w:r>
          <w:r>
            <w:fldChar w:fldCharType="separate"/>
          </w:r>
          <w:r>
            <w:t>4</w:t>
          </w:r>
          <w:r>
            <w:fldChar w:fldCharType="end"/>
          </w:r>
          <w:r>
            <w:fldChar w:fldCharType="end"/>
          </w:r>
        </w:p>
        <w:p w14:paraId="7E94705E">
          <w:pPr>
            <w:pStyle w:val="13"/>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"_Toc192852730" </w:instrText>
          </w:r>
          <w:r>
            <w:fldChar w:fldCharType="separate"/>
          </w:r>
          <w:r>
            <w:rPr>
              <w:rStyle w:val="9"/>
            </w:rPr>
            <w:t>2. Aims and Objectives and Research Question</w:t>
          </w:r>
          <w:r>
            <w:tab/>
          </w:r>
          <w:r>
            <w:fldChar w:fldCharType="begin"/>
          </w:r>
          <w:r>
            <w:instrText xml:space="preserve"> PAGEREF _Toc192852730 \h </w:instrText>
          </w:r>
          <w:r>
            <w:fldChar w:fldCharType="separate"/>
          </w:r>
          <w:r>
            <w:t>4</w:t>
          </w:r>
          <w:r>
            <w:fldChar w:fldCharType="end"/>
          </w:r>
          <w:r>
            <w:fldChar w:fldCharType="end"/>
          </w:r>
        </w:p>
        <w:p w14:paraId="1FA7C0A9">
          <w:pPr>
            <w:pStyle w:val="13"/>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"_Toc192852731" </w:instrText>
          </w:r>
          <w:r>
            <w:fldChar w:fldCharType="separate"/>
          </w:r>
          <w:r>
            <w:rPr>
              <w:rStyle w:val="9"/>
            </w:rPr>
            <w:t>3. Research Methodology</w:t>
          </w:r>
          <w:r>
            <w:tab/>
          </w:r>
          <w:r>
            <w:fldChar w:fldCharType="begin"/>
          </w:r>
          <w:r>
            <w:instrText xml:space="preserve"> PAGEREF _Toc192852731 \h </w:instrText>
          </w:r>
          <w:r>
            <w:fldChar w:fldCharType="separate"/>
          </w:r>
          <w:r>
            <w:t>5</w:t>
          </w:r>
          <w:r>
            <w:fldChar w:fldCharType="end"/>
          </w:r>
          <w:r>
            <w:fldChar w:fldCharType="end"/>
          </w:r>
        </w:p>
        <w:p w14:paraId="0196C646">
          <w:pPr>
            <w:pStyle w:val="14"/>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"_Toc192852732" </w:instrText>
          </w:r>
          <w:r>
            <w:fldChar w:fldCharType="separate"/>
          </w:r>
          <w:r>
            <w:rPr>
              <w:rStyle w:val="9"/>
            </w:rPr>
            <w:t>3.1 Research Design</w:t>
          </w:r>
          <w:r>
            <w:tab/>
          </w:r>
          <w:r>
            <w:fldChar w:fldCharType="begin"/>
          </w:r>
          <w:r>
            <w:instrText xml:space="preserve"> PAGEREF _Toc192852732 \h </w:instrText>
          </w:r>
          <w:r>
            <w:fldChar w:fldCharType="separate"/>
          </w:r>
          <w:r>
            <w:t>5</w:t>
          </w:r>
          <w:r>
            <w:fldChar w:fldCharType="end"/>
          </w:r>
          <w:r>
            <w:fldChar w:fldCharType="end"/>
          </w:r>
        </w:p>
        <w:p w14:paraId="10412BB9">
          <w:pPr>
            <w:pStyle w:val="14"/>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"_Toc192852733" </w:instrText>
          </w:r>
          <w:r>
            <w:fldChar w:fldCharType="separate"/>
          </w:r>
          <w:r>
            <w:rPr>
              <w:rStyle w:val="9"/>
              <w:rFonts w:eastAsia="Times New Roman"/>
              <w:lang w:val="en-IN" w:eastAsia="en-IN"/>
            </w:rPr>
            <w:t>3.2 Research Method</w:t>
          </w:r>
          <w:r>
            <w:tab/>
          </w:r>
          <w:r>
            <w:fldChar w:fldCharType="begin"/>
          </w:r>
          <w:r>
            <w:instrText xml:space="preserve"> PAGEREF _Toc192852733 \h </w:instrText>
          </w:r>
          <w:r>
            <w:fldChar w:fldCharType="separate"/>
          </w:r>
          <w:r>
            <w:t>6</w:t>
          </w:r>
          <w:r>
            <w:fldChar w:fldCharType="end"/>
          </w:r>
          <w:r>
            <w:fldChar w:fldCharType="end"/>
          </w:r>
        </w:p>
        <w:p w14:paraId="2F3705D7">
          <w:pPr>
            <w:pStyle w:val="14"/>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"_Toc192852734" </w:instrText>
          </w:r>
          <w:r>
            <w:fldChar w:fldCharType="separate"/>
          </w:r>
          <w:r>
            <w:rPr>
              <w:rStyle w:val="9"/>
            </w:rPr>
            <w:t>3.3 Data Collection and Data Analysis</w:t>
          </w:r>
          <w:r>
            <w:tab/>
          </w:r>
          <w:r>
            <w:fldChar w:fldCharType="begin"/>
          </w:r>
          <w:r>
            <w:instrText xml:space="preserve"> PAGEREF _Toc192852734 \h </w:instrText>
          </w:r>
          <w:r>
            <w:fldChar w:fldCharType="separate"/>
          </w:r>
          <w:r>
            <w:t>7</w:t>
          </w:r>
          <w:r>
            <w:fldChar w:fldCharType="end"/>
          </w:r>
          <w:r>
            <w:fldChar w:fldCharType="end"/>
          </w:r>
        </w:p>
        <w:p w14:paraId="6CE7DFD5">
          <w:pPr>
            <w:pStyle w:val="13"/>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"_Toc192852735" </w:instrText>
          </w:r>
          <w:r>
            <w:fldChar w:fldCharType="separate"/>
          </w:r>
          <w:r>
            <w:rPr>
              <w:rStyle w:val="9"/>
            </w:rPr>
            <w:t>4: Literature Review</w:t>
          </w:r>
          <w:r>
            <w:tab/>
          </w:r>
          <w:r>
            <w:fldChar w:fldCharType="begin"/>
          </w:r>
          <w:r>
            <w:instrText xml:space="preserve"> PAGEREF _Toc192852735 \h </w:instrText>
          </w:r>
          <w:r>
            <w:fldChar w:fldCharType="separate"/>
          </w:r>
          <w:r>
            <w:t>8</w:t>
          </w:r>
          <w:r>
            <w:fldChar w:fldCharType="end"/>
          </w:r>
          <w:r>
            <w:fldChar w:fldCharType="end"/>
          </w:r>
        </w:p>
        <w:p w14:paraId="1682E4F5">
          <w:pPr>
            <w:pStyle w:val="14"/>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"_Toc192852736" </w:instrText>
          </w:r>
          <w:r>
            <w:fldChar w:fldCharType="separate"/>
          </w:r>
          <w:r>
            <w:rPr>
              <w:rStyle w:val="9"/>
            </w:rPr>
            <w:t>4.1 Role of pricing strategies in shaping up consumer purchasing behaviour  by a  comparative analysis of  Tesco and Sainsbury</w:t>
          </w:r>
          <w:r>
            <w:tab/>
          </w:r>
          <w:r>
            <w:fldChar w:fldCharType="begin"/>
          </w:r>
          <w:r>
            <w:instrText xml:space="preserve"> PAGEREF _Toc192852736 \h </w:instrText>
          </w:r>
          <w:r>
            <w:fldChar w:fldCharType="separate"/>
          </w:r>
          <w:r>
            <w:t>8</w:t>
          </w:r>
          <w:r>
            <w:fldChar w:fldCharType="end"/>
          </w:r>
          <w:r>
            <w:fldChar w:fldCharType="end"/>
          </w:r>
        </w:p>
        <w:p w14:paraId="36963C88">
          <w:pPr>
            <w:pStyle w:val="14"/>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"_Toc192852737" </w:instrText>
          </w:r>
          <w:r>
            <w:fldChar w:fldCharType="separate"/>
          </w:r>
          <w:r>
            <w:rPr>
              <w:rStyle w:val="9"/>
              <w:lang w:val="en-US"/>
            </w:rPr>
            <w:t xml:space="preserve">4.2 </w:t>
          </w:r>
          <w:r>
            <w:rPr>
              <w:rStyle w:val="9"/>
            </w:rPr>
            <w:t>Different pricing strategies executed by the supermarket  industry and the way they influence consumer purchasing behaviour by a  comparative analysis of Tesco and Sainsbury</w:t>
          </w:r>
          <w:r>
            <w:tab/>
          </w:r>
          <w:r>
            <w:fldChar w:fldCharType="begin"/>
          </w:r>
          <w:r>
            <w:instrText xml:space="preserve"> PAGEREF _Toc192852737 \h </w:instrText>
          </w:r>
          <w:r>
            <w:fldChar w:fldCharType="separate"/>
          </w:r>
          <w:r>
            <w:t>9</w:t>
          </w:r>
          <w:r>
            <w:fldChar w:fldCharType="end"/>
          </w:r>
          <w:r>
            <w:fldChar w:fldCharType="end"/>
          </w:r>
        </w:p>
        <w:p w14:paraId="3C9D09B8">
          <w:pPr>
            <w:pStyle w:val="14"/>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"_Toc192852738" </w:instrText>
          </w:r>
          <w:r>
            <w:fldChar w:fldCharType="separate"/>
          </w:r>
          <w:r>
            <w:rPr>
              <w:rStyle w:val="9"/>
              <w:lang w:val="en-US"/>
            </w:rPr>
            <w:t xml:space="preserve">4.3 </w:t>
          </w:r>
          <w:r>
            <w:rPr>
              <w:rStyle w:val="9"/>
            </w:rPr>
            <w:t>Challenges confronted by the supermarket  industry to incorporate pricing strategies to influence consumer purchasing behaviour by a  comparative analysis of Tesco and Sainsbury</w:t>
          </w:r>
          <w:r>
            <w:tab/>
          </w:r>
          <w:r>
            <w:fldChar w:fldCharType="begin"/>
          </w:r>
          <w:r>
            <w:instrText xml:space="preserve"> PAGEREF _Toc192852738 \h </w:instrText>
          </w:r>
          <w:r>
            <w:fldChar w:fldCharType="separate"/>
          </w:r>
          <w:r>
            <w:t>10</w:t>
          </w:r>
          <w:r>
            <w:fldChar w:fldCharType="end"/>
          </w:r>
          <w:r>
            <w:fldChar w:fldCharType="end"/>
          </w:r>
        </w:p>
        <w:p w14:paraId="6F8AA94A">
          <w:pPr>
            <w:pStyle w:val="14"/>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"_Toc192852739" </w:instrText>
          </w:r>
          <w:r>
            <w:fldChar w:fldCharType="separate"/>
          </w:r>
          <w:r>
            <w:rPr>
              <w:rStyle w:val="9"/>
            </w:rPr>
            <w:t>4.3 Value-Based Pricing Model</w:t>
          </w:r>
          <w:r>
            <w:tab/>
          </w:r>
          <w:r>
            <w:fldChar w:fldCharType="begin"/>
          </w:r>
          <w:r>
            <w:instrText xml:space="preserve"> PAGEREF _Toc192852739 \h </w:instrText>
          </w:r>
          <w:r>
            <w:fldChar w:fldCharType="separate"/>
          </w:r>
          <w:r>
            <w:t>10</w:t>
          </w:r>
          <w:r>
            <w:fldChar w:fldCharType="end"/>
          </w:r>
          <w:r>
            <w:fldChar w:fldCharType="end"/>
          </w:r>
        </w:p>
        <w:p w14:paraId="358D66BB">
          <w:pPr>
            <w:pStyle w:val="14"/>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"_Toc192852740" </w:instrText>
          </w:r>
          <w:r>
            <w:fldChar w:fldCharType="separate"/>
          </w:r>
          <w:r>
            <w:rPr>
              <w:rStyle w:val="9"/>
            </w:rPr>
            <w:t>4.4 The Engel-Kollat-Blackwell (EKB) Model of Consumer Behaviour</w:t>
          </w:r>
          <w:r>
            <w:tab/>
          </w:r>
          <w:r>
            <w:fldChar w:fldCharType="begin"/>
          </w:r>
          <w:r>
            <w:instrText xml:space="preserve"> PAGEREF _Toc192852740 \h </w:instrText>
          </w:r>
          <w:r>
            <w:fldChar w:fldCharType="separate"/>
          </w:r>
          <w:r>
            <w:t>11</w:t>
          </w:r>
          <w:r>
            <w:fldChar w:fldCharType="end"/>
          </w:r>
          <w:r>
            <w:fldChar w:fldCharType="end"/>
          </w:r>
        </w:p>
        <w:p w14:paraId="0CAAEEAD">
          <w:pPr>
            <w:pStyle w:val="14"/>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"_Toc192852741" </w:instrText>
          </w:r>
          <w:r>
            <w:fldChar w:fldCharType="separate"/>
          </w:r>
          <w:r>
            <w:rPr>
              <w:rStyle w:val="9"/>
            </w:rPr>
            <w:t>4.5 Literature Gap</w:t>
          </w:r>
          <w:r>
            <w:tab/>
          </w:r>
          <w:r>
            <w:fldChar w:fldCharType="begin"/>
          </w:r>
          <w:r>
            <w:instrText xml:space="preserve"> PAGEREF _Toc192852741 \h </w:instrText>
          </w:r>
          <w:r>
            <w:fldChar w:fldCharType="separate"/>
          </w:r>
          <w:r>
            <w:t>11</w:t>
          </w:r>
          <w:r>
            <w:fldChar w:fldCharType="end"/>
          </w:r>
          <w:r>
            <w:fldChar w:fldCharType="end"/>
          </w:r>
        </w:p>
        <w:p w14:paraId="1493150D">
          <w:pPr>
            <w:pStyle w:val="13"/>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"_Toc192852742" </w:instrText>
          </w:r>
          <w:r>
            <w:fldChar w:fldCharType="separate"/>
          </w:r>
          <w:r>
            <w:rPr>
              <w:rStyle w:val="9"/>
            </w:rPr>
            <w:t>5. Limitations</w:t>
          </w:r>
          <w:r>
            <w:tab/>
          </w:r>
          <w:r>
            <w:fldChar w:fldCharType="begin"/>
          </w:r>
          <w:r>
            <w:instrText xml:space="preserve"> PAGEREF _Toc192852742 \h </w:instrText>
          </w:r>
          <w:r>
            <w:fldChar w:fldCharType="separate"/>
          </w:r>
          <w:r>
            <w:t>12</w:t>
          </w:r>
          <w:r>
            <w:fldChar w:fldCharType="end"/>
          </w:r>
          <w:r>
            <w:fldChar w:fldCharType="end"/>
          </w:r>
        </w:p>
        <w:p w14:paraId="699B6205">
          <w:pPr>
            <w:pStyle w:val="13"/>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"_Toc192852743" </w:instrText>
          </w:r>
          <w:r>
            <w:fldChar w:fldCharType="separate"/>
          </w:r>
          <w:r>
            <w:rPr>
              <w:rStyle w:val="9"/>
            </w:rPr>
            <w:t>6. Ethical Considerations</w:t>
          </w:r>
          <w:r>
            <w:tab/>
          </w:r>
          <w:r>
            <w:fldChar w:fldCharType="begin"/>
          </w:r>
          <w:r>
            <w:instrText xml:space="preserve"> PAGEREF _Toc192852743 \h </w:instrText>
          </w:r>
          <w:r>
            <w:fldChar w:fldCharType="separate"/>
          </w:r>
          <w:r>
            <w:t>12</w:t>
          </w:r>
          <w:r>
            <w:fldChar w:fldCharType="end"/>
          </w:r>
          <w:r>
            <w:fldChar w:fldCharType="end"/>
          </w:r>
        </w:p>
        <w:p w14:paraId="090C52E7">
          <w:pPr>
            <w:pStyle w:val="13"/>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"_Toc192852744" </w:instrText>
          </w:r>
          <w:r>
            <w:fldChar w:fldCharType="separate"/>
          </w:r>
          <w:r>
            <w:rPr>
              <w:rStyle w:val="9"/>
              <w:rFonts w:eastAsia="Times New Roman"/>
              <w:lang w:val="en-IN" w:eastAsia="en-IN"/>
            </w:rPr>
            <w:t>7. Timeframe</w:t>
          </w:r>
          <w:r>
            <w:tab/>
          </w:r>
          <w:r>
            <w:fldChar w:fldCharType="begin"/>
          </w:r>
          <w:r>
            <w:instrText xml:space="preserve"> PAGEREF _Toc192852744 \h </w:instrText>
          </w:r>
          <w:r>
            <w:fldChar w:fldCharType="separate"/>
          </w:r>
          <w:r>
            <w:t>12</w:t>
          </w:r>
          <w:r>
            <w:fldChar w:fldCharType="end"/>
          </w:r>
          <w:r>
            <w:fldChar w:fldCharType="end"/>
          </w:r>
        </w:p>
        <w:p w14:paraId="38D52FC6">
          <w:pPr>
            <w:pStyle w:val="13"/>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"_Toc192852745" </w:instrText>
          </w:r>
          <w:r>
            <w:fldChar w:fldCharType="separate"/>
          </w:r>
          <w:r>
            <w:rPr>
              <w:rStyle w:val="9"/>
              <w:rFonts w:eastAsia="Times New Roman"/>
              <w:lang w:val="en-IN" w:eastAsia="en-IN"/>
            </w:rPr>
            <w:t>8. Conclusion</w:t>
          </w:r>
          <w:r>
            <w:tab/>
          </w:r>
          <w:r>
            <w:fldChar w:fldCharType="begin"/>
          </w:r>
          <w:r>
            <w:instrText xml:space="preserve"> PAGEREF _Toc192852745 \h </w:instrText>
          </w:r>
          <w:r>
            <w:fldChar w:fldCharType="separate"/>
          </w:r>
          <w:r>
            <w:t>12</w:t>
          </w:r>
          <w:r>
            <w:fldChar w:fldCharType="end"/>
          </w:r>
          <w:r>
            <w:fldChar w:fldCharType="end"/>
          </w:r>
        </w:p>
        <w:p w14:paraId="6596A02F">
          <w:pPr>
            <w:pStyle w:val="13"/>
            <w:tabs>
              <w:tab w:val="right" w:leader="dot" w:pos="9016"/>
            </w:tabs>
            <w:rPr>
              <w:rFonts w:asciiTheme="minorHAnsi" w:hAnsiTheme="minorHAnsi" w:eastAsiaTheme="minorEastAsia"/>
              <w:kern w:val="2"/>
              <w:szCs w:val="24"/>
              <w:lang w:val="en-IN" w:eastAsia="en-IN"/>
              <w14:ligatures w14:val="standardContextual"/>
            </w:rPr>
          </w:pPr>
          <w:r>
            <w:fldChar w:fldCharType="begin"/>
          </w:r>
          <w:r>
            <w:instrText xml:space="preserve"> HYPERLINK \l "_Toc192852746" </w:instrText>
          </w:r>
          <w:r>
            <w:fldChar w:fldCharType="separate"/>
          </w:r>
          <w:r>
            <w:rPr>
              <w:rStyle w:val="9"/>
            </w:rPr>
            <w:t>9. Reference List</w:t>
          </w:r>
          <w:r>
            <w:tab/>
          </w:r>
          <w:r>
            <w:fldChar w:fldCharType="begin"/>
          </w:r>
          <w:r>
            <w:instrText xml:space="preserve"> PAGEREF _Toc192852746 \h </w:instrText>
          </w:r>
          <w:r>
            <w:fldChar w:fldCharType="separate"/>
          </w:r>
          <w:r>
            <w:t>14</w:t>
          </w:r>
          <w:r>
            <w:fldChar w:fldCharType="end"/>
          </w:r>
          <w:r>
            <w:fldChar w:fldCharType="end"/>
          </w:r>
        </w:p>
        <w:p w14:paraId="18BF7732">
          <w:r>
            <w:rPr>
              <w:b/>
              <w:bCs/>
            </w:rPr>
            <w:fldChar w:fldCharType="end"/>
          </w:r>
        </w:p>
      </w:sdtContent>
    </w:sdt>
    <w:p w14:paraId="066BB92A">
      <w:pPr>
        <w:spacing w:line="259" w:lineRule="auto"/>
        <w:jc w:val="left"/>
      </w:pPr>
      <w:r>
        <w:rPr>
          <w:rFonts w:ascii="Arial" w:hAnsi="Arial" w:cs="Arial"/>
          <w:b/>
          <w:bCs/>
          <w:color w:val="222222"/>
          <w:sz w:val="36"/>
          <w:szCs w:val="36"/>
          <w:shd w:val="clear" w:color="auto" w:fill="FFFFFF"/>
        </w:rPr>
        <w:fldChar w:fldCharType="begin"/>
      </w:r>
      <w:r>
        <w:rPr>
          <w:rFonts w:ascii="Arial" w:hAnsi="Arial" w:cs="Arial"/>
          <w:b/>
          <w:bCs/>
          <w:color w:val="222222"/>
          <w:sz w:val="36"/>
          <w:szCs w:val="36"/>
          <w:shd w:val="clear" w:color="auto" w:fill="FFFFFF"/>
        </w:rPr>
        <w:instrText xml:space="preserve"> TOC \h \z \t "Heading 4" \c </w:instrText>
      </w:r>
      <w:r>
        <w:rPr>
          <w:rFonts w:ascii="Arial" w:hAnsi="Arial" w:cs="Arial"/>
          <w:b/>
          <w:bCs/>
          <w:color w:val="222222"/>
          <w:sz w:val="36"/>
          <w:szCs w:val="36"/>
          <w:shd w:val="clear" w:color="auto" w:fill="FFFFFF"/>
        </w:rPr>
        <w:fldChar w:fldCharType="separate"/>
      </w:r>
    </w:p>
    <w:p w14:paraId="6DAB27BE">
      <w:pPr>
        <w:pStyle w:val="12"/>
        <w:tabs>
          <w:tab w:val="right" w:leader="dot" w:pos="9016"/>
        </w:tabs>
        <w:jc w:val="center"/>
        <w:rPr>
          <w:rStyle w:val="9"/>
          <w:b/>
          <w:color w:val="000000" w:themeColor="text1"/>
          <w:u w:val="none"/>
          <w14:textFill>
            <w14:solidFill>
              <w14:schemeClr w14:val="tx1"/>
            </w14:solidFill>
          </w14:textFill>
        </w:rPr>
      </w:pPr>
      <w:r>
        <w:rPr>
          <w:rStyle w:val="9"/>
          <w:b/>
          <w:color w:val="000000" w:themeColor="text1"/>
          <w:u w:val="none"/>
          <w14:textFill>
            <w14:solidFill>
              <w14:schemeClr w14:val="tx1"/>
            </w14:solidFill>
          </w14:textFill>
        </w:rPr>
        <w:t>List of Figures</w:t>
      </w:r>
    </w:p>
    <w:p w14:paraId="5A2099A9">
      <w:pPr>
        <w:pStyle w:val="12"/>
        <w:tabs>
          <w:tab w:val="right" w:leader="dot" w:pos="9016"/>
        </w:tabs>
      </w:pPr>
      <w:r>
        <w:fldChar w:fldCharType="begin"/>
      </w:r>
      <w:r>
        <w:instrText xml:space="preserve"> HYPERLINK \l "_Toc192695075" </w:instrText>
      </w:r>
      <w:r>
        <w:fldChar w:fldCharType="separate"/>
      </w:r>
      <w:r>
        <w:rPr>
          <w:rStyle w:val="9"/>
          <w:rFonts w:eastAsia="Times New Roman"/>
          <w:lang w:val="en-IN" w:eastAsia="en-IN"/>
        </w:rPr>
        <w:t>Figure 1: Gantt chart</w:t>
      </w:r>
      <w:r>
        <w:tab/>
      </w:r>
      <w:r>
        <w:fldChar w:fldCharType="begin"/>
      </w:r>
      <w:r>
        <w:instrText xml:space="preserve"> PAGEREF _Toc192695075 \h </w:instrText>
      </w:r>
      <w:r>
        <w:fldChar w:fldCharType="separate"/>
      </w:r>
      <w:r>
        <w:t>9</w:t>
      </w:r>
      <w:r>
        <w:fldChar w:fldCharType="end"/>
      </w:r>
      <w:r>
        <w:fldChar w:fldCharType="end"/>
      </w:r>
    </w:p>
    <w:p w14:paraId="2FB3C921">
      <w:pPr>
        <w:spacing w:line="259" w:lineRule="auto"/>
        <w:jc w:val="left"/>
        <w:rPr>
          <w:rFonts w:ascii="Arial" w:hAnsi="Arial" w:cs="Arial"/>
          <w:b/>
          <w:bCs/>
          <w:color w:val="222222"/>
          <w:sz w:val="36"/>
          <w:szCs w:val="36"/>
          <w:shd w:val="clear" w:color="auto" w:fill="FFFFFF"/>
        </w:rPr>
      </w:pPr>
      <w:r>
        <w:rPr>
          <w:rFonts w:ascii="Arial" w:hAnsi="Arial" w:cs="Arial"/>
          <w:b/>
          <w:bCs/>
          <w:color w:val="222222"/>
          <w:sz w:val="36"/>
          <w:szCs w:val="36"/>
          <w:shd w:val="clear" w:color="auto" w:fill="FFFFFF"/>
        </w:rPr>
        <w:fldChar w:fldCharType="end"/>
      </w:r>
      <w:r>
        <w:rPr>
          <w:rFonts w:ascii="Arial" w:hAnsi="Arial" w:cs="Arial"/>
          <w:b/>
          <w:bCs/>
          <w:color w:val="222222"/>
          <w:sz w:val="36"/>
          <w:szCs w:val="36"/>
          <w:shd w:val="clear" w:color="auto" w:fill="FFFFFF"/>
        </w:rPr>
        <w:br w:type="page"/>
      </w:r>
    </w:p>
    <w:p w14:paraId="1F37BD93">
      <w:pPr>
        <w:pStyle w:val="2"/>
      </w:pPr>
      <w:bookmarkStart w:id="0" w:name="_Toc192852727"/>
      <w:r>
        <w:t>1: Introduction</w:t>
      </w:r>
      <w:bookmarkEnd w:id="0"/>
      <w:r>
        <w:t xml:space="preserve"> </w:t>
      </w:r>
    </w:p>
    <w:p w14:paraId="387067ED">
      <w:pPr>
        <w:pStyle w:val="3"/>
      </w:pPr>
      <w:bookmarkStart w:id="1" w:name="_Toc192852728"/>
      <w:r>
        <w:t>1.1 Background</w:t>
      </w:r>
      <w:bookmarkEnd w:id="1"/>
    </w:p>
    <w:p w14:paraId="4B4FB96D">
      <w:r>
        <w:t>Pricing is an important factor in determining the outcome of competition among supermarkets</w:t>
      </w:r>
      <w:r>
        <w:rPr>
          <w:rFonts w:eastAsiaTheme="majorEastAsia"/>
        </w:rPr>
        <w:t>,</w:t>
      </w:r>
      <w:r>
        <w:t xml:space="preserve"> as the sector is almost a competitive industr</w:t>
      </w:r>
      <w:r>
        <w:rPr>
          <w:rFonts w:eastAsiaTheme="majorEastAsia"/>
        </w:rPr>
        <w:t>y</w:t>
      </w:r>
      <w:r>
        <w:t xml:space="preserve">. Pricing is also a key determinant of profitability and is used as a marketing tool to position the market as well as customer retention. Tesco and Sainsbury’s are </w:t>
      </w:r>
      <w:r>
        <w:rPr>
          <w:rFonts w:eastAsiaTheme="majorEastAsia"/>
        </w:rPr>
        <w:t xml:space="preserve">the </w:t>
      </w:r>
      <w:r>
        <w:t>UK’s leading supermarket chains</w:t>
      </w:r>
      <w:r>
        <w:rPr>
          <w:rFonts w:eastAsiaTheme="majorEastAsia"/>
        </w:rPr>
        <w:t>;</w:t>
      </w:r>
      <w:r>
        <w:t xml:space="preserve"> both use several pricing strategies such as everyday low pricing (EDLP), promotional discounts, loyalty programs and dynamic pricing to capture and fascinate consumers. Recent studies suggest that UK consumers are becoming more price</w:t>
      </w:r>
      <w:r>
        <w:rPr>
          <w:rFonts w:eastAsiaTheme="majorEastAsia"/>
        </w:rPr>
        <w:t>-</w:t>
      </w:r>
      <w:r>
        <w:t>sensitive</w:t>
      </w:r>
      <w:r>
        <w:rPr>
          <w:rFonts w:eastAsiaTheme="majorEastAsia"/>
        </w:rPr>
        <w:t>,</w:t>
      </w:r>
      <w:r>
        <w:t xml:space="preserve"> and 72 per</w:t>
      </w:r>
      <w:r>
        <w:rPr>
          <w:rFonts w:eastAsiaTheme="majorEastAsia"/>
        </w:rPr>
        <w:t xml:space="preserve"> </w:t>
      </w:r>
      <w:r>
        <w:t>cent of UK shoppers state that price is the most important factor when choosing which supermarket to buy from (Statista, 2023).</w:t>
      </w:r>
    </w:p>
    <w:p w14:paraId="4C896BA1">
      <w:pPr>
        <w:rPr>
          <w:rFonts w:eastAsiaTheme="majorEastAsia"/>
          <w:lang w:val="en"/>
        </w:rPr>
      </w:pPr>
      <w:r>
        <w:t xml:space="preserve">Sainsbury’s has been gaining ground despite having a lesser market share over Tesco through aggressive promotional campaigns and personalised pricing strategies. It has been empirically proven that psychological pricing tactics like pricing at £4.99 and not at £5.00 can greatly enhance </w:t>
      </w:r>
      <w:r>
        <w:rPr>
          <w:rFonts w:eastAsiaTheme="majorEastAsia"/>
        </w:rPr>
        <w:t>buying intent (Oracle NetSuite, 2024</w:t>
      </w:r>
      <w:r>
        <w:t>). Further loyalty programs such as Tesco Clubcard and Sainsbury’s Nectar also help in providing repeat purchases. However, the differential impact of these strategies on consumer behavio</w:t>
      </w:r>
      <w:r>
        <w:rPr>
          <w:rFonts w:eastAsiaTheme="majorEastAsia"/>
        </w:rPr>
        <w:t>u</w:t>
      </w:r>
      <w:r>
        <w:t xml:space="preserve">r regarding the two brands has not been studied thoroughly. </w:t>
      </w:r>
    </w:p>
    <w:p w14:paraId="4EF2E1F2">
      <w:pPr>
        <w:pStyle w:val="3"/>
        <w:rPr>
          <w:shd w:val="clear" w:color="auto" w:fill="FFFFFF"/>
        </w:rPr>
      </w:pPr>
      <w:bookmarkStart w:id="2" w:name="_Toc192852729"/>
      <w:r>
        <w:rPr>
          <w:shd w:val="clear" w:color="auto" w:fill="FFFFFF"/>
        </w:rPr>
        <w:t>1.2 Research Problem</w:t>
      </w:r>
      <w:bookmarkEnd w:id="2"/>
    </w:p>
    <w:p w14:paraId="56D2CE50">
      <w:pPr>
        <w:rPr>
          <w:rFonts w:ascii="Arial" w:hAnsi="Arial" w:cs="Arial"/>
          <w:color w:val="222222"/>
          <w:sz w:val="20"/>
          <w:szCs w:val="20"/>
          <w:shd w:val="clear" w:color="auto" w:fill="FFFFFF"/>
        </w:rPr>
      </w:pPr>
      <w:r>
        <w:t>The supermarket industry is in a bid to find effective pricing strategies in accordance with the purchasing behaviour of the consumers. While Tesco and Sainbury are two top supermarkets in the UK, their pricing approach is different: there are discounts, loyalty programs, promotional discounts and so forth. For pricing optimisation purposes, it is important to understand how these strategies influence consumer purchasing decisions. Nevertheless, these two stores are never compared in-depth and there remains a void in our knowledge regarding the extent to which divergent pricing models achieve different market share (Xiao, Chen, and  Yu, 2021).</w:t>
      </w:r>
      <w:r>
        <w:rPr>
          <w:rFonts w:ascii="Arial" w:hAnsi="Arial" w:cs="Arial"/>
          <w:color w:val="222222"/>
          <w:sz w:val="20"/>
          <w:szCs w:val="20"/>
          <w:shd w:val="clear" w:color="auto" w:fill="FFFFFF"/>
        </w:rPr>
        <w:t xml:space="preserve"> </w:t>
      </w:r>
    </w:p>
    <w:p w14:paraId="7041C540">
      <w:pPr>
        <w:pStyle w:val="2"/>
      </w:pPr>
      <w:bookmarkStart w:id="3" w:name="_Toc192852730"/>
      <w:r>
        <w:t>2. Aims and Objectives and Research Question</w:t>
      </w:r>
      <w:bookmarkEnd w:id="3"/>
    </w:p>
    <w:p w14:paraId="26392190">
      <w:pPr>
        <w:rPr>
          <w:lang w:val="en-US"/>
        </w:rPr>
      </w:pPr>
      <w:r>
        <w:rPr>
          <w:b/>
          <w:lang w:val="en-US"/>
        </w:rPr>
        <w:t>Aim:</w:t>
      </w:r>
      <w:r>
        <w:rPr>
          <w:lang w:val="en-US"/>
        </w:rPr>
        <w:t xml:space="preserve"> </w:t>
      </w:r>
    </w:p>
    <w:p w14:paraId="78C947C8">
      <w:r>
        <w:t>The aim of this investigation is to analy</w:t>
      </w:r>
      <w:r>
        <w:rPr>
          <w:rFonts w:eastAsiaTheme="majorEastAsia"/>
        </w:rPr>
        <w:t>s</w:t>
      </w:r>
      <w:r>
        <w:t>e and assess the effect of different approaches for pricing on consumer behavio</w:t>
      </w:r>
      <w:r>
        <w:rPr>
          <w:rFonts w:eastAsiaTheme="majorEastAsia"/>
        </w:rPr>
        <w:t>u</w:t>
      </w:r>
      <w:r>
        <w:t xml:space="preserve">r in Tesco and Sainsbury’s. First off, it aims to determine which pricing models do better in driving sales and customer loyalty by means of discounts, loyalty programs, </w:t>
      </w:r>
      <w:r>
        <w:rPr>
          <w:rFonts w:eastAsiaTheme="majorEastAsia"/>
        </w:rPr>
        <w:t xml:space="preserve">and </w:t>
      </w:r>
      <w:r>
        <w:t>psychological pricing</w:t>
      </w:r>
      <w:r>
        <w:rPr>
          <w:rFonts w:eastAsiaTheme="majorEastAsia"/>
        </w:rPr>
        <w:t>,</w:t>
      </w:r>
      <w:r>
        <w:t xml:space="preserve"> among others. </w:t>
      </w:r>
    </w:p>
    <w:p w14:paraId="5CD3C5E1">
      <w:pPr>
        <w:rPr>
          <w:b/>
        </w:rPr>
      </w:pPr>
      <w:r>
        <w:rPr>
          <w:b/>
        </w:rPr>
        <w:t xml:space="preserve">Objectives: </w:t>
      </w:r>
    </w:p>
    <w:p w14:paraId="435B3D40">
      <w:pPr>
        <w:pStyle w:val="21"/>
        <w:numPr>
          <w:ilvl w:val="0"/>
          <w:numId w:val="1"/>
        </w:numPr>
        <w:spacing w:before="240" w:after="240"/>
      </w:pPr>
      <w:r>
        <w:t>To assess the role of pricing strategies in shaping customer buying behaviour by a comparative analysis of  Tesco and Sainsbury.</w:t>
      </w:r>
    </w:p>
    <w:p w14:paraId="1E49AB66">
      <w:pPr>
        <w:pStyle w:val="21"/>
        <w:numPr>
          <w:ilvl w:val="0"/>
          <w:numId w:val="1"/>
        </w:numPr>
        <w:spacing w:before="240" w:after="240"/>
      </w:pPr>
      <w:r>
        <w:t>To assess different pricing strategies executed by the supermarket  industry and the way they influence consumer purchasing behaviour by a  comparative analysis of Tesco and Sainsbury</w:t>
      </w:r>
    </w:p>
    <w:p w14:paraId="0B413828">
      <w:pPr>
        <w:pStyle w:val="21"/>
        <w:numPr>
          <w:ilvl w:val="0"/>
          <w:numId w:val="1"/>
        </w:numPr>
        <w:spacing w:before="240" w:after="240"/>
      </w:pPr>
      <w:r>
        <w:t>To identify the Challenges confronted by the supermarket  industry to incorporate pricing strategies to influence consumer purchasing behaviour by a  comparative analysis of Tesco and Sainsbury</w:t>
      </w:r>
    </w:p>
    <w:p w14:paraId="601410AD">
      <w:pPr>
        <w:rPr>
          <w:b/>
          <w:bCs/>
        </w:rPr>
      </w:pPr>
      <w:r>
        <w:rPr>
          <w:b/>
          <w:bCs/>
        </w:rPr>
        <w:t xml:space="preserve"> Research Question</w:t>
      </w:r>
    </w:p>
    <w:p w14:paraId="7CD094E3">
      <w:pPr>
        <w:pStyle w:val="21"/>
        <w:numPr>
          <w:ilvl w:val="0"/>
          <w:numId w:val="2"/>
        </w:numPr>
        <w:spacing w:before="240" w:after="240"/>
      </w:pPr>
      <w:r>
        <w:t>What is the role of pricing strategies in shaping consumer purchasing behaviour by a comparative analysis of  Tesco and Sainsbury?</w:t>
      </w:r>
    </w:p>
    <w:p w14:paraId="68ECB2B6">
      <w:pPr>
        <w:pStyle w:val="21"/>
        <w:numPr>
          <w:ilvl w:val="0"/>
          <w:numId w:val="2"/>
        </w:numPr>
        <w:spacing w:before="240" w:after="240"/>
      </w:pPr>
      <w:r>
        <w:t>What are the different pricing strategies executed by the supermarket industry and the way they impact customer buying behaviour by a comparative analysis of Tesco and Sainsbury?</w:t>
      </w:r>
    </w:p>
    <w:p w14:paraId="5FE7E7E9">
      <w:pPr>
        <w:pStyle w:val="21"/>
        <w:numPr>
          <w:ilvl w:val="0"/>
          <w:numId w:val="2"/>
        </w:numPr>
        <w:spacing w:before="240" w:after="240"/>
      </w:pPr>
      <w:r>
        <w:t>What are the Challenges confronted by the supermarket industry to incorporate pricing strategies to influence consumer purchasing behaviour by a comparative analysis of Tesco and Sainsbury?</w:t>
      </w:r>
    </w:p>
    <w:p w14:paraId="5EB8C74F">
      <w:pPr>
        <w:pStyle w:val="2"/>
      </w:pPr>
      <w:bookmarkStart w:id="4" w:name="_Toc192852731"/>
      <w:r>
        <w:t>3. Research Methodology</w:t>
      </w:r>
      <w:bookmarkEnd w:id="4"/>
      <w:r>
        <w:t xml:space="preserve"> </w:t>
      </w:r>
    </w:p>
    <w:p w14:paraId="71C31097">
      <w:pPr>
        <w:pStyle w:val="3"/>
      </w:pPr>
      <w:bookmarkStart w:id="5" w:name="_Toc192852732"/>
      <w:bookmarkStart w:id="6" w:name="_Toc192767168"/>
      <w:bookmarkStart w:id="7" w:name="_Toc192768223"/>
      <w:r>
        <w:t>3.1 Research Design</w:t>
      </w:r>
      <w:bookmarkEnd w:id="5"/>
      <w:bookmarkEnd w:id="6"/>
      <w:bookmarkEnd w:id="7"/>
      <w:r>
        <w:t xml:space="preserve"> </w:t>
      </w:r>
    </w:p>
    <w:p w14:paraId="63606A76">
      <w:pPr>
        <w:rPr>
          <w:b/>
          <w:i/>
        </w:rPr>
      </w:pPr>
      <w:r>
        <w:rPr>
          <w:b/>
          <w:i/>
        </w:rPr>
        <w:t xml:space="preserve">Research Philosophy  </w:t>
      </w:r>
    </w:p>
    <w:p w14:paraId="04E12995">
      <w:r>
        <w:t>The research philosophy chosen for the evaluation of pricing strategies on consumer purchased behaviour within the supermarket industry, but for comparative analysis of Tesco and Sainsbury, is Pragmatism. Such a philosophy aligns with the objective of trying to understand how consumer choices are impacted by different pricing strategies (Goundar, 2012). Given that Pragmatism permits the flexibility to use both qualitative and quantitative data, this method is truly comprehensive when it comes to studying the varied consumer replies to varied contexts. Unlike positivism and interpretivism, Pragmatism is a philosophy that is intended to generate actional insight, and thus, it is an ideal one for business-oriented research because it offers practical solutions for solving such issues as pricing strategies and consumer engagement (Goundar, 2012).</w:t>
      </w:r>
    </w:p>
    <w:p w14:paraId="4D04DE25">
      <w:pPr>
        <w:rPr>
          <w:b/>
          <w:i/>
        </w:rPr>
      </w:pPr>
      <w:r>
        <w:rPr>
          <w:b/>
          <w:i/>
        </w:rPr>
        <w:t xml:space="preserve">Research Approach </w:t>
      </w:r>
    </w:p>
    <w:p w14:paraId="4ECB00F1">
      <w:r>
        <w:t>The research is considered inductive and deductive in order to examine to pricing strategy for consumer consumption behaviour of the supermarket industry, especially examining Tesco and Sainsbury. Theories about pricing strategies are tested deductively, i.e. hypothesis-driven, and so tests the acceptable price elasticity and consumers’ perception. At the same time inductive approach enables to exploration of new patterns and insights that appear from consumer behaviour data; it allows for flexibility and diversity (Rajasekar and Verma, 2013).  A dual approach is used to ensure that theory generation and theory testing are combined to create a complete understanding. It avoids other philosophies like pure positivism because they are limited to the broad understanding of the consumer insights in the current market. This approach has a great advantage in that it allows one to obtain a relatively balanced and rather nuanced knowledge about complex real-world phenomena (Rajasekar and Verma, 2013).</w:t>
      </w:r>
    </w:p>
    <w:p w14:paraId="5CEFECAC">
      <w:pPr>
        <w:pStyle w:val="3"/>
        <w:rPr>
          <w:rFonts w:eastAsia="Times New Roman"/>
          <w:lang w:val="en-IN" w:eastAsia="en-IN"/>
        </w:rPr>
      </w:pPr>
      <w:bookmarkStart w:id="8" w:name="_Toc192852733"/>
      <w:bookmarkStart w:id="9" w:name="_Toc192767169"/>
      <w:bookmarkStart w:id="10" w:name="_Toc192768224"/>
      <w:r>
        <w:rPr>
          <w:rFonts w:eastAsia="Times New Roman"/>
          <w:lang w:val="en-IN" w:eastAsia="en-IN"/>
        </w:rPr>
        <w:t>3.2 Research Method</w:t>
      </w:r>
      <w:bookmarkEnd w:id="8"/>
      <w:bookmarkEnd w:id="9"/>
      <w:bookmarkEnd w:id="10"/>
      <w:r>
        <w:rPr>
          <w:rFonts w:eastAsia="Times New Roman"/>
          <w:lang w:val="en-IN" w:eastAsia="en-IN"/>
        </w:rPr>
        <w:t xml:space="preserve"> </w:t>
      </w:r>
    </w:p>
    <w:p w14:paraId="7B577B7E">
      <w:pPr>
        <w:rPr>
          <w:b/>
          <w:i/>
          <w:lang w:val="en-IN" w:eastAsia="en-IN"/>
        </w:rPr>
      </w:pPr>
      <w:r>
        <w:rPr>
          <w:b/>
          <w:i/>
          <w:lang w:val="en-IN" w:eastAsia="en-IN"/>
        </w:rPr>
        <w:t>Research Choice</w:t>
      </w:r>
    </w:p>
    <w:p w14:paraId="66297806">
      <w:r>
        <w:t>This research adopts a mixed method to evaluate the pricing strategies and their effect on buyer behaviour in the supermarket industry, particularly between Tesco and Sainsbury. It is justified because it combines the strength of both qualitative and quantitative research, which gives it the ability to conduct a comprehensive analysis. Quantitative data forms of statistics that have a basis in sales figures and survey responses give statistical rigour and objectivity; qualitative data gives deeper motivations and perceptions behind consumers’ decisions (Patel and Patel, 2019).  In order to avoid other approaches, such as purely quantitative or qualitative methods, which do not fully capture the complexity of consumer behaviour, other approaches are taken. By using a mixed method approach, the amount of information garnered from the analysis is well-rounded both in terms of breadth and depth (Patel and Patel, 2019).</w:t>
      </w:r>
    </w:p>
    <w:p w14:paraId="5FEE63B5">
      <w:pPr>
        <w:rPr>
          <w:b/>
          <w:i/>
          <w:lang w:val="en-IN" w:eastAsia="en-IN"/>
        </w:rPr>
      </w:pPr>
      <w:r>
        <w:rPr>
          <w:b/>
          <w:i/>
          <w:lang w:val="en-IN" w:eastAsia="en-IN"/>
        </w:rPr>
        <w:t xml:space="preserve">Research Strategy </w:t>
      </w:r>
    </w:p>
    <w:p w14:paraId="5773F550">
      <w:r>
        <w:t>The research is based on a case study and survey to evaluate pricing strategies in the supermarket industry concerning consumer buying behaviour with Tesco and Sainsbury. The case study strategy provides deep insight into the pricing strategies of the supermarkets to evaluate their business decisions and operational practices. Carried out between both Tesco and Sainsbury’s, the survey strategy, involving 70-100 UK supermarket customers actively engaging with Tesco and Sainsbury’s social media, allows for the collection of quantitative data derived from 10 close-ended questions regarding consumer preferences and attitudes toward pricing. However, a single approach is not preferred over this mixed strategy as it combines important consumer feedback and insights from the real world with an analysis. Triangulation of findings is an advantage in the sense that the validity and reliability of the results increase with it (Kapur, 2018).</w:t>
      </w:r>
    </w:p>
    <w:p w14:paraId="1696E0BF">
      <w:pPr>
        <w:pStyle w:val="3"/>
      </w:pPr>
      <w:bookmarkStart w:id="11" w:name="_Toc192767170"/>
      <w:bookmarkStart w:id="12" w:name="_Toc192768225"/>
      <w:bookmarkStart w:id="13" w:name="_Toc192852734"/>
      <w:r>
        <w:t>3.3 Data Collection and Data Analysis</w:t>
      </w:r>
      <w:bookmarkEnd w:id="11"/>
      <w:bookmarkEnd w:id="12"/>
      <w:bookmarkEnd w:id="13"/>
      <w:r>
        <w:t xml:space="preserve"> </w:t>
      </w:r>
    </w:p>
    <w:p w14:paraId="3538BB55">
      <w:pPr>
        <w:rPr>
          <w:b/>
          <w:i/>
          <w:lang w:val="en-IN" w:eastAsia="en-IN"/>
        </w:rPr>
      </w:pPr>
      <w:r>
        <w:rPr>
          <w:b/>
          <w:i/>
          <w:lang w:val="en-IN" w:eastAsia="en-IN"/>
        </w:rPr>
        <w:t xml:space="preserve"> Data Collection </w:t>
      </w:r>
    </w:p>
    <w:p w14:paraId="5C776B57">
      <w:r>
        <w:t xml:space="preserve">Pricing strategies are evaluated in Tesco and Sainsbury in order to do that, and both the primary and secondary data collection methods are used in the research strategy. An online survey through Google Forms will collect the primary data as it would be easy to collect the data from participants who come in contact with the companies’ social media. Reliable outlets such as Forbes, The BBC, etc. will provide secondary data based on pricing strategies like vouchers, coupons, loyalty points, discounts and others, both in online and offline settings. The combination of this is best because it provides a strong, complete set of insights by triangulating consumer data with strategically vetted data from trusted sources to build validity (Mishra and Alok, 2022). This approach possesses an advantage as it synthesises the practical customer perception from direct consumer feedback with the authority information from the industry, providing an overall understanding of the pricing strategy and its effect </w:t>
      </w:r>
    </w:p>
    <w:p w14:paraId="6C5DE309">
      <w:pPr>
        <w:rPr>
          <w:b/>
          <w:i/>
        </w:rPr>
      </w:pPr>
      <w:r>
        <w:rPr>
          <w:b/>
          <w:i/>
        </w:rPr>
        <w:t xml:space="preserve">Data Analysis </w:t>
      </w:r>
    </w:p>
    <w:p w14:paraId="68DBC8D4">
      <w:r>
        <w:t>After gathering the primary data, the online survey will be analysed Using MS Excel, one of the most used programs because of its easiness of use, efficiency and other statistics that it can perform, like Frequency Distribution and Cross Tabulation. So it will allow establishing patterns and relationships in how the consumers respond to different pricing strategies. The analysis of secondary data will be carried out through content data analysis, i.e. systematic categorisation and interpretation of qualitative data obtained from Forbes, BBC, and website companies. It is because of this approach that it is deemed suitable to extract meaningful information about pricing strategies from textual data and give a better understanding of pricing strategies. Indeed, the strength of combining the sometimes only quantitative and the sometimes only qualitative methods lies in the fact that they are both used and the results are triangulated and thus provide a comprehensive, triangulated analysis covering from pure numbers to pure words and adding to the validity and reliability of the results (Mishra and Alok, 2022).</w:t>
      </w:r>
    </w:p>
    <w:p w14:paraId="52B450E5">
      <w:pPr>
        <w:pStyle w:val="2"/>
      </w:pPr>
      <w:bookmarkStart w:id="14" w:name="_Toc192852735"/>
      <w:r>
        <w:t>4: Literature Review</w:t>
      </w:r>
      <w:bookmarkEnd w:id="14"/>
      <w:r>
        <w:t xml:space="preserve"> </w:t>
      </w:r>
    </w:p>
    <w:p w14:paraId="6A903FE6">
      <w:pPr>
        <w:pStyle w:val="3"/>
      </w:pPr>
      <w:bookmarkStart w:id="15" w:name="_Toc192852736"/>
      <w:r>
        <w:t>4.1 Role of pricing strategies in shaping up consumer purchasing behaviour  by a  comparative analysis of  Tesco and Sainsbury</w:t>
      </w:r>
      <w:bookmarkEnd w:id="15"/>
    </w:p>
    <w:p w14:paraId="3AF04B2C">
      <w:r>
        <w:t>In both an online and offline purchasing environment</w:t>
      </w:r>
      <w:r>
        <w:rPr>
          <w:rFonts w:eastAsiaTheme="majorEastAsia"/>
        </w:rPr>
        <w:t>,</w:t>
      </w:r>
      <w:r>
        <w:t xml:space="preserve"> pricing strategies such as vouchers, coupons, loyalty points or discounts influence how consumers buy. The report of Samadzadeh (2024) suggests that these tools are used by the two UK supermarkets, Tesco and Sainsbury’s to attract customers, to boost loyalty and to boost sales. Nevertheless, how effective these ads are depend</w:t>
      </w:r>
      <w:r>
        <w:rPr>
          <w:rFonts w:eastAsiaTheme="majorEastAsia"/>
        </w:rPr>
        <w:t>s</w:t>
      </w:r>
      <w:r>
        <w:t xml:space="preserve"> on the online versus offline platforms and the preferences and shopping behavio</w:t>
      </w:r>
      <w:r>
        <w:rPr>
          <w:rFonts w:eastAsiaTheme="majorEastAsia"/>
        </w:rPr>
        <w:t>u</w:t>
      </w:r>
      <w:r>
        <w:t xml:space="preserve">rs of the consumers. Tangible incentives in offline shopping, such as printed coupons and vouchers, are much </w:t>
      </w:r>
      <w:r>
        <w:rPr>
          <w:rFonts w:eastAsiaTheme="majorEastAsia"/>
        </w:rPr>
        <w:t xml:space="preserve">more </w:t>
      </w:r>
      <w:r>
        <w:t>effective for immediate purchases. The observation of Wolniak, Stecuła and Aydın (2024) suggests that Tesco’s and Sainsbury’s Clubcard and Nectar points reward in</w:t>
      </w:r>
      <w:r>
        <w:rPr>
          <w:rFonts w:eastAsiaTheme="majorEastAsia"/>
        </w:rPr>
        <w:t>-</w:t>
      </w:r>
      <w:r>
        <w:t xml:space="preserve">store shoppers who give repeat visits and larger basket sizes. These are probably programs which are based on the psychological lure of earning rewards and building that emotional connection with the brand. In addition, any additional bulk purchase or promotional line of campaigns will increase in-store sales by creating perceived value and urgency, thereby giving the salesperson ‘a better pull’. Online shopping, on the other hand, benefits from digital-first strategies. </w:t>
      </w:r>
    </w:p>
    <w:p w14:paraId="2F80B10D">
      <w:pPr>
        <w:rPr>
          <w:rFonts w:eastAsiaTheme="majorEastAsia"/>
        </w:rPr>
      </w:pPr>
      <w:r>
        <w:t>It offers personali</w:t>
      </w:r>
      <w:r>
        <w:rPr>
          <w:rFonts w:eastAsiaTheme="majorEastAsia"/>
        </w:rPr>
        <w:t>s</w:t>
      </w:r>
      <w:r>
        <w:t>ed offers, app</w:t>
      </w:r>
      <w:r>
        <w:rPr>
          <w:rFonts w:eastAsiaTheme="majorEastAsia"/>
        </w:rPr>
        <w:t>-</w:t>
      </w:r>
      <w:r>
        <w:t>based vouchers and targeted discounts</w:t>
      </w:r>
      <w:r>
        <w:rPr>
          <w:rFonts w:eastAsiaTheme="majorEastAsia"/>
        </w:rPr>
        <w:t>,</w:t>
      </w:r>
      <w:r>
        <w:t xml:space="preserve"> which are great for tech</w:t>
      </w:r>
      <w:r>
        <w:rPr>
          <w:rFonts w:eastAsiaTheme="majorEastAsia"/>
        </w:rPr>
        <w:t>-</w:t>
      </w:r>
      <w:r>
        <w:t>savvy consumers. The data analytics that Sainsbury’s employs to tailor promotions was also applied to integrations with their online platform; Tesco’s online platform integrates Clubcard rewards seamlessly</w:t>
      </w:r>
      <w:r>
        <w:rPr>
          <w:rFonts w:eastAsiaTheme="majorEastAsia"/>
        </w:rPr>
        <w:t xml:space="preserve"> reported by </w:t>
      </w:r>
      <w:r>
        <w:t>Jones and Comfort (2022). In addition, free delivery thresholds and online deals that are exclusive to the website fuel e-commerce growth. Comparative analysis shows that Tesco’s integration of online and offline pricing strategy helps it ret</w:t>
      </w:r>
      <w:r>
        <w:rPr>
          <w:rFonts w:eastAsiaTheme="majorEastAsia"/>
        </w:rPr>
        <w:t>ain</w:t>
      </w:r>
      <w:r>
        <w:t xml:space="preserve"> customer retention. However, Sainsbury’s performs well in personali</w:t>
      </w:r>
      <w:r>
        <w:rPr>
          <w:rFonts w:eastAsiaTheme="majorEastAsia"/>
        </w:rPr>
        <w:t>s</w:t>
      </w:r>
      <w:r>
        <w:t>ed online promotions. Such data of statistical data proves that the redemption rates for digital coupons (60%) are higher than for physical coupons (30%), and this proves the changing trends of consumers. The end result is these strategies target shoppers' evolving expectations with them helping to fill the space between consumers' perception of value and their final purchase decision happening in both channels.</w:t>
      </w:r>
    </w:p>
    <w:p w14:paraId="7714FFEF"/>
    <w:p w14:paraId="7BAB6736">
      <w:pPr>
        <w:pStyle w:val="3"/>
      </w:pPr>
      <w:bookmarkStart w:id="16" w:name="_Toc192852737"/>
      <w:r>
        <w:rPr>
          <w:lang w:val="en-US"/>
        </w:rPr>
        <w:t xml:space="preserve">4.2 </w:t>
      </w:r>
      <w:r>
        <w:t>Different pricing strategies executed by the supermarket  industry and the way they influence consumer purchasing behaviour by a  comparative analysis of Tesco and Sainsbury</w:t>
      </w:r>
      <w:bookmarkEnd w:id="16"/>
    </w:p>
    <w:p w14:paraId="79A37854">
      <w:r>
        <w:t>Tesco and Sainsbury’s use multiple pricing strateg</w:t>
      </w:r>
      <w:r>
        <w:rPr>
          <w:rFonts w:eastAsiaTheme="majorEastAsia"/>
        </w:rPr>
        <w:t>ies,</w:t>
      </w:r>
      <w:r>
        <w:t xml:space="preserve"> among which </w:t>
      </w:r>
      <w:r>
        <w:rPr>
          <w:rFonts w:eastAsiaTheme="majorEastAsia"/>
        </w:rPr>
        <w:t xml:space="preserve">are </w:t>
      </w:r>
      <w:r>
        <w:t>vouchers, coupon</w:t>
      </w:r>
      <w:r>
        <w:rPr>
          <w:rFonts w:eastAsiaTheme="majorEastAsia"/>
        </w:rPr>
        <w:t>s</w:t>
      </w:r>
      <w:r>
        <w:t>, loyalty points and discount</w:t>
      </w:r>
      <w:r>
        <w:rPr>
          <w:rFonts w:eastAsiaTheme="majorEastAsia"/>
        </w:rPr>
        <w:t>s</w:t>
      </w:r>
      <w:r>
        <w:t>, to affect consumer purchasing behavio</w:t>
      </w:r>
      <w:r>
        <w:rPr>
          <w:rFonts w:eastAsiaTheme="majorEastAsia"/>
        </w:rPr>
        <w:t>u</w:t>
      </w:r>
      <w:r>
        <w:t>r in online and offline shopping. The observation of Sarisa (2021) suggests that tangible incentives like printed coupons and in-store promotions are used by both chains offline. Tesco, for example</w:t>
      </w:r>
      <w:r>
        <w:rPr>
          <w:rFonts w:eastAsiaTheme="majorEastAsia"/>
        </w:rPr>
        <w:t>,</w:t>
      </w:r>
      <w:r>
        <w:t xml:space="preserve"> offers ‘Buy One Get One Free’ deals in the physical store, whereas Sainsbury’s offers </w:t>
      </w:r>
      <w:r>
        <w:rPr>
          <w:rFonts w:eastAsiaTheme="majorEastAsia"/>
        </w:rPr>
        <w:t xml:space="preserve">a </w:t>
      </w:r>
      <w:r>
        <w:t>20 per cent discount for fresh produce in seasonal campaigns. The purpose of these strategies is to get these customers to walk into the store, spend more in the store and pick up items to impulse buy</w:t>
      </w:r>
      <w:r>
        <w:rPr>
          <w:rFonts w:eastAsiaTheme="majorEastAsia"/>
        </w:rPr>
        <w:t xml:space="preserve"> reported by </w:t>
      </w:r>
      <w:r>
        <w:t xml:space="preserve">Wolniak, Stecuła, andAydın (2024). Despite that, the redemption rates for physical coupons found in print on the week of Jan. 9 remain low at 30%, evidencing inefficiencies (Statista, 2023). </w:t>
      </w:r>
      <w:r>
        <w:rPr>
          <w:rFonts w:eastAsiaTheme="majorEastAsia"/>
        </w:rPr>
        <w:t>W</w:t>
      </w:r>
      <w:r>
        <w:t>ith these two advantages, the online platforms become more convenient and personali</w:t>
      </w:r>
      <w:r>
        <w:rPr>
          <w:rFonts w:eastAsiaTheme="majorEastAsia"/>
        </w:rPr>
        <w:t>s</w:t>
      </w:r>
      <w:r>
        <w:t>ed. To add Clubcard rewards to your app, Tesco integrates the rewards into its app and tailors discounts according to purchase history. To illustrate, a most recent campaign result</w:t>
      </w:r>
      <w:r>
        <w:rPr>
          <w:rFonts w:eastAsiaTheme="majorEastAsia"/>
        </w:rPr>
        <w:t>ed</w:t>
      </w:r>
      <w:r>
        <w:t xml:space="preserve"> in a 35% sales increase (Kantar, 2023)</w:t>
      </w:r>
      <w:r>
        <w:rPr>
          <w:rFonts w:eastAsiaTheme="majorEastAsia"/>
        </w:rPr>
        <w:t>,</w:t>
      </w:r>
      <w:r>
        <w:t xml:space="preserve"> such as when £5 was offered off orders over £60. </w:t>
      </w:r>
    </w:p>
    <w:p w14:paraId="0F4C1625">
      <w:pPr>
        <w:rPr>
          <w:rFonts w:eastAsiaTheme="majorEastAsia"/>
        </w:rPr>
      </w:pPr>
      <w:r>
        <w:t>Similarly, Sainsbury’s uses the Nectar program to deliver personali</w:t>
      </w:r>
      <w:r>
        <w:rPr>
          <w:rFonts w:eastAsiaTheme="majorEastAsia"/>
        </w:rPr>
        <w:t>s</w:t>
      </w:r>
      <w:r>
        <w:t>ed promotions and benefits</w:t>
      </w:r>
      <w:r>
        <w:rPr>
          <w:rFonts w:eastAsiaTheme="majorEastAsia"/>
        </w:rPr>
        <w:t>,</w:t>
      </w:r>
      <w:r>
        <w:t xml:space="preserve"> resulting in a redemption rate of 40% </w:t>
      </w:r>
      <w:r>
        <w:rPr>
          <w:rFonts w:eastAsiaTheme="majorEastAsia"/>
        </w:rPr>
        <w:t>for</w:t>
      </w:r>
      <w:r>
        <w:t xml:space="preserve"> digital coupons in 2022. Free delivery thresholds and additional online deals provide e-commerce engagement. The studies of Benghezal and Izadi (2022) suggest that comparison gives us a chance to observe that Tesco’s strategy of unified online has formed a chance of a seamless service for clients</w:t>
      </w:r>
      <w:r>
        <w:rPr>
          <w:rFonts w:eastAsiaTheme="majorEastAsia"/>
        </w:rPr>
        <w:t>,</w:t>
      </w:r>
      <w:r>
        <w:t xml:space="preserve"> and it remains a probable reason for client retention. One of the first thing</w:t>
      </w:r>
      <w:r>
        <w:rPr>
          <w:rFonts w:eastAsiaTheme="majorEastAsia"/>
        </w:rPr>
        <w:t>s</w:t>
      </w:r>
      <w:r>
        <w:t xml:space="preserve"> Sainsbury’s excelled with was data</w:t>
      </w:r>
      <w:r>
        <w:rPr>
          <w:rFonts w:eastAsiaTheme="majorEastAsia"/>
        </w:rPr>
        <w:t>-</w:t>
      </w:r>
      <w:r>
        <w:t>driven personali</w:t>
      </w:r>
      <w:r>
        <w:rPr>
          <w:rFonts w:eastAsiaTheme="majorEastAsia"/>
        </w:rPr>
        <w:t>s</w:t>
      </w:r>
      <w:r>
        <w:t>ation</w:t>
      </w:r>
      <w:r>
        <w:rPr>
          <w:rFonts w:eastAsiaTheme="majorEastAsia"/>
        </w:rPr>
        <w:t>,</w:t>
      </w:r>
      <w:r>
        <w:t xml:space="preserve"> but executed it inconsistently. These real</w:t>
      </w:r>
      <w:r>
        <w:rPr>
          <w:rFonts w:eastAsiaTheme="majorEastAsia"/>
        </w:rPr>
        <w:t>-</w:t>
      </w:r>
      <w:r>
        <w:t>time data point that 60 percent of consumers would rather get digital coupons, due to the shift in consumers toward online shopping. Effectively, these strategies successfully raise perceived value in order to trigger immediate purchases while increasing for years to come. But in a more and more competitive market balancing profitability with attractive discounts is no easy task for both retailers.</w:t>
      </w:r>
    </w:p>
    <w:p w14:paraId="74FA4502"/>
    <w:p w14:paraId="40364713">
      <w:pPr>
        <w:pStyle w:val="3"/>
      </w:pPr>
      <w:bookmarkStart w:id="17" w:name="_Toc192852738"/>
      <w:r>
        <w:rPr>
          <w:lang w:val="en-US"/>
        </w:rPr>
        <w:t xml:space="preserve">4.3 </w:t>
      </w:r>
      <w:r>
        <w:t>Challenges confronted by the supermarket  industry to incorporate pricing strategies to influence consumer purchasing behaviour by a  comparative analysis of Tesco and Sainsbury</w:t>
      </w:r>
      <w:bookmarkEnd w:id="17"/>
    </w:p>
    <w:p w14:paraId="7D518CB9">
      <w:r>
        <w:t xml:space="preserve">Pricing strategies such as vouchers, coupons, loyalty points, discounts and the like in the supermarket industry are very challenging to accomplish across online and offline stations to change consumer buying behaviour, as noted by Samadzadeh (2024). Tesco and Sainsbury’s are these struggles, and the manner in which they have adopted them are different. For instance, both chains operate offline through traditional means such as printed coupons and in-store discounts. The entry barriers are high from a distribution point of view for physical vouchers but limited reach-wise to the tech-savvy audience. For example, as this shows, only 30 per cent of printed coupons are redeemed (Statista, 2023). </w:t>
      </w:r>
    </w:p>
    <w:p w14:paraId="3C9099D5">
      <w:r>
        <w:t>On one hand, it is really a challenge to make seamless integration and personalisation. In this case, an appropriate offline rewards integration with online offers has been done successfully by Tesco’s Clubcard app, yet technical glitches and severely inconsistent user experiences sometimes negatively impact the adoption, as reported by Wolniak, Stecuła and Aydın (2024). The data-driven Sainsbury’s Nectar app is, however, lacking in the ability to find appropriate links between personalised promotions and real-time behaviour of shopping. Additionally, free delivery thresholds, a key online strategy, face scrutiny due to rising operational costs. For instance, Sainsbury’s increase of its free delivery threshold from £30 to £40 in 2023 caused a 10 per cent decrease in online orders (Kantar, 2023). Ndlovu, (2024) have noted that both retailers find it challenging to maintain both profitability and attractive discounts. Tesco is a leader in unified strategies, while Sainsbury’s is very good in personalisation but poor in execution consistency. These hurdles highlight the seeming complexity of the pricing approaches you can take in a changing, very fast market.</w:t>
      </w:r>
    </w:p>
    <w:p w14:paraId="126A4757">
      <w:pPr>
        <w:pStyle w:val="3"/>
      </w:pPr>
      <w:bookmarkStart w:id="18" w:name="_Toc192852739"/>
      <w:r>
        <w:t>4.3 Value-Based Pricing Model</w:t>
      </w:r>
      <w:bookmarkEnd w:id="18"/>
    </w:p>
    <w:p w14:paraId="123F889C">
      <w:r>
        <w:t xml:space="preserve">Sainsbury’s and Tesco's pricing strategies rely on the Value-Based Pricing Model, which gives value to perceived customer value on purchase behaviour, which is a crucial factor. This model indicates that prices should reflect what consumers place value in products instead of just for the cost or competition (Christen </w:t>
      </w:r>
      <w:r>
        <w:rPr>
          <w:i/>
        </w:rPr>
        <w:t>et al.</w:t>
      </w:r>
      <w:r>
        <w:t xml:space="preserve"> 2022). The study looks at how Tesco’s Clubcard reward and Sainsbury’s Nectar points, value-based pricing, influence the purchasing decision and how these reward programmes generate customer loyalty. These particular strategies will be effective when they can present statistical data demonstrating effectiveness, such as customer satisfaction scores and sales growth correlated with the offering of personalised offers. The study ultimately considers its ability to improve consumer retention and profitability and discusses how maximising pricing among supermarkets while dealing with price sensitivity competitive dynamics is best achieved.</w:t>
      </w:r>
    </w:p>
    <w:p w14:paraId="2A687E66">
      <w:pPr>
        <w:pStyle w:val="3"/>
      </w:pPr>
      <w:bookmarkStart w:id="19" w:name="_Toc192852740"/>
      <w:r>
        <w:t>4.4 The Engel-Kollat-Blackwell (EKB) Model of Consumer Behaviour</w:t>
      </w:r>
      <w:bookmarkEnd w:id="19"/>
    </w:p>
    <w:p w14:paraId="05C5CB9A">
      <w:r>
        <w:t>With regards to how pricing strategies affect the consumer decision-making process in Tesco and Sainsbury’s, the Engel-Kollat-Blackwell (EKB) Model of consumer behaviour proves to be a very resourceful tool. This is what the EKB model consists of: stages such as problem recognition, information search, evaluation alternatives, purchase decision and post-purchase behaviour (Linkiewicz and Bartosik-Purgat 2022). In this study, we explore how pricing tactics, i.e., discounts, loyalty programs, and psychological pricing, influence these stages and, in turn, influence consumer choices. Moreover, pricing impact on each stage can be inferred from the statistical data: how often do customers purchase, how often do they change brands, and receive customer feedback. The study compares Tesco and Sainsbury’s attempts to maximise consumer satisfaction with repeat purchases and, in turn, discusses which strategies are successful in maximising consumer satisfaction as a method of maximising repeat purchases, as well as providing actionable insights on how best to design pricing policies whilst considering competitive dynamics and expectations of consumers in the supermarket sector.</w:t>
      </w:r>
    </w:p>
    <w:p w14:paraId="10207D6F">
      <w:pPr>
        <w:pStyle w:val="3"/>
      </w:pPr>
      <w:bookmarkStart w:id="20" w:name="_Toc192852741"/>
      <w:r>
        <w:t>4.5 Literature Gap</w:t>
      </w:r>
      <w:bookmarkEnd w:id="20"/>
    </w:p>
    <w:p w14:paraId="4978BE6D">
      <w:r>
        <w:t>The integrated online-offline chain in the context of the supermarket industry has a significant research gap in understanding how does the differential effect of integrated online-offline prices and their eco-systems on consumer purchasing behaviour. Prior work studies pricing tools like discounts, vouchers, and loyalty programs but has only examined their effectiveness in allied digital and physical retail channels at the leading retailers, Tesco and Sainsbury. Also, there is no study on how long-term customer loyalty and profitability depend on how personalised, data-driven pricing models behave. Many of the studies investigated short-term sales impact and not long-term behavioural changes. Additionally, there is an absence of a thorough statistical analysis of redemption rates, within-channel engagement, and cross-channel synergies, and such analysis is necessary to evaluate to what extent such strategies are consistent with evolving consumer tastes and the competitive environment in the UK supermarket.</w:t>
      </w:r>
    </w:p>
    <w:p w14:paraId="382E30CB"/>
    <w:p w14:paraId="5F12A360">
      <w:pPr>
        <w:pStyle w:val="2"/>
      </w:pPr>
      <w:bookmarkStart w:id="21" w:name="_Toc192852742"/>
      <w:r>
        <w:t>5. Limitations</w:t>
      </w:r>
      <w:bookmarkEnd w:id="21"/>
      <w:r>
        <w:t xml:space="preserve"> </w:t>
      </w:r>
    </w:p>
    <w:p w14:paraId="69128C97">
      <w:r>
        <w:t>The study may find limitations in the generalizability of survey results (sample size, 70 to 100 customers) as the sample may not fully represent the broader population. Also, the use of self-reported data may lead to bias that would influence the accuracy of consumer preferences and attitudes.</w:t>
      </w:r>
    </w:p>
    <w:p w14:paraId="07A85A38">
      <w:pPr>
        <w:pStyle w:val="2"/>
      </w:pPr>
      <w:bookmarkStart w:id="22" w:name="_Toc192852743"/>
      <w:r>
        <w:t>6. Ethical Considerations</w:t>
      </w:r>
      <w:bookmarkEnd w:id="22"/>
    </w:p>
    <w:p w14:paraId="6099D642">
      <w:r>
        <w:t>The research is conducted under the condition of voluntary participation, informed consent, and confidentiality so that the data will be used solely for research. Fulfilment of guidelines set in place by the university and GDPR 2018 regulations are upheld. The collected data will be stored securely and the data will be deleted once it’s been published in order to protect the sensitive info.</w:t>
      </w:r>
    </w:p>
    <w:p w14:paraId="08BD797F">
      <w:pPr>
        <w:pStyle w:val="2"/>
        <w:rPr>
          <w:rFonts w:eastAsia="Times New Roman"/>
          <w:lang w:val="en-IN" w:eastAsia="en-IN"/>
        </w:rPr>
      </w:pPr>
      <w:bookmarkStart w:id="23" w:name="_Toc192852744"/>
      <w:r>
        <w:rPr>
          <w:rFonts w:eastAsia="Times New Roman"/>
          <w:lang w:val="en-IN" w:eastAsia="en-IN"/>
        </w:rPr>
        <w:t>7. Timeframe</w:t>
      </w:r>
      <w:bookmarkEnd w:id="23"/>
    </w:p>
    <w:p w14:paraId="67EAB69B">
      <w:pPr>
        <w:spacing w:before="100" w:beforeAutospacing="1" w:after="100" w:afterAutospacing="1" w:line="240" w:lineRule="auto"/>
        <w:jc w:val="center"/>
        <w:rPr>
          <w:rFonts w:eastAsia="Times New Roman" w:cs="Times New Roman"/>
          <w:szCs w:val="24"/>
          <w:lang w:val="en-IN" w:eastAsia="en-IN"/>
        </w:rPr>
      </w:pPr>
      <w:r>
        <w:rPr>
          <w:lang w:val="en-US"/>
        </w:rPr>
        <w:drawing>
          <wp:inline distT="0" distB="0" distL="0" distR="0">
            <wp:extent cx="5731510" cy="15417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5731510" cy="1541780"/>
                    </a:xfrm>
                    <a:prstGeom prst="rect">
                      <a:avLst/>
                    </a:prstGeom>
                  </pic:spPr>
                </pic:pic>
              </a:graphicData>
            </a:graphic>
          </wp:inline>
        </w:drawing>
      </w:r>
    </w:p>
    <w:p w14:paraId="326C3E5D">
      <w:pPr>
        <w:pStyle w:val="4"/>
        <w:jc w:val="center"/>
        <w:rPr>
          <w:rFonts w:eastAsia="Times New Roman"/>
          <w:lang w:val="en-IN" w:eastAsia="en-IN"/>
        </w:rPr>
      </w:pPr>
      <w:bookmarkStart w:id="24" w:name="_Toc192695075"/>
      <w:r>
        <w:rPr>
          <w:rFonts w:eastAsia="Times New Roman"/>
          <w:lang w:val="en-IN" w:eastAsia="en-IN"/>
        </w:rPr>
        <w:t>Figure 1: Gantt chart</w:t>
      </w:r>
      <w:bookmarkEnd w:id="24"/>
    </w:p>
    <w:p w14:paraId="7DA13865">
      <w:pPr>
        <w:spacing w:before="100" w:beforeAutospacing="1" w:after="100" w:afterAutospacing="1" w:line="240" w:lineRule="auto"/>
        <w:jc w:val="center"/>
        <w:rPr>
          <w:rFonts w:eastAsia="Times New Roman" w:cs="Times New Roman"/>
          <w:bCs/>
          <w:szCs w:val="24"/>
          <w:lang w:val="en-IN" w:eastAsia="en-IN"/>
        </w:rPr>
      </w:pPr>
      <w:r>
        <w:rPr>
          <w:rFonts w:eastAsia="Times New Roman" w:cs="Times New Roman"/>
          <w:bCs/>
          <w:szCs w:val="24"/>
          <w:lang w:val="en-IN" w:eastAsia="en-IN"/>
        </w:rPr>
        <w:t>(Source: Created by scholar)</w:t>
      </w:r>
    </w:p>
    <w:p w14:paraId="55F59ECA">
      <w:pPr>
        <w:pStyle w:val="2"/>
        <w:rPr>
          <w:rFonts w:eastAsia="Times New Roman"/>
          <w:lang w:val="en-IN" w:eastAsia="en-IN"/>
        </w:rPr>
      </w:pPr>
      <w:bookmarkStart w:id="25" w:name="_Toc192852745"/>
      <w:r>
        <w:rPr>
          <w:rFonts w:eastAsia="Times New Roman"/>
          <w:lang w:val="en-IN" w:eastAsia="en-IN"/>
        </w:rPr>
        <w:t>8. Conclusion</w:t>
      </w:r>
      <w:bookmarkEnd w:id="25"/>
      <w:r>
        <w:rPr>
          <w:rFonts w:eastAsia="Times New Roman"/>
          <w:lang w:val="en-IN" w:eastAsia="en-IN"/>
        </w:rPr>
        <w:t xml:space="preserve"> </w:t>
      </w:r>
    </w:p>
    <w:p w14:paraId="609AB5EB">
      <w:pPr>
        <w:rPr>
          <w:rFonts w:eastAsiaTheme="majorEastAsia"/>
          <w:lang w:val="en"/>
        </w:rPr>
      </w:pPr>
      <w:r>
        <w:t>The significance of this study is to sketch the price policy decisions in the competitive supermarket industry and how such decisions affect consumer behavio</w:t>
      </w:r>
      <w:r>
        <w:rPr>
          <w:rFonts w:eastAsiaTheme="majorEastAsia"/>
        </w:rPr>
        <w:t>u</w:t>
      </w:r>
      <w:r>
        <w:t>r. It uses Tesco and Sainsbury’s approaches to compare those two approaches in order to achieve insights for retailers to optimi</w:t>
      </w:r>
      <w:r>
        <w:rPr>
          <w:rFonts w:eastAsiaTheme="majorEastAsia"/>
        </w:rPr>
        <w:t>s</w:t>
      </w:r>
      <w:r>
        <w:t>e their pricing models, enhance customer retention and increase profitability. Results will contribute to marketing theory and practice and will help both the academia and the industry stakeholders.</w:t>
      </w:r>
    </w:p>
    <w:p w14:paraId="6E702DD2">
      <w:pPr>
        <w:spacing w:before="100" w:beforeAutospacing="1" w:after="100" w:afterAutospacing="1" w:line="240" w:lineRule="auto"/>
        <w:rPr>
          <w:rFonts w:eastAsia="Times New Roman" w:cs="Times New Roman"/>
          <w:b/>
          <w:szCs w:val="24"/>
          <w:lang w:val="en-IN" w:eastAsia="en-IN"/>
        </w:rPr>
      </w:pPr>
    </w:p>
    <w:p w14:paraId="2CFD66E4"/>
    <w:p w14:paraId="39D9B6E9">
      <w:pPr>
        <w:spacing w:line="259" w:lineRule="auto"/>
        <w:jc w:val="left"/>
        <w:rPr>
          <w:rFonts w:eastAsiaTheme="majorEastAsia" w:cstheme="majorBidi"/>
          <w:b/>
          <w:color w:val="000000" w:themeColor="text1"/>
          <w:sz w:val="28"/>
          <w:szCs w:val="32"/>
          <w14:textFill>
            <w14:solidFill>
              <w14:schemeClr w14:val="tx1"/>
            </w14:solidFill>
          </w14:textFill>
        </w:rPr>
      </w:pPr>
      <w:r>
        <w:br w:type="page"/>
      </w:r>
    </w:p>
    <w:p w14:paraId="1060F765">
      <w:pPr>
        <w:pStyle w:val="2"/>
      </w:pPr>
      <w:bookmarkStart w:id="26" w:name="_Toc192852746"/>
      <w:r>
        <w:t>9. Reference List</w:t>
      </w:r>
      <w:bookmarkEnd w:id="26"/>
    </w:p>
    <w:p w14:paraId="72FFAADD">
      <w:r>
        <w:t xml:space="preserve">Goundar, S. (2012). Research methodology and research method. Victoria University of Wellington, 1(1), 1-47. </w:t>
      </w:r>
      <w:r>
        <w:fldChar w:fldCharType="begin"/>
      </w:r>
      <w:r>
        <w:instrText xml:space="preserve"> HYPERLINK "https://prallagon.com/wp-content/uploads/2021/05/Research-Methodology-A2.pdf" </w:instrText>
      </w:r>
      <w:r>
        <w:fldChar w:fldCharType="separate"/>
      </w:r>
      <w:r>
        <w:rPr>
          <w:rStyle w:val="9"/>
        </w:rPr>
        <w:t>https://prallagon.com/wp-content/uploads/2021/05/Research-Methodology-A2.pdf</w:t>
      </w:r>
      <w:r>
        <w:rPr>
          <w:rStyle w:val="9"/>
        </w:rPr>
        <w:fldChar w:fldCharType="end"/>
      </w:r>
      <w:r>
        <w:t xml:space="preserve"> </w:t>
      </w:r>
    </w:p>
    <w:p w14:paraId="554AE3EF">
      <w:r>
        <w:t xml:space="preserve">Kapur, R. (2018). Research methodology: Methods and strategies. Department of Adult Education and Continuing Extension, University of Delhi: New Delhi, India. </w:t>
      </w:r>
      <w:r>
        <w:fldChar w:fldCharType="begin"/>
      </w:r>
      <w:r>
        <w:instrText xml:space="preserve"> HYPERLINK "https://cmapspublic2.ihmc.us/rid=1SG69305X-1FN0PGW-TK/Kapur%20-%20Research%20methodology%20Methods%20and%20strategies.pdf" </w:instrText>
      </w:r>
      <w:r>
        <w:fldChar w:fldCharType="separate"/>
      </w:r>
      <w:r>
        <w:rPr>
          <w:rStyle w:val="9"/>
        </w:rPr>
        <w:t>https://cmapspublic2.ihmc.us/rid=1SG69305X-1FN0PGW-TK/Kapur%20-%20Research%20methodology%20Methods%20and%20strategies.pdf</w:t>
      </w:r>
      <w:r>
        <w:rPr>
          <w:rStyle w:val="9"/>
        </w:rPr>
        <w:fldChar w:fldCharType="end"/>
      </w:r>
      <w:r>
        <w:t xml:space="preserve"> </w:t>
      </w:r>
    </w:p>
    <w:p w14:paraId="35172735">
      <w:r>
        <w:t xml:space="preserve">Mishra, S. B., and Alok, S. (2022). Handbook of research methodology. Educreation publishing. </w:t>
      </w:r>
      <w:r>
        <w:fldChar w:fldCharType="begin"/>
      </w:r>
      <w:r>
        <w:instrText xml:space="preserve"> HYPERLINK "https://dspace.unitywomenscollege.ac.in/bitstream/123456789/1319/1/BookResearchMethodology.pdf" </w:instrText>
      </w:r>
      <w:r>
        <w:fldChar w:fldCharType="separate"/>
      </w:r>
      <w:r>
        <w:rPr>
          <w:rStyle w:val="9"/>
        </w:rPr>
        <w:t>https://dspace.unitywomenscollege.ac.in/bitstream/123456789/1319/1/BookResearchMethodology.pdf</w:t>
      </w:r>
      <w:r>
        <w:rPr>
          <w:rStyle w:val="9"/>
        </w:rPr>
        <w:fldChar w:fldCharType="end"/>
      </w:r>
    </w:p>
    <w:p w14:paraId="5447FEDC">
      <w:r>
        <w:t xml:space="preserve">Patel, M., and Patel, N. (2019). Exploring research methodology. International Journal of Research and Review, 6(3), 48-55. </w:t>
      </w:r>
      <w:r>
        <w:fldChar w:fldCharType="begin"/>
      </w:r>
      <w:r>
        <w:instrText xml:space="preserve"> HYPERLINK "https://www.academia.edu/download/63543152/IJRR001120200605115829-bxlrli.pdf" </w:instrText>
      </w:r>
      <w:r>
        <w:fldChar w:fldCharType="separate"/>
      </w:r>
      <w:r>
        <w:rPr>
          <w:rStyle w:val="9"/>
        </w:rPr>
        <w:t>https://www.academia.edu/download/63543152/IJRR001120200605115829-bxlrli.pdf</w:t>
      </w:r>
      <w:r>
        <w:rPr>
          <w:rStyle w:val="9"/>
        </w:rPr>
        <w:fldChar w:fldCharType="end"/>
      </w:r>
    </w:p>
    <w:p w14:paraId="69091942">
      <w:r>
        <w:t xml:space="preserve">Rajasekar, D., and Verma, R. (2013). Research methodology. Archers &amp; Elevators Publishing House. </w:t>
      </w:r>
      <w:r>
        <w:fldChar w:fldCharType="begin"/>
      </w:r>
      <w:r>
        <w:instrText xml:space="preserve"> HYPERLINK "https://arxiv.org/pdf/physics/0601009" </w:instrText>
      </w:r>
      <w:r>
        <w:fldChar w:fldCharType="separate"/>
      </w:r>
      <w:r>
        <w:rPr>
          <w:rStyle w:val="9"/>
        </w:rPr>
        <w:t>https://arxiv.org/pdf/physics/0601009</w:t>
      </w:r>
      <w:r>
        <w:rPr>
          <w:rStyle w:val="9"/>
        </w:rPr>
        <w:fldChar w:fldCharType="end"/>
      </w:r>
      <w:r>
        <w:t xml:space="preserve"> </w:t>
      </w:r>
    </w:p>
    <w:p w14:paraId="1D1AE2ED">
      <w:r>
        <w:t xml:space="preserve">Xiao, B., Chen, Q., and  Yu, Z. (2021, April). Research on the Investment Value of Sainsbury’s. In 2021 6th International Conference on Social Sciences and Economic Development (ICSSED 2021) (pp. 108-115). Atlantis Press. </w:t>
      </w:r>
      <w:r>
        <w:fldChar w:fldCharType="begin"/>
      </w:r>
      <w:r>
        <w:instrText xml:space="preserve"> HYPERLINK "https://www.atlantis-press.com/article/125955205.pdf" </w:instrText>
      </w:r>
      <w:r>
        <w:fldChar w:fldCharType="separate"/>
      </w:r>
      <w:r>
        <w:rPr>
          <w:rStyle w:val="9"/>
        </w:rPr>
        <w:t>https://www.atlantis-press.com/article/125955205.pdf</w:t>
      </w:r>
      <w:r>
        <w:rPr>
          <w:rStyle w:val="9"/>
        </w:rPr>
        <w:fldChar w:fldCharType="end"/>
      </w:r>
      <w:r>
        <w:t xml:space="preserve"> </w:t>
      </w:r>
    </w:p>
    <w:p w14:paraId="2B8071CB">
      <w:pPr>
        <w:rPr>
          <w:lang w:val="en-US"/>
        </w:rPr>
      </w:pPr>
      <w:r>
        <w:t xml:space="preserve">Linkiewicz, A., and Bartosik-Purgat, M. (2022). Changes in consumer behaviour in the digital age. In European consumers in the digital era (pp. 9-26). Routledge. </w:t>
      </w:r>
      <w:r>
        <w:fldChar w:fldCharType="begin"/>
      </w:r>
      <w:r>
        <w:instrText xml:space="preserve"> HYPERLINK "https://www.taylorfrancis.com/chapters/edit/10.4324/9781003263685-3/changes-consumer-behaviour-digital-age-agata-linkiewicz-ma%C5%82gorzata-bartosik-purgat" </w:instrText>
      </w:r>
      <w:r>
        <w:fldChar w:fldCharType="separate"/>
      </w:r>
      <w:r>
        <w:rPr>
          <w:rStyle w:val="9"/>
        </w:rPr>
        <w:t>https://www.taylorfrancis.com/chapters/edit/10.4324/9781003263685-3/changes-consumer-behaviour-digital-age-agata-linkiewicz-ma%C5%82gorzata-bartosik-purgat</w:t>
      </w:r>
      <w:r>
        <w:rPr>
          <w:rStyle w:val="9"/>
        </w:rPr>
        <w:fldChar w:fldCharType="end"/>
      </w:r>
    </w:p>
    <w:p w14:paraId="799A4E76">
      <w:r>
        <w:t xml:space="preserve">Christen, T., Hess, M., Grichnik, D., and Wincent, J. (2022). Value-based pricing in digital platforms: A machine learning approach to signalling beyond core product attributes in cross-platform settings. Journal of Business Research, 152, 82-92.  </w:t>
      </w:r>
      <w:r>
        <w:fldChar w:fldCharType="begin"/>
      </w:r>
      <w:r>
        <w:instrText xml:space="preserve"> HYPERLINK "https://www.sciencedirect.com/science/article/pii/S0148296322006531" </w:instrText>
      </w:r>
      <w:r>
        <w:fldChar w:fldCharType="separate"/>
      </w:r>
      <w:r>
        <w:rPr>
          <w:rStyle w:val="9"/>
        </w:rPr>
        <w:t>https://www.sciencedirect.com/science/article/pii/S0148296322006531</w:t>
      </w:r>
      <w:r>
        <w:rPr>
          <w:rStyle w:val="9"/>
        </w:rPr>
        <w:fldChar w:fldCharType="end"/>
      </w:r>
      <w:r>
        <w:t xml:space="preserve"> </w:t>
      </w:r>
    </w:p>
    <w:p w14:paraId="2FC0FD47">
      <w:r>
        <w:t xml:space="preserve">Samadzadeh, M. (2024). Investigating Successful E-Commerce and Digital Marketing Strategies for Major Supermarkets in the UK. </w:t>
      </w:r>
      <w:r>
        <w:fldChar w:fldCharType="begin"/>
      </w:r>
      <w:r>
        <w:instrText xml:space="preserve"> HYPERLINK "https://www.researchgate.net/profile/Mohammadreza-Samadzadeh-3/publication/387491235_Investigating_Successful_E-Commerce_and_Digital_Marketing_Strategies_for_Major_Supermarkets_in_the_UK/links/67703cf8117f340ec3e067af/Investigating-Successful-E-Commerce-and-Digital-Marketing-Strategies-for-Major-Supermarkets-in-the-UK.pdf" </w:instrText>
      </w:r>
      <w:r>
        <w:fldChar w:fldCharType="separate"/>
      </w:r>
      <w:r>
        <w:rPr>
          <w:rStyle w:val="9"/>
        </w:rPr>
        <w:t>https://www.researchgate.net/profile/Mohammadreza-Samadzadeh-3/publication/387491235_Investigating_Successful_E-Commerce_and_Digital_Marketing_Strategies_for_Major_Supermarkets_in_the_UK/links/67703cf8117f340ec3e067af/Investigating-Successful-E-Commerce-and-Digital-Marketing-Strategies-for-Major-Supermarkets-in-the-UK.pdf</w:t>
      </w:r>
      <w:r>
        <w:rPr>
          <w:rStyle w:val="9"/>
        </w:rPr>
        <w:fldChar w:fldCharType="end"/>
      </w:r>
      <w:r>
        <w:t xml:space="preserve"> </w:t>
      </w:r>
    </w:p>
    <w:p w14:paraId="19C162BD">
      <w:r>
        <w:t xml:space="preserve">Wolniak, R., Stecuła, K., and Aydın, B. (2024). Digital transformation of grocery In-store shopping-scanners, artificial intelligence, augmented reality and beyond: A review. Foods, 13(18), 2948. </w:t>
      </w:r>
      <w:r>
        <w:fldChar w:fldCharType="begin"/>
      </w:r>
      <w:r>
        <w:instrText xml:space="preserve"> HYPERLINK "https://www.mdpi.com/2304-8158/13/18/2948" </w:instrText>
      </w:r>
      <w:r>
        <w:fldChar w:fldCharType="separate"/>
      </w:r>
      <w:r>
        <w:rPr>
          <w:rStyle w:val="9"/>
        </w:rPr>
        <w:t>https://www.mdpi.com/2304-8158/13/18/2948</w:t>
      </w:r>
      <w:r>
        <w:rPr>
          <w:rStyle w:val="9"/>
        </w:rPr>
        <w:fldChar w:fldCharType="end"/>
      </w:r>
      <w:r>
        <w:t xml:space="preserve"> </w:t>
      </w:r>
    </w:p>
    <w:p w14:paraId="2AF5AD40">
      <w:r>
        <w:t xml:space="preserve">Ndlovu, S. G. (2024). Private label brands vs national brands: new battle fronts and future competition. Cogent Business &amp; Management, 11(1), 2321877. </w:t>
      </w:r>
      <w:r>
        <w:fldChar w:fldCharType="begin"/>
      </w:r>
      <w:r>
        <w:instrText xml:space="preserve"> HYPERLINK "https://www.tandfonline.com/doi/abs/10.1080/23311975.2024.2321877" </w:instrText>
      </w:r>
      <w:r>
        <w:fldChar w:fldCharType="separate"/>
      </w:r>
      <w:r>
        <w:rPr>
          <w:rStyle w:val="9"/>
        </w:rPr>
        <w:t>https://www.tandfonline.com/doi/abs/10.1080/23311975.2024.2321877</w:t>
      </w:r>
      <w:r>
        <w:rPr>
          <w:rStyle w:val="9"/>
        </w:rPr>
        <w:fldChar w:fldCharType="end"/>
      </w:r>
      <w:r>
        <w:t xml:space="preserve"> </w:t>
      </w:r>
    </w:p>
    <w:p w14:paraId="2E0439C2">
      <w:r>
        <w:t xml:space="preserve">Sarisa, L. (2021). Business strategies in the retail supermarkets industry: A comparative case study analysis of Costco and Aldi. </w:t>
      </w:r>
      <w:r>
        <w:fldChar w:fldCharType="begin"/>
      </w:r>
      <w:r>
        <w:instrText xml:space="preserve"> HYPERLINK "https://www.researchbank.ac.nz/bitstream/handle/10652/5525/MAM_2021_Lavanya_Sarisa.pdf?sequence=4" </w:instrText>
      </w:r>
      <w:r>
        <w:fldChar w:fldCharType="separate"/>
      </w:r>
      <w:r>
        <w:rPr>
          <w:rStyle w:val="9"/>
        </w:rPr>
        <w:t>https://www.researchbank.ac.nz/bitstream/handle/10652/5525/MAM_2021_Lavanya_Sarisa.pdf?sequence=4</w:t>
      </w:r>
      <w:r>
        <w:rPr>
          <w:rStyle w:val="9"/>
        </w:rPr>
        <w:fldChar w:fldCharType="end"/>
      </w:r>
      <w:r>
        <w:t xml:space="preserve"> </w:t>
      </w:r>
    </w:p>
    <w:p w14:paraId="73288238">
      <w:r>
        <w:t xml:space="preserve">Wolniak, R., Stecuła, K., andAydın, B. (2024). Digital transformation of grocery In-store shopping-scanners, artificial intelligence, augmented reality and beyond: A review. Foods, 13(18), 2948. </w:t>
      </w:r>
      <w:r>
        <w:fldChar w:fldCharType="begin"/>
      </w:r>
      <w:r>
        <w:instrText xml:space="preserve"> HYPERLINK "https://www.mdpi.com/2304-8158/13/18/2948" </w:instrText>
      </w:r>
      <w:r>
        <w:fldChar w:fldCharType="separate"/>
      </w:r>
      <w:r>
        <w:rPr>
          <w:rStyle w:val="9"/>
        </w:rPr>
        <w:t>https://www.mdpi.com/2304-8158/13/18/2948</w:t>
      </w:r>
      <w:r>
        <w:rPr>
          <w:rStyle w:val="9"/>
        </w:rPr>
        <w:fldChar w:fldCharType="end"/>
      </w:r>
      <w:r>
        <w:t xml:space="preserve"> </w:t>
      </w:r>
    </w:p>
    <w:p w14:paraId="741887C4">
      <w:r>
        <w:t xml:space="preserve">Benghezal, D., and Izadi, J. (2022). Exploring the impact of CSR strategy in food retail sector firms. </w:t>
      </w:r>
      <w:r>
        <w:fldChar w:fldCharType="begin"/>
      </w:r>
      <w:r>
        <w:instrText xml:space="preserve"> HYPERLINK "http://repository.uwl.ac.uk/id/eprint/8995/" </w:instrText>
      </w:r>
      <w:r>
        <w:fldChar w:fldCharType="separate"/>
      </w:r>
      <w:r>
        <w:rPr>
          <w:rStyle w:val="9"/>
        </w:rPr>
        <w:t>http://repository.uwl.ac.uk/id/eprint/8995/</w:t>
      </w:r>
      <w:r>
        <w:rPr>
          <w:rStyle w:val="9"/>
        </w:rPr>
        <w:fldChar w:fldCharType="end"/>
      </w:r>
      <w:r>
        <w:t xml:space="preserve">   </w:t>
      </w:r>
    </w:p>
    <w:p w14:paraId="6C1D59EB">
      <w:r>
        <w:t xml:space="preserve">Samadzadeh, M. (2024). Investigating Successful E-Commerce and Digital Marketing Strategies for Major Supermarkets in the UK. </w:t>
      </w:r>
      <w:r>
        <w:fldChar w:fldCharType="begin"/>
      </w:r>
      <w:r>
        <w:instrText xml:space="preserve"> HYPERLINK "https://www.researchgate.net/profile/Mohammadreza-Samadzadeh-3/publication/387491235_Investigating_Successful_E-Commerce_and_Digital_Marketing_Strategies_for_Major_Supermarkets_in_the_UK/links/67703cf8117f340ec3e067af/Investigating-Successful-E-Commerce-and-Digital-Marketing-Strategies-for-Major-Supermarkets-in-the-UK.pdf" </w:instrText>
      </w:r>
      <w:r>
        <w:fldChar w:fldCharType="separate"/>
      </w:r>
      <w:r>
        <w:rPr>
          <w:rStyle w:val="9"/>
        </w:rPr>
        <w:t>https://www.researchgate.net/profile/Mohammadreza-Samadzadeh-3/publication/387491235_Investigating_Successful_E-Commerce_and_Digital_Marketing_Strategies_for_Major_Supermarkets_in_the_UK/links/67703cf8117f340ec3e067af/Investigating-Successful-E-Commerce-and-Digital-Marketing-Strategies-for-Major-Supermarkets-in-the-UK.pdf</w:t>
      </w:r>
      <w:r>
        <w:rPr>
          <w:rStyle w:val="9"/>
        </w:rPr>
        <w:fldChar w:fldCharType="end"/>
      </w:r>
      <w:r>
        <w:t xml:space="preserve"> </w:t>
      </w:r>
    </w:p>
    <w:p w14:paraId="3D0F85FB">
      <w:r>
        <w:t xml:space="preserve">Wolniak, R., Stecuła, K., and Aydın, B. (2024). Digital transformation of grocery In-store shopping-scanners, artificial intelligence, augmented reality and beyond: A review. Foods, 13(18), 2948. </w:t>
      </w:r>
      <w:r>
        <w:fldChar w:fldCharType="begin"/>
      </w:r>
      <w:r>
        <w:instrText xml:space="preserve"> HYPERLINK "https://www.mdpi.com/2304-8158/13/18/2948" </w:instrText>
      </w:r>
      <w:r>
        <w:fldChar w:fldCharType="separate"/>
      </w:r>
      <w:r>
        <w:rPr>
          <w:rStyle w:val="9"/>
        </w:rPr>
        <w:t>https://www.mdpi.com/2304-8158/13/18/2948</w:t>
      </w:r>
      <w:r>
        <w:rPr>
          <w:rStyle w:val="9"/>
        </w:rPr>
        <w:fldChar w:fldCharType="end"/>
      </w:r>
      <w:r>
        <w:t xml:space="preserve"> </w:t>
      </w:r>
    </w:p>
    <w:p w14:paraId="1793C088">
      <w:r>
        <w:t xml:space="preserve">Jones, P., and Comfort, D. (2022). Animal Welfare and major food retailers. Athens journal of business &amp; economics, 8(1), 9-20. </w:t>
      </w:r>
      <w:r>
        <w:fldChar w:fldCharType="begin"/>
      </w:r>
      <w:r>
        <w:instrText xml:space="preserve"> HYPERLINK "https://www.zbw.eu/econis-archiv/bitstream/11159/6588/1/1782605770_0.pdf" </w:instrText>
      </w:r>
      <w:r>
        <w:fldChar w:fldCharType="separate"/>
      </w:r>
      <w:r>
        <w:rPr>
          <w:rStyle w:val="9"/>
        </w:rPr>
        <w:t>https://www.zbw.eu/econis-archiv/bitstream/11159/6588/1/1782605770_0.pdf</w:t>
      </w:r>
      <w:r>
        <w:rPr>
          <w:rStyle w:val="9"/>
        </w:rPr>
        <w:fldChar w:fldCharType="end"/>
      </w:r>
      <w:r>
        <w:t xml:space="preserve"> </w:t>
      </w:r>
    </w:p>
    <w:p w14:paraId="1A4DECC9">
      <w:r>
        <w:t xml:space="preserve">Statista, (2023) Share of shoppers buying groceries mostly online vs. in-store in the United Kingdom (UK) in 2nd quarter 2023 (Online) Available at: </w:t>
      </w:r>
      <w:r>
        <w:fldChar w:fldCharType="begin"/>
      </w:r>
      <w:r>
        <w:instrText xml:space="preserve"> HYPERLINK "https://www.statista.com/statistics/1403645/online-in-store-grocery-shoppers-united-kingdom/" </w:instrText>
      </w:r>
      <w:r>
        <w:fldChar w:fldCharType="separate"/>
      </w:r>
      <w:r>
        <w:rPr>
          <w:rStyle w:val="9"/>
        </w:rPr>
        <w:t>https://www.statista.com/statistics/1403645/online-in-store-grocery-shoppers-united-kingdom/</w:t>
      </w:r>
      <w:r>
        <w:rPr>
          <w:rStyle w:val="9"/>
        </w:rPr>
        <w:fldChar w:fldCharType="end"/>
      </w:r>
      <w:r>
        <w:t xml:space="preserve"> [Accessed on: 13</w:t>
      </w:r>
      <w:r>
        <w:rPr>
          <w:vertAlign w:val="superscript"/>
        </w:rPr>
        <w:t>th</w:t>
      </w:r>
      <w:r>
        <w:t xml:space="preserve"> March, 2025]</w:t>
      </w:r>
    </w:p>
    <w:p w14:paraId="3A81AA85">
      <w:r>
        <w:rPr>
          <w:rFonts w:eastAsiaTheme="majorEastAsia"/>
        </w:rPr>
        <w:t>Oracle NetSuite, (2024</w:t>
      </w:r>
      <w:r>
        <w:t>)</w:t>
      </w:r>
      <w:r>
        <w:rPr>
          <w:rFonts w:eastAsiaTheme="majorEastAsia"/>
        </w:rPr>
        <w:t xml:space="preserve"> </w:t>
      </w:r>
      <w:r>
        <w:t xml:space="preserve">5 Psychological Pricing Tactics That Attract Customers (Online) Available at: </w:t>
      </w:r>
      <w:r>
        <w:fldChar w:fldCharType="begin"/>
      </w:r>
      <w:r>
        <w:instrText xml:space="preserve"> HYPERLINK "https://www.netsuite.com/portal/resource/articles/ecommerce/psychological-pricing.shtml" </w:instrText>
      </w:r>
      <w:r>
        <w:fldChar w:fldCharType="separate"/>
      </w:r>
      <w:r>
        <w:rPr>
          <w:rStyle w:val="9"/>
        </w:rPr>
        <w:t>https://www.netsuite.com/portal/resource/articles/ecommerce/psychological-pricing.shtml</w:t>
      </w:r>
      <w:r>
        <w:rPr>
          <w:rStyle w:val="9"/>
        </w:rPr>
        <w:fldChar w:fldCharType="end"/>
      </w:r>
      <w:r>
        <w:t xml:space="preserve"> [Accessed on: 13</w:t>
      </w:r>
      <w:r>
        <w:rPr>
          <w:vertAlign w:val="superscript"/>
        </w:rPr>
        <w:t>th</w:t>
      </w:r>
      <w:r>
        <w:t xml:space="preserve"> March, 2025]</w:t>
      </w:r>
    </w:p>
    <w:p w14:paraId="1B777F71"/>
    <w:p w14:paraId="5260E4B2"/>
    <w:p w14:paraId="6A3267EA"/>
    <w:p w14:paraId="2AC96163">
      <w:pPr>
        <w:pStyle w:val="21"/>
      </w:pPr>
      <w:bookmarkStart w:id="27" w:name="_GoBack"/>
      <w:bookmarkEnd w:id="27"/>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TZhongsong">
    <w:panose1 w:val="02010600040101010101"/>
    <w:charset w:val="86"/>
    <w:family w:val="auto"/>
    <w:pitch w:val="default"/>
    <w:sig w:usb0="00000287" w:usb1="080F0000" w:usb2="00000000" w:usb3="00000000" w:csb0="0004009F" w:csb1="DFD70000"/>
  </w:font>
  <w:font w:name="Sylfaen">
    <w:panose1 w:val="010A0502050306030303"/>
    <w:charset w:val="00"/>
    <w:family w:val="auto"/>
    <w:pitch w:val="default"/>
    <w:sig w:usb0="04000687" w:usb1="00000000" w:usb2="00000000" w:usb3="00000000" w:csb0="2000009F" w:csb1="00000000"/>
  </w:font>
  <w:font w:name="STXinwei">
    <w:panose1 w:val="02010800040101010101"/>
    <w:charset w:val="86"/>
    <w:family w:val="auto"/>
    <w:pitch w:val="default"/>
    <w:sig w:usb0="00000001" w:usb1="080F0000" w:usb2="00000000" w:usb3="00000000" w:csb0="00040000" w:csb1="00000000"/>
  </w:font>
  <w:font w:name="STSong">
    <w:panose1 w:val="02010600040101010101"/>
    <w:charset w:val="86"/>
    <w:family w:val="auto"/>
    <w:pitch w:val="default"/>
    <w:sig w:usb0="00000287" w:usb1="080F0000" w:usb2="00000000" w:usb3="00000000" w:csb0="0004009F" w:csb1="DFD70000"/>
  </w:font>
  <w:font w:name="Rage Italic">
    <w:panose1 w:val="03070502040507070304"/>
    <w:charset w:val="00"/>
    <w:family w:val="auto"/>
    <w:pitch w:val="default"/>
    <w:sig w:usb0="00000003" w:usb1="00000000" w:usb2="00000000" w:usb3="00000000" w:csb0="20000001" w:csb1="00000000"/>
  </w:font>
  <w:font w:name="PMingLiU-ExtB">
    <w:panose1 w:val="02020500000000000000"/>
    <w:charset w:val="88"/>
    <w:family w:val="auto"/>
    <w:pitch w:val="default"/>
    <w:sig w:usb0="8000002F" w:usb1="02000008" w:usb2="00000000" w:usb3="00000000" w:csb0="00100001" w:csb1="00000000"/>
  </w:font>
  <w:font w:name="Playbill">
    <w:panose1 w:val="040506030A0602020202"/>
    <w:charset w:val="00"/>
    <w:family w:val="auto"/>
    <w:pitch w:val="default"/>
    <w:sig w:usb0="00000003" w:usb1="00000000" w:usb2="00000000" w:usb3="00000000" w:csb0="20000001" w:csb1="00000000"/>
  </w:font>
  <w:font w:name="Sans Serif Collection">
    <w:panose1 w:val="020B0502040504020204"/>
    <w:charset w:val="00"/>
    <w:family w:val="auto"/>
    <w:pitch w:val="default"/>
    <w:sig w:usb0="E857A3FF" w:usb1="4200605F" w:usb2="29100029" w:usb3="007B0631" w:csb0="000001DF" w:csb1="00000000"/>
  </w:font>
  <w:font w:name="Pristina">
    <w:panose1 w:val="03060402040406080204"/>
    <w:charset w:val="00"/>
    <w:family w:val="auto"/>
    <w:pitch w:val="default"/>
    <w:sig w:usb0="00000003" w:usb1="00000000" w:usb2="00000000" w:usb3="00000000" w:csb0="20000001" w:csb1="00000000"/>
  </w:font>
  <w:font w:name="Gill Sans MT Condensed">
    <w:panose1 w:val="020B0506020104020203"/>
    <w:charset w:val="00"/>
    <w:family w:val="auto"/>
    <w:pitch w:val="default"/>
    <w:sig w:usb0="00000003" w:usb1="00000000" w:usb2="00000000" w:usb3="00000000" w:csb0="20000003" w:csb1="00000000"/>
  </w:font>
  <w:font w:name="Gill Sans MT">
    <w:panose1 w:val="020B0502020104020203"/>
    <w:charset w:val="00"/>
    <w:family w:val="auto"/>
    <w:pitch w:val="default"/>
    <w:sig w:usb0="00000003" w:usb1="00000000" w:usb2="00000000" w:usb3="00000000" w:csb0="20000003" w:csb1="00000000"/>
  </w:font>
  <w:font w:name="Franklin Gothic Demi Cond">
    <w:panose1 w:val="020B0706030402020204"/>
    <w:charset w:val="00"/>
    <w:family w:val="auto"/>
    <w:pitch w:val="default"/>
    <w:sig w:usb0="00000287" w:usb1="00000000" w:usb2="00000000" w:usb3="00000000" w:csb0="2000009F" w:csb1="DFD70000"/>
  </w:font>
  <w:font w:name="Franklin Gothic Heavy">
    <w:panose1 w:val="020B0903020102020204"/>
    <w:charset w:val="00"/>
    <w:family w:val="auto"/>
    <w:pitch w:val="default"/>
    <w:sig w:usb0="00000287" w:usb1="00000000" w:usb2="00000000" w:usb3="00000000" w:csb0="2000009F" w:csb1="DFD70000"/>
  </w:font>
  <w:font w:name="Franklin Gothic Demi">
    <w:panose1 w:val="020B0703020102020204"/>
    <w:charset w:val="00"/>
    <w:family w:val="auto"/>
    <w:pitch w:val="default"/>
    <w:sig w:usb0="00000287" w:usb1="00000000" w:usb2="00000000" w:usb3="00000000" w:csb0="2000009F" w:csb1="DFD70000"/>
  </w:font>
  <w:font w:name="Franklin Gothic Book">
    <w:panose1 w:val="020B0503020102020204"/>
    <w:charset w:val="00"/>
    <w:family w:val="auto"/>
    <w:pitch w:val="default"/>
    <w:sig w:usb0="00000287" w:usb1="00000000" w:usb2="00000000" w:usb3="00000000" w:csb0="2000009F" w:csb1="DFD70000"/>
  </w:font>
  <w:font w:name="Freestyle Script">
    <w:panose1 w:val="030804020302050B0404"/>
    <w:charset w:val="00"/>
    <w:family w:val="auto"/>
    <w:pitch w:val="default"/>
    <w:sig w:usb0="00000003" w:usb1="00000000" w:usb2="00000000" w:usb3="00000000" w:csb0="20000001" w:csb1="00000000"/>
  </w:font>
  <w:font w:name="French Script MT">
    <w:panose1 w:val="03020402040607040605"/>
    <w:charset w:val="00"/>
    <w:family w:val="auto"/>
    <w:pitch w:val="default"/>
    <w:sig w:usb0="00000003" w:usb1="00000000" w:usb2="00000000" w:usb3="00000000" w:csb0="20000001" w:csb1="00000000"/>
  </w:font>
  <w:font w:name="FZShuTi">
    <w:panose1 w:val="02010601030101010101"/>
    <w:charset w:val="86"/>
    <w:family w:val="auto"/>
    <w:pitch w:val="default"/>
    <w:sig w:usb0="00000003" w:usb1="080E0000" w:usb2="00000000" w:usb3="00000000" w:csb0="00040000" w:csb1="00000000"/>
  </w:font>
  <w:font w:name="FZYaoTi">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27855580"/>
      <w:docPartObj>
        <w:docPartGallery w:val="AutoText"/>
      </w:docPartObj>
    </w:sdtPr>
    <w:sdtContent>
      <w:p w14:paraId="0E66279F">
        <w:pPr>
          <w:pStyle w:val="7"/>
          <w:jc w:val="right"/>
        </w:pPr>
        <w:r>
          <w:fldChar w:fldCharType="begin"/>
        </w:r>
        <w:r>
          <w:instrText xml:space="preserve"> PAGE   \* MERGEFORMAT </w:instrText>
        </w:r>
        <w:r>
          <w:fldChar w:fldCharType="separate"/>
        </w:r>
        <w:r>
          <w:t>12</w:t>
        </w:r>
        <w:r>
          <w:fldChar w:fldCharType="end"/>
        </w:r>
      </w:p>
    </w:sdtContent>
  </w:sdt>
  <w:p w14:paraId="000AC832">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5B7323"/>
    <w:multiLevelType w:val="multilevel"/>
    <w:tmpl w:val="585B732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7B1E10EA"/>
    <w:multiLevelType w:val="multilevel"/>
    <w:tmpl w:val="7B1E10E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MDMyMbcwNzY3N7U0MDNX0lEKTi0uzszPAykwNKwFAK20QiotAAAA"/>
  </w:docVars>
  <w:rsids>
    <w:rsidRoot w:val="007B2D90"/>
    <w:rsid w:val="0002287F"/>
    <w:rsid w:val="00044544"/>
    <w:rsid w:val="000575BF"/>
    <w:rsid w:val="00084C82"/>
    <w:rsid w:val="000E3EC1"/>
    <w:rsid w:val="00105FDF"/>
    <w:rsid w:val="00106402"/>
    <w:rsid w:val="00145257"/>
    <w:rsid w:val="001C153E"/>
    <w:rsid w:val="001E32AD"/>
    <w:rsid w:val="001F18E6"/>
    <w:rsid w:val="001F598B"/>
    <w:rsid w:val="001F5B1A"/>
    <w:rsid w:val="0024589F"/>
    <w:rsid w:val="0025676A"/>
    <w:rsid w:val="00271FEB"/>
    <w:rsid w:val="00272DED"/>
    <w:rsid w:val="00281027"/>
    <w:rsid w:val="00293BC1"/>
    <w:rsid w:val="002E1069"/>
    <w:rsid w:val="0030704F"/>
    <w:rsid w:val="003903F7"/>
    <w:rsid w:val="003D1176"/>
    <w:rsid w:val="0045540A"/>
    <w:rsid w:val="00476FCD"/>
    <w:rsid w:val="004B2549"/>
    <w:rsid w:val="004D4E1A"/>
    <w:rsid w:val="00597820"/>
    <w:rsid w:val="005E5791"/>
    <w:rsid w:val="005F2486"/>
    <w:rsid w:val="00675DD8"/>
    <w:rsid w:val="00681BE9"/>
    <w:rsid w:val="00687CD1"/>
    <w:rsid w:val="006E3C36"/>
    <w:rsid w:val="006F360A"/>
    <w:rsid w:val="0072317E"/>
    <w:rsid w:val="007303DC"/>
    <w:rsid w:val="00745591"/>
    <w:rsid w:val="00766564"/>
    <w:rsid w:val="00786DD1"/>
    <w:rsid w:val="0079314F"/>
    <w:rsid w:val="007B2D90"/>
    <w:rsid w:val="00823523"/>
    <w:rsid w:val="00826C3E"/>
    <w:rsid w:val="00831801"/>
    <w:rsid w:val="00874242"/>
    <w:rsid w:val="00894579"/>
    <w:rsid w:val="008B7671"/>
    <w:rsid w:val="008C058E"/>
    <w:rsid w:val="00930783"/>
    <w:rsid w:val="00937318"/>
    <w:rsid w:val="0096658D"/>
    <w:rsid w:val="009D62C9"/>
    <w:rsid w:val="00A121C0"/>
    <w:rsid w:val="00A57D36"/>
    <w:rsid w:val="00B57C29"/>
    <w:rsid w:val="00B70EC3"/>
    <w:rsid w:val="00B841DA"/>
    <w:rsid w:val="00C63062"/>
    <w:rsid w:val="00C81ADC"/>
    <w:rsid w:val="00C83625"/>
    <w:rsid w:val="00D206DD"/>
    <w:rsid w:val="00D214F0"/>
    <w:rsid w:val="00D43246"/>
    <w:rsid w:val="00D45A34"/>
    <w:rsid w:val="00D6007B"/>
    <w:rsid w:val="00D63A18"/>
    <w:rsid w:val="00DB0154"/>
    <w:rsid w:val="00DB46C5"/>
    <w:rsid w:val="00DC6B83"/>
    <w:rsid w:val="00DE56DA"/>
    <w:rsid w:val="00E4610C"/>
    <w:rsid w:val="00E846E6"/>
    <w:rsid w:val="00E86B6F"/>
    <w:rsid w:val="00E94A1C"/>
    <w:rsid w:val="00F12D5F"/>
    <w:rsid w:val="00F43652"/>
    <w:rsid w:val="17B4138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16"/>
    <w:qFormat/>
    <w:uiPriority w:val="9"/>
    <w:pPr>
      <w:keepNext/>
      <w:keepLines/>
      <w:spacing w:before="240" w:after="0"/>
      <w:outlineLvl w:val="0"/>
    </w:pPr>
    <w:rPr>
      <w:rFonts w:eastAsiaTheme="majorEastAsia" w:cstheme="majorBidi"/>
      <w:b/>
      <w:color w:val="000000" w:themeColor="text1"/>
      <w:sz w:val="28"/>
      <w:szCs w:val="32"/>
      <w14:textFill>
        <w14:solidFill>
          <w14:schemeClr w14:val="tx1"/>
        </w14:solidFill>
      </w14:textFill>
    </w:rPr>
  </w:style>
  <w:style w:type="paragraph" w:styleId="3">
    <w:name w:val="heading 2"/>
    <w:basedOn w:val="1"/>
    <w:next w:val="1"/>
    <w:link w:val="22"/>
    <w:unhideWhenUsed/>
    <w:qFormat/>
    <w:uiPriority w:val="9"/>
    <w:pPr>
      <w:keepNext/>
      <w:keepLines/>
      <w:spacing w:before="40" w:after="0"/>
      <w:outlineLvl w:val="1"/>
    </w:pPr>
    <w:rPr>
      <w:rFonts w:eastAsiaTheme="majorEastAsia" w:cstheme="majorBidi"/>
      <w:b/>
      <w:color w:val="000000" w:themeColor="text1"/>
      <w:sz w:val="26"/>
      <w:szCs w:val="26"/>
      <w14:textFill>
        <w14:solidFill>
          <w14:schemeClr w14:val="tx1"/>
        </w14:solidFill>
      </w14:textFill>
    </w:rPr>
  </w:style>
  <w:style w:type="paragraph" w:styleId="4">
    <w:name w:val="heading 4"/>
    <w:basedOn w:val="1"/>
    <w:next w:val="1"/>
    <w:link w:val="23"/>
    <w:unhideWhenUsed/>
    <w:qFormat/>
    <w:uiPriority w:val="9"/>
    <w:pPr>
      <w:keepNext/>
      <w:keepLines/>
      <w:spacing w:before="40" w:after="0"/>
      <w:outlineLvl w:val="3"/>
    </w:pPr>
    <w:rPr>
      <w:rFonts w:eastAsiaTheme="majorEastAsia" w:cstheme="majorBidi"/>
      <w:b/>
      <w:iCs/>
      <w:color w:val="000000" w:themeColor="text1"/>
      <w14:textFill>
        <w14:solidFill>
          <w14:schemeClr w14:val="tx1"/>
        </w14:solidFill>
      </w14:textFill>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footer"/>
    <w:basedOn w:val="1"/>
    <w:link w:val="19"/>
    <w:unhideWhenUsed/>
    <w:uiPriority w:val="99"/>
    <w:pPr>
      <w:tabs>
        <w:tab w:val="center" w:pos="4513"/>
        <w:tab w:val="right" w:pos="9026"/>
      </w:tabs>
      <w:spacing w:after="0" w:line="240" w:lineRule="auto"/>
    </w:pPr>
  </w:style>
  <w:style w:type="paragraph" w:styleId="8">
    <w:name w:val="header"/>
    <w:basedOn w:val="1"/>
    <w:link w:val="18"/>
    <w:unhideWhenUsed/>
    <w:uiPriority w:val="99"/>
    <w:pPr>
      <w:tabs>
        <w:tab w:val="center" w:pos="4513"/>
        <w:tab w:val="right" w:pos="9026"/>
      </w:tabs>
      <w:spacing w:after="0" w:line="240" w:lineRule="auto"/>
    </w:pPr>
  </w:style>
  <w:style w:type="character" w:styleId="9">
    <w:name w:val="Hyperlink"/>
    <w:basedOn w:val="5"/>
    <w:unhideWhenUsed/>
    <w:uiPriority w:val="99"/>
    <w:rPr>
      <w:color w:val="0563C1" w:themeColor="hyperlink"/>
      <w:u w:val="single"/>
      <w14:textFill>
        <w14:solidFill>
          <w14:schemeClr w14:val="hlink"/>
        </w14:solidFill>
      </w14:textFill>
    </w:rPr>
  </w:style>
  <w:style w:type="paragraph" w:styleId="10">
    <w:name w:val="Normal (Web)"/>
    <w:basedOn w:val="1"/>
    <w:unhideWhenUsed/>
    <w:uiPriority w:val="99"/>
    <w:pPr>
      <w:spacing w:before="100" w:beforeAutospacing="1" w:after="100" w:afterAutospacing="1" w:line="240" w:lineRule="auto"/>
      <w:jc w:val="left"/>
    </w:pPr>
    <w:rPr>
      <w:rFonts w:eastAsia="Times New Roman" w:cs="Times New Roman"/>
      <w:szCs w:val="24"/>
      <w:lang w:val="en-IN" w:eastAsia="en-IN"/>
    </w:rPr>
  </w:style>
  <w:style w:type="character" w:styleId="11">
    <w:name w:val="Strong"/>
    <w:basedOn w:val="5"/>
    <w:qFormat/>
    <w:uiPriority w:val="22"/>
    <w:rPr>
      <w:b/>
      <w:bCs/>
    </w:rPr>
  </w:style>
  <w:style w:type="paragraph" w:styleId="12">
    <w:name w:val="table of figures"/>
    <w:basedOn w:val="1"/>
    <w:next w:val="1"/>
    <w:unhideWhenUsed/>
    <w:uiPriority w:val="99"/>
    <w:pPr>
      <w:spacing w:after="0"/>
    </w:pPr>
  </w:style>
  <w:style w:type="paragraph" w:styleId="13">
    <w:name w:val="toc 1"/>
    <w:basedOn w:val="1"/>
    <w:next w:val="1"/>
    <w:autoRedefine/>
    <w:unhideWhenUsed/>
    <w:qFormat/>
    <w:uiPriority w:val="39"/>
    <w:pPr>
      <w:spacing w:after="100"/>
    </w:pPr>
  </w:style>
  <w:style w:type="paragraph" w:styleId="14">
    <w:name w:val="toc 2"/>
    <w:basedOn w:val="1"/>
    <w:next w:val="1"/>
    <w:autoRedefine/>
    <w:unhideWhenUsed/>
    <w:qFormat/>
    <w:uiPriority w:val="39"/>
    <w:pPr>
      <w:spacing w:after="100"/>
      <w:ind w:left="240"/>
    </w:pPr>
  </w:style>
  <w:style w:type="character" w:customStyle="1" w:styleId="15">
    <w:name w:val="cursor-pointer"/>
    <w:basedOn w:val="5"/>
    <w:uiPriority w:val="0"/>
  </w:style>
  <w:style w:type="character" w:customStyle="1" w:styleId="16">
    <w:name w:val="Heading 1 Char"/>
    <w:basedOn w:val="5"/>
    <w:link w:val="2"/>
    <w:uiPriority w:val="9"/>
    <w:rPr>
      <w:rFonts w:ascii="Times New Roman" w:hAnsi="Times New Roman" w:eastAsiaTheme="majorEastAsia" w:cstheme="majorBidi"/>
      <w:b/>
      <w:color w:val="000000" w:themeColor="text1"/>
      <w:sz w:val="28"/>
      <w:szCs w:val="32"/>
      <w:lang w:val="en-GB"/>
      <w14:textFill>
        <w14:solidFill>
          <w14:schemeClr w14:val="tx1"/>
        </w14:solidFill>
      </w14:textFill>
    </w:rPr>
  </w:style>
  <w:style w:type="paragraph" w:customStyle="1" w:styleId="17">
    <w:name w:val="TOC Heading"/>
    <w:basedOn w:val="2"/>
    <w:next w:val="1"/>
    <w:unhideWhenUsed/>
    <w:qFormat/>
    <w:uiPriority w:val="39"/>
    <w:pPr>
      <w:spacing w:line="259" w:lineRule="auto"/>
      <w:jc w:val="left"/>
      <w:outlineLvl w:val="9"/>
    </w:pPr>
    <w:rPr>
      <w:rFonts w:asciiTheme="majorHAnsi" w:hAnsiTheme="majorHAnsi"/>
      <w:b w:val="0"/>
      <w:color w:val="2E75B6" w:themeColor="accent1" w:themeShade="BF"/>
      <w:sz w:val="32"/>
      <w:lang w:val="en-US"/>
    </w:rPr>
  </w:style>
  <w:style w:type="character" w:customStyle="1" w:styleId="18">
    <w:name w:val="Header Char"/>
    <w:basedOn w:val="5"/>
    <w:link w:val="8"/>
    <w:uiPriority w:val="99"/>
    <w:rPr>
      <w:rFonts w:ascii="Times New Roman" w:hAnsi="Times New Roman"/>
      <w:sz w:val="24"/>
      <w:lang w:val="en-GB"/>
    </w:rPr>
  </w:style>
  <w:style w:type="character" w:customStyle="1" w:styleId="19">
    <w:name w:val="Footer Char"/>
    <w:basedOn w:val="5"/>
    <w:link w:val="7"/>
    <w:uiPriority w:val="99"/>
    <w:rPr>
      <w:rFonts w:ascii="Times New Roman" w:hAnsi="Times New Roman"/>
      <w:sz w:val="24"/>
      <w:lang w:val="en-GB"/>
    </w:rPr>
  </w:style>
  <w:style w:type="character" w:customStyle="1" w:styleId="20">
    <w:name w:val="overflow-hidden"/>
    <w:basedOn w:val="5"/>
    <w:uiPriority w:val="0"/>
  </w:style>
  <w:style w:type="paragraph" w:styleId="21">
    <w:name w:val="List Paragraph"/>
    <w:basedOn w:val="1"/>
    <w:qFormat/>
    <w:uiPriority w:val="34"/>
    <w:pPr>
      <w:ind w:left="720"/>
      <w:contextualSpacing/>
    </w:pPr>
  </w:style>
  <w:style w:type="character" w:customStyle="1" w:styleId="22">
    <w:name w:val="Heading 2 Char"/>
    <w:basedOn w:val="5"/>
    <w:link w:val="3"/>
    <w:qFormat/>
    <w:uiPriority w:val="9"/>
    <w:rPr>
      <w:rFonts w:ascii="Times New Roman" w:hAnsi="Times New Roman" w:eastAsiaTheme="majorEastAsia" w:cstheme="majorBidi"/>
      <w:b/>
      <w:color w:val="000000" w:themeColor="text1"/>
      <w:sz w:val="26"/>
      <w:szCs w:val="26"/>
      <w:lang w:val="en-GB"/>
      <w14:textFill>
        <w14:solidFill>
          <w14:schemeClr w14:val="tx1"/>
        </w14:solidFill>
      </w14:textFill>
    </w:rPr>
  </w:style>
  <w:style w:type="character" w:customStyle="1" w:styleId="23">
    <w:name w:val="Heading 4 Char"/>
    <w:basedOn w:val="5"/>
    <w:link w:val="4"/>
    <w:qFormat/>
    <w:uiPriority w:val="9"/>
    <w:rPr>
      <w:rFonts w:ascii="Times New Roman" w:hAnsi="Times New Roman" w:eastAsiaTheme="majorEastAsia" w:cstheme="majorBidi"/>
      <w:b/>
      <w:iCs/>
      <w:color w:val="000000" w:themeColor="text1"/>
      <w:sz w:val="24"/>
      <w:lang w:val="en-GB"/>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0D979-84F2-4E75-A1ED-F30C9F747790}">
  <ds:schemaRefs/>
</ds:datastoreItem>
</file>

<file path=docProps/app.xml><?xml version="1.0" encoding="utf-8"?>
<Properties xmlns="http://schemas.openxmlformats.org/officeDocument/2006/extended-properties" xmlns:vt="http://schemas.openxmlformats.org/officeDocument/2006/docPropsVTypes">
  <Template>Normal</Template>
  <Pages>16</Pages>
  <Words>4569</Words>
  <Characters>26047</Characters>
  <Lines>217</Lines>
  <Paragraphs>61</Paragraphs>
  <TotalTime>8</TotalTime>
  <ScaleCrop>false</ScaleCrop>
  <LinksUpToDate>false</LinksUpToDate>
  <CharactersWithSpaces>30555</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2025-03-13T11:53:00Z</dcterms:created>
  <dc:creator>user</dc:creator>
  <cp:lastModifiedBy>Kusalama Sharon</cp:lastModifiedBy>
  <dcterms:modified xsi:type="dcterms:W3CDTF">2025-03-14T12:18:21Z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32BA90207DD64543949F05F0EEC6DC99_12</vt:lpwstr>
  </property>
</Properties>
</file>