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E3DBF" w14:textId="77777777" w:rsidR="00473D83" w:rsidRDefault="00473D83" w:rsidP="003616A2">
      <w:pPr>
        <w:spacing w:after="600"/>
      </w:pPr>
    </w:p>
    <w:p w14:paraId="22573354" w14:textId="0658D38B" w:rsidR="00D10C0E" w:rsidRDefault="00D10C0E" w:rsidP="00D10C0E">
      <w:pPr>
        <w:spacing w:after="600"/>
        <w:jc w:val="center"/>
      </w:pPr>
      <w:r>
        <w:rPr>
          <w:noProof/>
        </w:rPr>
        <w:drawing>
          <wp:inline distT="0" distB="0" distL="0" distR="0" wp14:anchorId="18B82D8D" wp14:editId="27A3BD13">
            <wp:extent cx="3530600" cy="95821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680447" cy="998884"/>
                    </a:xfrm>
                    <a:prstGeom prst="rect">
                      <a:avLst/>
                    </a:prstGeom>
                  </pic:spPr>
                </pic:pic>
              </a:graphicData>
            </a:graphic>
          </wp:inline>
        </w:drawing>
      </w:r>
    </w:p>
    <w:p w14:paraId="5D73B448" w14:textId="77777777" w:rsidR="00473D83" w:rsidRDefault="00A638B1" w:rsidP="003616A2">
      <w:pPr>
        <w:spacing w:after="400"/>
        <w:jc w:val="center"/>
      </w:pPr>
      <w:r>
        <w:rPr>
          <w:b/>
          <w:bCs/>
          <w:sz w:val="32"/>
          <w:szCs w:val="32"/>
        </w:rPr>
        <w:t>SERVICE IMPROVEMENT REPORT</w:t>
      </w:r>
    </w:p>
    <w:p w14:paraId="3AD81D93" w14:textId="77777777" w:rsidR="00473D83" w:rsidRDefault="00A638B1" w:rsidP="003616A2">
      <w:pPr>
        <w:spacing w:after="200"/>
        <w:jc w:val="center"/>
      </w:pPr>
      <w:r>
        <w:rPr>
          <w:b/>
          <w:bCs/>
          <w:szCs w:val="24"/>
        </w:rPr>
        <w:t>A Critical Analysis of Root Causes, Policy Failures, and Service Improvement Lessons from the Lucy Letby Case at Countess of Chester Hospital NHS Foundation Trust (2015–2016)</w:t>
      </w:r>
    </w:p>
    <w:p w14:paraId="0FF36E11" w14:textId="77777777" w:rsidR="00473D83" w:rsidRDefault="00473D83" w:rsidP="003616A2">
      <w:pPr>
        <w:spacing w:after="400"/>
      </w:pPr>
    </w:p>
    <w:p w14:paraId="08D2379A" w14:textId="24610346" w:rsidR="00473D83" w:rsidRDefault="00A638B1" w:rsidP="003616A2">
      <w:pPr>
        <w:jc w:val="center"/>
      </w:pPr>
      <w:r>
        <w:rPr>
          <w:sz w:val="22"/>
        </w:rPr>
        <w:t xml:space="preserve">Student Name: </w:t>
      </w:r>
      <w:r w:rsidR="00D10C0E">
        <w:rPr>
          <w:sz w:val="22"/>
        </w:rPr>
        <w:t>Krisha Jayesh Ahir</w:t>
      </w:r>
    </w:p>
    <w:p w14:paraId="03ABD5FB" w14:textId="553DB25A" w:rsidR="00473D83" w:rsidRDefault="00A638B1" w:rsidP="003616A2">
      <w:pPr>
        <w:jc w:val="center"/>
      </w:pPr>
      <w:r>
        <w:rPr>
          <w:sz w:val="22"/>
        </w:rPr>
        <w:t xml:space="preserve">Student ID: </w:t>
      </w:r>
      <w:r w:rsidR="00D10C0E">
        <w:rPr>
          <w:sz w:val="22"/>
        </w:rPr>
        <w:t>2515386</w:t>
      </w:r>
    </w:p>
    <w:p w14:paraId="723CB926" w14:textId="77777777" w:rsidR="00473D83" w:rsidRDefault="00A638B1" w:rsidP="003616A2">
      <w:pPr>
        <w:jc w:val="center"/>
      </w:pPr>
      <w:r>
        <w:rPr>
          <w:sz w:val="22"/>
        </w:rPr>
        <w:t>Module Code: LCHS7006</w:t>
      </w:r>
    </w:p>
    <w:p w14:paraId="1E97E523" w14:textId="77777777" w:rsidR="00473D83" w:rsidRDefault="00A638B1" w:rsidP="003616A2">
      <w:pPr>
        <w:jc w:val="center"/>
      </w:pPr>
      <w:r>
        <w:rPr>
          <w:sz w:val="22"/>
        </w:rPr>
        <w:t>Module Title: Quality Assurance and Service Improvements</w:t>
      </w:r>
    </w:p>
    <w:p w14:paraId="443E2CC8" w14:textId="77777777" w:rsidR="00473D83" w:rsidRDefault="00A638B1" w:rsidP="003616A2">
      <w:pPr>
        <w:jc w:val="center"/>
      </w:pPr>
      <w:r>
        <w:rPr>
          <w:sz w:val="22"/>
        </w:rPr>
        <w:t>Lecturer: Dr Fahad Khan</w:t>
      </w:r>
    </w:p>
    <w:p w14:paraId="2048CFEC" w14:textId="77777777" w:rsidR="00473D83" w:rsidRDefault="00A638B1" w:rsidP="003616A2">
      <w:pPr>
        <w:spacing w:after="400"/>
        <w:jc w:val="center"/>
      </w:pPr>
      <w:r>
        <w:rPr>
          <w:sz w:val="22"/>
        </w:rPr>
        <w:t>Programme: MSc Public Health and Social Care in Practice</w:t>
      </w:r>
    </w:p>
    <w:p w14:paraId="245D4D5A" w14:textId="6118B20C" w:rsidR="00473D83" w:rsidRDefault="00473D83" w:rsidP="003616A2">
      <w:pPr>
        <w:jc w:val="center"/>
      </w:pPr>
    </w:p>
    <w:p w14:paraId="2B417A7F" w14:textId="34CA8A46" w:rsidR="003616A2" w:rsidRPr="003616A2" w:rsidRDefault="00A638B1" w:rsidP="003616A2">
      <w:r>
        <w:br w:type="page"/>
      </w:r>
    </w:p>
    <w:sdt>
      <w:sdtPr>
        <w:rPr>
          <w:rFonts w:ascii="Times New Roman" w:eastAsia="Arial" w:hAnsi="Times New Roman" w:cs="Times New Roman"/>
          <w:b/>
          <w:bCs/>
          <w:color w:val="auto"/>
          <w:sz w:val="24"/>
          <w:szCs w:val="24"/>
          <w:lang w:val="en-IN" w:eastAsia="en-IN" w:bidi="bn-IN"/>
        </w:rPr>
        <w:id w:val="1205754674"/>
        <w:docPartObj>
          <w:docPartGallery w:val="Table of Contents"/>
          <w:docPartUnique/>
        </w:docPartObj>
      </w:sdtPr>
      <w:sdtEndPr>
        <w:rPr>
          <w:rFonts w:cs="Arial"/>
          <w:noProof/>
          <w:szCs w:val="22"/>
        </w:rPr>
      </w:sdtEndPr>
      <w:sdtContent>
        <w:p w14:paraId="0A0519E8" w14:textId="61C028EF" w:rsidR="003616A2" w:rsidRPr="003616A2" w:rsidRDefault="003616A2" w:rsidP="003616A2">
          <w:pPr>
            <w:pStyle w:val="TOCHeading"/>
            <w:spacing w:line="360" w:lineRule="auto"/>
            <w:jc w:val="center"/>
            <w:rPr>
              <w:rFonts w:ascii="Times New Roman" w:hAnsi="Times New Roman" w:cs="Times New Roman"/>
              <w:b/>
              <w:bCs/>
              <w:color w:val="auto"/>
              <w:sz w:val="24"/>
              <w:szCs w:val="24"/>
            </w:rPr>
          </w:pPr>
          <w:r w:rsidRPr="003616A2">
            <w:rPr>
              <w:rFonts w:ascii="Times New Roman" w:hAnsi="Times New Roman" w:cs="Times New Roman"/>
              <w:b/>
              <w:bCs/>
              <w:color w:val="auto"/>
              <w:sz w:val="24"/>
              <w:szCs w:val="24"/>
            </w:rPr>
            <w:t>Table of Contents</w:t>
          </w:r>
        </w:p>
        <w:p w14:paraId="3EFEFA05" w14:textId="52DA7525" w:rsidR="00880F62" w:rsidRDefault="003616A2">
          <w:pPr>
            <w:pStyle w:val="TOC1"/>
            <w:tabs>
              <w:tab w:val="right" w:leader="dot" w:pos="9016"/>
            </w:tabs>
            <w:rPr>
              <w:rFonts w:asciiTheme="minorHAnsi" w:eastAsiaTheme="minorEastAsia" w:hAnsiTheme="minorHAnsi" w:cstheme="minorBidi"/>
              <w:noProof/>
              <w:kern w:val="2"/>
              <w:szCs w:val="30"/>
              <w14:ligatures w14:val="standardContextual"/>
            </w:rPr>
          </w:pPr>
          <w:r>
            <w:fldChar w:fldCharType="begin"/>
          </w:r>
          <w:r>
            <w:instrText xml:space="preserve"> TOC \o "1-3" \h \z \u </w:instrText>
          </w:r>
          <w:r>
            <w:fldChar w:fldCharType="separate"/>
          </w:r>
          <w:hyperlink w:anchor="_Toc235899926" w:history="1">
            <w:r w:rsidR="00880F62" w:rsidRPr="00A249FD">
              <w:rPr>
                <w:rStyle w:val="Hyperlink"/>
                <w:noProof/>
              </w:rPr>
              <w:t>1. Introduction</w:t>
            </w:r>
            <w:r w:rsidR="00880F62">
              <w:rPr>
                <w:noProof/>
                <w:webHidden/>
              </w:rPr>
              <w:tab/>
            </w:r>
            <w:r w:rsidR="00880F62">
              <w:rPr>
                <w:noProof/>
                <w:webHidden/>
              </w:rPr>
              <w:fldChar w:fldCharType="begin"/>
            </w:r>
            <w:r w:rsidR="00880F62">
              <w:rPr>
                <w:noProof/>
                <w:webHidden/>
              </w:rPr>
              <w:instrText xml:space="preserve"> PAGEREF _Toc235899926 \h </w:instrText>
            </w:r>
            <w:r w:rsidR="00880F62">
              <w:rPr>
                <w:noProof/>
                <w:webHidden/>
              </w:rPr>
            </w:r>
            <w:r w:rsidR="00880F62">
              <w:rPr>
                <w:noProof/>
                <w:webHidden/>
              </w:rPr>
              <w:fldChar w:fldCharType="separate"/>
            </w:r>
            <w:r w:rsidR="00880F62">
              <w:rPr>
                <w:noProof/>
                <w:webHidden/>
              </w:rPr>
              <w:t>3</w:t>
            </w:r>
            <w:r w:rsidR="00880F62">
              <w:rPr>
                <w:noProof/>
                <w:webHidden/>
              </w:rPr>
              <w:fldChar w:fldCharType="end"/>
            </w:r>
          </w:hyperlink>
        </w:p>
        <w:p w14:paraId="56CA674F" w14:textId="4BD0B3A8" w:rsidR="00880F62" w:rsidRDefault="00880F62">
          <w:pPr>
            <w:pStyle w:val="TOC1"/>
            <w:tabs>
              <w:tab w:val="right" w:leader="dot" w:pos="9016"/>
            </w:tabs>
            <w:rPr>
              <w:rFonts w:asciiTheme="minorHAnsi" w:eastAsiaTheme="minorEastAsia" w:hAnsiTheme="minorHAnsi" w:cstheme="minorBidi"/>
              <w:noProof/>
              <w:kern w:val="2"/>
              <w:szCs w:val="30"/>
              <w14:ligatures w14:val="standardContextual"/>
            </w:rPr>
          </w:pPr>
          <w:hyperlink w:anchor="_Toc235899927" w:history="1">
            <w:r w:rsidRPr="00A249FD">
              <w:rPr>
                <w:rStyle w:val="Hyperlink"/>
                <w:noProof/>
              </w:rPr>
              <w:t>2. Critical Analysis of Systemic Failures and Improvement Frameworks</w:t>
            </w:r>
            <w:r>
              <w:rPr>
                <w:noProof/>
                <w:webHidden/>
              </w:rPr>
              <w:tab/>
            </w:r>
            <w:r>
              <w:rPr>
                <w:noProof/>
                <w:webHidden/>
              </w:rPr>
              <w:fldChar w:fldCharType="begin"/>
            </w:r>
            <w:r>
              <w:rPr>
                <w:noProof/>
                <w:webHidden/>
              </w:rPr>
              <w:instrText xml:space="preserve"> PAGEREF _Toc235899927 \h </w:instrText>
            </w:r>
            <w:r>
              <w:rPr>
                <w:noProof/>
                <w:webHidden/>
              </w:rPr>
            </w:r>
            <w:r>
              <w:rPr>
                <w:noProof/>
                <w:webHidden/>
              </w:rPr>
              <w:fldChar w:fldCharType="separate"/>
            </w:r>
            <w:r>
              <w:rPr>
                <w:noProof/>
                <w:webHidden/>
              </w:rPr>
              <w:t>4</w:t>
            </w:r>
            <w:r>
              <w:rPr>
                <w:noProof/>
                <w:webHidden/>
              </w:rPr>
              <w:fldChar w:fldCharType="end"/>
            </w:r>
          </w:hyperlink>
        </w:p>
        <w:p w14:paraId="2DEA2535" w14:textId="45C62B99"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28" w:history="1">
            <w:r w:rsidRPr="00A249FD">
              <w:rPr>
                <w:rStyle w:val="Hyperlink"/>
                <w:noProof/>
              </w:rPr>
              <w:t>2.1 Application of the Donabedian Model</w:t>
            </w:r>
            <w:r>
              <w:rPr>
                <w:noProof/>
                <w:webHidden/>
              </w:rPr>
              <w:tab/>
            </w:r>
            <w:r>
              <w:rPr>
                <w:noProof/>
                <w:webHidden/>
              </w:rPr>
              <w:fldChar w:fldCharType="begin"/>
            </w:r>
            <w:r>
              <w:rPr>
                <w:noProof/>
                <w:webHidden/>
              </w:rPr>
              <w:instrText xml:space="preserve"> PAGEREF _Toc235899928 \h </w:instrText>
            </w:r>
            <w:r>
              <w:rPr>
                <w:noProof/>
                <w:webHidden/>
              </w:rPr>
            </w:r>
            <w:r>
              <w:rPr>
                <w:noProof/>
                <w:webHidden/>
              </w:rPr>
              <w:fldChar w:fldCharType="separate"/>
            </w:r>
            <w:r>
              <w:rPr>
                <w:noProof/>
                <w:webHidden/>
              </w:rPr>
              <w:t>4</w:t>
            </w:r>
            <w:r>
              <w:rPr>
                <w:noProof/>
                <w:webHidden/>
              </w:rPr>
              <w:fldChar w:fldCharType="end"/>
            </w:r>
          </w:hyperlink>
        </w:p>
        <w:p w14:paraId="0AA21E20" w14:textId="6FBE28C5"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29" w:history="1">
            <w:r w:rsidRPr="00A249FD">
              <w:rPr>
                <w:rStyle w:val="Hyperlink"/>
                <w:noProof/>
              </w:rPr>
              <w:t>2.2 Fishbone Diagram Analysis</w:t>
            </w:r>
            <w:r>
              <w:rPr>
                <w:noProof/>
                <w:webHidden/>
              </w:rPr>
              <w:tab/>
            </w:r>
            <w:r>
              <w:rPr>
                <w:noProof/>
                <w:webHidden/>
              </w:rPr>
              <w:fldChar w:fldCharType="begin"/>
            </w:r>
            <w:r>
              <w:rPr>
                <w:noProof/>
                <w:webHidden/>
              </w:rPr>
              <w:instrText xml:space="preserve"> PAGEREF _Toc235899929 \h </w:instrText>
            </w:r>
            <w:r>
              <w:rPr>
                <w:noProof/>
                <w:webHidden/>
              </w:rPr>
            </w:r>
            <w:r>
              <w:rPr>
                <w:noProof/>
                <w:webHidden/>
              </w:rPr>
              <w:fldChar w:fldCharType="separate"/>
            </w:r>
            <w:r>
              <w:rPr>
                <w:noProof/>
                <w:webHidden/>
              </w:rPr>
              <w:t>5</w:t>
            </w:r>
            <w:r>
              <w:rPr>
                <w:noProof/>
                <w:webHidden/>
              </w:rPr>
              <w:fldChar w:fldCharType="end"/>
            </w:r>
          </w:hyperlink>
        </w:p>
        <w:p w14:paraId="086A6A20" w14:textId="3E27F33B"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0" w:history="1">
            <w:r w:rsidRPr="00A249FD">
              <w:rPr>
                <w:rStyle w:val="Hyperlink"/>
                <w:noProof/>
              </w:rPr>
              <w:t>2.3 Strategic Analysis: SWOT</w:t>
            </w:r>
            <w:r>
              <w:rPr>
                <w:noProof/>
                <w:webHidden/>
              </w:rPr>
              <w:tab/>
            </w:r>
            <w:r>
              <w:rPr>
                <w:noProof/>
                <w:webHidden/>
              </w:rPr>
              <w:fldChar w:fldCharType="begin"/>
            </w:r>
            <w:r>
              <w:rPr>
                <w:noProof/>
                <w:webHidden/>
              </w:rPr>
              <w:instrText xml:space="preserve"> PAGEREF _Toc235899930 \h </w:instrText>
            </w:r>
            <w:r>
              <w:rPr>
                <w:noProof/>
                <w:webHidden/>
              </w:rPr>
            </w:r>
            <w:r>
              <w:rPr>
                <w:noProof/>
                <w:webHidden/>
              </w:rPr>
              <w:fldChar w:fldCharType="separate"/>
            </w:r>
            <w:r>
              <w:rPr>
                <w:noProof/>
                <w:webHidden/>
              </w:rPr>
              <w:t>6</w:t>
            </w:r>
            <w:r>
              <w:rPr>
                <w:noProof/>
                <w:webHidden/>
              </w:rPr>
              <w:fldChar w:fldCharType="end"/>
            </w:r>
          </w:hyperlink>
        </w:p>
        <w:p w14:paraId="7575FF73" w14:textId="44061B76"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1" w:history="1">
            <w:r w:rsidRPr="00A249FD">
              <w:rPr>
                <w:rStyle w:val="Hyperlink"/>
                <w:noProof/>
              </w:rPr>
              <w:t>2.4 Quality Improvement through the PDSA Cycle</w:t>
            </w:r>
            <w:r>
              <w:rPr>
                <w:noProof/>
                <w:webHidden/>
              </w:rPr>
              <w:tab/>
            </w:r>
            <w:r>
              <w:rPr>
                <w:noProof/>
                <w:webHidden/>
              </w:rPr>
              <w:fldChar w:fldCharType="begin"/>
            </w:r>
            <w:r>
              <w:rPr>
                <w:noProof/>
                <w:webHidden/>
              </w:rPr>
              <w:instrText xml:space="preserve"> PAGEREF _Toc235899931 \h </w:instrText>
            </w:r>
            <w:r>
              <w:rPr>
                <w:noProof/>
                <w:webHidden/>
              </w:rPr>
            </w:r>
            <w:r>
              <w:rPr>
                <w:noProof/>
                <w:webHidden/>
              </w:rPr>
              <w:fldChar w:fldCharType="separate"/>
            </w:r>
            <w:r>
              <w:rPr>
                <w:noProof/>
                <w:webHidden/>
              </w:rPr>
              <w:t>7</w:t>
            </w:r>
            <w:r>
              <w:rPr>
                <w:noProof/>
                <w:webHidden/>
              </w:rPr>
              <w:fldChar w:fldCharType="end"/>
            </w:r>
          </w:hyperlink>
        </w:p>
        <w:p w14:paraId="4AD5D6F6" w14:textId="0F00F738"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2" w:history="1">
            <w:r w:rsidRPr="00A249FD">
              <w:rPr>
                <w:rStyle w:val="Hyperlink"/>
                <w:noProof/>
              </w:rPr>
              <w:t>2.5 Kotter’s 8-Step Change Model</w:t>
            </w:r>
            <w:r>
              <w:rPr>
                <w:noProof/>
                <w:webHidden/>
              </w:rPr>
              <w:tab/>
            </w:r>
            <w:r>
              <w:rPr>
                <w:noProof/>
                <w:webHidden/>
              </w:rPr>
              <w:fldChar w:fldCharType="begin"/>
            </w:r>
            <w:r>
              <w:rPr>
                <w:noProof/>
                <w:webHidden/>
              </w:rPr>
              <w:instrText xml:space="preserve"> PAGEREF _Toc235899932 \h </w:instrText>
            </w:r>
            <w:r>
              <w:rPr>
                <w:noProof/>
                <w:webHidden/>
              </w:rPr>
            </w:r>
            <w:r>
              <w:rPr>
                <w:noProof/>
                <w:webHidden/>
              </w:rPr>
              <w:fldChar w:fldCharType="separate"/>
            </w:r>
            <w:r>
              <w:rPr>
                <w:noProof/>
                <w:webHidden/>
              </w:rPr>
              <w:t>8</w:t>
            </w:r>
            <w:r>
              <w:rPr>
                <w:noProof/>
                <w:webHidden/>
              </w:rPr>
              <w:fldChar w:fldCharType="end"/>
            </w:r>
          </w:hyperlink>
        </w:p>
        <w:p w14:paraId="08A482B2" w14:textId="5C7EBB63" w:rsidR="00880F62" w:rsidRDefault="00880F62">
          <w:pPr>
            <w:pStyle w:val="TOC1"/>
            <w:tabs>
              <w:tab w:val="right" w:leader="dot" w:pos="9016"/>
            </w:tabs>
            <w:rPr>
              <w:rFonts w:asciiTheme="minorHAnsi" w:eastAsiaTheme="minorEastAsia" w:hAnsiTheme="minorHAnsi" w:cstheme="minorBidi"/>
              <w:noProof/>
              <w:kern w:val="2"/>
              <w:szCs w:val="30"/>
              <w14:ligatures w14:val="standardContextual"/>
            </w:rPr>
          </w:pPr>
          <w:hyperlink w:anchor="_Toc235899933" w:history="1">
            <w:r w:rsidRPr="00A249FD">
              <w:rPr>
                <w:rStyle w:val="Hyperlink"/>
                <w:noProof/>
              </w:rPr>
              <w:t>3. Recommendations</w:t>
            </w:r>
            <w:r>
              <w:rPr>
                <w:noProof/>
                <w:webHidden/>
              </w:rPr>
              <w:tab/>
            </w:r>
            <w:r>
              <w:rPr>
                <w:noProof/>
                <w:webHidden/>
              </w:rPr>
              <w:fldChar w:fldCharType="begin"/>
            </w:r>
            <w:r>
              <w:rPr>
                <w:noProof/>
                <w:webHidden/>
              </w:rPr>
              <w:instrText xml:space="preserve"> PAGEREF _Toc235899933 \h </w:instrText>
            </w:r>
            <w:r>
              <w:rPr>
                <w:noProof/>
                <w:webHidden/>
              </w:rPr>
            </w:r>
            <w:r>
              <w:rPr>
                <w:noProof/>
                <w:webHidden/>
              </w:rPr>
              <w:fldChar w:fldCharType="separate"/>
            </w:r>
            <w:r>
              <w:rPr>
                <w:noProof/>
                <w:webHidden/>
              </w:rPr>
              <w:t>9</w:t>
            </w:r>
            <w:r>
              <w:rPr>
                <w:noProof/>
                <w:webHidden/>
              </w:rPr>
              <w:fldChar w:fldCharType="end"/>
            </w:r>
          </w:hyperlink>
        </w:p>
        <w:p w14:paraId="2A36ACA6" w14:textId="4816F03A"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4" w:history="1">
            <w:r w:rsidRPr="00A249FD">
              <w:rPr>
                <w:rStyle w:val="Hyperlink"/>
                <w:noProof/>
              </w:rPr>
              <w:t>3.1 Strengthening Psychological Safety and Freedom to Speak Up</w:t>
            </w:r>
            <w:r>
              <w:rPr>
                <w:noProof/>
                <w:webHidden/>
              </w:rPr>
              <w:tab/>
            </w:r>
            <w:r>
              <w:rPr>
                <w:noProof/>
                <w:webHidden/>
              </w:rPr>
              <w:fldChar w:fldCharType="begin"/>
            </w:r>
            <w:r>
              <w:rPr>
                <w:noProof/>
                <w:webHidden/>
              </w:rPr>
              <w:instrText xml:space="preserve"> PAGEREF _Toc235899934 \h </w:instrText>
            </w:r>
            <w:r>
              <w:rPr>
                <w:noProof/>
                <w:webHidden/>
              </w:rPr>
            </w:r>
            <w:r>
              <w:rPr>
                <w:noProof/>
                <w:webHidden/>
              </w:rPr>
              <w:fldChar w:fldCharType="separate"/>
            </w:r>
            <w:r>
              <w:rPr>
                <w:noProof/>
                <w:webHidden/>
              </w:rPr>
              <w:t>9</w:t>
            </w:r>
            <w:r>
              <w:rPr>
                <w:noProof/>
                <w:webHidden/>
              </w:rPr>
              <w:fldChar w:fldCharType="end"/>
            </w:r>
          </w:hyperlink>
        </w:p>
        <w:p w14:paraId="0E8A28CF" w14:textId="3ECB01A5"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5" w:history="1">
            <w:r w:rsidRPr="00A249FD">
              <w:rPr>
                <w:rStyle w:val="Hyperlink"/>
                <w:noProof/>
              </w:rPr>
              <w:t>3.2 Enhancing Governance and Accountability Structures</w:t>
            </w:r>
            <w:r>
              <w:rPr>
                <w:noProof/>
                <w:webHidden/>
              </w:rPr>
              <w:tab/>
            </w:r>
            <w:r>
              <w:rPr>
                <w:noProof/>
                <w:webHidden/>
              </w:rPr>
              <w:fldChar w:fldCharType="begin"/>
            </w:r>
            <w:r>
              <w:rPr>
                <w:noProof/>
                <w:webHidden/>
              </w:rPr>
              <w:instrText xml:space="preserve"> PAGEREF _Toc235899935 \h </w:instrText>
            </w:r>
            <w:r>
              <w:rPr>
                <w:noProof/>
                <w:webHidden/>
              </w:rPr>
            </w:r>
            <w:r>
              <w:rPr>
                <w:noProof/>
                <w:webHidden/>
              </w:rPr>
              <w:fldChar w:fldCharType="separate"/>
            </w:r>
            <w:r>
              <w:rPr>
                <w:noProof/>
                <w:webHidden/>
              </w:rPr>
              <w:t>10</w:t>
            </w:r>
            <w:r>
              <w:rPr>
                <w:noProof/>
                <w:webHidden/>
              </w:rPr>
              <w:fldChar w:fldCharType="end"/>
            </w:r>
          </w:hyperlink>
        </w:p>
        <w:p w14:paraId="654C5222" w14:textId="74AA9E05"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6" w:history="1">
            <w:r w:rsidRPr="00A249FD">
              <w:rPr>
                <w:rStyle w:val="Hyperlink"/>
                <w:noProof/>
              </w:rPr>
              <w:t>3.3 Implementing Quality Improvement through PDSA Cycles</w:t>
            </w:r>
            <w:r>
              <w:rPr>
                <w:noProof/>
                <w:webHidden/>
              </w:rPr>
              <w:tab/>
            </w:r>
            <w:r>
              <w:rPr>
                <w:noProof/>
                <w:webHidden/>
              </w:rPr>
              <w:fldChar w:fldCharType="begin"/>
            </w:r>
            <w:r>
              <w:rPr>
                <w:noProof/>
                <w:webHidden/>
              </w:rPr>
              <w:instrText xml:space="preserve"> PAGEREF _Toc235899936 \h </w:instrText>
            </w:r>
            <w:r>
              <w:rPr>
                <w:noProof/>
                <w:webHidden/>
              </w:rPr>
            </w:r>
            <w:r>
              <w:rPr>
                <w:noProof/>
                <w:webHidden/>
              </w:rPr>
              <w:fldChar w:fldCharType="separate"/>
            </w:r>
            <w:r>
              <w:rPr>
                <w:noProof/>
                <w:webHidden/>
              </w:rPr>
              <w:t>10</w:t>
            </w:r>
            <w:r>
              <w:rPr>
                <w:noProof/>
                <w:webHidden/>
              </w:rPr>
              <w:fldChar w:fldCharType="end"/>
            </w:r>
          </w:hyperlink>
        </w:p>
        <w:p w14:paraId="3BF7C063" w14:textId="6A11B79E"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7" w:history="1">
            <w:r w:rsidRPr="00A249FD">
              <w:rPr>
                <w:rStyle w:val="Hyperlink"/>
                <w:noProof/>
              </w:rPr>
              <w:t>3.4 Complementary Approaches: Lean and Just Culture</w:t>
            </w:r>
            <w:r>
              <w:rPr>
                <w:noProof/>
                <w:webHidden/>
              </w:rPr>
              <w:tab/>
            </w:r>
            <w:r>
              <w:rPr>
                <w:noProof/>
                <w:webHidden/>
              </w:rPr>
              <w:fldChar w:fldCharType="begin"/>
            </w:r>
            <w:r>
              <w:rPr>
                <w:noProof/>
                <w:webHidden/>
              </w:rPr>
              <w:instrText xml:space="preserve"> PAGEREF _Toc235899937 \h </w:instrText>
            </w:r>
            <w:r>
              <w:rPr>
                <w:noProof/>
                <w:webHidden/>
              </w:rPr>
            </w:r>
            <w:r>
              <w:rPr>
                <w:noProof/>
                <w:webHidden/>
              </w:rPr>
              <w:fldChar w:fldCharType="separate"/>
            </w:r>
            <w:r>
              <w:rPr>
                <w:noProof/>
                <w:webHidden/>
              </w:rPr>
              <w:t>10</w:t>
            </w:r>
            <w:r>
              <w:rPr>
                <w:noProof/>
                <w:webHidden/>
              </w:rPr>
              <w:fldChar w:fldCharType="end"/>
            </w:r>
          </w:hyperlink>
        </w:p>
        <w:p w14:paraId="2A9C6E3B" w14:textId="494605E0"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8" w:history="1">
            <w:r w:rsidRPr="00A249FD">
              <w:rPr>
                <w:rStyle w:val="Hyperlink"/>
                <w:noProof/>
              </w:rPr>
              <w:t>3.5 Implementation, Measurement and Sustainability</w:t>
            </w:r>
            <w:r>
              <w:rPr>
                <w:noProof/>
                <w:webHidden/>
              </w:rPr>
              <w:tab/>
            </w:r>
            <w:r>
              <w:rPr>
                <w:noProof/>
                <w:webHidden/>
              </w:rPr>
              <w:fldChar w:fldCharType="begin"/>
            </w:r>
            <w:r>
              <w:rPr>
                <w:noProof/>
                <w:webHidden/>
              </w:rPr>
              <w:instrText xml:space="preserve"> PAGEREF _Toc235899938 \h </w:instrText>
            </w:r>
            <w:r>
              <w:rPr>
                <w:noProof/>
                <w:webHidden/>
              </w:rPr>
            </w:r>
            <w:r>
              <w:rPr>
                <w:noProof/>
                <w:webHidden/>
              </w:rPr>
              <w:fldChar w:fldCharType="separate"/>
            </w:r>
            <w:r>
              <w:rPr>
                <w:noProof/>
                <w:webHidden/>
              </w:rPr>
              <w:t>10</w:t>
            </w:r>
            <w:r>
              <w:rPr>
                <w:noProof/>
                <w:webHidden/>
              </w:rPr>
              <w:fldChar w:fldCharType="end"/>
            </w:r>
          </w:hyperlink>
        </w:p>
        <w:p w14:paraId="4E3DA639" w14:textId="51DE0E67" w:rsidR="00880F62" w:rsidRDefault="00880F62">
          <w:pPr>
            <w:pStyle w:val="TOC2"/>
            <w:tabs>
              <w:tab w:val="right" w:leader="dot" w:pos="9016"/>
            </w:tabs>
            <w:rPr>
              <w:rFonts w:asciiTheme="minorHAnsi" w:eastAsiaTheme="minorEastAsia" w:hAnsiTheme="minorHAnsi" w:cstheme="minorBidi"/>
              <w:noProof/>
              <w:kern w:val="2"/>
              <w:szCs w:val="30"/>
              <w14:ligatures w14:val="standardContextual"/>
            </w:rPr>
          </w:pPr>
          <w:hyperlink w:anchor="_Toc235899939" w:history="1">
            <w:r w:rsidRPr="00A249FD">
              <w:rPr>
                <w:rStyle w:val="Hyperlink"/>
                <w:noProof/>
              </w:rPr>
              <w:t>3.6 Benchmarking Application: Before versus After (Comparison with Component 1)</w:t>
            </w:r>
            <w:r>
              <w:rPr>
                <w:noProof/>
                <w:webHidden/>
              </w:rPr>
              <w:tab/>
            </w:r>
            <w:r>
              <w:rPr>
                <w:noProof/>
                <w:webHidden/>
              </w:rPr>
              <w:fldChar w:fldCharType="begin"/>
            </w:r>
            <w:r>
              <w:rPr>
                <w:noProof/>
                <w:webHidden/>
              </w:rPr>
              <w:instrText xml:space="preserve"> PAGEREF _Toc235899939 \h </w:instrText>
            </w:r>
            <w:r>
              <w:rPr>
                <w:noProof/>
                <w:webHidden/>
              </w:rPr>
            </w:r>
            <w:r>
              <w:rPr>
                <w:noProof/>
                <w:webHidden/>
              </w:rPr>
              <w:fldChar w:fldCharType="separate"/>
            </w:r>
            <w:r>
              <w:rPr>
                <w:noProof/>
                <w:webHidden/>
              </w:rPr>
              <w:t>11</w:t>
            </w:r>
            <w:r>
              <w:rPr>
                <w:noProof/>
                <w:webHidden/>
              </w:rPr>
              <w:fldChar w:fldCharType="end"/>
            </w:r>
          </w:hyperlink>
        </w:p>
        <w:p w14:paraId="2E1EBBEA" w14:textId="5420F346" w:rsidR="00880F62" w:rsidRDefault="00880F62">
          <w:pPr>
            <w:pStyle w:val="TOC1"/>
            <w:tabs>
              <w:tab w:val="right" w:leader="dot" w:pos="9016"/>
            </w:tabs>
            <w:rPr>
              <w:rFonts w:asciiTheme="minorHAnsi" w:eastAsiaTheme="minorEastAsia" w:hAnsiTheme="minorHAnsi" w:cstheme="minorBidi"/>
              <w:noProof/>
              <w:kern w:val="2"/>
              <w:szCs w:val="30"/>
              <w14:ligatures w14:val="standardContextual"/>
            </w:rPr>
          </w:pPr>
          <w:hyperlink w:anchor="_Toc235899940" w:history="1">
            <w:r w:rsidRPr="00A249FD">
              <w:rPr>
                <w:rStyle w:val="Hyperlink"/>
                <w:noProof/>
              </w:rPr>
              <w:t>4. Conclusion</w:t>
            </w:r>
            <w:r>
              <w:rPr>
                <w:noProof/>
                <w:webHidden/>
              </w:rPr>
              <w:tab/>
            </w:r>
            <w:r>
              <w:rPr>
                <w:noProof/>
                <w:webHidden/>
              </w:rPr>
              <w:fldChar w:fldCharType="begin"/>
            </w:r>
            <w:r>
              <w:rPr>
                <w:noProof/>
                <w:webHidden/>
              </w:rPr>
              <w:instrText xml:space="preserve"> PAGEREF _Toc235899940 \h </w:instrText>
            </w:r>
            <w:r>
              <w:rPr>
                <w:noProof/>
                <w:webHidden/>
              </w:rPr>
            </w:r>
            <w:r>
              <w:rPr>
                <w:noProof/>
                <w:webHidden/>
              </w:rPr>
              <w:fldChar w:fldCharType="separate"/>
            </w:r>
            <w:r>
              <w:rPr>
                <w:noProof/>
                <w:webHidden/>
              </w:rPr>
              <w:t>11</w:t>
            </w:r>
            <w:r>
              <w:rPr>
                <w:noProof/>
                <w:webHidden/>
              </w:rPr>
              <w:fldChar w:fldCharType="end"/>
            </w:r>
          </w:hyperlink>
        </w:p>
        <w:p w14:paraId="6C1BC65D" w14:textId="176E327E" w:rsidR="00880F62" w:rsidRDefault="00880F62">
          <w:pPr>
            <w:pStyle w:val="TOC1"/>
            <w:tabs>
              <w:tab w:val="right" w:leader="dot" w:pos="9016"/>
            </w:tabs>
            <w:rPr>
              <w:rFonts w:asciiTheme="minorHAnsi" w:eastAsiaTheme="minorEastAsia" w:hAnsiTheme="minorHAnsi" w:cstheme="minorBidi"/>
              <w:noProof/>
              <w:kern w:val="2"/>
              <w:szCs w:val="30"/>
              <w14:ligatures w14:val="standardContextual"/>
            </w:rPr>
          </w:pPr>
          <w:hyperlink w:anchor="_Toc235899941" w:history="1">
            <w:r w:rsidRPr="00A249FD">
              <w:rPr>
                <w:rStyle w:val="Hyperlink"/>
                <w:noProof/>
              </w:rPr>
              <w:t>References</w:t>
            </w:r>
            <w:r>
              <w:rPr>
                <w:noProof/>
                <w:webHidden/>
              </w:rPr>
              <w:tab/>
            </w:r>
            <w:r>
              <w:rPr>
                <w:noProof/>
                <w:webHidden/>
              </w:rPr>
              <w:fldChar w:fldCharType="begin"/>
            </w:r>
            <w:r>
              <w:rPr>
                <w:noProof/>
                <w:webHidden/>
              </w:rPr>
              <w:instrText xml:space="preserve"> PAGEREF _Toc235899941 \h </w:instrText>
            </w:r>
            <w:r>
              <w:rPr>
                <w:noProof/>
                <w:webHidden/>
              </w:rPr>
            </w:r>
            <w:r>
              <w:rPr>
                <w:noProof/>
                <w:webHidden/>
              </w:rPr>
              <w:fldChar w:fldCharType="separate"/>
            </w:r>
            <w:r>
              <w:rPr>
                <w:noProof/>
                <w:webHidden/>
              </w:rPr>
              <w:t>13</w:t>
            </w:r>
            <w:r>
              <w:rPr>
                <w:noProof/>
                <w:webHidden/>
              </w:rPr>
              <w:fldChar w:fldCharType="end"/>
            </w:r>
          </w:hyperlink>
        </w:p>
        <w:p w14:paraId="00BF7C80" w14:textId="0095CD22" w:rsidR="003616A2" w:rsidRDefault="003616A2" w:rsidP="003616A2">
          <w:r>
            <w:rPr>
              <w:b/>
              <w:bCs/>
              <w:noProof/>
            </w:rPr>
            <w:fldChar w:fldCharType="end"/>
          </w:r>
        </w:p>
      </w:sdtContent>
    </w:sdt>
    <w:p w14:paraId="72D2A702" w14:textId="488ED9AC" w:rsidR="003616A2" w:rsidRDefault="003616A2" w:rsidP="003616A2">
      <w:pPr>
        <w:spacing w:before="0" w:after="0"/>
        <w:jc w:val="left"/>
        <w:rPr>
          <w:b/>
          <w:bCs/>
          <w:szCs w:val="28"/>
        </w:rPr>
      </w:pPr>
    </w:p>
    <w:p w14:paraId="3BB7717E" w14:textId="77777777" w:rsidR="003616A2" w:rsidRDefault="003616A2" w:rsidP="003616A2">
      <w:pPr>
        <w:spacing w:before="0" w:after="0"/>
        <w:jc w:val="left"/>
        <w:rPr>
          <w:b/>
          <w:bCs/>
          <w:szCs w:val="28"/>
        </w:rPr>
      </w:pPr>
      <w:r>
        <w:br w:type="page"/>
      </w:r>
    </w:p>
    <w:p w14:paraId="3E436FEF" w14:textId="729E3DD8" w:rsidR="00473D83" w:rsidRDefault="00A638B1" w:rsidP="00702137">
      <w:pPr>
        <w:pStyle w:val="Heading1"/>
      </w:pPr>
      <w:bookmarkStart w:id="0" w:name="_Toc235899926"/>
      <w:r>
        <w:t>1. Introduction</w:t>
      </w:r>
      <w:bookmarkEnd w:id="0"/>
    </w:p>
    <w:p w14:paraId="58456620" w14:textId="77777777" w:rsidR="007464BF" w:rsidRDefault="007464BF" w:rsidP="00702137">
      <w:r>
        <w:t>The ex-neonatal nurse at the Countess of Chester Hospital, Lucy Letby, was convicted in August 2023 of the murders of seven babies and attempted murders of six others. The conviction is one of the greatest failures in terms of patient safety and quality governance in the modern history of the NHS (Thirlwall Inquiry, 2023). The following statutory inquiry headed by Lady Justice Thirlwall uncovered a pattern of systematic disregard of warnings, delays in investigations and defensive reactions of the organisation leading to prolongation of patients' harm (Thirlwall Inquiry Legal Team, 2024; Nuffield Trust, 2025).</w:t>
      </w:r>
    </w:p>
    <w:p w14:paraId="796BAFDD" w14:textId="77777777" w:rsidR="007464BF" w:rsidRDefault="007464BF" w:rsidP="00702137">
      <w:r>
        <w:t>Healthcare quality can be considered as the multidimensional concept including dimensions of safety, effectiveness, patient-centredness, timeliness, efficiency and equity (Institute of Medicine, 2001; Greenhill, 2026). Safety – absence of any patient harm – is one of the most important dimensions because other dimensions become meaningless without it. In the NHS, these dimensions are managed by means of clinical governance – the system of accountability in the quality improvement and maintenance of high care standards (Donaldson et al., 2021). Patient safety culture that can be described as the set of shared beliefs, values and behavioral norms determining risks management in the organisation is one of the key determinants of effective functioning of the above governance structures (NHS England, 2023). In the case under discussion, we have the nearly complete failure of these structures: leadership accountability broke down, a defensive culture prevented speaking up, and the usual mechanisms of reporting were not efficient enough to protect the patients (Dyer, 2024; Harrison, 2025; Mohamed Badran et al., 2026).</w:t>
      </w:r>
    </w:p>
    <w:p w14:paraId="1FC0BEF1" w14:textId="3346B41C" w:rsidR="003616A2" w:rsidRDefault="007464BF" w:rsidP="00702137">
      <w:pPr>
        <w:rPr>
          <w:szCs w:val="28"/>
        </w:rPr>
      </w:pPr>
      <w:r>
        <w:t>This report is devoted to the evidence-based investigation of the reasons behind such failures in the quality assurance mechanisms. For the explanation of the interdependencies between structure, culture and process, the Structure–Process–Outcome Model by Donabedian, Fishbone (Ishikawa) Diagram, SWOT analysis, PDSA (Plan–Do–Study–Act) cycles, and Kotter's 8-Step Change Model are used. Based on the analysis of the Swiss Cheese Model and benchmarking carried out in Component 1, the aim of this report is to shift from the description of the problem to its explanation and generate practical recommendations for the service improvement grounded in the current national policy and the peer-reviewed evidence (NHS England, 2023; Thirlwall Inquiry, 2026).</w:t>
      </w:r>
      <w:r w:rsidR="003616A2">
        <w:br w:type="page"/>
      </w:r>
    </w:p>
    <w:p w14:paraId="204C245D" w14:textId="7E47F660" w:rsidR="00473D83" w:rsidRDefault="00A638B1" w:rsidP="00880F62">
      <w:pPr>
        <w:pStyle w:val="Heading1"/>
      </w:pPr>
      <w:bookmarkStart w:id="1" w:name="_Toc235899927"/>
      <w:r>
        <w:t xml:space="preserve">2. </w:t>
      </w:r>
      <w:r w:rsidR="00063E94" w:rsidRPr="00063E94">
        <w:t xml:space="preserve">Critical Analysis of Systemic </w:t>
      </w:r>
      <w:r w:rsidR="00063E94" w:rsidRPr="00880F62">
        <w:t>Failures</w:t>
      </w:r>
      <w:r w:rsidR="00063E94" w:rsidRPr="00063E94">
        <w:t xml:space="preserve"> and Improvement Frameworks</w:t>
      </w:r>
      <w:bookmarkEnd w:id="1"/>
    </w:p>
    <w:p w14:paraId="7FF835FB" w14:textId="77777777" w:rsidR="00E44C0D" w:rsidRDefault="00A638B1" w:rsidP="00880F62">
      <w:pPr>
        <w:pStyle w:val="Heading2"/>
      </w:pPr>
      <w:bookmarkStart w:id="2" w:name="_Toc235899928"/>
      <w:r>
        <w:t xml:space="preserve">2.1 </w:t>
      </w:r>
      <w:r w:rsidR="00E44C0D">
        <w:t>Application of the Donabedian Model</w:t>
      </w:r>
      <w:bookmarkEnd w:id="2"/>
    </w:p>
    <w:p w14:paraId="703BCA27" w14:textId="77777777" w:rsidR="00E44C0D" w:rsidRDefault="00E44C0D" w:rsidP="00702137">
      <w:pPr>
        <w:spacing w:after="200"/>
      </w:pPr>
      <w:r w:rsidRPr="00D50998">
        <w:t xml:space="preserve">Donabedian’s Model is still considered one of the most popular models of analysis of quality of care because it implies that quality of care may be analyzed via interconnection between Structure, Process, and Outcome (Shah and Godambe, 2021; Endalamaw </w:t>
      </w:r>
      <w:r w:rsidRPr="003616A2">
        <w:rPr>
          <w:i/>
          <w:iCs/>
        </w:rPr>
        <w:t>et al</w:t>
      </w:r>
      <w:r w:rsidRPr="00D50998">
        <w:t>., 2024). Its use in the analysis of the case of Letby will help to see how organizational structure and processes of care caused tragic outcomes.</w:t>
      </w:r>
    </w:p>
    <w:p w14:paraId="40C730A1" w14:textId="02D631CA" w:rsidR="00E44C0D" w:rsidRDefault="006F5B6C" w:rsidP="00702137">
      <w:pPr>
        <w:spacing w:after="200"/>
      </w:pPr>
      <w:r w:rsidRPr="006F5B6C">
        <w:rPr>
          <w:noProof/>
        </w:rPr>
        <w:drawing>
          <wp:inline distT="0" distB="0" distL="0" distR="0" wp14:anchorId="6E40C050" wp14:editId="6269D90D">
            <wp:extent cx="5731510" cy="2989580"/>
            <wp:effectExtent l="0" t="0" r="2540" b="1270"/>
            <wp:docPr id="213562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62509" name=""/>
                    <pic:cNvPicPr/>
                  </pic:nvPicPr>
                  <pic:blipFill>
                    <a:blip r:embed="rId9"/>
                    <a:stretch>
                      <a:fillRect/>
                    </a:stretch>
                  </pic:blipFill>
                  <pic:spPr>
                    <a:xfrm>
                      <a:off x="0" y="0"/>
                      <a:ext cx="5731510" cy="2989580"/>
                    </a:xfrm>
                    <a:prstGeom prst="rect">
                      <a:avLst/>
                    </a:prstGeom>
                  </pic:spPr>
                </pic:pic>
              </a:graphicData>
            </a:graphic>
          </wp:inline>
        </w:drawing>
      </w:r>
    </w:p>
    <w:p w14:paraId="34A17112" w14:textId="4F7C339F" w:rsidR="00E44C0D" w:rsidRDefault="00E44C0D" w:rsidP="00702137">
      <w:pPr>
        <w:spacing w:after="200"/>
        <w:jc w:val="center"/>
      </w:pPr>
      <w:r w:rsidRPr="001164A1">
        <w:rPr>
          <w:b/>
          <w:bCs/>
        </w:rPr>
        <w:t xml:space="preserve">Figure </w:t>
      </w:r>
      <w:r w:rsidR="00B31213">
        <w:rPr>
          <w:b/>
          <w:bCs/>
        </w:rPr>
        <w:t>1</w:t>
      </w:r>
      <w:r w:rsidRPr="001164A1">
        <w:rPr>
          <w:b/>
          <w:bCs/>
        </w:rPr>
        <w:t>:</w:t>
      </w:r>
      <w:r>
        <w:t xml:space="preserve"> Donabedian Model Applied to the Letby Case</w:t>
      </w:r>
    </w:p>
    <w:p w14:paraId="307B9E8D" w14:textId="77777777" w:rsidR="00E44C0D" w:rsidRDefault="00E44C0D" w:rsidP="00702137">
      <w:pPr>
        <w:spacing w:after="200"/>
        <w:jc w:val="center"/>
      </w:pPr>
      <w:r>
        <w:t>(Source: Self-Developed)</w:t>
      </w:r>
    </w:p>
    <w:p w14:paraId="117E46FD" w14:textId="77777777" w:rsidR="00E44C0D" w:rsidRDefault="00E44C0D" w:rsidP="00702137">
      <w:r>
        <w:t>The Structure element in this context was defined by chronic understaffing, lack of sufficient medical supervision, and the absence of proper investments in safety-related equipment and training programs (Nuffield Trust, 2025; The Guardian, 2024). This was the structural context within which any individual mistakes or intentional malpractice were likely to have an overly great effect. The Process component was reflected in the failure to investigate the clusters of infant deaths effectively, the lack of efficient communications among clinical and managerial personnel, as well as the absence of efficient morbidity and mortality review procedure (Dyer, 2025; Thirlwall Inquiry Legal Team, 2024). All these process-based factors made it possible to ignore any warning signs.</w:t>
      </w:r>
    </w:p>
    <w:p w14:paraId="3476217E" w14:textId="3A35FA4F" w:rsidR="00E44C0D" w:rsidRDefault="00E44C0D" w:rsidP="00702137">
      <w:r>
        <w:t>The Outcomes of such structural and process problems were devastating for the organization, leading to avoidable infant deaths, severe traumas for the families and a major loss of trust towards NHS (Thirlwall Inquiry, 2026). As shown by Donabedian's Model, improving the outcome through the changes within healthcare systems is possible only when interventions are implemented in both structures (such as the resources, staffing, governance framework, physical environment) and processes (such as the way care was provided, concerns were communicated and addressed, as well as the learning process took place). The one-dimensional approaches are likely to be inefficient (Anders, 2025; Greenhill, 2026).</w:t>
      </w:r>
      <w:r w:rsidR="00D0013D">
        <w:t xml:space="preserve"> </w:t>
      </w:r>
    </w:p>
    <w:p w14:paraId="235A4897" w14:textId="55A98F1A" w:rsidR="00E44C0D" w:rsidRPr="000F51F5" w:rsidRDefault="00E44C0D" w:rsidP="00880F62">
      <w:pPr>
        <w:pStyle w:val="Heading2"/>
      </w:pPr>
      <w:bookmarkStart w:id="3" w:name="_Toc235899929"/>
      <w:r>
        <w:t xml:space="preserve">2.2 </w:t>
      </w:r>
      <w:r w:rsidRPr="000F51F5">
        <w:t>Fishbone Diagram Analysis</w:t>
      </w:r>
      <w:bookmarkEnd w:id="3"/>
    </w:p>
    <w:p w14:paraId="57FB68D5" w14:textId="31B3FC85" w:rsidR="00E44C0D" w:rsidRDefault="004B1E66" w:rsidP="004B1E66">
      <w:pPr>
        <w:spacing w:after="200"/>
        <w:jc w:val="center"/>
      </w:pPr>
      <w:r w:rsidRPr="004B1E66">
        <w:rPr>
          <w:noProof/>
        </w:rPr>
        <w:drawing>
          <wp:inline distT="0" distB="0" distL="0" distR="0" wp14:anchorId="60EB3F06" wp14:editId="03908A6C">
            <wp:extent cx="5731510" cy="2992120"/>
            <wp:effectExtent l="0" t="0" r="2540" b="0"/>
            <wp:docPr id="983425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425034" name=""/>
                    <pic:cNvPicPr/>
                  </pic:nvPicPr>
                  <pic:blipFill>
                    <a:blip r:embed="rId10"/>
                    <a:stretch>
                      <a:fillRect/>
                    </a:stretch>
                  </pic:blipFill>
                  <pic:spPr>
                    <a:xfrm>
                      <a:off x="0" y="0"/>
                      <a:ext cx="5731510" cy="2992120"/>
                    </a:xfrm>
                    <a:prstGeom prst="rect">
                      <a:avLst/>
                    </a:prstGeom>
                  </pic:spPr>
                </pic:pic>
              </a:graphicData>
            </a:graphic>
          </wp:inline>
        </w:drawing>
      </w:r>
    </w:p>
    <w:p w14:paraId="62F197A2" w14:textId="134C6738" w:rsidR="00E44C0D" w:rsidRDefault="00E44C0D" w:rsidP="00702137">
      <w:pPr>
        <w:spacing w:after="200"/>
        <w:jc w:val="center"/>
      </w:pPr>
      <w:r w:rsidRPr="00435BD2">
        <w:rPr>
          <w:b/>
          <w:bCs/>
        </w:rPr>
        <w:t xml:space="preserve">Figure </w:t>
      </w:r>
      <w:r w:rsidR="00B31213">
        <w:rPr>
          <w:b/>
          <w:bCs/>
        </w:rPr>
        <w:t>2</w:t>
      </w:r>
      <w:r w:rsidRPr="00435BD2">
        <w:rPr>
          <w:b/>
          <w:bCs/>
        </w:rPr>
        <w:t>:</w:t>
      </w:r>
      <w:r>
        <w:t xml:space="preserve"> Fishbone Diagram: Root Causes of Failures</w:t>
      </w:r>
    </w:p>
    <w:p w14:paraId="6952FD09" w14:textId="77777777" w:rsidR="00E44C0D" w:rsidRDefault="00E44C0D" w:rsidP="00702137">
      <w:pPr>
        <w:spacing w:after="200"/>
        <w:jc w:val="center"/>
      </w:pPr>
      <w:r>
        <w:t>(Source: Self-Developed)</w:t>
      </w:r>
    </w:p>
    <w:p w14:paraId="2FC244A5" w14:textId="77777777" w:rsidR="00E44C0D" w:rsidRDefault="00E44C0D" w:rsidP="00702137">
      <w:r>
        <w:t xml:space="preserve">By adopting a Fishbone (Ishikawa) diagram methodology, the principal areas of failure may be categorised in the areas of People, Process, Leadership &amp; Management, Governance &amp; Oversight, and Regulatory Controls (Rani </w:t>
      </w:r>
      <w:r w:rsidRPr="003616A2">
        <w:rPr>
          <w:i/>
          <w:iCs/>
        </w:rPr>
        <w:t>et al</w:t>
      </w:r>
      <w:r>
        <w:t>., 2026). With regards to the 'People' aspect, the most notable areas of failure were a lack of staff in the neonatal ward, variations in terms of competency and confidence of staff in recognizing and dealing with clinical decline, and a culture of fear that prevented communication from taking place (Nuffield Trust, 2025; The Guardian, 2024).</w:t>
      </w:r>
    </w:p>
    <w:p w14:paraId="4AD049E1" w14:textId="77777777" w:rsidR="00E44C0D" w:rsidRDefault="00E44C0D" w:rsidP="00702137">
      <w:r>
        <w:t>Process-related failures included a sub-standard and inadequately functioning system for reporting incidents, lack of effective procedures for reviewing mortality figures and an ineffective process for escalation whereby issues raised by clinical staff were not being escalated to a relevant authority (Thirlwall Inquiry Legal Team, 2024). Failures in leadership and management entailed a defensive and sometimes aggressive attitude when concerns of consultants were raised, lack of curiosity with respect to unusual mortality trends and a preference for protecting the hospital's reputation as opposed to patient safety (Dyer, 2024; Harrison, 2025). Governance and oversight was found to be inadequate on the Board-level, with not enough independent oversight of the safety data and lack of involvement of clinical staff in strategy formulation.</w:t>
      </w:r>
    </w:p>
    <w:p w14:paraId="6717687F" w14:textId="5D60D078" w:rsidR="00E44C0D" w:rsidRDefault="00E44C0D" w:rsidP="00880F62">
      <w:pPr>
        <w:pStyle w:val="Heading2"/>
      </w:pPr>
      <w:bookmarkStart w:id="4" w:name="_Toc235899930"/>
      <w:r>
        <w:t>2.3 Strategic Analysis: SWOT</w:t>
      </w:r>
      <w:bookmarkEnd w:id="4"/>
    </w:p>
    <w:p w14:paraId="0810BBD0" w14:textId="77777777" w:rsidR="00E44C0D" w:rsidRDefault="00E44C0D" w:rsidP="00E67B07">
      <w:r>
        <w:t xml:space="preserve">A SWOT analysis provides a strategic overview of the internal and external factors relevant to service improvement in the context of the Letby case. </w:t>
      </w:r>
    </w:p>
    <w:p w14:paraId="0501CEB7" w14:textId="77777777" w:rsidR="00E44C0D" w:rsidRDefault="00E44C0D" w:rsidP="00E67B07">
      <w:pPr>
        <w:jc w:val="center"/>
      </w:pPr>
      <w:r w:rsidRPr="00E67B07">
        <w:rPr>
          <w:b/>
          <w:bCs/>
          <w:szCs w:val="24"/>
        </w:rPr>
        <w:t>Table 1:</w:t>
      </w:r>
      <w:r w:rsidRPr="00E67B07">
        <w:rPr>
          <w:szCs w:val="24"/>
        </w:rPr>
        <w:t xml:space="preserve"> </w:t>
      </w:r>
      <w:r>
        <w:t>SWOT Analysis – Countess of Chester Hospital and NHS Response to Patient Safety Concerns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2"/>
        <w:gridCol w:w="4512"/>
      </w:tblGrid>
      <w:tr w:rsidR="00CD4C15" w:rsidRPr="00CD4C15" w14:paraId="6D944E80" w14:textId="77777777" w:rsidTr="00CD4C15">
        <w:tc>
          <w:tcPr>
            <w:tcW w:w="2500" w:type="pct"/>
            <w:tcBorders>
              <w:top w:val="single" w:sz="1" w:space="0" w:color="1E40AF"/>
              <w:left w:val="single" w:sz="1" w:space="0" w:color="1E40AF"/>
              <w:bottom w:val="single" w:sz="1" w:space="0" w:color="1E40AF"/>
              <w:right w:val="single" w:sz="1" w:space="0" w:color="1E40AF"/>
            </w:tcBorders>
            <w:shd w:val="clear" w:color="auto" w:fill="1E40AF"/>
            <w:tcMar>
              <w:top w:w="60" w:type="dxa"/>
              <w:left w:w="80" w:type="dxa"/>
              <w:bottom w:w="60" w:type="dxa"/>
              <w:right w:w="80" w:type="dxa"/>
            </w:tcMar>
          </w:tcPr>
          <w:p w14:paraId="2743E2F6" w14:textId="77777777" w:rsidR="00CD4C15" w:rsidRPr="00CD4C15" w:rsidRDefault="00CD4C15" w:rsidP="00AC62BB">
            <w:pPr>
              <w:rPr>
                <w:rFonts w:cs="Times New Roman"/>
                <w:szCs w:val="24"/>
              </w:rPr>
            </w:pPr>
            <w:r w:rsidRPr="00CD4C15">
              <w:rPr>
                <w:rFonts w:eastAsia="Times New Roman" w:cs="Times New Roman"/>
                <w:b/>
                <w:bCs/>
                <w:color w:val="FFFFFF"/>
                <w:szCs w:val="24"/>
              </w:rPr>
              <w:t>Strengths</w:t>
            </w:r>
          </w:p>
        </w:tc>
        <w:tc>
          <w:tcPr>
            <w:tcW w:w="2500" w:type="pct"/>
            <w:tcBorders>
              <w:top w:val="single" w:sz="1" w:space="0" w:color="1E40AF"/>
              <w:left w:val="single" w:sz="1" w:space="0" w:color="1E40AF"/>
              <w:bottom w:val="single" w:sz="1" w:space="0" w:color="1E40AF"/>
              <w:right w:val="single" w:sz="1" w:space="0" w:color="1E40AF"/>
            </w:tcBorders>
            <w:shd w:val="clear" w:color="auto" w:fill="1E40AF"/>
            <w:tcMar>
              <w:top w:w="60" w:type="dxa"/>
              <w:left w:w="80" w:type="dxa"/>
              <w:bottom w:w="60" w:type="dxa"/>
              <w:right w:w="80" w:type="dxa"/>
            </w:tcMar>
          </w:tcPr>
          <w:p w14:paraId="7266D207" w14:textId="77777777" w:rsidR="00CD4C15" w:rsidRPr="00CD4C15" w:rsidRDefault="00CD4C15" w:rsidP="00AC62BB">
            <w:pPr>
              <w:rPr>
                <w:rFonts w:cs="Times New Roman"/>
                <w:szCs w:val="24"/>
              </w:rPr>
            </w:pPr>
            <w:r w:rsidRPr="00CD4C15">
              <w:rPr>
                <w:rFonts w:eastAsia="Times New Roman" w:cs="Times New Roman"/>
                <w:b/>
                <w:bCs/>
                <w:color w:val="FFFFFF"/>
                <w:szCs w:val="24"/>
              </w:rPr>
              <w:t>Weaknesses</w:t>
            </w:r>
          </w:p>
        </w:tc>
      </w:tr>
      <w:tr w:rsidR="00CD4C15" w:rsidRPr="00CD4C15" w14:paraId="54C3F8DD" w14:textId="77777777" w:rsidTr="00CD4C15">
        <w:tc>
          <w:tcPr>
            <w:tcW w:w="2500" w:type="pct"/>
            <w:tcBorders>
              <w:top w:val="single" w:sz="1" w:space="0" w:color="999999"/>
              <w:left w:val="single" w:sz="1" w:space="0" w:color="999999"/>
              <w:bottom w:val="single" w:sz="1" w:space="0" w:color="999999"/>
              <w:right w:val="single" w:sz="1" w:space="0" w:color="999999"/>
            </w:tcBorders>
            <w:shd w:val="clear" w:color="auto" w:fill="EFF6FF"/>
            <w:tcMar>
              <w:top w:w="60" w:type="dxa"/>
              <w:left w:w="80" w:type="dxa"/>
              <w:bottom w:w="60" w:type="dxa"/>
              <w:right w:w="80" w:type="dxa"/>
            </w:tcMar>
          </w:tcPr>
          <w:p w14:paraId="4F9053D1" w14:textId="4079113B"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Existing national frameworks (Freedom to Speak Up, PSIRF, Duty of Candour) (NHS England, 2019; 2023) </w:t>
            </w:r>
          </w:p>
          <w:p w14:paraId="7D6081A7" w14:textId="564E44BC"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Highly skilled clinical workforce </w:t>
            </w:r>
          </w:p>
          <w:p w14:paraId="2D3AB0EA" w14:textId="77777777"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Strong professional regulatory systems on paper </w:t>
            </w:r>
          </w:p>
          <w:p w14:paraId="6D947D5B" w14:textId="0D666B9A"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Growing national focus on patient-safety culture (Jones et al., 2022)</w:t>
            </w:r>
          </w:p>
        </w:tc>
        <w:tc>
          <w:tcPr>
            <w:tcW w:w="2500" w:type="pct"/>
            <w:tcBorders>
              <w:top w:val="single" w:sz="1" w:space="0" w:color="999999"/>
              <w:left w:val="single" w:sz="1" w:space="0" w:color="999999"/>
              <w:bottom w:val="single" w:sz="1" w:space="0" w:color="999999"/>
              <w:right w:val="single" w:sz="1" w:space="0" w:color="999999"/>
            </w:tcBorders>
            <w:shd w:val="clear" w:color="auto" w:fill="FEF2F2"/>
            <w:tcMar>
              <w:top w:w="60" w:type="dxa"/>
              <w:left w:w="80" w:type="dxa"/>
              <w:bottom w:w="60" w:type="dxa"/>
              <w:right w:w="80" w:type="dxa"/>
            </w:tcMar>
          </w:tcPr>
          <w:p w14:paraId="69A16887" w14:textId="37BA3502"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Defensive organisational culture </w:t>
            </w:r>
          </w:p>
          <w:p w14:paraId="1EB519EA" w14:textId="77777777"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Weak Board-level oversight of safety data </w:t>
            </w:r>
          </w:p>
          <w:p w14:paraId="09A7A266" w14:textId="77777777"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Ineffective escalation of concerns </w:t>
            </w:r>
          </w:p>
          <w:p w14:paraId="749A0BCF" w14:textId="47CC74BF" w:rsidR="00CD4C15" w:rsidRPr="00CD4C15" w:rsidRDefault="00CD4C15" w:rsidP="00CD4C15">
            <w:pPr>
              <w:pStyle w:val="ListParagraph"/>
              <w:numPr>
                <w:ilvl w:val="0"/>
                <w:numId w:val="9"/>
              </w:numPr>
              <w:rPr>
                <w:rFonts w:ascii="Times New Roman" w:hAnsi="Times New Roman" w:cs="Times New Roman"/>
                <w:sz w:val="24"/>
                <w:szCs w:val="24"/>
              </w:rPr>
            </w:pPr>
            <w:r w:rsidRPr="00CD4C15">
              <w:rPr>
                <w:rFonts w:ascii="Times New Roman" w:eastAsia="Times New Roman" w:hAnsi="Times New Roman" w:cs="Times New Roman"/>
                <w:color w:val="1F2937"/>
                <w:sz w:val="24"/>
                <w:szCs w:val="24"/>
              </w:rPr>
              <w:t>Poor organisational learning from incidents (Harrison, 2025; Nuffield Trust, 2025; Kane et al., 2023)</w:t>
            </w:r>
          </w:p>
        </w:tc>
      </w:tr>
      <w:tr w:rsidR="00CD4C15" w:rsidRPr="00CD4C15" w14:paraId="08B4F448" w14:textId="77777777" w:rsidTr="00CD4C15">
        <w:tc>
          <w:tcPr>
            <w:tcW w:w="2500" w:type="pct"/>
            <w:tcBorders>
              <w:top w:val="single" w:sz="1" w:space="0" w:color="1E40AF"/>
              <w:left w:val="single" w:sz="1" w:space="0" w:color="1E40AF"/>
              <w:bottom w:val="single" w:sz="1" w:space="0" w:color="1E40AF"/>
              <w:right w:val="single" w:sz="1" w:space="0" w:color="1E40AF"/>
            </w:tcBorders>
            <w:shd w:val="clear" w:color="auto" w:fill="1E40AF"/>
            <w:tcMar>
              <w:top w:w="60" w:type="dxa"/>
              <w:left w:w="80" w:type="dxa"/>
              <w:bottom w:w="60" w:type="dxa"/>
              <w:right w:w="80" w:type="dxa"/>
            </w:tcMar>
          </w:tcPr>
          <w:p w14:paraId="7D2F0914" w14:textId="77777777" w:rsidR="00CD4C15" w:rsidRPr="00CD4C15" w:rsidRDefault="00CD4C15" w:rsidP="00AC62BB">
            <w:pPr>
              <w:rPr>
                <w:rFonts w:cs="Times New Roman"/>
                <w:szCs w:val="24"/>
              </w:rPr>
            </w:pPr>
            <w:r w:rsidRPr="00CD4C15">
              <w:rPr>
                <w:rFonts w:eastAsia="Times New Roman" w:cs="Times New Roman"/>
                <w:b/>
                <w:bCs/>
                <w:color w:val="FFFFFF"/>
                <w:szCs w:val="24"/>
              </w:rPr>
              <w:t>Opportunities</w:t>
            </w:r>
          </w:p>
        </w:tc>
        <w:tc>
          <w:tcPr>
            <w:tcW w:w="2500" w:type="pct"/>
            <w:tcBorders>
              <w:top w:val="single" w:sz="1" w:space="0" w:color="1E40AF"/>
              <w:left w:val="single" w:sz="1" w:space="0" w:color="1E40AF"/>
              <w:bottom w:val="single" w:sz="1" w:space="0" w:color="1E40AF"/>
              <w:right w:val="single" w:sz="1" w:space="0" w:color="1E40AF"/>
            </w:tcBorders>
            <w:shd w:val="clear" w:color="auto" w:fill="1E40AF"/>
            <w:tcMar>
              <w:top w:w="60" w:type="dxa"/>
              <w:left w:w="80" w:type="dxa"/>
              <w:bottom w:w="60" w:type="dxa"/>
              <w:right w:w="80" w:type="dxa"/>
            </w:tcMar>
          </w:tcPr>
          <w:p w14:paraId="107C3975" w14:textId="77777777" w:rsidR="00CD4C15" w:rsidRPr="00CD4C15" w:rsidRDefault="00CD4C15" w:rsidP="00AC62BB">
            <w:pPr>
              <w:rPr>
                <w:rFonts w:cs="Times New Roman"/>
                <w:szCs w:val="24"/>
              </w:rPr>
            </w:pPr>
            <w:r w:rsidRPr="00CD4C15">
              <w:rPr>
                <w:rFonts w:eastAsia="Times New Roman" w:cs="Times New Roman"/>
                <w:b/>
                <w:bCs/>
                <w:color w:val="FFFFFF"/>
                <w:szCs w:val="24"/>
              </w:rPr>
              <w:t>Threats</w:t>
            </w:r>
          </w:p>
        </w:tc>
      </w:tr>
      <w:tr w:rsidR="00CD4C15" w:rsidRPr="00CD4C15" w14:paraId="51F8D16C" w14:textId="77777777" w:rsidTr="00CD4C15">
        <w:tc>
          <w:tcPr>
            <w:tcW w:w="2500" w:type="pct"/>
            <w:tcBorders>
              <w:top w:val="single" w:sz="1" w:space="0" w:color="999999"/>
              <w:left w:val="single" w:sz="1" w:space="0" w:color="999999"/>
              <w:bottom w:val="single" w:sz="1" w:space="0" w:color="999999"/>
              <w:right w:val="single" w:sz="1" w:space="0" w:color="999999"/>
            </w:tcBorders>
            <w:shd w:val="clear" w:color="auto" w:fill="F0FDF4"/>
            <w:tcMar>
              <w:top w:w="60" w:type="dxa"/>
              <w:left w:w="80" w:type="dxa"/>
              <w:bottom w:w="60" w:type="dxa"/>
              <w:right w:w="80" w:type="dxa"/>
            </w:tcMar>
          </w:tcPr>
          <w:p w14:paraId="1A629894" w14:textId="1A00AC24" w:rsidR="00CD4C15" w:rsidRPr="00CD4C15" w:rsidRDefault="00CD4C15" w:rsidP="00CD4C15">
            <w:pPr>
              <w:pStyle w:val="ListParagraph"/>
              <w:numPr>
                <w:ilvl w:val="0"/>
                <w:numId w:val="9"/>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Implementation of Just Culture programmes (Mohamed Badran et al., 2026) </w:t>
            </w:r>
          </w:p>
          <w:p w14:paraId="3934F6CF" w14:textId="77777777" w:rsidR="00CD4C15" w:rsidRPr="00CD4C15" w:rsidRDefault="00CD4C15" w:rsidP="00CD4C15">
            <w:pPr>
              <w:pStyle w:val="ListParagraph"/>
              <w:numPr>
                <w:ilvl w:val="0"/>
                <w:numId w:val="10"/>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Strengthened Freedom to Speak Up Guardians </w:t>
            </w:r>
          </w:p>
          <w:p w14:paraId="7251F97E" w14:textId="77777777" w:rsidR="00CD4C15" w:rsidRPr="00CD4C15" w:rsidRDefault="00CD4C15" w:rsidP="00CD4C15">
            <w:pPr>
              <w:pStyle w:val="ListParagraph"/>
              <w:numPr>
                <w:ilvl w:val="0"/>
                <w:numId w:val="10"/>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Use of PDSA cycles for continuous improvement </w:t>
            </w:r>
          </w:p>
          <w:p w14:paraId="210C192B" w14:textId="6E093563" w:rsidR="00CD4C15" w:rsidRPr="00CD4C15" w:rsidRDefault="00CD4C15" w:rsidP="00CD4C15">
            <w:pPr>
              <w:pStyle w:val="ListParagraph"/>
              <w:numPr>
                <w:ilvl w:val="0"/>
                <w:numId w:val="10"/>
              </w:numPr>
              <w:rPr>
                <w:rFonts w:ascii="Times New Roman" w:hAnsi="Times New Roman" w:cs="Times New Roman"/>
                <w:sz w:val="24"/>
                <w:szCs w:val="24"/>
              </w:rPr>
            </w:pPr>
            <w:r w:rsidRPr="00CD4C15">
              <w:rPr>
                <w:rFonts w:ascii="Times New Roman" w:eastAsia="Times New Roman" w:hAnsi="Times New Roman" w:cs="Times New Roman"/>
                <w:color w:val="1F2937"/>
                <w:sz w:val="24"/>
                <w:szCs w:val="24"/>
              </w:rPr>
              <w:t>Enhanced national scrutiny following Thirlwall Inquiry (Endalamaw et al., 2024)</w:t>
            </w:r>
          </w:p>
        </w:tc>
        <w:tc>
          <w:tcPr>
            <w:tcW w:w="2500" w:type="pct"/>
            <w:tcBorders>
              <w:top w:val="single" w:sz="1" w:space="0" w:color="999999"/>
              <w:left w:val="single" w:sz="1" w:space="0" w:color="999999"/>
              <w:bottom w:val="single" w:sz="1" w:space="0" w:color="999999"/>
              <w:right w:val="single" w:sz="1" w:space="0" w:color="999999"/>
            </w:tcBorders>
            <w:shd w:val="clear" w:color="auto" w:fill="FFF7ED"/>
            <w:tcMar>
              <w:top w:w="60" w:type="dxa"/>
              <w:left w:w="80" w:type="dxa"/>
              <w:bottom w:w="60" w:type="dxa"/>
              <w:right w:w="80" w:type="dxa"/>
            </w:tcMar>
          </w:tcPr>
          <w:p w14:paraId="5345F077" w14:textId="35BB50EC" w:rsidR="00CD4C15" w:rsidRPr="00CD4C15" w:rsidRDefault="00CD4C15" w:rsidP="00CD4C15">
            <w:pPr>
              <w:pStyle w:val="ListParagraph"/>
              <w:numPr>
                <w:ilvl w:val="0"/>
                <w:numId w:val="10"/>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Continued defensive leadership behaviours </w:t>
            </w:r>
          </w:p>
          <w:p w14:paraId="3B95A367" w14:textId="7FAAB746" w:rsidR="00CD4C15" w:rsidRPr="00CD4C15" w:rsidRDefault="00CD4C15" w:rsidP="00CD4C15">
            <w:pPr>
              <w:pStyle w:val="ListParagraph"/>
              <w:numPr>
                <w:ilvl w:val="0"/>
                <w:numId w:val="11"/>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 xml:space="preserve">Resource constraints and staffing pressures </w:t>
            </w:r>
          </w:p>
          <w:p w14:paraId="495410F5" w14:textId="77777777" w:rsidR="00CD4C15" w:rsidRPr="00CD4C15" w:rsidRDefault="00CD4C15" w:rsidP="00CD4C15">
            <w:pPr>
              <w:pStyle w:val="ListParagraph"/>
              <w:numPr>
                <w:ilvl w:val="0"/>
                <w:numId w:val="11"/>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Risk of superficial compliance without cultural change</w:t>
            </w:r>
          </w:p>
          <w:p w14:paraId="682E4423" w14:textId="0541D34E" w:rsidR="00CD4C15" w:rsidRPr="00CD4C15" w:rsidRDefault="00CD4C15" w:rsidP="00CD4C15">
            <w:pPr>
              <w:pStyle w:val="ListParagraph"/>
              <w:numPr>
                <w:ilvl w:val="0"/>
                <w:numId w:val="11"/>
              </w:numPr>
              <w:rPr>
                <w:rFonts w:ascii="Times New Roman" w:eastAsia="Times New Roman" w:hAnsi="Times New Roman" w:cs="Times New Roman"/>
                <w:color w:val="1F2937"/>
                <w:sz w:val="24"/>
                <w:szCs w:val="24"/>
              </w:rPr>
            </w:pPr>
            <w:r w:rsidRPr="00CD4C15">
              <w:rPr>
                <w:rFonts w:ascii="Times New Roman" w:eastAsia="Times New Roman" w:hAnsi="Times New Roman" w:cs="Times New Roman"/>
                <w:color w:val="1F2937"/>
                <w:sz w:val="24"/>
                <w:szCs w:val="24"/>
              </w:rPr>
              <w:t>Potential for similar failures in other trusts (Thirlwall Inquiry Legal Team, 2024; Harrison, 2025)</w:t>
            </w:r>
          </w:p>
        </w:tc>
      </w:tr>
    </w:tbl>
    <w:p w14:paraId="0CA30444" w14:textId="77777777" w:rsidR="00E44C0D" w:rsidRPr="00D50998" w:rsidRDefault="00E44C0D" w:rsidP="00702137">
      <w:r w:rsidRPr="00D50998">
        <w:t xml:space="preserve">The strengths that were found in this case study are the fact that there are at least on paper, formal policies and frameworks in place for incident reporting, Freedom to Speak Up and clinical governance (Jones </w:t>
      </w:r>
      <w:r w:rsidRPr="003616A2">
        <w:rPr>
          <w:i/>
          <w:iCs/>
        </w:rPr>
        <w:t>et al</w:t>
      </w:r>
      <w:r w:rsidRPr="00D50998">
        <w:t>., 2022). However, this was done without corresponding cultural norms and leadership practices that would make these frameworks function properly.</w:t>
      </w:r>
    </w:p>
    <w:p w14:paraId="64E74D63" w14:textId="77777777" w:rsidR="00E44C0D" w:rsidRPr="00D50998" w:rsidRDefault="00E44C0D" w:rsidP="00702137">
      <w:r w:rsidRPr="00D50998">
        <w:t xml:space="preserve">Among the numerous weaknesses found in this case are a defensive, sometimes even punitive leadership culture, lack of Board-level oversight regarding safety data, lack of psychological safety for staff and lack of robust and independent systems for investigation of adverse events and lessons learning (Kane </w:t>
      </w:r>
      <w:r w:rsidRPr="003616A2">
        <w:rPr>
          <w:i/>
          <w:iCs/>
        </w:rPr>
        <w:t>et al</w:t>
      </w:r>
      <w:r w:rsidRPr="00D50998">
        <w:t xml:space="preserve">., 2023; Delpino </w:t>
      </w:r>
      <w:r w:rsidRPr="003616A2">
        <w:rPr>
          <w:i/>
          <w:iCs/>
        </w:rPr>
        <w:t>et al</w:t>
      </w:r>
      <w:r w:rsidRPr="00D50998">
        <w:t>., 2023; Nuffield Trust, 2025).</w:t>
      </w:r>
    </w:p>
    <w:p w14:paraId="1890C102" w14:textId="77777777" w:rsidR="00E44C0D" w:rsidRDefault="00E44C0D" w:rsidP="00702137">
      <w:pPr>
        <w:rPr>
          <w:b/>
          <w:bCs/>
        </w:rPr>
      </w:pPr>
      <w:r w:rsidRPr="00D50998">
        <w:t>Opportunities for improvement are considerable and include the current drive at the national level to implement the NHS Patient Safety Strategy, Patient Safety Incident Response Framework (PSIRF) as well as increasing awareness across NHS on the importance of just culture and psychological safety (NHS England, 2019; 2023). Threats include current workforce challenges as well as risks for similar cases to arise in other NHS Trusts with comparable weaknesses in governance (Harrison, 2025).</w:t>
      </w:r>
    </w:p>
    <w:p w14:paraId="55F42070" w14:textId="77777777" w:rsidR="00E44C0D" w:rsidRDefault="00E44C0D" w:rsidP="00880F62">
      <w:pPr>
        <w:pStyle w:val="Heading2"/>
      </w:pPr>
      <w:bookmarkStart w:id="5" w:name="_Toc235899931"/>
      <w:r w:rsidRPr="00E44C0D">
        <w:t>2.4 Quality Improvement through the PDSA Cycle</w:t>
      </w:r>
      <w:bookmarkEnd w:id="5"/>
    </w:p>
    <w:p w14:paraId="5052F027" w14:textId="0D161813" w:rsidR="00702137" w:rsidRPr="00E44C0D" w:rsidRDefault="00702137" w:rsidP="00702137">
      <w:r w:rsidRPr="00702137">
        <w:t>The Plan-Do-Study-Act (PDSA) cycle is an approach to test and enhance change on a smaller scale before implementing them widely (NHS England, 2023; Greenhill, 2026). Root-cause analysis revealed problems with escalation, incident review, and mortality monitoring processes that are inconsistent and ineffective. A PDSA program will enable solving this issue.</w:t>
      </w:r>
    </w:p>
    <w:p w14:paraId="75464F4E" w14:textId="67F8E067" w:rsidR="00E44C0D" w:rsidRDefault="006F5B6C" w:rsidP="00702137">
      <w:pPr>
        <w:spacing w:after="60"/>
        <w:jc w:val="center"/>
      </w:pPr>
      <w:r w:rsidRPr="006F5B6C">
        <w:rPr>
          <w:noProof/>
        </w:rPr>
        <w:drawing>
          <wp:inline distT="0" distB="0" distL="0" distR="0" wp14:anchorId="51C5C4C1" wp14:editId="1C55156F">
            <wp:extent cx="5731510" cy="3637280"/>
            <wp:effectExtent l="0" t="0" r="6985" b="0"/>
            <wp:docPr id="278672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72293" name=""/>
                    <pic:cNvPicPr/>
                  </pic:nvPicPr>
                  <pic:blipFill>
                    <a:blip r:embed="rId11"/>
                    <a:stretch>
                      <a:fillRect/>
                    </a:stretch>
                  </pic:blipFill>
                  <pic:spPr>
                    <a:xfrm>
                      <a:off x="0" y="0"/>
                      <a:ext cx="5731510" cy="3637280"/>
                    </a:xfrm>
                    <a:prstGeom prst="rect">
                      <a:avLst/>
                    </a:prstGeom>
                  </pic:spPr>
                </pic:pic>
              </a:graphicData>
            </a:graphic>
          </wp:inline>
        </w:drawing>
      </w:r>
    </w:p>
    <w:p w14:paraId="059044B6" w14:textId="2A938BCF" w:rsidR="00E44C0D" w:rsidRDefault="00E44C0D" w:rsidP="00702137">
      <w:pPr>
        <w:jc w:val="center"/>
      </w:pPr>
      <w:r w:rsidRPr="00702137">
        <w:rPr>
          <w:b/>
          <w:bCs/>
        </w:rPr>
        <w:t>Figure 3:</w:t>
      </w:r>
      <w:r>
        <w:t xml:space="preserve"> PDSA Cycle applied to clinical escalation improvement</w:t>
      </w:r>
    </w:p>
    <w:p w14:paraId="597C030B" w14:textId="13F166CB" w:rsidR="00702137" w:rsidRDefault="00702137" w:rsidP="00702137">
      <w:r w:rsidRPr="00702137">
        <w:t>The Plan stage can include developing an escalation protocol and visual tool to prompt escalations in collaboration with the neonatal staff. The Do stage includes testing the protocol for three months through training and coaching. The Study stage involves analysis of both quantitative data and qualitative feedback provided by the staff and parents. The Act stage includes fine-tuning the protocol and scaling the successful parts of it, and starting a new cycle. Several cycles will be conducted to develop the organizational capability for improvement and learning (Endalamaw et al., 2024; Anders, 2025). In addition, Lean approaches can be utilized to improve reporting processes.</w:t>
      </w:r>
    </w:p>
    <w:p w14:paraId="3689F571" w14:textId="77777777" w:rsidR="00E44C0D" w:rsidRDefault="00E44C0D" w:rsidP="00880F62">
      <w:pPr>
        <w:pStyle w:val="Heading2"/>
      </w:pPr>
      <w:bookmarkStart w:id="6" w:name="_Toc235899932"/>
      <w:r>
        <w:t>2.5 Kotter’s 8-Step Change Model</w:t>
      </w:r>
      <w:bookmarkEnd w:id="6"/>
    </w:p>
    <w:p w14:paraId="7B478A31" w14:textId="230A1D4B" w:rsidR="00702137" w:rsidRDefault="00702137" w:rsidP="00702137">
      <w:r w:rsidRPr="00702137">
        <w:t>Change management is essential for sustainable cultural and governance change. Kotter's 8-step model provides an effective approach to implementing organizational change in complex healthcare organizations (Kotter, 1996). The use of the model in the post-Letby setting will facilitate the translation of research findings into tangible organizational improvements.</w:t>
      </w:r>
    </w:p>
    <w:p w14:paraId="5913B3CA" w14:textId="22B1DD64" w:rsidR="00E44C0D" w:rsidRDefault="006F5B6C" w:rsidP="00702137">
      <w:pPr>
        <w:spacing w:after="60"/>
        <w:jc w:val="center"/>
      </w:pPr>
      <w:r w:rsidRPr="006F5B6C">
        <w:rPr>
          <w:noProof/>
        </w:rPr>
        <w:drawing>
          <wp:inline distT="0" distB="0" distL="0" distR="0" wp14:anchorId="1C871727" wp14:editId="58D64CB2">
            <wp:extent cx="5731510" cy="3605530"/>
            <wp:effectExtent l="0" t="0" r="2540" b="0"/>
            <wp:docPr id="878444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44476" name=""/>
                    <pic:cNvPicPr/>
                  </pic:nvPicPr>
                  <pic:blipFill>
                    <a:blip r:embed="rId12"/>
                    <a:stretch>
                      <a:fillRect/>
                    </a:stretch>
                  </pic:blipFill>
                  <pic:spPr>
                    <a:xfrm>
                      <a:off x="0" y="0"/>
                      <a:ext cx="5731510" cy="3605530"/>
                    </a:xfrm>
                    <a:prstGeom prst="rect">
                      <a:avLst/>
                    </a:prstGeom>
                  </pic:spPr>
                </pic:pic>
              </a:graphicData>
            </a:graphic>
          </wp:inline>
        </w:drawing>
      </w:r>
    </w:p>
    <w:p w14:paraId="7E3A7B7B" w14:textId="073788B5" w:rsidR="00E44C0D" w:rsidRDefault="00E44C0D" w:rsidP="00702137">
      <w:pPr>
        <w:jc w:val="center"/>
      </w:pPr>
      <w:r w:rsidRPr="00702137">
        <w:rPr>
          <w:b/>
          <w:bCs/>
        </w:rPr>
        <w:t>Figure 4:</w:t>
      </w:r>
      <w:r>
        <w:t xml:space="preserve"> Kotter’s 8-Step Change Model applied to service improvement after the Letby case</w:t>
      </w:r>
    </w:p>
    <w:p w14:paraId="63E53D4C" w14:textId="5B707DAB" w:rsidR="00E44C0D" w:rsidRDefault="00E44C0D" w:rsidP="00702137">
      <w:pPr>
        <w:jc w:val="center"/>
      </w:pPr>
      <w:r>
        <w:t>(</w:t>
      </w:r>
      <w:r w:rsidR="006F5B6C">
        <w:t>Source: Self-Developed</w:t>
      </w:r>
      <w:r>
        <w:t>)</w:t>
      </w:r>
    </w:p>
    <w:p w14:paraId="12F84FED" w14:textId="569F091E" w:rsidR="00702137" w:rsidRDefault="00702137" w:rsidP="00702137">
      <w:r w:rsidRPr="00702137">
        <w:t>Establishing urgency is based on the inquiry findings related to preventable harm and the potential recurrence of such patterns across other parts of the NHS. The formation of a coalition made up of Board members, clinical leaders and Freedom to Speak Up Guardians provides the required combination of authority, credibility and cross-hierarchical reach. The need to develop a clear vision statement such as “no concern ignored; all unexpected deaths thoroughly reviewed” has to be conveyed via different channels several times so that it is known by everyone within the organization. Empowerment of broad-based action will require removing any existing hierarchical barriers, providing protected time to carry out improvement efforts and creating an organizational safe space for people speaking up. Short-term visible wins, which can include decreased escalation times or improved psychological safety survey results, are needed to prove that change is possible. Gains consolidation and generating more changes should include scaling-up of pilot efforts and their integration into national frameworks like PSIRF. Lastly, installing the new approach in the culture means making the expected behaviors part of the appraisal process, induction programs, Board KPIs and language used on a daily basis (Mohamed Badran et al., 2026; Anders, 2025; Kotter, 1996). Otherwise, merely technical improvements may turn out superficial and easily reversible.</w:t>
      </w:r>
    </w:p>
    <w:p w14:paraId="3238858F" w14:textId="1763E1B0" w:rsidR="00473D83" w:rsidRDefault="00A638B1" w:rsidP="00880F62">
      <w:pPr>
        <w:pStyle w:val="Heading1"/>
      </w:pPr>
      <w:bookmarkStart w:id="7" w:name="_Toc235899933"/>
      <w:r>
        <w:t>3. Recommendations</w:t>
      </w:r>
      <w:bookmarkEnd w:id="7"/>
    </w:p>
    <w:p w14:paraId="20A54321" w14:textId="77777777" w:rsidR="009578BD" w:rsidRDefault="009578BD" w:rsidP="00702137">
      <w:r w:rsidRPr="009578BD">
        <w:t>Through the analysis done using the Fishbone Diagram, 5 Whys, and the Donabedian Model, the root causes that were discovered for the failure within Countess of Chester Hospital include poor governance and Board supervision, a defensive culture where nobody felt comfortable talking out about things, poor escalation and incident review process, and problems with staffing and safety systems. Below are some of the recommendations that will be made after the analysis done and will be focused on improvement of services mainly with use of Plan-Do-Study-Act (PDSA) model with elements of Lean and Just Culture approaches.</w:t>
      </w:r>
    </w:p>
    <w:p w14:paraId="4142271D" w14:textId="501A6BC5" w:rsidR="009578BD" w:rsidRPr="009578BD" w:rsidRDefault="009578BD" w:rsidP="00880F62">
      <w:pPr>
        <w:pStyle w:val="Heading2"/>
      </w:pPr>
      <w:bookmarkStart w:id="8" w:name="_Toc235899934"/>
      <w:r w:rsidRPr="009578BD">
        <w:t>3.1 Strengthening Psychological Safety and Freedom to Speak Up</w:t>
      </w:r>
      <w:bookmarkEnd w:id="8"/>
    </w:p>
    <w:p w14:paraId="25124B4B" w14:textId="0DDBF462" w:rsidR="009578BD" w:rsidRDefault="009578BD" w:rsidP="00702137">
      <w:r w:rsidRPr="009578BD">
        <w:t xml:space="preserve">In this case, consultants found that their concerns regarding the pattern of deaths were met with reluctance and inertia on the part of the management (Dyer, 2024; Patient Safety Learning, 2023). The existence of a Freedom to Speak Up policy was no help due to the existing culture of fear and defensiveness within the organization. The root cause can only be solved by ensuring that the implementation of such policies goes beyond mere formality. It is important to have clear visibility and commitment to encourage challenge, periodic review of emerging themes at the Board level as well as an independent mechanism for raising issues through which one does not have to go via line management when needed. Training in Just Culture principles for all managers and leaders is imperative to distinguish human error from recklessness and to ensure protection of staff who come forward to report concerns (Mohamed Badran </w:t>
      </w:r>
      <w:r w:rsidR="003616A2" w:rsidRPr="003616A2">
        <w:rPr>
          <w:i/>
          <w:iCs/>
        </w:rPr>
        <w:t>et al</w:t>
      </w:r>
      <w:r w:rsidRPr="009578BD">
        <w:t xml:space="preserve">., 2026; Jones </w:t>
      </w:r>
      <w:r w:rsidR="003616A2" w:rsidRPr="003616A2">
        <w:rPr>
          <w:i/>
          <w:iCs/>
        </w:rPr>
        <w:t>et al</w:t>
      </w:r>
      <w:r w:rsidRPr="009578BD">
        <w:t>., 2022).</w:t>
      </w:r>
    </w:p>
    <w:p w14:paraId="27A38E8E" w14:textId="2A088CE7" w:rsidR="009578BD" w:rsidRPr="009578BD" w:rsidRDefault="009578BD" w:rsidP="00880F62">
      <w:pPr>
        <w:pStyle w:val="Heading2"/>
      </w:pPr>
      <w:bookmarkStart w:id="9" w:name="_Toc235899935"/>
      <w:r w:rsidRPr="009578BD">
        <w:t>3.2 Enhancing Governance and Accountability Structures</w:t>
      </w:r>
      <w:bookmarkEnd w:id="9"/>
    </w:p>
    <w:p w14:paraId="0FC318EC" w14:textId="77777777" w:rsidR="009578BD" w:rsidRDefault="009578BD" w:rsidP="00702137">
      <w:r w:rsidRPr="009578BD">
        <w:t>Donabedian’s analysis pointed out major deficiencies in terms of structure and process, especially the failure to have an independent audit of safety information at the Board level (Nuffield Trust, 2025). Thus, it is important for the Trust to improve their Board governance through appropriate clinical representation within the quality and safety committee, conducting periodic “deep dives” into safety issues like neonatal mortality, and cross-referencing their quantitative safety information with qualitative information provided by staff members and families. Peer review and independent facilitation must be considered part of the process to avoid the organizational insularity of Countess of Chester (Harrison, 2025). Effective accountability measures are essential, particularly the accountability of the Board for the safety performance of the organization.</w:t>
      </w:r>
    </w:p>
    <w:p w14:paraId="54E3CDB9" w14:textId="17F792B0" w:rsidR="009578BD" w:rsidRPr="009578BD" w:rsidRDefault="009578BD" w:rsidP="00880F62">
      <w:pPr>
        <w:pStyle w:val="Heading2"/>
      </w:pPr>
      <w:bookmarkStart w:id="10" w:name="_Toc235899936"/>
      <w:r w:rsidRPr="009578BD">
        <w:t>3.3 Implementing Quality Improvement through PDSA Cycles</w:t>
      </w:r>
      <w:bookmarkEnd w:id="10"/>
    </w:p>
    <w:p w14:paraId="541CF751" w14:textId="562F3491" w:rsidR="003616A2" w:rsidRDefault="003616A2" w:rsidP="00702137">
      <w:r w:rsidRPr="003616A2">
        <w:t xml:space="preserve">From the root cause analysis, it became evident that the processes of escalation, reviewing incidents, and mortality monitoring were not efficient and inconsistent (Thirlwall Inquiry Legal Team, 2024). It is suggested to develop a structured quality improvement program for the entire Trust based on PDSA cycles to explore and refine the change in these critical areas. For instance, in order to increase efficiency in clinical escalations, it may be possible to design a protocol and a visual triggering tool through the process of co-design in the Plan stage of PDSA. This will be piloted within the neonatal unit for a period of three months with relevant training and support (Do). At the next stage, data will be analyzed along with qualitative feedback (Study) followed by the refinement and scaling of the protocol (Act). This systematic approach to learning from small-scale tests ensures organizational capacity in quality improvement (Greenhill, 2026; Endalamaw </w:t>
      </w:r>
      <w:r w:rsidRPr="003616A2">
        <w:rPr>
          <w:i/>
          <w:iCs/>
        </w:rPr>
        <w:t>et al</w:t>
      </w:r>
      <w:r w:rsidRPr="003616A2">
        <w:t>., 2024). Multiple cycles need to be employed to solve various issues.</w:t>
      </w:r>
    </w:p>
    <w:p w14:paraId="474BB499" w14:textId="6863B4D3" w:rsidR="009578BD" w:rsidRPr="009578BD" w:rsidRDefault="009578BD" w:rsidP="00880F62">
      <w:pPr>
        <w:pStyle w:val="Heading2"/>
      </w:pPr>
      <w:bookmarkStart w:id="11" w:name="_Toc235899937"/>
      <w:r w:rsidRPr="009578BD">
        <w:t>3.4 Complementary Approaches: Lean and Just Culture</w:t>
      </w:r>
      <w:bookmarkEnd w:id="11"/>
    </w:p>
    <w:p w14:paraId="40973CEA" w14:textId="7193F80E" w:rsidR="003616A2" w:rsidRDefault="003616A2" w:rsidP="00702137">
      <w:r w:rsidRPr="003616A2">
        <w:t xml:space="preserve">Although PDSA serves as the main tool for improvement, other tools may help increase the success rate. Tools such as Lean, which emphasizes elimination of waste and reduction in unnecessary processes, may be used to streamline reporting processes and get rid of bureaucratic obstacles that hinder people from reporting (Endalamaw </w:t>
      </w:r>
      <w:r w:rsidRPr="003616A2">
        <w:rPr>
          <w:i/>
          <w:iCs/>
        </w:rPr>
        <w:t>et al</w:t>
      </w:r>
      <w:r w:rsidRPr="003616A2">
        <w:t xml:space="preserve">., 2024). Just Culture is another principle that may be employed to foster the change from a blame culture to a culture of learning, which is important for continuous improvement and reporting (Mohamed Badran </w:t>
      </w:r>
      <w:r w:rsidRPr="003616A2">
        <w:rPr>
          <w:i/>
          <w:iCs/>
        </w:rPr>
        <w:t>et al</w:t>
      </w:r>
      <w:r w:rsidRPr="003616A2">
        <w:t>., 2026). Such tools must be incorporated into the general PDSA program.</w:t>
      </w:r>
    </w:p>
    <w:p w14:paraId="73B80059" w14:textId="5B11452A" w:rsidR="009578BD" w:rsidRPr="009578BD" w:rsidRDefault="009578BD" w:rsidP="00880F62">
      <w:pPr>
        <w:pStyle w:val="Heading2"/>
      </w:pPr>
      <w:bookmarkStart w:id="12" w:name="_Toc235899938"/>
      <w:r w:rsidRPr="009578BD">
        <w:t>3.5 Implementation, Measurement and Sustainability</w:t>
      </w:r>
      <w:bookmarkEnd w:id="12"/>
    </w:p>
    <w:p w14:paraId="32BD233E" w14:textId="77777777" w:rsidR="003616A2" w:rsidRDefault="003616A2" w:rsidP="00702137">
      <w:r>
        <w:t>The implementation of these recommendations needs to take place in a series of phases over 18 to 24 months, with appropriate executive sponsorship and improvement resource devoted to the process. The progress achieved through these phases would need to be measured using a set of balanced scorecard metrics, which include both quantitative metrics such as the time taken for investigation after incidents, results of surveys on psychological safety among staff, and mortality review rates; as well as qualitative intelligence derived from staff and family members (NHS England, 2023).</w:t>
      </w:r>
    </w:p>
    <w:p w14:paraId="4868CB80" w14:textId="77777777" w:rsidR="003616A2" w:rsidRDefault="003616A2" w:rsidP="00702137">
      <w:r>
        <w:t>Sustainability can be ensured only if the improvement capability is embedded into the system instead of being developed as part of an ad hoc project approach. This would involve aligning the improvement activities with the existing organisational governance and performance frameworks, integrating improvement capabilities in leadership development programs, and creating a culture in which the pursuit of continuous learning is considered as the essence of safe practice. If not done in a deliberate manner, the risks remain high that the lessons learned from this case might be forgotten over time, leaving similar vulnerabilities in the NHS (Thirlwall Inquiry, 2026).</w:t>
      </w:r>
    </w:p>
    <w:p w14:paraId="5CEEF284" w14:textId="76BFD173" w:rsidR="00E67B07" w:rsidRDefault="00E67B07" w:rsidP="00880F62">
      <w:pPr>
        <w:pStyle w:val="Heading2"/>
      </w:pPr>
      <w:bookmarkStart w:id="13" w:name="_Toc235899939"/>
      <w:r>
        <w:t>3.6 Benchmarking Application: Before versus After (Comparison with Component 1)</w:t>
      </w:r>
      <w:bookmarkEnd w:id="13"/>
    </w:p>
    <w:p w14:paraId="7CCAC2D7" w14:textId="05B9CFFB" w:rsidR="00267CC0" w:rsidRPr="00E67B07" w:rsidRDefault="00267CC0" w:rsidP="00267CC0">
      <w:r w:rsidRPr="00267CC0">
        <w:t>Benchmarking component 1 revealed the areas of critical weakness with regard to the reporting of incidents, patient safety culture, governance and learning organisation. The same findings were validated by the Swiss Cheese model through the identification of multiple layer defensive breakdowns. Prior to implementing the suggested interventions, the usual performance indicators for the Countess of Chester hospital and similar trusts were a low speaking up culture, long delays following serious incidents, lack of Board discussions regarding safety information, poor triangulation between quantitative and qualitative information, and inability to act upon consultant worries regarding mortality rates (Nuffield Trust, 2025; Harrison, 2025). With the implementation of the above mentioned strategies, including enhancing psychological safety and Freedom to Speak Up arrangements, improving governance and accountability mechanisms, repetitive PDSA process improvement cycles, Lean optimisation of the reporting processes, Just Culture approach, and cultural embedding through the eight steps of Kotter, expected improvements will include an increased score for the psychological safety survey, rapid and regular escalation of the concerns, regular Board level analysis of the neonatal mortality issues, successful completion of the morbidity and mortality reviews, and effective organisational learning from the incidents.</w:t>
      </w:r>
    </w:p>
    <w:p w14:paraId="3E178690" w14:textId="77777777" w:rsidR="00E67B07" w:rsidRDefault="00E67B07" w:rsidP="00880F62">
      <w:pPr>
        <w:pStyle w:val="Heading1"/>
      </w:pPr>
      <w:bookmarkStart w:id="14" w:name="_Toc235899940"/>
      <w:r>
        <w:t>4. Conclusion</w:t>
      </w:r>
      <w:bookmarkEnd w:id="14"/>
    </w:p>
    <w:p w14:paraId="3E7A5EF2" w14:textId="35AB7939" w:rsidR="003616A2" w:rsidRDefault="00267CC0" w:rsidP="00267CC0">
      <w:pPr>
        <w:rPr>
          <w:szCs w:val="28"/>
        </w:rPr>
      </w:pPr>
      <w:r w:rsidRPr="00267CC0">
        <w:t>The Lucy Letby case at the Countess of Chester Hospital represents a multi-faceted breakdown in the quality-assurance mechanisms of the NHS. Use of the Donabedian Structure-Process-Outcome framework, Fishbone root cause analysis, SWOT strategic evaluation, PDSA improvement techniques and the 8-step change process of Kotter makes it clear that the incident was due to a combination of cultural defensiveness, inadequate Board level governance, poor escalation and review procedures, as well as structural weaknesses regarding staffing and safety measures. The recommendations offered in this report – enhanced psychological safety and Freedom to Speak Up, improved accountability of the Board, use of the PDSA cycle for improvement, adoption of Just Culture and Lean approaches, and implementation of changes through the Kotter framework – present a holistic solution based on evidence of how the services could improve. In addition, the benchmarking of this component against the findings of Component 1 provides tangible evidence of the success of the process. What is needed, however, is for the NHS organisations to take the issue of patient safety above organisational reputation, safeguard whistle-blowers, and consider continuous learning as a key feature of safe care provision.</w:t>
      </w:r>
      <w:r w:rsidR="003616A2">
        <w:br w:type="page"/>
      </w:r>
    </w:p>
    <w:p w14:paraId="09C48A2E" w14:textId="43CD8529" w:rsidR="00473D83" w:rsidRDefault="00A638B1" w:rsidP="00880F62">
      <w:pPr>
        <w:pStyle w:val="Heading1"/>
      </w:pPr>
      <w:bookmarkStart w:id="15" w:name="_Toc235899941"/>
      <w:r w:rsidRPr="003616A2">
        <w:t>References</w:t>
      </w:r>
      <w:bookmarkEnd w:id="15"/>
    </w:p>
    <w:p w14:paraId="23A82ADD" w14:textId="77777777" w:rsidR="00EA6F3C" w:rsidRPr="00EA6F3C" w:rsidRDefault="00EA6F3C" w:rsidP="00EA6F3C">
      <w:r w:rsidRPr="00EA6F3C">
        <w:t xml:space="preserve">Anders, R.L., 2025, December. Global Perspectives on Patient Safety: The Central Role of Nursing Management. In Healthcare (Vol. 13, No. 24, p. 3240). Available at: </w:t>
      </w:r>
      <w:hyperlink r:id="rId13" w:tgtFrame="_blank" w:history="1">
        <w:r w:rsidRPr="00EA6F3C">
          <w:rPr>
            <w:rStyle w:val="Hyperlink"/>
          </w:rPr>
          <w:t>https://pmc.ncbi.nlm.nih.gov/articles/PMC12733320/</w:t>
        </w:r>
      </w:hyperlink>
      <w:r w:rsidRPr="00EA6F3C">
        <w:t xml:space="preserve"> (Accessed: 4 July 2026).</w:t>
      </w:r>
    </w:p>
    <w:p w14:paraId="058113EA" w14:textId="77777777" w:rsidR="00EA6F3C" w:rsidRPr="00EA6F3C" w:rsidRDefault="00EA6F3C" w:rsidP="00EA6F3C">
      <w:r w:rsidRPr="00EA6F3C">
        <w:t xml:space="preserve">Delpino, R., Lees-Deutsch, L. and Solanki, B., 2023. ‘Speaking Up’for patient safety and staff well-being: a qualitative study. BMJ Open Quality, 12(2). Available at: </w:t>
      </w:r>
      <w:hyperlink r:id="rId14" w:tgtFrame="_blank" w:history="1">
        <w:r w:rsidRPr="00EA6F3C">
          <w:rPr>
            <w:rStyle w:val="Hyperlink"/>
          </w:rPr>
          <w:t>https://bmjopenquality.bmj.com/content/bmjqir/12/2/e002047.full.pdf</w:t>
        </w:r>
      </w:hyperlink>
      <w:r w:rsidRPr="00EA6F3C">
        <w:t xml:space="preserve"> (Accessed: 4 July 2026).</w:t>
      </w:r>
    </w:p>
    <w:p w14:paraId="43E5B141" w14:textId="77777777" w:rsidR="00EA6F3C" w:rsidRPr="00EA6F3C" w:rsidRDefault="00EA6F3C" w:rsidP="00EA6F3C">
      <w:r w:rsidRPr="00EA6F3C">
        <w:t>Donaldson, L., Ricciardi, W., Sheridan, S. and Tartaglia, R. (eds.) (2021) Textbook of Patient Safety and Clinical Risk Management. Cham: Springer.</w:t>
      </w:r>
    </w:p>
    <w:p w14:paraId="5DCDDBC2" w14:textId="77777777" w:rsidR="00EA6F3C" w:rsidRPr="00EA6F3C" w:rsidRDefault="00EA6F3C" w:rsidP="00EA6F3C">
      <w:r w:rsidRPr="00EA6F3C">
        <w:t xml:space="preserve">Dyer, C. (2024) 'Letby inquiry: Former trust chair admits series of failures', BMJ, 387, q2720. doi:10.1136/bmj.q2720. Available at: </w:t>
      </w:r>
      <w:hyperlink r:id="rId15" w:tgtFrame="_blank" w:history="1">
        <w:r w:rsidRPr="00EA6F3C">
          <w:rPr>
            <w:rStyle w:val="Hyperlink"/>
          </w:rPr>
          <w:t>https://www.bmj.com/content/387/bmj.q2720</w:t>
        </w:r>
      </w:hyperlink>
      <w:r w:rsidRPr="00EA6F3C">
        <w:t xml:space="preserve"> (Accessed: 10 June 2026).</w:t>
      </w:r>
    </w:p>
    <w:p w14:paraId="3D7496D1" w14:textId="77777777" w:rsidR="00EA6F3C" w:rsidRPr="00EA6F3C" w:rsidRDefault="00EA6F3C" w:rsidP="00EA6F3C">
      <w:r w:rsidRPr="00EA6F3C">
        <w:t xml:space="preserve">Dyer, C. (2025) 'Letby inquiry: Chair rejects calls to pause investigation', BMJ, 388, r568. doi:10.1136/bmj.r568. Available at: </w:t>
      </w:r>
      <w:hyperlink r:id="rId16" w:tgtFrame="_blank" w:history="1">
        <w:r w:rsidRPr="00EA6F3C">
          <w:rPr>
            <w:rStyle w:val="Hyperlink"/>
          </w:rPr>
          <w:t>https://www.bmj.com/content/388/bmj.r568</w:t>
        </w:r>
      </w:hyperlink>
      <w:r w:rsidRPr="00EA6F3C">
        <w:t xml:space="preserve"> (Accessed: 10 June 2026).</w:t>
      </w:r>
    </w:p>
    <w:p w14:paraId="3CCA94A3" w14:textId="77777777" w:rsidR="00EA6F3C" w:rsidRPr="00EA6F3C" w:rsidRDefault="00EA6F3C" w:rsidP="00EA6F3C">
      <w:r w:rsidRPr="00EA6F3C">
        <w:t xml:space="preserve">Endalamaw, A., Khatri, R.B., Mengistu, T.S., Erku, D., Wolka, E., Zewdie, A. and Assefa, Y., 2024. A scoping review of continuous quality improvement in healthcare system: conceptualization, models and tools, barriers and facilitators, and impact. BMC health services research, 24(1), p.487. Available at: </w:t>
      </w:r>
      <w:hyperlink r:id="rId17" w:tgtFrame="_blank" w:history="1">
        <w:r w:rsidRPr="00EA6F3C">
          <w:rPr>
            <w:rStyle w:val="Hyperlink"/>
          </w:rPr>
          <w:t>https://link.springer.com/content/pdf/10.1186/s12913-024-10828-0.pdf</w:t>
        </w:r>
      </w:hyperlink>
      <w:r w:rsidRPr="00EA6F3C">
        <w:t xml:space="preserve"> (Accessed: 4 July 2026).</w:t>
      </w:r>
    </w:p>
    <w:p w14:paraId="42B4FA58" w14:textId="77777777" w:rsidR="00EA6F3C" w:rsidRPr="00EA6F3C" w:rsidRDefault="00EA6F3C" w:rsidP="00EA6F3C">
      <w:r w:rsidRPr="00EA6F3C">
        <w:t>Greenhill, R.G. (2026) Introduction to Healthcare Quality Management. 5th edn. Chicago: Health Administration Press.</w:t>
      </w:r>
    </w:p>
    <w:p w14:paraId="33F4E699" w14:textId="77777777" w:rsidR="00EA6F3C" w:rsidRPr="00EA6F3C" w:rsidRDefault="00EA6F3C" w:rsidP="00EA6F3C">
      <w:r w:rsidRPr="00EA6F3C">
        <w:t xml:space="preserve">Harrison J. (2025). The challenges of healthcare regulation using the Letby case as an example. British journal of nursing (Mark Allen Publishing), 34(12), 645–649. </w:t>
      </w:r>
      <w:hyperlink r:id="rId18" w:tgtFrame="_blank" w:history="1">
        <w:r w:rsidRPr="00EA6F3C">
          <w:rPr>
            <w:rStyle w:val="Hyperlink"/>
          </w:rPr>
          <w:t>https://www.magonlinelibrary.com/doi/abs/10.12968/bjon.2024.0283</w:t>
        </w:r>
      </w:hyperlink>
      <w:r w:rsidRPr="00EA6F3C">
        <w:t xml:space="preserve"> (Accessed: 10 June 2026).</w:t>
      </w:r>
    </w:p>
    <w:p w14:paraId="553F533F" w14:textId="77777777" w:rsidR="00EA6F3C" w:rsidRPr="00EA6F3C" w:rsidRDefault="00EA6F3C" w:rsidP="00EA6F3C">
      <w:r w:rsidRPr="00EA6F3C">
        <w:t xml:space="preserve">Institute of Medicine. (2001). </w:t>
      </w:r>
      <w:r w:rsidRPr="00EA6F3C">
        <w:rPr>
          <w:i/>
          <w:iCs/>
        </w:rPr>
        <w:t>Crossing the quality chasm: A new health system for the 21st century</w:t>
      </w:r>
      <w:r w:rsidRPr="00EA6F3C">
        <w:t>. National Academy Press.</w:t>
      </w:r>
    </w:p>
    <w:p w14:paraId="796985A7" w14:textId="77777777" w:rsidR="00EA6F3C" w:rsidRPr="00EA6F3C" w:rsidRDefault="00EA6F3C" w:rsidP="00EA6F3C">
      <w:r w:rsidRPr="00EA6F3C">
        <w:t xml:space="preserve">Jones, A., Maben, J., Adams, M., Mannion, R., Banks, C., Blake, J., Job, K. and Kelly, D., 2022. Implementation of ‘Freedom to Speak Up Guardians’ in NHS acute and mental health trusts in England: the FTSUG mixed-methods study. Health and Social Care Delivery Research, 10(23), pp.1-156. Available at: </w:t>
      </w:r>
      <w:hyperlink r:id="rId19" w:tgtFrame="_blank" w:history="1">
        <w:r w:rsidRPr="00EA6F3C">
          <w:rPr>
            <w:rStyle w:val="Hyperlink"/>
          </w:rPr>
          <w:t>https://research.birmingham.ac.uk/files/175158203/JonesA2022Implementation.pdf</w:t>
        </w:r>
      </w:hyperlink>
      <w:r w:rsidRPr="00EA6F3C">
        <w:t xml:space="preserve"> (Accessed: 4 July 2026).</w:t>
      </w:r>
    </w:p>
    <w:p w14:paraId="60395BD7" w14:textId="77777777" w:rsidR="00EA6F3C" w:rsidRPr="00EA6F3C" w:rsidRDefault="00EA6F3C" w:rsidP="00EA6F3C">
      <w:r w:rsidRPr="00EA6F3C">
        <w:t xml:space="preserve">Kane, J., Munn, L., Kane, S.F. and Srulovici, E., 2023. Defining speaking up in the healthcare system: a systematic review. Journal of General Internal Medicine, 38(15), p.3406. Available at: </w:t>
      </w:r>
      <w:hyperlink r:id="rId20" w:tgtFrame="_blank" w:history="1">
        <w:r w:rsidRPr="00EA6F3C">
          <w:rPr>
            <w:rStyle w:val="Hyperlink"/>
          </w:rPr>
          <w:t>https://pmc.ncbi.nlm.nih.gov/articles/PMC10682351/</w:t>
        </w:r>
      </w:hyperlink>
      <w:r w:rsidRPr="00EA6F3C">
        <w:t xml:space="preserve"> (Accessed: 4 July 2026).</w:t>
      </w:r>
    </w:p>
    <w:p w14:paraId="138530D5" w14:textId="77777777" w:rsidR="00EA6F3C" w:rsidRPr="00EA6F3C" w:rsidRDefault="00EA6F3C" w:rsidP="00EA6F3C">
      <w:r w:rsidRPr="00EA6F3C">
        <w:t xml:space="preserve">Kotter, J. P. (1996). </w:t>
      </w:r>
      <w:r w:rsidRPr="00EA6F3C">
        <w:rPr>
          <w:i/>
          <w:iCs/>
        </w:rPr>
        <w:t>Leading change</w:t>
      </w:r>
      <w:r w:rsidRPr="00EA6F3C">
        <w:t>. Harvard Business School Press.</w:t>
      </w:r>
    </w:p>
    <w:p w14:paraId="77AF1A2A" w14:textId="77777777" w:rsidR="00EA6F3C" w:rsidRPr="00EA6F3C" w:rsidRDefault="00EA6F3C" w:rsidP="00EA6F3C">
      <w:r w:rsidRPr="00EA6F3C">
        <w:t xml:space="preserve">Mohamed Badran, F.M., Rahman Gaber Khalifa, M.A.E., Elghannam, H.M. and Mohamed Ali, E.H., 2026. From blame to learning: implementing a just culture program for head nurses and its impact on silent behavior and error reporting among staff nurses. BMC nursing. Available at: </w:t>
      </w:r>
      <w:hyperlink r:id="rId21" w:tgtFrame="_blank" w:history="1">
        <w:r w:rsidRPr="00EA6F3C">
          <w:rPr>
            <w:rStyle w:val="Hyperlink"/>
          </w:rPr>
          <w:t>https://link.springer.com/content/pdf/10.1186/s12912-025-04265-5_reference.pdf</w:t>
        </w:r>
      </w:hyperlink>
      <w:r w:rsidRPr="00EA6F3C">
        <w:t xml:space="preserve"> (Accessed: 4 July 2026).</w:t>
      </w:r>
    </w:p>
    <w:p w14:paraId="138BC5B5" w14:textId="77777777" w:rsidR="00EA6F3C" w:rsidRPr="00EA6F3C" w:rsidRDefault="00EA6F3C" w:rsidP="00EA6F3C">
      <w:r w:rsidRPr="00EA6F3C">
        <w:t xml:space="preserve">NHS England (2019) NHS Patient Safety Strategy: Safer culture, safer systems, safer patients. London: NHS England. Available at: </w:t>
      </w:r>
      <w:hyperlink r:id="rId22" w:tgtFrame="_blank" w:history="1">
        <w:r w:rsidRPr="00EA6F3C">
          <w:rPr>
            <w:rStyle w:val="Hyperlink"/>
          </w:rPr>
          <w:t>https://www.england.nhs.uk/patient-safety/the-nhs-patient-safety-strategy/</w:t>
        </w:r>
      </w:hyperlink>
      <w:r w:rsidRPr="00EA6F3C">
        <w:t xml:space="preserve"> (Accessed: 4 July 2026).</w:t>
      </w:r>
    </w:p>
    <w:p w14:paraId="742C5B63" w14:textId="77777777" w:rsidR="00EA6F3C" w:rsidRPr="00EA6F3C" w:rsidRDefault="00EA6F3C" w:rsidP="00EA6F3C">
      <w:r w:rsidRPr="00EA6F3C">
        <w:t xml:space="preserve">NHS England (2023) Improving patient safety culture – a practical guide. London: NHS England. Available at: </w:t>
      </w:r>
      <w:hyperlink r:id="rId23" w:tgtFrame="_blank" w:history="1">
        <w:r w:rsidRPr="00EA6F3C">
          <w:rPr>
            <w:rStyle w:val="Hyperlink"/>
          </w:rPr>
          <w:t>https://www.england.nhs.uk/long-read/improving-patient-safety-culture-a-practical-guide/</w:t>
        </w:r>
      </w:hyperlink>
      <w:r w:rsidRPr="00EA6F3C">
        <w:t xml:space="preserve"> (Accessed: 4 July 2026).</w:t>
      </w:r>
    </w:p>
    <w:p w14:paraId="64BACC5D" w14:textId="77777777" w:rsidR="00EA6F3C" w:rsidRPr="00EA6F3C" w:rsidRDefault="00EA6F3C" w:rsidP="00EA6F3C">
      <w:r w:rsidRPr="00EA6F3C">
        <w:t xml:space="preserve">Nuffield Trust (2025) Report for the Thirlwall Inquiry: Analysis of questionnaires from 120 NHS trusts. London: Nuffield Trust. Available at: </w:t>
      </w:r>
      <w:hyperlink r:id="rId24" w:tgtFrame="_blank" w:history="1">
        <w:r w:rsidRPr="00EA6F3C">
          <w:rPr>
            <w:rStyle w:val="Hyperlink"/>
          </w:rPr>
          <w:t>https://www.nuffieldtrust.org.uk/research/report-for-the-thirlwall-inquiry-analysis-of-questionnaires-from-120-nhs-trusts</w:t>
        </w:r>
      </w:hyperlink>
      <w:r w:rsidRPr="00EA6F3C">
        <w:t xml:space="preserve"> (Accessed: 10 June 2026). </w:t>
      </w:r>
      <w:r w:rsidRPr="00EA6F3C">
        <w:rPr>
          <w:i/>
          <w:iCs/>
        </w:rPr>
        <w:t>(Note: the same source appears twice in the document’s reference list with slightly different access dates.)</w:t>
      </w:r>
    </w:p>
    <w:p w14:paraId="6D3EFF19" w14:textId="77777777" w:rsidR="00EA6F3C" w:rsidRPr="00EA6F3C" w:rsidRDefault="00EA6F3C" w:rsidP="00EA6F3C">
      <w:r w:rsidRPr="00EA6F3C">
        <w:t xml:space="preserve">Patient Safety Learning (2023) 'Lucy Letby verdict, a future inquiry and patient safety', Patient Safety Learning (blog). Available at: </w:t>
      </w:r>
      <w:hyperlink r:id="rId25" w:tgtFrame="_blank" w:history="1">
        <w:r w:rsidRPr="00EA6F3C">
          <w:rPr>
            <w:rStyle w:val="Hyperlink"/>
          </w:rPr>
          <w:t>https://www.patientsafetylearning.org/blog/lucy-letby-verdict-a-future-inquiry-and-patient-safety</w:t>
        </w:r>
      </w:hyperlink>
      <w:r w:rsidRPr="00EA6F3C">
        <w:t xml:space="preserve"> (Accessed: 10 June 2026).</w:t>
      </w:r>
    </w:p>
    <w:p w14:paraId="24CD50D4" w14:textId="77777777" w:rsidR="00EA6F3C" w:rsidRPr="00EA6F3C" w:rsidRDefault="00EA6F3C" w:rsidP="00EA6F3C">
      <w:r w:rsidRPr="00EA6F3C">
        <w:t xml:space="preserve">Rani, H.A., Ismail, A., Rahman, H.I.A. and Sani, N.A.R.M., 2026. The associated factors of root cause analysis of incident reporting in public primary healthcare in Malaysia. Scientific Reports. Available at: </w:t>
      </w:r>
      <w:hyperlink r:id="rId26" w:tgtFrame="_blank" w:history="1">
        <w:r w:rsidRPr="00EA6F3C">
          <w:rPr>
            <w:rStyle w:val="Hyperlink"/>
          </w:rPr>
          <w:t>https://www.nature.com/articles/s41598-026-36129-6_reference.pdf</w:t>
        </w:r>
      </w:hyperlink>
      <w:r w:rsidRPr="00EA6F3C">
        <w:t xml:space="preserve"> (Accessed: 4 July 2026).</w:t>
      </w:r>
    </w:p>
    <w:p w14:paraId="73A29A79" w14:textId="77777777" w:rsidR="00EA6F3C" w:rsidRPr="00EA6F3C" w:rsidRDefault="00EA6F3C" w:rsidP="00EA6F3C">
      <w:r w:rsidRPr="00EA6F3C">
        <w:t>Shah, R.K. and Godambe, S. (eds.) (2021) Patient Safety and Quality Improvement in Healthcare: A Case-Based Approach. Cham: Springer.</w:t>
      </w:r>
    </w:p>
    <w:p w14:paraId="400CFC68" w14:textId="77777777" w:rsidR="00EA6F3C" w:rsidRPr="00EA6F3C" w:rsidRDefault="00EA6F3C" w:rsidP="00EA6F3C">
      <w:r w:rsidRPr="00EA6F3C">
        <w:t xml:space="preserve">The Guardian (2024) ‘A superbug, doctor shortages and a neonatal unit out of its depth: failures at Lucy Letby hospital revealed’, The Guardian, 8 September. Available at: </w:t>
      </w:r>
      <w:hyperlink r:id="rId27" w:tgtFrame="_blank" w:history="1">
        <w:r w:rsidRPr="00EA6F3C">
          <w:rPr>
            <w:rStyle w:val="Hyperlink"/>
          </w:rPr>
          <w:t>https://www.theguardian.com/uk-news/article/2024/sep/08/a-superbug-doctor-shortages-and-a-neonatal-unit-out-of-its-depth-failures-at-lucy-letby-hospital-revealed</w:t>
        </w:r>
      </w:hyperlink>
      <w:r w:rsidRPr="00EA6F3C">
        <w:t xml:space="preserve"> (Accessed: 10 June 2026).</w:t>
      </w:r>
    </w:p>
    <w:p w14:paraId="4D3C03B6" w14:textId="77777777" w:rsidR="00EA6F3C" w:rsidRPr="00EA6F3C" w:rsidRDefault="00EA6F3C" w:rsidP="00EA6F3C">
      <w:r w:rsidRPr="00EA6F3C">
        <w:t xml:space="preserve">Thirlwall Inquiry (2023) Thirlwall Inquiry: Terms of Reference. London: Department of Health and Social Care. Available at: </w:t>
      </w:r>
      <w:hyperlink r:id="rId28" w:tgtFrame="_blank" w:history="1">
        <w:r w:rsidRPr="00EA6F3C">
          <w:rPr>
            <w:rStyle w:val="Hyperlink"/>
          </w:rPr>
          <w:t>https://www.gov.uk/government/publications/thirlwall-inquiry-terms-of-reference</w:t>
        </w:r>
      </w:hyperlink>
      <w:r w:rsidRPr="00EA6F3C">
        <w:t xml:space="preserve"> (Accessed: 10 June 2026).</w:t>
      </w:r>
    </w:p>
    <w:p w14:paraId="12674678" w14:textId="77777777" w:rsidR="00EA6F3C" w:rsidRPr="00EA6F3C" w:rsidRDefault="00EA6F3C" w:rsidP="00EA6F3C">
      <w:r w:rsidRPr="00EA6F3C">
        <w:t>Thirlwall Inquiry (2026) Thirlwall Inquiry into the issues raised by the convictions of Lucy Letby. London: Department of Health and Social Care. Available at:</w:t>
      </w:r>
      <w:hyperlink r:id="rId29" w:tgtFrame="_blank" w:history="1">
        <w:r w:rsidRPr="00EA6F3C">
          <w:rPr>
            <w:rStyle w:val="Hyperlink"/>
          </w:rPr>
          <w:t>https://thirlwall.public-inquiry.uk/</w:t>
        </w:r>
      </w:hyperlink>
      <w:r w:rsidRPr="00EA6F3C">
        <w:t xml:space="preserve"> (Accessed: 4 July 2026).</w:t>
      </w:r>
    </w:p>
    <w:p w14:paraId="1F072BE8" w14:textId="77777777" w:rsidR="00EA6F3C" w:rsidRPr="00EA6F3C" w:rsidRDefault="00EA6F3C" w:rsidP="00EA6F3C">
      <w:r w:rsidRPr="00EA6F3C">
        <w:t xml:space="preserve">Thirlwall Inquiry Legal Team (2024) Review of implementation of recommendations from previous inquiries into healthcare issues (15 May 2024). Thirlwall Inquiry. Available at: </w:t>
      </w:r>
      <w:hyperlink r:id="rId30" w:tgtFrame="_blank" w:history="1">
        <w:r w:rsidRPr="00EA6F3C">
          <w:rPr>
            <w:rStyle w:val="Hyperlink"/>
          </w:rPr>
          <w:t>https://thirlwall.public-inquiry.uk/wp-content/uploads/thirlwall-documents/Table-of-Inquiries-Reviews-and-Recommendations-made-and-whether-they-were-implemented.pdf</w:t>
        </w:r>
      </w:hyperlink>
      <w:r w:rsidRPr="00EA6F3C">
        <w:t xml:space="preserve"> (Accessed: 10 June 2026).</w:t>
      </w:r>
    </w:p>
    <w:p w14:paraId="0CDF342F" w14:textId="77777777" w:rsidR="003616A2" w:rsidRDefault="003616A2" w:rsidP="003616A2"/>
    <w:sectPr w:rsidR="003616A2" w:rsidSect="003616A2">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251C7" w14:textId="77777777" w:rsidR="000642D1" w:rsidRDefault="000642D1">
      <w:pPr>
        <w:spacing w:before="0" w:after="0" w:line="240" w:lineRule="auto"/>
      </w:pPr>
      <w:r>
        <w:separator/>
      </w:r>
    </w:p>
  </w:endnote>
  <w:endnote w:type="continuationSeparator" w:id="0">
    <w:p w14:paraId="78BE6DE5" w14:textId="77777777" w:rsidR="000642D1" w:rsidRDefault="000642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3875D" w14:textId="77777777" w:rsidR="00473D83" w:rsidRDefault="00A638B1">
    <w:pPr>
      <w:jc w:val="center"/>
    </w:pPr>
    <w:r>
      <w:t xml:space="preserve">Page </w:t>
    </w:r>
    <w:r>
      <w:fldChar w:fldCharType="begin"/>
    </w:r>
    <w:r>
      <w:instrText>PAGE</w:instrText>
    </w:r>
    <w:r>
      <w:fldChar w:fldCharType="separate"/>
    </w:r>
    <w:r w:rsidR="00526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75EEE" w14:textId="77777777" w:rsidR="000642D1" w:rsidRDefault="000642D1">
      <w:pPr>
        <w:spacing w:before="0" w:after="0" w:line="240" w:lineRule="auto"/>
      </w:pPr>
      <w:r>
        <w:separator/>
      </w:r>
    </w:p>
  </w:footnote>
  <w:footnote w:type="continuationSeparator" w:id="0">
    <w:p w14:paraId="247B1FA9" w14:textId="77777777" w:rsidR="000642D1" w:rsidRDefault="000642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86E0B"/>
    <w:multiLevelType w:val="hybridMultilevel"/>
    <w:tmpl w:val="FB9A0C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194B1A"/>
    <w:multiLevelType w:val="hybridMultilevel"/>
    <w:tmpl w:val="60C4D8B4"/>
    <w:lvl w:ilvl="0" w:tplc="D4E6FA50">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CD025E"/>
    <w:multiLevelType w:val="hybridMultilevel"/>
    <w:tmpl w:val="D39CB858"/>
    <w:lvl w:ilvl="0" w:tplc="40090001">
      <w:start w:val="1"/>
      <w:numFmt w:val="bullet"/>
      <w:lvlText w:val=""/>
      <w:lvlJc w:val="left"/>
      <w:pPr>
        <w:ind w:left="720" w:hanging="360"/>
      </w:pPr>
      <w:rPr>
        <w:rFonts w:ascii="Symbol" w:hAnsi="Symbol" w:hint="default"/>
      </w:rPr>
    </w:lvl>
    <w:lvl w:ilvl="1" w:tplc="96A840A8">
      <w:numFmt w:val="bullet"/>
      <w:lvlText w:val="•"/>
      <w:lvlJc w:val="left"/>
      <w:pPr>
        <w:ind w:left="1440" w:hanging="360"/>
      </w:pPr>
      <w:rPr>
        <w:rFonts w:ascii="Times New Roman" w:eastAsia="Times New Roman"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89802E8"/>
    <w:multiLevelType w:val="hybridMultilevel"/>
    <w:tmpl w:val="1B469C90"/>
    <w:lvl w:ilvl="0" w:tplc="C9D819C6">
      <w:start w:val="5"/>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3B4458D"/>
    <w:multiLevelType w:val="hybridMultilevel"/>
    <w:tmpl w:val="0ACED266"/>
    <w:lvl w:ilvl="0" w:tplc="C9D819C6">
      <w:start w:val="5"/>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8292DBD"/>
    <w:multiLevelType w:val="hybridMultilevel"/>
    <w:tmpl w:val="D8FCEB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8A37892"/>
    <w:multiLevelType w:val="hybridMultilevel"/>
    <w:tmpl w:val="5F6407C4"/>
    <w:lvl w:ilvl="0" w:tplc="04A44D14">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34B4D73"/>
    <w:multiLevelType w:val="hybridMultilevel"/>
    <w:tmpl w:val="D2A82A62"/>
    <w:lvl w:ilvl="0" w:tplc="61127574">
      <w:start w:val="1"/>
      <w:numFmt w:val="bullet"/>
      <w:lvlText w:val="●"/>
      <w:lvlJc w:val="left"/>
      <w:pPr>
        <w:ind w:left="720" w:hanging="360"/>
      </w:pPr>
    </w:lvl>
    <w:lvl w:ilvl="1" w:tplc="5934A512">
      <w:start w:val="1"/>
      <w:numFmt w:val="bullet"/>
      <w:lvlText w:val="○"/>
      <w:lvlJc w:val="left"/>
      <w:pPr>
        <w:ind w:left="1440" w:hanging="360"/>
      </w:pPr>
    </w:lvl>
    <w:lvl w:ilvl="2" w:tplc="1BA29708">
      <w:start w:val="1"/>
      <w:numFmt w:val="bullet"/>
      <w:lvlText w:val="■"/>
      <w:lvlJc w:val="left"/>
      <w:pPr>
        <w:ind w:left="2160" w:hanging="360"/>
      </w:pPr>
    </w:lvl>
    <w:lvl w:ilvl="3" w:tplc="8C3A26C4">
      <w:start w:val="1"/>
      <w:numFmt w:val="bullet"/>
      <w:lvlText w:val="●"/>
      <w:lvlJc w:val="left"/>
      <w:pPr>
        <w:ind w:left="2880" w:hanging="360"/>
      </w:pPr>
    </w:lvl>
    <w:lvl w:ilvl="4" w:tplc="8B547994">
      <w:start w:val="1"/>
      <w:numFmt w:val="bullet"/>
      <w:lvlText w:val="○"/>
      <w:lvlJc w:val="left"/>
      <w:pPr>
        <w:ind w:left="3600" w:hanging="360"/>
      </w:pPr>
    </w:lvl>
    <w:lvl w:ilvl="5" w:tplc="BCF8F57E">
      <w:start w:val="1"/>
      <w:numFmt w:val="bullet"/>
      <w:lvlText w:val="■"/>
      <w:lvlJc w:val="left"/>
      <w:pPr>
        <w:ind w:left="4320" w:hanging="360"/>
      </w:pPr>
    </w:lvl>
    <w:lvl w:ilvl="6" w:tplc="8EB415FA">
      <w:start w:val="1"/>
      <w:numFmt w:val="bullet"/>
      <w:lvlText w:val="●"/>
      <w:lvlJc w:val="left"/>
      <w:pPr>
        <w:ind w:left="5040" w:hanging="360"/>
      </w:pPr>
    </w:lvl>
    <w:lvl w:ilvl="7" w:tplc="8E7477B0">
      <w:start w:val="1"/>
      <w:numFmt w:val="bullet"/>
      <w:lvlText w:val="●"/>
      <w:lvlJc w:val="left"/>
      <w:pPr>
        <w:ind w:left="5760" w:hanging="360"/>
      </w:pPr>
    </w:lvl>
    <w:lvl w:ilvl="8" w:tplc="1358899E">
      <w:start w:val="1"/>
      <w:numFmt w:val="bullet"/>
      <w:lvlText w:val="●"/>
      <w:lvlJc w:val="left"/>
      <w:pPr>
        <w:ind w:left="6480" w:hanging="360"/>
      </w:pPr>
    </w:lvl>
  </w:abstractNum>
  <w:abstractNum w:abstractNumId="8" w15:restartNumberingAfterBreak="0">
    <w:nsid w:val="57400AD5"/>
    <w:multiLevelType w:val="hybridMultilevel"/>
    <w:tmpl w:val="62D274EC"/>
    <w:lvl w:ilvl="0" w:tplc="C9D819C6">
      <w:start w:val="5"/>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20A303D"/>
    <w:multiLevelType w:val="hybridMultilevel"/>
    <w:tmpl w:val="76CAADA8"/>
    <w:lvl w:ilvl="0" w:tplc="40090001">
      <w:start w:val="1"/>
      <w:numFmt w:val="bullet"/>
      <w:lvlText w:val=""/>
      <w:lvlJc w:val="left"/>
      <w:pPr>
        <w:ind w:left="720" w:hanging="360"/>
      </w:pPr>
      <w:rPr>
        <w:rFonts w:ascii="Symbol" w:hAnsi="Symbol" w:hint="default"/>
      </w:rPr>
    </w:lvl>
    <w:lvl w:ilvl="1" w:tplc="C89479C2">
      <w:numFmt w:val="bullet"/>
      <w:lvlText w:val="•"/>
      <w:lvlJc w:val="left"/>
      <w:pPr>
        <w:ind w:left="1440" w:hanging="360"/>
      </w:pPr>
      <w:rPr>
        <w:rFonts w:ascii="Times New Roman" w:eastAsia="Times New Roman"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F7A3E3D"/>
    <w:multiLevelType w:val="hybridMultilevel"/>
    <w:tmpl w:val="EA960072"/>
    <w:lvl w:ilvl="0" w:tplc="C9D819C6">
      <w:start w:val="5"/>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37602727">
    <w:abstractNumId w:val="7"/>
    <w:lvlOverride w:ilvl="0">
      <w:startOverride w:val="1"/>
    </w:lvlOverride>
  </w:num>
  <w:num w:numId="2" w16cid:durableId="934215690">
    <w:abstractNumId w:val="2"/>
  </w:num>
  <w:num w:numId="3" w16cid:durableId="874460790">
    <w:abstractNumId w:val="6"/>
  </w:num>
  <w:num w:numId="4" w16cid:durableId="1826582172">
    <w:abstractNumId w:val="5"/>
  </w:num>
  <w:num w:numId="5" w16cid:durableId="1533154514">
    <w:abstractNumId w:val="9"/>
  </w:num>
  <w:num w:numId="6" w16cid:durableId="787705168">
    <w:abstractNumId w:val="1"/>
  </w:num>
  <w:num w:numId="7" w16cid:durableId="1387608655">
    <w:abstractNumId w:val="0"/>
  </w:num>
  <w:num w:numId="8" w16cid:durableId="1098868598">
    <w:abstractNumId w:val="3"/>
  </w:num>
  <w:num w:numId="9" w16cid:durableId="581908902">
    <w:abstractNumId w:val="8"/>
  </w:num>
  <w:num w:numId="10" w16cid:durableId="1256086383">
    <w:abstractNumId w:val="10"/>
  </w:num>
  <w:num w:numId="11" w16cid:durableId="538670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D83"/>
    <w:rsid w:val="000629A8"/>
    <w:rsid w:val="00063E94"/>
    <w:rsid w:val="000642D1"/>
    <w:rsid w:val="00080FFE"/>
    <w:rsid w:val="000F51F5"/>
    <w:rsid w:val="001164A1"/>
    <w:rsid w:val="001620CB"/>
    <w:rsid w:val="001D265D"/>
    <w:rsid w:val="00267CC0"/>
    <w:rsid w:val="002E5A82"/>
    <w:rsid w:val="003616A2"/>
    <w:rsid w:val="00361AE0"/>
    <w:rsid w:val="003D3604"/>
    <w:rsid w:val="0042066E"/>
    <w:rsid w:val="00435BD2"/>
    <w:rsid w:val="00473D83"/>
    <w:rsid w:val="004B1E66"/>
    <w:rsid w:val="004F2BFE"/>
    <w:rsid w:val="00526294"/>
    <w:rsid w:val="00595CC8"/>
    <w:rsid w:val="005A443D"/>
    <w:rsid w:val="006F3885"/>
    <w:rsid w:val="006F5B6C"/>
    <w:rsid w:val="00702137"/>
    <w:rsid w:val="007464BF"/>
    <w:rsid w:val="00880F62"/>
    <w:rsid w:val="009578BD"/>
    <w:rsid w:val="009D432F"/>
    <w:rsid w:val="00A638B1"/>
    <w:rsid w:val="00B31213"/>
    <w:rsid w:val="00CA35B9"/>
    <w:rsid w:val="00CD4C15"/>
    <w:rsid w:val="00D0013D"/>
    <w:rsid w:val="00D01B5E"/>
    <w:rsid w:val="00D10C0E"/>
    <w:rsid w:val="00D22A37"/>
    <w:rsid w:val="00D50998"/>
    <w:rsid w:val="00E32AD0"/>
    <w:rsid w:val="00E44C0D"/>
    <w:rsid w:val="00E67B07"/>
    <w:rsid w:val="00EA6F3C"/>
    <w:rsid w:val="00EE0DB4"/>
    <w:rsid w:val="00F85B5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A3F98"/>
  <w15:docId w15:val="{D5C527D5-B496-40AE-B4DF-AF9109182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294"/>
    <w:pPr>
      <w:spacing w:before="120" w:after="120" w:line="360" w:lineRule="auto"/>
      <w:jc w:val="both"/>
    </w:pPr>
    <w:rPr>
      <w:rFonts w:ascii="Times New Roman" w:hAnsi="Times New Roman"/>
      <w:sz w:val="24"/>
    </w:rPr>
  </w:style>
  <w:style w:type="paragraph" w:styleId="Heading1">
    <w:name w:val="heading 1"/>
    <w:uiPriority w:val="9"/>
    <w:qFormat/>
    <w:rsid w:val="00526294"/>
    <w:pPr>
      <w:spacing w:before="120" w:after="120" w:line="360" w:lineRule="auto"/>
      <w:jc w:val="both"/>
      <w:outlineLvl w:val="0"/>
    </w:pPr>
    <w:rPr>
      <w:rFonts w:ascii="Times New Roman" w:hAnsi="Times New Roman"/>
      <w:b/>
      <w:bCs/>
      <w:sz w:val="24"/>
      <w:szCs w:val="28"/>
    </w:rPr>
  </w:style>
  <w:style w:type="paragraph" w:styleId="Heading2">
    <w:name w:val="heading 2"/>
    <w:uiPriority w:val="9"/>
    <w:unhideWhenUsed/>
    <w:qFormat/>
    <w:rsid w:val="00526294"/>
    <w:pPr>
      <w:spacing w:before="120" w:after="120"/>
      <w:jc w:val="both"/>
      <w:outlineLvl w:val="1"/>
    </w:pPr>
    <w:rPr>
      <w:rFonts w:ascii="Times New Roman" w:hAnsi="Times New Roman"/>
      <w:b/>
      <w:bCs/>
      <w:sz w:val="24"/>
      <w:szCs w:val="24"/>
    </w:rPr>
  </w:style>
  <w:style w:type="paragraph" w:styleId="Heading3">
    <w:name w:val="heading 3"/>
    <w:basedOn w:val="Normal"/>
    <w:uiPriority w:val="9"/>
    <w:unhideWhenUsed/>
    <w:qFormat/>
    <w:rsid w:val="000F51F5"/>
    <w:pPr>
      <w:spacing w:after="20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616A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616A2"/>
    <w:rPr>
      <w:rFonts w:ascii="Times New Roman" w:hAnsi="Times New Roman"/>
      <w:sz w:val="24"/>
    </w:rPr>
  </w:style>
  <w:style w:type="paragraph" w:styleId="Footer">
    <w:name w:val="footer"/>
    <w:basedOn w:val="Normal"/>
    <w:link w:val="FooterChar"/>
    <w:uiPriority w:val="99"/>
    <w:unhideWhenUsed/>
    <w:rsid w:val="003616A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616A2"/>
    <w:rPr>
      <w:rFonts w:ascii="Times New Roman" w:hAnsi="Times New Roman"/>
      <w:sz w:val="24"/>
    </w:rPr>
  </w:style>
  <w:style w:type="paragraph" w:styleId="TOCHeading">
    <w:name w:val="TOC Heading"/>
    <w:basedOn w:val="Heading1"/>
    <w:next w:val="Normal"/>
    <w:uiPriority w:val="39"/>
    <w:unhideWhenUsed/>
    <w:qFormat/>
    <w:rsid w:val="003616A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3616A2"/>
    <w:pPr>
      <w:spacing w:after="100"/>
    </w:pPr>
  </w:style>
  <w:style w:type="paragraph" w:styleId="TOC2">
    <w:name w:val="toc 2"/>
    <w:basedOn w:val="Normal"/>
    <w:next w:val="Normal"/>
    <w:autoRedefine/>
    <w:uiPriority w:val="39"/>
    <w:unhideWhenUsed/>
    <w:rsid w:val="003616A2"/>
    <w:pPr>
      <w:spacing w:after="100"/>
      <w:ind w:left="240"/>
    </w:pPr>
  </w:style>
  <w:style w:type="paragraph" w:styleId="TOC3">
    <w:name w:val="toc 3"/>
    <w:basedOn w:val="Normal"/>
    <w:next w:val="Normal"/>
    <w:autoRedefine/>
    <w:uiPriority w:val="39"/>
    <w:unhideWhenUsed/>
    <w:rsid w:val="003616A2"/>
    <w:pPr>
      <w:spacing w:after="100"/>
      <w:ind w:left="480"/>
    </w:pPr>
  </w:style>
  <w:style w:type="character" w:styleId="UnresolvedMention">
    <w:name w:val="Unresolved Mention"/>
    <w:basedOn w:val="DefaultParagraphFont"/>
    <w:uiPriority w:val="99"/>
    <w:semiHidden/>
    <w:unhideWhenUsed/>
    <w:rsid w:val="004B1E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mc.ncbi.nlm.nih.gov/articles/PMC12733320/" TargetMode="External" /><Relationship Id="rId18" Type="http://schemas.openxmlformats.org/officeDocument/2006/relationships/hyperlink" Target="https://www.magonlinelibrary.com/doi/abs/10.12968/bjon.2024.0283" TargetMode="External" /><Relationship Id="rId26" Type="http://schemas.openxmlformats.org/officeDocument/2006/relationships/hyperlink" Target="https://www.nature.com/articles/s41598-026-36129-6_reference.pdf" TargetMode="External" /><Relationship Id="rId3" Type="http://schemas.openxmlformats.org/officeDocument/2006/relationships/styles" Target="styles.xml" /><Relationship Id="rId21" Type="http://schemas.openxmlformats.org/officeDocument/2006/relationships/hyperlink" Target="https://link.springer.com/content/pdf/10.1186/s12912-025-04265-5_reference.pdf"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link.springer.com/content/pdf/10.1186/s12913-024-10828-0.pdf" TargetMode="External" /><Relationship Id="rId25" Type="http://schemas.openxmlformats.org/officeDocument/2006/relationships/hyperlink" Target="https://www.patientsafetylearning.org/blog/lucy-letby-verdict-a-future-inquiry-and-patient-safety"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bmj.com/content/388/bmj.r568" TargetMode="External" /><Relationship Id="rId20" Type="http://schemas.openxmlformats.org/officeDocument/2006/relationships/hyperlink" Target="https://pmc.ncbi.nlm.nih.gov/articles/PMC10682351/" TargetMode="External" /><Relationship Id="rId29" Type="http://schemas.openxmlformats.org/officeDocument/2006/relationships/hyperlink" Target="https://thirlwall.public-inquiry.u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nuffieldtrust.org.uk/research/report-for-the-thirlwall-inquiry-analysis-of-questionnaires-from-120-nhs-trusts"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bmj.com/content/387/bmj.q2720" TargetMode="External" /><Relationship Id="rId23" Type="http://schemas.openxmlformats.org/officeDocument/2006/relationships/hyperlink" Target="https://www.england.nhs.uk/long-read/improving-patient-safety-culture-a-practical-guide/" TargetMode="External" /><Relationship Id="rId28" Type="http://schemas.openxmlformats.org/officeDocument/2006/relationships/hyperlink" Target="https://www.gov.uk/government/publications/thirlwall-inquiry-terms-of-reference" TargetMode="External" /><Relationship Id="rId10" Type="http://schemas.openxmlformats.org/officeDocument/2006/relationships/image" Target="media/image3.png" /><Relationship Id="rId19" Type="http://schemas.openxmlformats.org/officeDocument/2006/relationships/hyperlink" Target="https://research.birmingham.ac.uk/files/175158203/JonesA2022Implementation.pdf" TargetMode="External" /><Relationship Id="rId31"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bmjopenquality.bmj.com/content/bmjqir/12/2/e002047.full.pdf" TargetMode="External" /><Relationship Id="rId22" Type="http://schemas.openxmlformats.org/officeDocument/2006/relationships/hyperlink" Target="https://www.england.nhs.uk/patient-safety/the-nhs-patient-safety-strategy/" TargetMode="External" /><Relationship Id="rId27" Type="http://schemas.openxmlformats.org/officeDocument/2006/relationships/hyperlink" Target="https://www.theguardian.com/uk-news/article/2024/sep/08/a-superbug-doctor-shortages-and-a-neonatal-unit-out-of-its-depth-failures-at-lucy-letby-hospital-revealed" TargetMode="External" /><Relationship Id="rId30" Type="http://schemas.openxmlformats.org/officeDocument/2006/relationships/hyperlink" Target="https://thirlwall.public-inquiry.uk/wp-content/uploads/thirlwall-documents/Table-of-Inquiries-Reviews-and-Recommendations-made-and-whether-they-were-implemented.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CBA8B-1DE0-40D5-9D30-1C6F9BF9A1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4493</Words>
  <Characters>25616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dc:creator>
  <cp:lastModifiedBy>Krisha Ahir</cp:lastModifiedBy>
  <cp:revision>2</cp:revision>
  <dcterms:created xsi:type="dcterms:W3CDTF">2026-07-29T08:33:00Z</dcterms:created>
  <dcterms:modified xsi:type="dcterms:W3CDTF">2026-07-29T08:33:00Z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9e782c8d-69d9-4fc6-93fd-288807d99573</vt:lpwstr>
  </property>
</Properties>
</file>