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2268"/>
        </w:tabs>
        <w:ind w:left="-180" w:right="-334" w:firstLine="0"/>
        <w:rPr>
          <w:rFonts w:ascii="Georgia" w:cs="Georgia" w:eastAsia="Georgia" w:hAnsi="Georgia"/>
          <w:sz w:val="21"/>
          <w:szCs w:val="21"/>
        </w:rPr>
      </w:pPr>
      <w:r w:rsidDel="00000000" w:rsidR="00000000" w:rsidRPr="00000000">
        <w:rPr>
          <w:rFonts w:ascii="Georgia" w:cs="Georgia" w:eastAsia="Georgia" w:hAnsi="Georgia"/>
          <w:sz w:val="21"/>
          <w:szCs w:val="21"/>
        </w:rPr>
        <w:drawing>
          <wp:inline distB="0" distT="0" distL="0" distR="0">
            <wp:extent cx="1906270" cy="638175"/>
            <wp:effectExtent b="19050" l="19050" r="19050" t="19050"/>
            <wp:docPr descr="TSD_logo2010" id="5" name="image4.png"/>
            <a:graphic>
              <a:graphicData uri="http://schemas.openxmlformats.org/drawingml/2006/picture">
                <pic:pic>
                  <pic:nvPicPr>
                    <pic:cNvPr descr="TSD_logo2010" id="0" name="image4.png"/>
                    <pic:cNvPicPr preferRelativeResize="0"/>
                  </pic:nvPicPr>
                  <pic:blipFill>
                    <a:blip r:embed="rId8"/>
                    <a:srcRect b="0" l="0" r="0" t="0"/>
                    <a:stretch>
                      <a:fillRect/>
                    </a:stretch>
                  </pic:blipFill>
                  <pic:spPr>
                    <a:xfrm>
                      <a:off x="0" y="0"/>
                      <a:ext cx="1906270" cy="638175"/>
                    </a:xfrm>
                    <a:prstGeom prst="rect"/>
                    <a:ln w="1905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02">
      <w:pPr>
        <w:ind w:left="-180" w:right="-334" w:firstLine="0"/>
        <w:rPr>
          <w:rFonts w:ascii="Georgia" w:cs="Georgia" w:eastAsia="Georgia" w:hAnsi="Georgia"/>
          <w:sz w:val="21"/>
          <w:szCs w:val="21"/>
        </w:rPr>
      </w:pPr>
      <w:r w:rsidDel="00000000" w:rsidR="00000000" w:rsidRPr="00000000">
        <w:rPr>
          <w:rtl w:val="0"/>
        </w:rPr>
      </w:r>
    </w:p>
    <w:p w:rsidR="00000000" w:rsidDel="00000000" w:rsidP="00000000" w:rsidRDefault="00000000" w:rsidRPr="00000000" w14:paraId="00000003">
      <w:pPr>
        <w:ind w:left="-180" w:right="-334" w:firstLine="0"/>
        <w:rPr>
          <w:sz w:val="21"/>
          <w:szCs w:val="21"/>
        </w:rPr>
      </w:pPr>
      <w:r w:rsidDel="00000000" w:rsidR="00000000" w:rsidRPr="00000000">
        <w:rPr>
          <w:rtl w:val="0"/>
        </w:rPr>
      </w:r>
    </w:p>
    <w:p w:rsidR="00000000" w:rsidDel="00000000" w:rsidP="00000000" w:rsidRDefault="00000000" w:rsidRPr="00000000" w14:paraId="00000004">
      <w:pPr>
        <w:ind w:left="-180" w:right="-334" w:firstLine="0"/>
        <w:jc w:val="center"/>
        <w:rPr>
          <w:b w:val="1"/>
          <w:bCs w:val="1"/>
          <w:sz w:val="28"/>
          <w:szCs w:val="28"/>
        </w:rPr>
      </w:pPr>
      <w:r w:rsidDel="00000000" w:rsidR="00000000" w:rsidRPr="00000000">
        <w:rPr>
          <w:b w:val="1"/>
          <w:bCs w:val="1"/>
          <w:sz w:val="28"/>
          <w:szCs w:val="28"/>
          <w:rtl w:val="0"/>
        </w:rPr>
        <w:t xml:space="preserve">Postgraduate/Distance Learning</w:t>
      </w:r>
    </w:p>
    <w:p w:rsidR="00000000" w:rsidDel="00000000" w:rsidP="00000000" w:rsidRDefault="00000000" w:rsidRPr="00000000" w14:paraId="00000005">
      <w:pPr>
        <w:ind w:left="-180" w:right="-334" w:firstLine="0"/>
        <w:jc w:val="center"/>
        <w:rPr>
          <w:b w:val="1"/>
          <w:bCs w:val="1"/>
          <w:sz w:val="28"/>
          <w:szCs w:val="28"/>
        </w:rPr>
      </w:pPr>
      <w:r w:rsidDel="00000000" w:rsidR="00000000" w:rsidRPr="00000000">
        <w:rPr>
          <w:b w:val="1"/>
          <w:bCs w:val="1"/>
          <w:sz w:val="28"/>
          <w:szCs w:val="28"/>
          <w:rtl w:val="0"/>
        </w:rPr>
        <w:t xml:space="preserve">Assignment coversheet &amp; feedback form</w:t>
      </w:r>
    </w:p>
    <w:p w:rsidR="00000000" w:rsidDel="00000000" w:rsidP="00000000" w:rsidRDefault="00000000" w:rsidRPr="00000000" w14:paraId="00000006">
      <w:pPr>
        <w:spacing w:after="160" w:line="259" w:lineRule="auto"/>
        <w:jc w:val="center"/>
        <w:rPr>
          <w:b w:val="1"/>
          <w:bCs w:val="1"/>
          <w:color w:val="ee0000"/>
          <w:sz w:val="28"/>
          <w:szCs w:val="28"/>
          <w:u w:val="single"/>
        </w:rPr>
      </w:pPr>
      <w:r w:rsidDel="00000000" w:rsidR="00000000" w:rsidRPr="00000000">
        <w:rPr>
          <w:b w:val="1"/>
          <w:bCs w:val="1"/>
          <w:color w:val="ee0000"/>
          <w:sz w:val="28"/>
          <w:szCs w:val="28"/>
          <w:rtl w:val="0"/>
        </w:rPr>
        <w:t xml:space="preserve">T</w:t>
      </w:r>
      <w:r w:rsidDel="00000000" w:rsidR="00000000" w:rsidRPr="00000000">
        <w:rPr>
          <w:b w:val="1"/>
          <w:bCs w:val="1"/>
          <w:color w:val="ee0000"/>
          <w:sz w:val="28"/>
          <w:szCs w:val="28"/>
          <w:u w:val="single"/>
          <w:rtl w:val="0"/>
        </w:rPr>
        <w:t xml:space="preserve">O BE USED FOR ALL ESSAY SUBMISSIONS FROM APRIL 2026</w:t>
      </w:r>
    </w:p>
    <w:p w:rsidR="00000000" w:rsidDel="00000000" w:rsidP="00000000" w:rsidRDefault="00000000" w:rsidRPr="00000000" w14:paraId="00000007">
      <w:pPr>
        <w:spacing w:after="160" w:line="259" w:lineRule="auto"/>
        <w:jc w:val="center"/>
        <w:rPr>
          <w:b w:val="1"/>
          <w:bCs w:val="1"/>
          <w:color w:val="ee0000"/>
          <w:sz w:val="28"/>
          <w:szCs w:val="28"/>
          <w:u w:val="single"/>
        </w:rPr>
      </w:pPr>
      <w:r w:rsidDel="00000000" w:rsidR="00000000" w:rsidRPr="00000000">
        <w:rPr>
          <w:b w:val="1"/>
          <w:bCs w:val="1"/>
          <w:color w:val="ee0000"/>
          <w:sz w:val="28"/>
          <w:szCs w:val="28"/>
          <w:u w:val="single"/>
          <w:rtl w:val="0"/>
        </w:rPr>
        <w:t xml:space="preserve">THIS COVER SHEET REPLACES ALL PREVIOUS VERSIONS. </w:t>
      </w:r>
    </w:p>
    <w:p w:rsidR="00000000" w:rsidDel="00000000" w:rsidP="00000000" w:rsidRDefault="00000000" w:rsidRPr="00000000" w14:paraId="00000008">
      <w:pPr>
        <w:spacing w:after="160" w:line="259" w:lineRule="auto"/>
        <w:jc w:val="center"/>
        <w:rPr>
          <w:b w:val="1"/>
          <w:bCs w:val="1"/>
          <w:color w:val="ee0000"/>
          <w:sz w:val="28"/>
          <w:szCs w:val="28"/>
          <w:u w:val="single"/>
        </w:rPr>
      </w:pPr>
      <w:r w:rsidDel="00000000" w:rsidR="00000000" w:rsidRPr="00000000">
        <w:rPr>
          <w:b w:val="1"/>
          <w:bCs w:val="1"/>
          <w:color w:val="ee0000"/>
          <w:sz w:val="28"/>
          <w:szCs w:val="28"/>
          <w:u w:val="single"/>
          <w:rtl w:val="0"/>
        </w:rPr>
        <w:t xml:space="preserve">YOU MUST SIGN THE AI DECLARATION BEFORE YOU SUBMIT THE ESSAY.</w:t>
      </w:r>
    </w:p>
    <w:p w:rsidR="00000000" w:rsidDel="00000000" w:rsidP="00000000" w:rsidRDefault="00000000" w:rsidRPr="00000000" w14:paraId="00000009">
      <w:pPr>
        <w:pStyle w:val="Heading3"/>
        <w:ind w:firstLine="72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SHEET MUST BE THE FIRST PAGE OF THE ASSIGNMENT YOU ARE SUBMITTING  (DO NOT SEND AS A SEPARATE FILE)</w:t>
      </w:r>
    </w:p>
    <w:p w:rsidR="00000000" w:rsidDel="00000000" w:rsidP="00000000" w:rsidRDefault="00000000" w:rsidRPr="00000000" w14:paraId="0000000A">
      <w:pPr>
        <w:pStyle w:val="Heading3"/>
        <w:ind w:firstLine="720"/>
        <w:jc w:val="center"/>
        <w:rPr/>
      </w:pPr>
      <w:r w:rsidDel="00000000" w:rsidR="00000000" w:rsidRPr="00000000">
        <w:rPr>
          <w:rtl w:val="0"/>
        </w:rPr>
      </w:r>
    </w:p>
    <w:p w:rsidR="00000000" w:rsidDel="00000000" w:rsidP="00000000" w:rsidRDefault="00000000" w:rsidRPr="00000000" w14:paraId="0000000B">
      <w:pPr>
        <w:pStyle w:val="Heading3"/>
        <w:ind w:firstLine="720"/>
        <w:jc w:val="center"/>
        <w:rPr/>
      </w:pPr>
      <w:r w:rsidDel="00000000" w:rsidR="00000000" w:rsidRPr="00000000">
        <w:rPr>
          <w:rtl w:val="0"/>
        </w:rPr>
      </w:r>
    </w:p>
    <w:p w:rsidR="00000000" w:rsidDel="00000000" w:rsidP="00000000" w:rsidRDefault="00000000" w:rsidRPr="00000000" w14:paraId="0000000C">
      <w:pPr>
        <w:pStyle w:val="Heading3"/>
        <w:ind w:firstLine="720"/>
        <w:jc w:val="center"/>
        <w:rPr>
          <w:rFonts w:ascii="Trebuchet MS" w:cs="Trebuchet MS" w:eastAsia="Trebuchet MS" w:hAnsi="Trebuchet MS"/>
        </w:rPr>
      </w:pPr>
      <w:r w:rsidDel="00000000" w:rsidR="00000000" w:rsidRPr="00000000">
        <w:rPr>
          <w:rtl w:val="0"/>
        </w:rPr>
      </w:r>
    </w:p>
    <w:tbl>
      <w:tblPr>
        <w:tblStyle w:val="Table1"/>
        <w:tblW w:w="88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788"/>
        <w:gridCol w:w="423"/>
        <w:gridCol w:w="1557"/>
        <w:gridCol w:w="286"/>
        <w:gridCol w:w="1802"/>
        <w:tblGridChange w:id="0">
          <w:tblGrid>
            <w:gridCol w:w="4788"/>
            <w:gridCol w:w="423"/>
            <w:gridCol w:w="1557"/>
            <w:gridCol w:w="286"/>
            <w:gridCol w:w="1802"/>
          </w:tblGrid>
        </w:tblGridChange>
      </w:tblGrid>
      <w:tr>
        <w:trPr>
          <w:cantSplit w:val="0"/>
          <w:trHeight w:val="614" w:hRule="atLeast"/>
          <w:tblHeader w:val="0"/>
        </w:trPr>
        <w:tc>
          <w:tcPr>
            <w:gridSpan w:val="5"/>
          </w:tcPr>
          <w:p w:rsidR="00000000" w:rsidDel="00000000" w:rsidP="00000000" w:rsidRDefault="00000000" w:rsidRPr="00000000" w14:paraId="0000000D">
            <w:pPr>
              <w:ind w:right="34"/>
              <w:rPr>
                <w:sz w:val="22"/>
                <w:szCs w:val="22"/>
              </w:rPr>
            </w:pPr>
            <w:r w:rsidDel="00000000" w:rsidR="00000000" w:rsidRPr="00000000">
              <w:rPr>
                <w:b w:val="1"/>
                <w:bCs w:val="1"/>
                <w:sz w:val="22"/>
                <w:szCs w:val="22"/>
                <w:rtl w:val="0"/>
              </w:rPr>
              <w:t xml:space="preserve">For completion by the student</w:t>
            </w:r>
            <w:r w:rsidDel="00000000" w:rsidR="00000000" w:rsidRPr="00000000">
              <w:rPr>
                <w:sz w:val="22"/>
                <w:szCs w:val="22"/>
                <w:rtl w:val="0"/>
              </w:rPr>
              <w:t xml:space="preserve">:</w:t>
            </w:r>
          </w:p>
        </w:tc>
      </w:tr>
      <w:tr>
        <w:trPr>
          <w:cantSplit w:val="0"/>
          <w:trHeight w:val="718" w:hRule="atLeast"/>
          <w:tblHeader w:val="0"/>
        </w:trPr>
        <w:tc>
          <w:tcPr>
            <w:gridSpan w:val="5"/>
          </w:tcPr>
          <w:p w:rsidR="00000000" w:rsidDel="00000000" w:rsidP="00000000" w:rsidRDefault="00000000" w:rsidRPr="00000000" w14:paraId="00000012">
            <w:pPr>
              <w:ind w:right="34"/>
              <w:rPr>
                <w:sz w:val="22"/>
                <w:szCs w:val="22"/>
              </w:rPr>
            </w:pPr>
            <w:r w:rsidDel="00000000" w:rsidR="00000000" w:rsidRPr="00000000">
              <w:rPr>
                <w:sz w:val="22"/>
                <w:szCs w:val="22"/>
                <w:rtl w:val="0"/>
              </w:rPr>
              <w:t xml:space="preserve">Student Name: Costantino Toth</w:t>
            </w:r>
          </w:p>
          <w:p w:rsidR="00000000" w:rsidDel="00000000" w:rsidP="00000000" w:rsidRDefault="00000000" w:rsidRPr="00000000" w14:paraId="00000013">
            <w:pPr>
              <w:ind w:right="34"/>
              <w:rPr>
                <w:sz w:val="22"/>
                <w:szCs w:val="22"/>
              </w:rPr>
            </w:pPr>
            <w:r w:rsidDel="00000000" w:rsidR="00000000" w:rsidRPr="00000000">
              <w:rPr>
                <w:rtl w:val="0"/>
              </w:rPr>
            </w:r>
          </w:p>
          <w:p w:rsidR="00000000" w:rsidDel="00000000" w:rsidP="00000000" w:rsidRDefault="00000000" w:rsidRPr="00000000" w14:paraId="00000014">
            <w:pPr>
              <w:ind w:right="34"/>
              <w:rPr>
                <w:sz w:val="22"/>
                <w:szCs w:val="22"/>
              </w:rPr>
            </w:pPr>
            <w:r w:rsidDel="00000000" w:rsidR="00000000" w:rsidRPr="00000000">
              <w:rPr>
                <w:sz w:val="22"/>
                <w:szCs w:val="22"/>
                <w:rtl w:val="0"/>
              </w:rPr>
              <w:t xml:space="preserve">Student </w:t>
            </w:r>
            <w:r w:rsidDel="00000000" w:rsidR="00000000" w:rsidRPr="00000000">
              <w:rPr>
                <w:b w:val="1"/>
                <w:bCs w:val="1"/>
                <w:sz w:val="22"/>
                <w:szCs w:val="22"/>
                <w:u w:val="single"/>
                <w:rtl w:val="0"/>
              </w:rPr>
              <w:t xml:space="preserve">University</w:t>
            </w:r>
            <w:r w:rsidDel="00000000" w:rsidR="00000000" w:rsidRPr="00000000">
              <w:rPr>
                <w:sz w:val="22"/>
                <w:szCs w:val="22"/>
                <w:u w:val="single"/>
                <w:rtl w:val="0"/>
              </w:rPr>
              <w:t xml:space="preserve"> </w:t>
            </w:r>
            <w:r w:rsidDel="00000000" w:rsidR="00000000" w:rsidRPr="00000000">
              <w:rPr>
                <w:sz w:val="22"/>
                <w:szCs w:val="22"/>
                <w:rtl w:val="0"/>
              </w:rPr>
              <w:t xml:space="preserve">Email: </w:t>
            </w:r>
            <w:hyperlink r:id="rId9">
              <w:r w:rsidDel="00000000" w:rsidR="00000000" w:rsidRPr="00000000">
                <w:rPr>
                  <w:color w:val="1155cc"/>
                  <w:sz w:val="22"/>
                  <w:szCs w:val="22"/>
                  <w:u w:val="single"/>
                  <w:rtl w:val="0"/>
                </w:rPr>
                <w:t xml:space="preserve">2430606@student.uwtsd.ac.uk</w:t>
              </w:r>
            </w:hyperlink>
            <w:r w:rsidDel="00000000" w:rsidR="00000000" w:rsidRPr="00000000">
              <w:rPr>
                <w:sz w:val="22"/>
                <w:szCs w:val="22"/>
                <w:rtl w:val="0"/>
              </w:rPr>
              <w:t xml:space="preserve"> </w:t>
            </w:r>
          </w:p>
        </w:tc>
      </w:tr>
      <w:tr>
        <w:trPr>
          <w:cantSplit w:val="0"/>
          <w:trHeight w:val="849" w:hRule="atLeast"/>
          <w:tblHeader w:val="0"/>
        </w:trPr>
        <w:tc>
          <w:tcPr/>
          <w:p w:rsidR="00000000" w:rsidDel="00000000" w:rsidP="00000000" w:rsidRDefault="00000000" w:rsidRPr="00000000" w14:paraId="00000019">
            <w:pPr>
              <w:ind w:right="34"/>
              <w:rPr>
                <w:sz w:val="22"/>
                <w:szCs w:val="22"/>
              </w:rPr>
            </w:pPr>
            <w:r w:rsidDel="00000000" w:rsidR="00000000" w:rsidRPr="00000000">
              <w:rPr>
                <w:sz w:val="22"/>
                <w:szCs w:val="22"/>
                <w:rtl w:val="0"/>
              </w:rPr>
              <w:t xml:space="preserve">Module code: HPCA7028</w:t>
            </w:r>
          </w:p>
          <w:p w:rsidR="00000000" w:rsidDel="00000000" w:rsidP="00000000" w:rsidRDefault="00000000" w:rsidRPr="00000000" w14:paraId="0000001A">
            <w:pPr>
              <w:ind w:right="34"/>
              <w:rPr>
                <w:sz w:val="22"/>
                <w:szCs w:val="22"/>
              </w:rPr>
            </w:pPr>
            <w:r w:rsidDel="00000000" w:rsidR="00000000" w:rsidRPr="00000000">
              <w:rPr>
                <w:rtl w:val="0"/>
              </w:rPr>
            </w:r>
          </w:p>
          <w:p w:rsidR="00000000" w:rsidDel="00000000" w:rsidP="00000000" w:rsidRDefault="00000000" w:rsidRPr="00000000" w14:paraId="0000001B">
            <w:pPr>
              <w:ind w:right="34"/>
              <w:rPr>
                <w:sz w:val="22"/>
                <w:szCs w:val="22"/>
              </w:rPr>
            </w:pPr>
            <w:r w:rsidDel="00000000" w:rsidR="00000000" w:rsidRPr="00000000">
              <w:rPr>
                <w:sz w:val="22"/>
                <w:szCs w:val="22"/>
                <w:rtl w:val="0"/>
              </w:rPr>
              <w:t xml:space="preserve">Module title: </w:t>
            </w:r>
            <w:r w:rsidDel="00000000" w:rsidR="00000000" w:rsidRPr="00000000">
              <w:rPr>
                <w:sz w:val="22"/>
                <w:szCs w:val="22"/>
                <w:rtl w:val="0"/>
              </w:rPr>
              <w:t xml:space="preserve">Sacred Skies </w:t>
            </w:r>
            <w:r w:rsidDel="00000000" w:rsidR="00000000" w:rsidRPr="00000000">
              <w:rPr>
                <w:rtl w:val="0"/>
              </w:rPr>
            </w:r>
          </w:p>
          <w:p w:rsidR="00000000" w:rsidDel="00000000" w:rsidP="00000000" w:rsidRDefault="00000000" w:rsidRPr="00000000" w14:paraId="0000001C">
            <w:pPr>
              <w:ind w:right="34"/>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01D">
            <w:pPr>
              <w:ind w:right="34"/>
              <w:rPr>
                <w:sz w:val="22"/>
                <w:szCs w:val="22"/>
              </w:rPr>
            </w:pPr>
            <w:r w:rsidDel="00000000" w:rsidR="00000000" w:rsidRPr="00000000">
              <w:rPr>
                <w:sz w:val="22"/>
                <w:szCs w:val="22"/>
                <w:rtl w:val="0"/>
              </w:rPr>
              <w:t xml:space="preserve">Student ID number: </w:t>
            </w:r>
            <w:r w:rsidDel="00000000" w:rsidR="00000000" w:rsidRPr="00000000">
              <w:rPr>
                <w:rtl w:val="0"/>
              </w:rPr>
              <w:t xml:space="preserve"> 2430606</w:t>
            </w:r>
            <w:r w:rsidDel="00000000" w:rsidR="00000000" w:rsidRPr="00000000">
              <w:rPr>
                <w:sz w:val="22"/>
                <w:szCs w:val="22"/>
                <w:rtl w:val="0"/>
              </w:rPr>
              <w:t xml:space="preserve"> </w:t>
            </w:r>
          </w:p>
        </w:tc>
        <w:tc>
          <w:tcPr/>
          <w:p w:rsidR="00000000" w:rsidDel="00000000" w:rsidP="00000000" w:rsidRDefault="00000000" w:rsidRPr="00000000" w14:paraId="00000020">
            <w:pPr>
              <w:ind w:right="34"/>
              <w:rPr>
                <w:sz w:val="22"/>
                <w:szCs w:val="22"/>
              </w:rPr>
            </w:pPr>
            <w:r w:rsidDel="00000000" w:rsidR="00000000" w:rsidRPr="00000000">
              <w:rPr>
                <w:sz w:val="22"/>
                <w:szCs w:val="22"/>
                <w:rtl w:val="0"/>
              </w:rPr>
              <w:t xml:space="preserve">Educational support needs:</w:t>
            </w:r>
          </w:p>
          <w:p w:rsidR="00000000" w:rsidDel="00000000" w:rsidP="00000000" w:rsidRDefault="00000000" w:rsidRPr="00000000" w14:paraId="00000021">
            <w:pPr>
              <w:ind w:right="34"/>
              <w:rPr>
                <w:rFonts w:ascii="Arial" w:cs="Arial" w:eastAsia="Arial" w:hAnsi="Arial"/>
                <w:sz w:val="22"/>
                <w:szCs w:val="22"/>
              </w:rPr>
            </w:pPr>
            <w:r w:rsidDel="00000000" w:rsidR="00000000" w:rsidRPr="00000000">
              <w:rPr>
                <w:rtl w:val="0"/>
              </w:rPr>
            </w:r>
          </w:p>
        </w:tc>
      </w:tr>
      <w:tr>
        <w:trPr>
          <w:cantSplit w:val="0"/>
          <w:trHeight w:val="1139" w:hRule="atLeast"/>
          <w:tblHeader w:val="0"/>
        </w:trPr>
        <w:tc>
          <w:tcPr>
            <w:gridSpan w:val="5"/>
          </w:tcPr>
          <w:p w:rsidR="00000000" w:rsidDel="00000000" w:rsidP="00000000" w:rsidRDefault="00000000" w:rsidRPr="00000000" w14:paraId="00000022">
            <w:pPr>
              <w:ind w:right="34"/>
              <w:rPr>
                <w:sz w:val="22"/>
                <w:szCs w:val="22"/>
              </w:rPr>
            </w:pPr>
            <w:r w:rsidDel="00000000" w:rsidR="00000000" w:rsidRPr="00000000">
              <w:rPr>
                <w:sz w:val="22"/>
                <w:szCs w:val="22"/>
                <w:rtl w:val="0"/>
              </w:rPr>
              <w:t xml:space="preserve">Assignment title: </w:t>
            </w:r>
            <w:r w:rsidDel="00000000" w:rsidR="00000000" w:rsidRPr="00000000">
              <w:rPr>
                <w:rtl w:val="0"/>
              </w:rPr>
              <w:t xml:space="preserve">A Critical Examination of the Sky in Relation to Material Culture:</w:t>
              <w:br w:type="textWrapping"/>
              <w:t xml:space="preserve">Image Based Representation of the Sky</w:t>
            </w:r>
            <w:r w:rsidDel="00000000" w:rsidR="00000000" w:rsidRPr="00000000">
              <w:rPr>
                <w:rtl w:val="0"/>
              </w:rPr>
            </w:r>
          </w:p>
          <w:p w:rsidR="00000000" w:rsidDel="00000000" w:rsidP="00000000" w:rsidRDefault="00000000" w:rsidRPr="00000000" w14:paraId="00000023">
            <w:pPr>
              <w:ind w:right="34"/>
              <w:rPr>
                <w:sz w:val="22"/>
                <w:szCs w:val="22"/>
              </w:rPr>
            </w:pPr>
            <w:r w:rsidDel="00000000" w:rsidR="00000000" w:rsidRPr="00000000">
              <w:rPr>
                <w:rtl w:val="0"/>
              </w:rPr>
            </w:r>
          </w:p>
          <w:p w:rsidR="00000000" w:rsidDel="00000000" w:rsidP="00000000" w:rsidRDefault="00000000" w:rsidRPr="00000000" w14:paraId="00000024">
            <w:pPr>
              <w:ind w:right="34"/>
              <w:rPr>
                <w:sz w:val="22"/>
                <w:szCs w:val="22"/>
              </w:rPr>
            </w:pPr>
            <w:r w:rsidDel="00000000" w:rsidR="00000000" w:rsidRPr="00000000">
              <w:rPr>
                <w:sz w:val="22"/>
                <w:szCs w:val="22"/>
                <w:rtl w:val="0"/>
              </w:rPr>
              <w:t xml:space="preserve">Assignment due date: April 30 2026</w:t>
            </w:r>
          </w:p>
        </w:tc>
      </w:tr>
      <w:tr>
        <w:trPr>
          <w:cantSplit w:val="0"/>
          <w:trHeight w:val="978" w:hRule="atLeast"/>
          <w:tblHeader w:val="0"/>
        </w:trPr>
        <w:tc>
          <w:tcPr>
            <w:gridSpan w:val="5"/>
            <w:tcBorders>
              <w:bottom w:color="000000" w:space="0" w:sz="4" w:val="single"/>
            </w:tcBorders>
          </w:tcPr>
          <w:p w:rsidR="00000000" w:rsidDel="00000000" w:rsidP="00000000" w:rsidRDefault="00000000" w:rsidRPr="00000000" w14:paraId="00000029">
            <w:pPr>
              <w:spacing w:after="160" w:line="259" w:lineRule="auto"/>
              <w:rPr>
                <w:b w:val="1"/>
                <w:bCs w:val="1"/>
                <w:sz w:val="22"/>
                <w:szCs w:val="22"/>
              </w:rPr>
            </w:pPr>
            <w:r w:rsidDel="00000000" w:rsidR="00000000" w:rsidRPr="00000000">
              <w:rPr>
                <w:sz w:val="22"/>
                <w:szCs w:val="22"/>
                <w:rtl w:val="0"/>
              </w:rPr>
              <w:t xml:space="preserve">This assignment is for the       1</w:t>
            </w:r>
            <w:r w:rsidDel="00000000" w:rsidR="00000000" w:rsidRPr="00000000">
              <w:rPr>
                <w:sz w:val="22"/>
                <w:szCs w:val="22"/>
                <w:vertAlign w:val="superscript"/>
                <w:rtl w:val="0"/>
              </w:rPr>
              <w:t xml:space="preserve">st  </w:t>
            </w:r>
            <w:r w:rsidDel="00000000" w:rsidR="00000000" w:rsidRPr="00000000">
              <w:rPr>
                <w:sz w:val="22"/>
                <w:szCs w:val="22"/>
                <w:rtl w:val="0"/>
              </w:rPr>
              <w:t xml:space="preserve">☐ 2</w:t>
            </w:r>
            <w:r w:rsidDel="00000000" w:rsidR="00000000" w:rsidRPr="00000000">
              <w:rPr>
                <w:sz w:val="22"/>
                <w:szCs w:val="22"/>
                <w:vertAlign w:val="superscript"/>
                <w:rtl w:val="0"/>
              </w:rPr>
              <w:t xml:space="preserve">nd</w:t>
            </w:r>
            <w:r w:rsidDel="00000000" w:rsidR="00000000" w:rsidRPr="00000000">
              <w:rPr>
                <w:sz w:val="22"/>
                <w:szCs w:val="22"/>
                <w:rtl w:val="0"/>
              </w:rPr>
              <w:t xml:space="preserve">   ☐    3</w:t>
            </w:r>
            <w:r w:rsidDel="00000000" w:rsidR="00000000" w:rsidRPr="00000000">
              <w:rPr>
                <w:sz w:val="22"/>
                <w:szCs w:val="22"/>
                <w:vertAlign w:val="superscript"/>
                <w:rtl w:val="0"/>
              </w:rPr>
              <w:t xml:space="preserve">rd</w:t>
            </w:r>
            <w:r w:rsidDel="00000000" w:rsidR="00000000" w:rsidRPr="00000000">
              <w:rPr>
                <w:sz w:val="22"/>
                <w:szCs w:val="22"/>
                <w:rtl w:val="0"/>
              </w:rPr>
              <w:t xml:space="preserve">  </w:t>
            </w:r>
            <w:bookmarkStart w:colFirst="0" w:colLast="0" w:name="bookmark=kix.qc3jlgvh6xeg" w:id="0"/>
            <w:bookmarkEnd w:id="0"/>
            <w:r w:rsidDel="00000000" w:rsidR="00000000" w:rsidRPr="00000000">
              <w:rPr>
                <w:sz w:val="22"/>
                <w:szCs w:val="22"/>
                <w:rtl w:val="0"/>
              </w:rPr>
              <w:t xml:space="preserve">☐      4</w:t>
            </w:r>
            <w:r w:rsidDel="00000000" w:rsidR="00000000" w:rsidRPr="00000000">
              <w:rPr>
                <w:sz w:val="22"/>
                <w:szCs w:val="22"/>
                <w:vertAlign w:val="superscript"/>
                <w:rtl w:val="0"/>
              </w:rPr>
              <w:t xml:space="preserve">th</w:t>
            </w:r>
            <w:r w:rsidDel="00000000" w:rsidR="00000000" w:rsidRPr="00000000">
              <w:rPr>
                <w:sz w:val="22"/>
                <w:szCs w:val="22"/>
                <w:rtl w:val="0"/>
              </w:rPr>
              <w:t xml:space="preserve"> </w:t>
            </w:r>
            <w:bookmarkStart w:colFirst="0" w:colLast="0" w:name="bookmark=kix.fbijo4lf7e91" w:id="1"/>
            <w:bookmarkEnd w:id="1"/>
            <w:r w:rsidDel="00000000" w:rsidR="00000000" w:rsidRPr="00000000">
              <w:rPr>
                <w:sz w:val="22"/>
                <w:szCs w:val="22"/>
                <w:rtl w:val="0"/>
              </w:rPr>
              <w:t xml:space="preserve">☐      5</w:t>
            </w:r>
            <w:r w:rsidDel="00000000" w:rsidR="00000000" w:rsidRPr="00000000">
              <w:rPr>
                <w:sz w:val="22"/>
                <w:szCs w:val="22"/>
                <w:vertAlign w:val="superscript"/>
                <w:rtl w:val="0"/>
              </w:rPr>
              <w:t xml:space="preserve">th</w:t>
            </w:r>
            <w:r w:rsidDel="00000000" w:rsidR="00000000" w:rsidRPr="00000000">
              <w:rPr>
                <w:sz w:val="22"/>
                <w:szCs w:val="22"/>
                <w:rtl w:val="0"/>
              </w:rPr>
              <w:t xml:space="preserve"> </w:t>
            </w:r>
            <w:bookmarkStart w:colFirst="0" w:colLast="0" w:name="bookmark=kix.vsma6psnp1qs" w:id="2"/>
            <w:bookmarkEnd w:id="2"/>
            <w:r w:rsidDel="00000000" w:rsidR="00000000" w:rsidRPr="00000000">
              <w:rPr>
                <w:sz w:val="22"/>
                <w:szCs w:val="22"/>
                <w:rtl w:val="0"/>
              </w:rPr>
              <w:t xml:space="preserve">☐      6</w:t>
            </w:r>
            <w:r w:rsidDel="00000000" w:rsidR="00000000" w:rsidRPr="00000000">
              <w:rPr>
                <w:sz w:val="22"/>
                <w:szCs w:val="22"/>
                <w:vertAlign w:val="superscript"/>
                <w:rtl w:val="0"/>
              </w:rPr>
              <w:t xml:space="preserve">th</w:t>
            </w:r>
            <w:r w:rsidDel="00000000" w:rsidR="00000000" w:rsidRPr="00000000">
              <w:rPr>
                <w:sz w:val="22"/>
                <w:szCs w:val="22"/>
                <w:rtl w:val="0"/>
              </w:rPr>
              <w:t xml:space="preserve"> </w:t>
            </w:r>
            <w:bookmarkStart w:colFirst="0" w:colLast="0" w:name="bookmark=kix.p40slh48iglz" w:id="3"/>
            <w:bookmarkEnd w:id="3"/>
            <w:r w:rsidDel="00000000" w:rsidR="00000000" w:rsidRPr="00000000">
              <w:rPr>
                <w:sz w:val="22"/>
                <w:szCs w:val="22"/>
                <w:rtl w:val="0"/>
              </w:rPr>
              <w:t xml:space="preserve">☐</w:t>
            </w:r>
            <w:r w:rsidDel="00000000" w:rsidR="00000000" w:rsidRPr="00000000">
              <w:rPr>
                <w:b w:val="1"/>
                <w:bCs w:val="1"/>
                <w:sz w:val="22"/>
                <w:szCs w:val="22"/>
                <w:rtl w:val="0"/>
              </w:rPr>
              <w:t xml:space="preserve">   </w:t>
            </w:r>
          </w:p>
          <w:p w:rsidR="00000000" w:rsidDel="00000000" w:rsidP="00000000" w:rsidRDefault="00000000" w:rsidRPr="00000000" w14:paraId="0000002A">
            <w:pPr>
              <w:spacing w:after="160" w:line="259" w:lineRule="auto"/>
              <w:rPr>
                <w:sz w:val="22"/>
                <w:szCs w:val="22"/>
              </w:rPr>
            </w:pPr>
            <w:r w:rsidDel="00000000" w:rsidR="00000000" w:rsidRPr="00000000">
              <w:rPr>
                <w:sz w:val="22"/>
                <w:szCs w:val="22"/>
                <w:rtl w:val="0"/>
              </w:rPr>
              <w:t xml:space="preserve">module of the degree</w:t>
            </w:r>
          </w:p>
        </w:tc>
      </w:tr>
      <w:tr>
        <w:trPr>
          <w:cantSplit w:val="0"/>
          <w:trHeight w:val="978" w:hRule="atLeast"/>
          <w:tblHeader w:val="0"/>
        </w:trPr>
        <w:tc>
          <w:tcPr>
            <w:gridSpan w:val="5"/>
            <w:shd w:fill="d9d9d9" w:val="clear"/>
          </w:tcPr>
          <w:p w:rsidR="00000000" w:rsidDel="00000000" w:rsidP="00000000" w:rsidRDefault="00000000" w:rsidRPr="00000000" w14:paraId="0000002F">
            <w:pPr>
              <w:ind w:right="34"/>
              <w:rPr>
                <w:b w:val="1"/>
                <w:bCs w:val="1"/>
                <w:sz w:val="22"/>
                <w:szCs w:val="22"/>
              </w:rPr>
            </w:pPr>
            <w:r w:rsidDel="00000000" w:rsidR="00000000" w:rsidRPr="00000000">
              <w:rPr>
                <w:b w:val="1"/>
                <w:bCs w:val="1"/>
                <w:sz w:val="22"/>
                <w:szCs w:val="22"/>
                <w:rtl w:val="0"/>
              </w:rPr>
              <w:t xml:space="preserve">Plagiarism declaration</w:t>
            </w:r>
          </w:p>
          <w:p w:rsidR="00000000" w:rsidDel="00000000" w:rsidP="00000000" w:rsidRDefault="00000000" w:rsidRPr="00000000" w14:paraId="00000030">
            <w:pPr>
              <w:ind w:right="34"/>
              <w:rPr>
                <w:sz w:val="22"/>
                <w:szCs w:val="22"/>
              </w:rPr>
            </w:pPr>
            <w:r w:rsidDel="00000000" w:rsidR="00000000" w:rsidRPr="00000000">
              <w:rPr>
                <w:sz w:val="22"/>
                <w:szCs w:val="22"/>
                <w:rtl w:val="0"/>
              </w:rPr>
              <w:t xml:space="preserve">I confirm that this is my original work and that I have adhered to the University policy on plagiarism.</w:t>
            </w:r>
          </w:p>
          <w:p w:rsidR="00000000" w:rsidDel="00000000" w:rsidP="00000000" w:rsidRDefault="00000000" w:rsidRPr="00000000" w14:paraId="00000031">
            <w:pPr>
              <w:ind w:right="34"/>
              <w:rPr>
                <w:sz w:val="22"/>
                <w:szCs w:val="22"/>
              </w:rPr>
            </w:pPr>
            <w:r w:rsidDel="00000000" w:rsidR="00000000" w:rsidRPr="00000000">
              <w:rPr>
                <w:rtl w:val="0"/>
              </w:rPr>
            </w:r>
          </w:p>
          <w:p w:rsidR="00000000" w:rsidDel="00000000" w:rsidP="00000000" w:rsidRDefault="00000000" w:rsidRPr="00000000" w14:paraId="00000032">
            <w:pPr>
              <w:ind w:right="34"/>
              <w:rPr>
                <w:b w:val="1"/>
                <w:bCs w:val="1"/>
                <w:sz w:val="22"/>
                <w:szCs w:val="22"/>
              </w:rPr>
            </w:pPr>
            <w:r w:rsidDel="00000000" w:rsidR="00000000" w:rsidRPr="00000000">
              <w:rPr>
                <w:b w:val="1"/>
                <w:bCs w:val="1"/>
                <w:sz w:val="22"/>
                <w:szCs w:val="22"/>
                <w:rtl w:val="0"/>
              </w:rPr>
              <w:t xml:space="preserve">Artificial Intelligence (AI) declaration</w:t>
            </w:r>
          </w:p>
          <w:p w:rsidR="00000000" w:rsidDel="00000000" w:rsidP="00000000" w:rsidRDefault="00000000" w:rsidRPr="00000000" w14:paraId="00000033">
            <w:pPr>
              <w:ind w:right="34"/>
              <w:rPr>
                <w:sz w:val="22"/>
                <w:szCs w:val="22"/>
              </w:rPr>
            </w:pPr>
            <w:r w:rsidDel="00000000" w:rsidR="00000000" w:rsidRPr="00000000">
              <w:rPr>
                <w:rtl w:val="0"/>
              </w:rPr>
            </w:r>
          </w:p>
          <w:p w:rsidR="00000000" w:rsidDel="00000000" w:rsidP="00000000" w:rsidRDefault="00000000" w:rsidRPr="00000000" w14:paraId="00000034">
            <w:pPr>
              <w:ind w:right="34"/>
              <w:rPr>
                <w:sz w:val="22"/>
                <w:szCs w:val="22"/>
              </w:rPr>
            </w:pPr>
            <w:r w:rsidDel="00000000" w:rsidR="00000000" w:rsidRPr="00000000">
              <w:rPr>
                <w:sz w:val="22"/>
                <w:szCs w:val="22"/>
                <w:rtl w:val="0"/>
              </w:rPr>
              <w:t xml:space="preserve">I confirm that I have not used any AI tools in the research and creation of this assignment.</w:t>
            </w:r>
            <w:r w:rsidDel="00000000" w:rsidR="00000000" w:rsidRPr="00000000">
              <w:rPr>
                <w:color w:val="ee0000"/>
                <w:sz w:val="22"/>
                <w:szCs w:val="22"/>
                <w:rtl w:val="0"/>
              </w:rPr>
              <w:t xml:space="preserve"> </w:t>
            </w:r>
            <w:r w:rsidDel="00000000" w:rsidR="00000000" w:rsidRPr="00000000">
              <w:rPr>
                <w:sz w:val="22"/>
                <w:szCs w:val="22"/>
                <w:rtl w:val="0"/>
              </w:rPr>
              <w:t xml:space="preserve">I confirm that I have not presented any AI generated materials as my own work. I confirm I have copies of my drafts, notes, and other resources I used, which I may be asked to provide in evidence.</w:t>
            </w:r>
          </w:p>
          <w:p w:rsidR="00000000" w:rsidDel="00000000" w:rsidP="00000000" w:rsidRDefault="00000000" w:rsidRPr="00000000" w14:paraId="00000035">
            <w:pPr>
              <w:ind w:right="34"/>
              <w:rPr>
                <w:sz w:val="22"/>
                <w:szCs w:val="22"/>
              </w:rPr>
            </w:pPr>
            <w:r w:rsidDel="00000000" w:rsidR="00000000" w:rsidRPr="00000000">
              <w:rPr>
                <w:rtl w:val="0"/>
              </w:rPr>
            </w:r>
          </w:p>
          <w:p w:rsidR="00000000" w:rsidDel="00000000" w:rsidP="00000000" w:rsidRDefault="00000000" w:rsidRPr="00000000" w14:paraId="00000036">
            <w:pPr>
              <w:ind w:right="34"/>
              <w:rPr>
                <w:sz w:val="22"/>
                <w:szCs w:val="22"/>
              </w:rPr>
            </w:pPr>
            <w:r w:rsidDel="00000000" w:rsidR="00000000" w:rsidRPr="00000000">
              <w:rPr>
                <w:sz w:val="22"/>
                <w:szCs w:val="22"/>
                <w:rtl w:val="0"/>
              </w:rPr>
              <w:t xml:space="preserve">Signed:  Costantino Toth</w:t>
            </w:r>
          </w:p>
          <w:p w:rsidR="00000000" w:rsidDel="00000000" w:rsidP="00000000" w:rsidRDefault="00000000" w:rsidRPr="00000000" w14:paraId="00000037">
            <w:pPr>
              <w:ind w:right="34"/>
              <w:rPr>
                <w:rFonts w:ascii="Arial" w:cs="Arial" w:eastAsia="Arial" w:hAnsi="Arial"/>
                <w:sz w:val="22"/>
                <w:szCs w:val="22"/>
              </w:rPr>
            </w:pPr>
            <w:r w:rsidDel="00000000" w:rsidR="00000000" w:rsidRPr="00000000">
              <w:rPr>
                <w:rFonts w:ascii="Arial" w:cs="Arial" w:eastAsia="Arial" w:hAnsi="Arial"/>
                <w:sz w:val="22"/>
                <w:szCs w:val="22"/>
                <w:rtl w:val="0"/>
              </w:rPr>
              <w:t xml:space="preserve">Date: April 25, 2026</w:t>
            </w:r>
          </w:p>
          <w:p w:rsidR="00000000" w:rsidDel="00000000" w:rsidP="00000000" w:rsidRDefault="00000000" w:rsidRPr="00000000" w14:paraId="00000038">
            <w:pPr>
              <w:ind w:right="34"/>
              <w:rPr>
                <w:rFonts w:ascii="Arial" w:cs="Arial" w:eastAsia="Arial" w:hAnsi="Arial"/>
                <w:sz w:val="22"/>
                <w:szCs w:val="22"/>
              </w:rPr>
            </w:pPr>
            <w:r w:rsidDel="00000000" w:rsidR="00000000" w:rsidRPr="00000000">
              <w:rPr>
                <w:rtl w:val="0"/>
              </w:rPr>
            </w:r>
          </w:p>
        </w:tc>
      </w:tr>
      <w:tr>
        <w:trPr>
          <w:cantSplit w:val="0"/>
          <w:trHeight w:val="3972" w:hRule="atLeast"/>
          <w:tblHeader w:val="0"/>
        </w:trPr>
        <w:tc>
          <w:tcPr>
            <w:gridSpan w:val="5"/>
          </w:tcPr>
          <w:p w:rsidR="00000000" w:rsidDel="00000000" w:rsidP="00000000" w:rsidRDefault="00000000" w:rsidRPr="00000000" w14:paraId="0000003D">
            <w:pPr>
              <w:spacing w:after="160" w:line="259"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E">
            <w:pPr>
              <w:spacing w:after="160" w:line="259"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Assignment Mark</w:t>
            </w:r>
            <w:r w:rsidDel="00000000" w:rsidR="00000000" w:rsidRPr="00000000">
              <w:rPr>
                <w:rtl w:val="0"/>
              </w:rPr>
            </w:r>
          </w:p>
          <w:tbl>
            <w:tblPr>
              <w:tblStyle w:val="Table2"/>
              <w:tblW w:w="86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0"/>
              <w:gridCol w:w="1660"/>
              <w:tblGridChange w:id="0">
                <w:tblGrid>
                  <w:gridCol w:w="6970"/>
                  <w:gridCol w:w="1660"/>
                </w:tblGrid>
              </w:tblGridChange>
            </w:tblGrid>
            <w:tr>
              <w:trPr>
                <w:cantSplit w:val="0"/>
                <w:tblHeader w:val="0"/>
              </w:trPr>
              <w:tc>
                <w:tcPr/>
                <w:p w:rsidR="00000000" w:rsidDel="00000000" w:rsidP="00000000" w:rsidRDefault="00000000" w:rsidRPr="00000000" w14:paraId="0000003F">
                  <w:pPr>
                    <w:spacing w:after="160" w:line="259"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0">
                  <w:pPr>
                    <w:spacing w:after="160" w:line="259"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1</w:t>
                  </w:r>
                  <w:r w:rsidDel="00000000" w:rsidR="00000000" w:rsidRPr="00000000">
                    <w:rPr>
                      <w:rFonts w:ascii="Arial" w:cs="Arial" w:eastAsia="Arial" w:hAnsi="Arial"/>
                      <w:sz w:val="20"/>
                      <w:szCs w:val="20"/>
                      <w:vertAlign w:val="superscript"/>
                      <w:rtl w:val="0"/>
                    </w:rPr>
                    <w:t xml:space="preserve">st</w:t>
                  </w:r>
                  <w:r w:rsidDel="00000000" w:rsidR="00000000" w:rsidRPr="00000000">
                    <w:rPr>
                      <w:rFonts w:ascii="Arial" w:cs="Arial" w:eastAsia="Arial" w:hAnsi="Arial"/>
                      <w:sz w:val="20"/>
                      <w:szCs w:val="20"/>
                      <w:rtl w:val="0"/>
                    </w:rPr>
                    <w:t xml:space="preserve"> Marker’s Provisional mark</w:t>
                  </w:r>
                </w:p>
              </w:tc>
              <w:tc>
                <w:tcPr/>
                <w:p w:rsidR="00000000" w:rsidDel="00000000" w:rsidP="00000000" w:rsidRDefault="00000000" w:rsidRPr="00000000" w14:paraId="00000041">
                  <w:pPr>
                    <w:spacing w:after="160" w:line="259"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42">
                  <w:pPr>
                    <w:spacing w:after="160" w:line="259"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3">
                  <w:pPr>
                    <w:spacing w:after="160" w:line="259"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2</w:t>
                  </w:r>
                  <w:r w:rsidDel="00000000" w:rsidR="00000000" w:rsidRPr="00000000">
                    <w:rPr>
                      <w:rFonts w:ascii="Arial" w:cs="Arial" w:eastAsia="Arial" w:hAnsi="Arial"/>
                      <w:sz w:val="20"/>
                      <w:szCs w:val="20"/>
                      <w:vertAlign w:val="superscript"/>
                      <w:rtl w:val="0"/>
                    </w:rPr>
                    <w:t xml:space="preserve">nd</w:t>
                  </w:r>
                  <w:r w:rsidDel="00000000" w:rsidR="00000000" w:rsidRPr="00000000">
                    <w:rPr>
                      <w:rFonts w:ascii="Arial" w:cs="Arial" w:eastAsia="Arial" w:hAnsi="Arial"/>
                      <w:sz w:val="20"/>
                      <w:szCs w:val="20"/>
                      <w:rtl w:val="0"/>
                    </w:rPr>
                    <w:t xml:space="preserve"> Marker’s/Moderator’s provisional mark</w:t>
                  </w:r>
                </w:p>
              </w:tc>
              <w:tc>
                <w:tcPr/>
                <w:p w:rsidR="00000000" w:rsidDel="00000000" w:rsidP="00000000" w:rsidRDefault="00000000" w:rsidRPr="00000000" w14:paraId="00000044">
                  <w:pPr>
                    <w:spacing w:after="160" w:line="259"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45">
                  <w:pPr>
                    <w:spacing w:after="160" w:line="259"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6">
                  <w:pPr>
                    <w:spacing w:after="160" w:line="259"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External Examiner’s mark (if relevant)</w:t>
                  </w:r>
                </w:p>
              </w:tc>
              <w:tc>
                <w:tcPr/>
                <w:p w:rsidR="00000000" w:rsidDel="00000000" w:rsidP="00000000" w:rsidRDefault="00000000" w:rsidRPr="00000000" w14:paraId="00000047">
                  <w:pPr>
                    <w:spacing w:after="160" w:line="259"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48">
                  <w:pPr>
                    <w:spacing w:after="160" w:line="259"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9">
                  <w:pPr>
                    <w:spacing w:after="160" w:line="259" w:lineRule="auto"/>
                    <w:rPr>
                      <w:rFonts w:ascii="Arial" w:cs="Arial" w:eastAsia="Arial" w:hAnsi="Arial"/>
                      <w:b w:val="1"/>
                      <w:bCs w:val="1"/>
                      <w:sz w:val="20"/>
                      <w:szCs w:val="20"/>
                    </w:rPr>
                  </w:pPr>
                  <w:r w:rsidDel="00000000" w:rsidR="00000000" w:rsidRPr="00000000">
                    <w:rPr>
                      <w:rFonts w:ascii="Arial" w:cs="Arial" w:eastAsia="Arial" w:hAnsi="Arial"/>
                      <w:b w:val="1"/>
                      <w:bCs w:val="1"/>
                      <w:sz w:val="20"/>
                      <w:szCs w:val="20"/>
                      <w:rtl w:val="0"/>
                    </w:rPr>
                    <w:t xml:space="preserve">Final Mark</w:t>
                  </w:r>
                </w:p>
                <w:p w:rsidR="00000000" w:rsidDel="00000000" w:rsidP="00000000" w:rsidRDefault="00000000" w:rsidRPr="00000000" w14:paraId="0000004A">
                  <w:pPr>
                    <w:spacing w:after="160" w:line="259"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4B">
                  <w:pPr>
                    <w:spacing w:after="160" w:line="259" w:lineRule="auto"/>
                    <w:rPr>
                      <w:rFonts w:ascii="Arial" w:cs="Arial" w:eastAsia="Arial" w:hAnsi="Arial"/>
                      <w:sz w:val="20"/>
                      <w:szCs w:val="20"/>
                    </w:rPr>
                  </w:pPr>
                  <w:r w:rsidDel="00000000" w:rsidR="00000000" w:rsidRPr="00000000">
                    <w:rPr>
                      <w:rtl w:val="0"/>
                    </w:rPr>
                  </w:r>
                </w:p>
              </w:tc>
            </w:tr>
          </w:tbl>
          <w:p w:rsidR="00000000" w:rsidDel="00000000" w:rsidP="00000000" w:rsidRDefault="00000000" w:rsidRPr="00000000" w14:paraId="0000004C">
            <w:pPr>
              <w:ind w:left="142" w:right="34" w:firstLine="0"/>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4D">
            <w:pPr>
              <w:ind w:left="142" w:right="34" w:firstLine="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NB.</w:t>
            </w:r>
            <w:r w:rsidDel="00000000" w:rsidR="00000000" w:rsidRPr="00000000">
              <w:rPr>
                <w:rFonts w:ascii="Arial" w:cs="Arial" w:eastAsia="Arial" w:hAnsi="Arial"/>
                <w:sz w:val="22"/>
                <w:szCs w:val="22"/>
                <w:rtl w:val="0"/>
              </w:rPr>
              <w:t xml:space="preserve">  All marks are provisional until confirmed by the Final Examination Board.</w:t>
            </w:r>
          </w:p>
          <w:p w:rsidR="00000000" w:rsidDel="00000000" w:rsidP="00000000" w:rsidRDefault="00000000" w:rsidRPr="00000000" w14:paraId="0000004E">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4F">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50">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51">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52">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5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For completion by Marker 1 :</w:t>
            </w:r>
          </w:p>
          <w:p w:rsidR="00000000" w:rsidDel="00000000" w:rsidP="00000000" w:rsidRDefault="00000000" w:rsidRPr="00000000" w14:paraId="00000054">
            <w:pPr>
              <w:spacing w:after="1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Comments:</w:t>
            </w:r>
          </w:p>
          <w:p w:rsidR="00000000" w:rsidDel="00000000" w:rsidP="00000000" w:rsidRDefault="00000000" w:rsidRPr="00000000" w14:paraId="00000055">
            <w:pPr>
              <w:spacing w:after="160" w:lineRule="auto"/>
              <w:rPr>
                <w:rFonts w:ascii="Arial" w:cs="Arial" w:eastAsia="Arial" w:hAnsi="Arial"/>
                <w:sz w:val="22"/>
                <w:szCs w:val="22"/>
              </w:rPr>
            </w:pPr>
            <w:r w:rsidDel="00000000" w:rsidR="00000000" w:rsidRPr="00000000">
              <w:rPr>
                <w:rtl w:val="0"/>
              </w:rPr>
            </w:r>
          </w:p>
        </w:tc>
      </w:tr>
      <w:tr>
        <w:trPr>
          <w:cantSplit w:val="0"/>
          <w:trHeight w:val="492" w:hRule="atLeast"/>
          <w:tblHeader w:val="0"/>
        </w:trPr>
        <w:tc>
          <w:tcPr>
            <w:gridSpan w:val="3"/>
          </w:tcPr>
          <w:p w:rsidR="00000000" w:rsidDel="00000000" w:rsidP="00000000" w:rsidRDefault="00000000" w:rsidRPr="00000000" w14:paraId="0000005A">
            <w:pPr>
              <w:spacing w:after="160" w:lineRule="auto"/>
              <w:ind w:left="142" w:right="34"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Marker’s signature:</w:t>
            </w:r>
          </w:p>
        </w:tc>
        <w:tc>
          <w:tcPr>
            <w:gridSpan w:val="2"/>
          </w:tcPr>
          <w:p w:rsidR="00000000" w:rsidDel="00000000" w:rsidP="00000000" w:rsidRDefault="00000000" w:rsidRPr="00000000" w14:paraId="0000005D">
            <w:pPr>
              <w:spacing w:after="160" w:lineRule="auto"/>
              <w:ind w:left="142" w:right="34"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Date:</w:t>
            </w:r>
          </w:p>
        </w:tc>
      </w:tr>
      <w:tr>
        <w:trPr>
          <w:cantSplit w:val="0"/>
          <w:tblHeader w:val="0"/>
        </w:trPr>
        <w:tc>
          <w:tcPr>
            <w:gridSpan w:val="5"/>
          </w:tcPr>
          <w:p w:rsidR="00000000" w:rsidDel="00000000" w:rsidP="00000000" w:rsidRDefault="00000000" w:rsidRPr="00000000" w14:paraId="0000005F">
            <w:pPr>
              <w:ind w:right="-334"/>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060">
            <w:pPr>
              <w:ind w:right="-334"/>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For completion by Marker 2/Moderator:</w:t>
            </w:r>
          </w:p>
          <w:p w:rsidR="00000000" w:rsidDel="00000000" w:rsidP="00000000" w:rsidRDefault="00000000" w:rsidRPr="00000000" w14:paraId="00000061">
            <w:pPr>
              <w:ind w:right="-334"/>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62">
            <w:pPr>
              <w:ind w:right="-334"/>
              <w:rPr>
                <w:rFonts w:ascii="Arial" w:cs="Arial" w:eastAsia="Arial" w:hAnsi="Arial"/>
                <w:sz w:val="22"/>
                <w:szCs w:val="22"/>
              </w:rPr>
            </w:pPr>
            <w:r w:rsidDel="00000000" w:rsidR="00000000" w:rsidRPr="00000000">
              <w:rPr>
                <w:rFonts w:ascii="Arial" w:cs="Arial" w:eastAsia="Arial" w:hAnsi="Arial"/>
                <w:sz w:val="22"/>
                <w:szCs w:val="22"/>
                <w:rtl w:val="0"/>
              </w:rPr>
              <w:t xml:space="preserve">Comments:</w:t>
            </w:r>
          </w:p>
          <w:p w:rsidR="00000000" w:rsidDel="00000000" w:rsidP="00000000" w:rsidRDefault="00000000" w:rsidRPr="00000000" w14:paraId="00000063">
            <w:pPr>
              <w:ind w:right="-334"/>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4">
            <w:pPr>
              <w:ind w:right="-334"/>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5">
            <w:pPr>
              <w:ind w:right="-334"/>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6">
            <w:pPr>
              <w:ind w:right="-334"/>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7">
            <w:pPr>
              <w:ind w:right="-334"/>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8">
            <w:pPr>
              <w:ind w:right="-334"/>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9">
            <w:pPr>
              <w:ind w:right="-334"/>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A">
            <w:pPr>
              <w:ind w:right="-334"/>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B">
            <w:pPr>
              <w:ind w:right="-334"/>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C">
            <w:pPr>
              <w:ind w:right="-334"/>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D">
            <w:pPr>
              <w:ind w:right="-334"/>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E">
            <w:pPr>
              <w:ind w:right="-334"/>
              <w:rPr>
                <w:rFonts w:ascii="Arial" w:cs="Arial" w:eastAsia="Arial" w:hAnsi="Arial"/>
                <w:sz w:val="22"/>
                <w:szCs w:val="22"/>
              </w:rPr>
            </w:pPr>
            <w:r w:rsidDel="00000000" w:rsidR="00000000" w:rsidRPr="00000000">
              <w:rPr>
                <w:rtl w:val="0"/>
              </w:rPr>
            </w:r>
          </w:p>
        </w:tc>
      </w:tr>
      <w:tr>
        <w:trPr>
          <w:cantSplit w:val="0"/>
          <w:trHeight w:val="720" w:hRule="atLeast"/>
          <w:tblHeader w:val="0"/>
        </w:trPr>
        <w:tc>
          <w:tcPr>
            <w:gridSpan w:val="2"/>
          </w:tcPr>
          <w:p w:rsidR="00000000" w:rsidDel="00000000" w:rsidP="00000000" w:rsidRDefault="00000000" w:rsidRPr="00000000" w14:paraId="00000073">
            <w:pPr>
              <w:ind w:right="-334"/>
              <w:rPr>
                <w:rFonts w:ascii="Arial" w:cs="Arial" w:eastAsia="Arial" w:hAnsi="Arial"/>
                <w:sz w:val="22"/>
                <w:szCs w:val="22"/>
              </w:rPr>
            </w:pPr>
            <w:r w:rsidDel="00000000" w:rsidR="00000000" w:rsidRPr="00000000">
              <w:rPr>
                <w:rFonts w:ascii="Arial" w:cs="Arial" w:eastAsia="Arial" w:hAnsi="Arial"/>
                <w:sz w:val="22"/>
                <w:szCs w:val="22"/>
                <w:rtl w:val="0"/>
              </w:rPr>
              <w:t xml:space="preserve">Marker’s Signature:</w:t>
            </w:r>
          </w:p>
        </w:tc>
        <w:tc>
          <w:tcPr>
            <w:gridSpan w:val="3"/>
          </w:tcPr>
          <w:p w:rsidR="00000000" w:rsidDel="00000000" w:rsidP="00000000" w:rsidRDefault="00000000" w:rsidRPr="00000000" w14:paraId="00000075">
            <w:pPr>
              <w:ind w:right="-334"/>
              <w:rPr>
                <w:rFonts w:ascii="Arial" w:cs="Arial" w:eastAsia="Arial" w:hAnsi="Arial"/>
                <w:sz w:val="22"/>
                <w:szCs w:val="22"/>
              </w:rPr>
            </w:pPr>
            <w:r w:rsidDel="00000000" w:rsidR="00000000" w:rsidRPr="00000000">
              <w:rPr>
                <w:rFonts w:ascii="Arial" w:cs="Arial" w:eastAsia="Arial" w:hAnsi="Arial"/>
                <w:sz w:val="22"/>
                <w:szCs w:val="22"/>
                <w:rtl w:val="0"/>
              </w:rPr>
              <w:t xml:space="preserve">Date:</w:t>
            </w:r>
          </w:p>
        </w:tc>
      </w:tr>
      <w:tr>
        <w:trPr>
          <w:cantSplit w:val="0"/>
          <w:trHeight w:val="720" w:hRule="atLeast"/>
          <w:tblHeader w:val="0"/>
        </w:trPr>
        <w:tc>
          <w:tcPr>
            <w:gridSpan w:val="5"/>
          </w:tcPr>
          <w:p w:rsidR="00000000" w:rsidDel="00000000" w:rsidP="00000000" w:rsidRDefault="00000000" w:rsidRPr="00000000" w14:paraId="00000078">
            <w:pPr>
              <w:spacing w:after="160" w:line="259"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External Examiner’s comments (if relevant)</w:t>
            </w:r>
          </w:p>
          <w:p w:rsidR="00000000" w:rsidDel="00000000" w:rsidP="00000000" w:rsidRDefault="00000000" w:rsidRPr="00000000" w14:paraId="00000079">
            <w:pPr>
              <w:ind w:right="-334"/>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A">
            <w:pPr>
              <w:ind w:right="-334"/>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B">
            <w:pPr>
              <w:ind w:right="-334"/>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C">
            <w:pPr>
              <w:ind w:right="-334"/>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D">
            <w:pPr>
              <w:ind w:right="-334"/>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E">
            <w:pPr>
              <w:ind w:right="-334"/>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F">
            <w:pPr>
              <w:ind w:right="-334"/>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0">
            <w:pPr>
              <w:ind w:right="-334"/>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1">
            <w:pPr>
              <w:ind w:right="-334"/>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2">
            <w:pPr>
              <w:ind w:right="-334"/>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3">
            <w:pPr>
              <w:ind w:right="-334"/>
              <w:rPr>
                <w:rFonts w:ascii="Arial" w:cs="Arial" w:eastAsia="Arial" w:hAnsi="Arial"/>
                <w:sz w:val="22"/>
                <w:szCs w:val="22"/>
              </w:rPr>
            </w:pPr>
            <w:r w:rsidDel="00000000" w:rsidR="00000000" w:rsidRPr="00000000">
              <w:rPr>
                <w:rtl w:val="0"/>
              </w:rPr>
            </w:r>
          </w:p>
        </w:tc>
      </w:tr>
      <w:tr>
        <w:trPr>
          <w:cantSplit w:val="0"/>
          <w:trHeight w:val="720" w:hRule="atLeast"/>
          <w:tblHeader w:val="0"/>
        </w:trPr>
        <w:tc>
          <w:tcPr>
            <w:gridSpan w:val="2"/>
          </w:tcPr>
          <w:p w:rsidR="00000000" w:rsidDel="00000000" w:rsidP="00000000" w:rsidRDefault="00000000" w:rsidRPr="00000000" w14:paraId="00000088">
            <w:pPr>
              <w:spacing w:after="160"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External Examiner’s Signature:</w:t>
            </w:r>
          </w:p>
        </w:tc>
        <w:tc>
          <w:tcPr>
            <w:gridSpan w:val="3"/>
          </w:tcPr>
          <w:p w:rsidR="00000000" w:rsidDel="00000000" w:rsidP="00000000" w:rsidRDefault="00000000" w:rsidRPr="00000000" w14:paraId="0000008A">
            <w:pPr>
              <w:spacing w:after="160" w:line="259"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Date:</w:t>
            </w:r>
          </w:p>
        </w:tc>
      </w:tr>
    </w:tbl>
    <w:p w:rsidR="00000000" w:rsidDel="00000000" w:rsidP="00000000" w:rsidRDefault="00000000" w:rsidRPr="00000000" w14:paraId="0000008D">
      <w:pPr>
        <w:spacing w:after="160" w:line="259" w:lineRule="auto"/>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Georgia" w:cs="Georgia" w:eastAsia="Georgia" w:hAnsi="Georgia"/>
          <w:sz w:val="21"/>
          <w:szCs w:val="21"/>
        </w:rPr>
      </w:pPr>
      <w:r w:rsidDel="00000000" w:rsidR="00000000" w:rsidRPr="00000000">
        <w:rPr>
          <w:rtl w:val="0"/>
        </w:rPr>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9B">
      <w:pPr>
        <w:spacing w:after="80" w:line="276" w:lineRule="auto"/>
        <w:jc w:val="center"/>
        <w:rPr>
          <w:b w:val="1"/>
          <w:bCs w:val="1"/>
        </w:rPr>
      </w:pPr>
      <w:r w:rsidDel="00000000" w:rsidR="00000000" w:rsidRPr="00000000">
        <w:rPr>
          <w:rtl w:val="0"/>
        </w:rPr>
      </w:r>
    </w:p>
    <w:p w:rsidR="00000000" w:rsidDel="00000000" w:rsidP="00000000" w:rsidRDefault="00000000" w:rsidRPr="00000000" w14:paraId="0000009C">
      <w:pPr>
        <w:spacing w:after="80" w:line="276" w:lineRule="auto"/>
        <w:jc w:val="center"/>
        <w:rPr>
          <w:b w:val="1"/>
          <w:bCs w:val="1"/>
        </w:rPr>
      </w:pPr>
      <w:r w:rsidDel="00000000" w:rsidR="00000000" w:rsidRPr="00000000">
        <w:rPr>
          <w:rtl w:val="0"/>
        </w:rPr>
      </w:r>
    </w:p>
    <w:p w:rsidR="00000000" w:rsidDel="00000000" w:rsidP="00000000" w:rsidRDefault="00000000" w:rsidRPr="00000000" w14:paraId="0000009D">
      <w:pPr>
        <w:spacing w:after="80" w:line="276" w:lineRule="auto"/>
        <w:jc w:val="center"/>
        <w:rPr>
          <w:b w:val="1"/>
          <w:bCs w:val="1"/>
        </w:rPr>
      </w:pPr>
      <w:r w:rsidDel="00000000" w:rsidR="00000000" w:rsidRPr="00000000">
        <w:rPr>
          <w:rtl w:val="0"/>
        </w:rPr>
      </w:r>
    </w:p>
    <w:p w:rsidR="00000000" w:rsidDel="00000000" w:rsidP="00000000" w:rsidRDefault="00000000" w:rsidRPr="00000000" w14:paraId="0000009E">
      <w:pPr>
        <w:spacing w:after="80" w:line="276" w:lineRule="auto"/>
        <w:jc w:val="center"/>
        <w:rPr>
          <w:b w:val="1"/>
          <w:bCs w:val="1"/>
        </w:rPr>
      </w:pPr>
      <w:r w:rsidDel="00000000" w:rsidR="00000000" w:rsidRPr="00000000">
        <w:rPr>
          <w:rtl w:val="0"/>
        </w:rPr>
      </w:r>
    </w:p>
    <w:p w:rsidR="00000000" w:rsidDel="00000000" w:rsidP="00000000" w:rsidRDefault="00000000" w:rsidRPr="00000000" w14:paraId="0000009F">
      <w:pPr>
        <w:spacing w:after="80" w:line="276" w:lineRule="auto"/>
        <w:jc w:val="center"/>
        <w:rPr>
          <w:b w:val="1"/>
          <w:bCs w:val="1"/>
        </w:rPr>
      </w:pPr>
      <w:r w:rsidDel="00000000" w:rsidR="00000000" w:rsidRPr="00000000">
        <w:rPr>
          <w:rtl w:val="0"/>
        </w:rPr>
      </w:r>
    </w:p>
    <w:p w:rsidR="00000000" w:rsidDel="00000000" w:rsidP="00000000" w:rsidRDefault="00000000" w:rsidRPr="00000000" w14:paraId="000000A0">
      <w:pPr>
        <w:spacing w:after="80" w:line="276" w:lineRule="auto"/>
        <w:jc w:val="center"/>
        <w:rPr>
          <w:b w:val="1"/>
          <w:bCs w:val="1"/>
        </w:rPr>
      </w:pPr>
      <w:r w:rsidDel="00000000" w:rsidR="00000000" w:rsidRPr="00000000">
        <w:rPr>
          <w:rtl w:val="0"/>
        </w:rPr>
      </w:r>
    </w:p>
    <w:p w:rsidR="00000000" w:rsidDel="00000000" w:rsidP="00000000" w:rsidRDefault="00000000" w:rsidRPr="00000000" w14:paraId="000000A1">
      <w:pPr>
        <w:spacing w:after="80" w:line="276" w:lineRule="auto"/>
        <w:jc w:val="center"/>
        <w:rPr>
          <w:b w:val="1"/>
          <w:bCs w:val="1"/>
        </w:rPr>
      </w:pPr>
      <w:r w:rsidDel="00000000" w:rsidR="00000000" w:rsidRPr="00000000">
        <w:rPr>
          <w:rtl w:val="0"/>
        </w:rPr>
      </w:r>
    </w:p>
    <w:p w:rsidR="00000000" w:rsidDel="00000000" w:rsidP="00000000" w:rsidRDefault="00000000" w:rsidRPr="00000000" w14:paraId="000000A2">
      <w:pPr>
        <w:spacing w:after="80" w:line="276" w:lineRule="auto"/>
        <w:jc w:val="center"/>
        <w:rPr>
          <w:b w:val="1"/>
          <w:bCs w:val="1"/>
        </w:rPr>
      </w:pPr>
      <w:r w:rsidDel="00000000" w:rsidR="00000000" w:rsidRPr="00000000">
        <w:rPr>
          <w:rtl w:val="0"/>
        </w:rPr>
      </w:r>
    </w:p>
    <w:p w:rsidR="00000000" w:rsidDel="00000000" w:rsidP="00000000" w:rsidRDefault="00000000" w:rsidRPr="00000000" w14:paraId="000000A3">
      <w:pPr>
        <w:spacing w:after="80" w:line="276" w:lineRule="auto"/>
        <w:jc w:val="left"/>
        <w:rPr>
          <w:b w:val="1"/>
          <w:bCs w:val="1"/>
        </w:rPr>
      </w:pPr>
      <w:r w:rsidDel="00000000" w:rsidR="00000000" w:rsidRPr="00000000">
        <w:rPr>
          <w:rtl w:val="0"/>
        </w:rPr>
      </w:r>
    </w:p>
    <w:p w:rsidR="00000000" w:rsidDel="00000000" w:rsidP="00000000" w:rsidRDefault="00000000" w:rsidRPr="00000000" w14:paraId="000000A4">
      <w:pPr>
        <w:spacing w:after="80" w:line="276" w:lineRule="auto"/>
        <w:jc w:val="left"/>
        <w:rPr>
          <w:b w:val="1"/>
          <w:bCs w:val="1"/>
        </w:rPr>
      </w:pPr>
      <w:r w:rsidDel="00000000" w:rsidR="00000000" w:rsidRPr="00000000">
        <w:rPr>
          <w:rtl w:val="0"/>
        </w:rPr>
      </w:r>
    </w:p>
    <w:p w:rsidR="00000000" w:rsidDel="00000000" w:rsidP="00000000" w:rsidRDefault="00000000" w:rsidRPr="00000000" w14:paraId="000000A5">
      <w:pPr>
        <w:spacing w:line="240" w:lineRule="auto"/>
        <w:rPr/>
      </w:pPr>
      <w:r w:rsidDel="00000000" w:rsidR="00000000" w:rsidRPr="00000000">
        <w:rPr>
          <w:rtl w:val="0"/>
        </w:rPr>
        <w:t xml:space="preserve">Costantino Toth 2430606</w:t>
      </w:r>
    </w:p>
    <w:p w:rsidR="00000000" w:rsidDel="00000000" w:rsidP="00000000" w:rsidRDefault="00000000" w:rsidRPr="00000000" w14:paraId="000000A6">
      <w:pPr>
        <w:spacing w:line="240" w:lineRule="auto"/>
        <w:rPr/>
      </w:pPr>
      <w:r w:rsidDel="00000000" w:rsidR="00000000" w:rsidRPr="00000000">
        <w:rPr>
          <w:rtl w:val="0"/>
        </w:rPr>
      </w:r>
    </w:p>
    <w:p w:rsidR="00000000" w:rsidDel="00000000" w:rsidP="00000000" w:rsidRDefault="00000000" w:rsidRPr="00000000" w14:paraId="000000A7">
      <w:pPr>
        <w:shd w:fill="ffffff" w:val="clear"/>
        <w:spacing w:line="240" w:lineRule="auto"/>
        <w:jc w:val="center"/>
        <w:rPr>
          <w:b w:val="1"/>
          <w:bCs w:val="1"/>
          <w:i w:val="1"/>
          <w:iCs w:val="1"/>
        </w:rPr>
      </w:pPr>
      <w:r w:rsidDel="00000000" w:rsidR="00000000" w:rsidRPr="00000000">
        <w:rPr>
          <w:b w:val="1"/>
          <w:bCs w:val="1"/>
          <w:rtl w:val="0"/>
        </w:rPr>
        <w:t xml:space="preserve">A Critical Examination of the Sky in Relation to Material Culture:</w:t>
        <w:br w:type="textWrapping"/>
        <w:t xml:space="preserve">Image Based Representation of the Sky</w:t>
      </w:r>
      <w:r w:rsidDel="00000000" w:rsidR="00000000" w:rsidRPr="00000000">
        <w:rPr>
          <w:b w:val="1"/>
          <w:bCs w:val="1"/>
          <w:rtl w:val="0"/>
        </w:rPr>
        <w:br w:type="textWrapping"/>
      </w:r>
      <w:r w:rsidDel="00000000" w:rsidR="00000000" w:rsidRPr="00000000">
        <w:rPr>
          <w:rtl w:val="0"/>
        </w:rPr>
      </w:r>
    </w:p>
    <w:p w:rsidR="00000000" w:rsidDel="00000000" w:rsidP="00000000" w:rsidRDefault="00000000" w:rsidRPr="00000000" w14:paraId="000000A8">
      <w:pPr>
        <w:spacing w:after="80" w:line="240" w:lineRule="auto"/>
        <w:rPr/>
      </w:pPr>
      <w:r w:rsidDel="00000000" w:rsidR="00000000" w:rsidRPr="00000000">
        <w:rPr>
          <w:rtl w:val="0"/>
        </w:rPr>
        <w:t xml:space="preserve">Word count: 4555</w:t>
      </w:r>
    </w:p>
    <w:p w:rsidR="00000000" w:rsidDel="00000000" w:rsidP="00000000" w:rsidRDefault="00000000" w:rsidRPr="00000000" w14:paraId="000000A9">
      <w:pPr>
        <w:spacing w:after="80" w:line="240" w:lineRule="auto"/>
        <w:rPr/>
      </w:pPr>
      <w:r w:rsidDel="00000000" w:rsidR="00000000" w:rsidRPr="00000000">
        <w:rPr>
          <w:rtl w:val="0"/>
        </w:rPr>
      </w:r>
    </w:p>
    <w:p w:rsidR="00000000" w:rsidDel="00000000" w:rsidP="00000000" w:rsidRDefault="00000000" w:rsidRPr="00000000" w14:paraId="000000AA">
      <w:pPr>
        <w:spacing w:line="240" w:lineRule="auto"/>
        <w:rPr/>
      </w:pPr>
      <w:r w:rsidDel="00000000" w:rsidR="00000000" w:rsidRPr="00000000">
        <w:rPr>
          <w:b w:val="1"/>
          <w:bCs w:val="1"/>
          <w:rtl w:val="0"/>
        </w:rPr>
        <w:t xml:space="preserve">Introduction:</w:t>
      </w:r>
      <w:r w:rsidDel="00000000" w:rsidR="00000000" w:rsidRPr="00000000">
        <w:rPr>
          <w:rtl w:val="0"/>
        </w:rPr>
        <w:br w:type="textWrapping"/>
        <w:tab/>
      </w:r>
      <w:r w:rsidDel="00000000" w:rsidR="00000000" w:rsidRPr="00000000">
        <w:rPr>
          <w:rtl w:val="0"/>
        </w:rPr>
        <w:t xml:space="preserve">This essay will compare and contrast two pictorial representations of sunset and sunrise. The first will be </w:t>
      </w:r>
      <w:r w:rsidDel="00000000" w:rsidR="00000000" w:rsidRPr="00000000">
        <w:rPr>
          <w:i w:val="1"/>
          <w:iCs w:val="1"/>
          <w:rtl w:val="0"/>
        </w:rPr>
        <w:t xml:space="preserve">The Book of the Day and the Night</w:t>
      </w:r>
      <w:r w:rsidDel="00000000" w:rsidR="00000000" w:rsidRPr="00000000">
        <w:rPr>
          <w:rtl w:val="0"/>
        </w:rPr>
        <w:t xml:space="preserve"> (hereafter referred to as </w:t>
      </w:r>
      <w:r w:rsidDel="00000000" w:rsidR="00000000" w:rsidRPr="00000000">
        <w:rPr>
          <w:i w:val="1"/>
          <w:iCs w:val="1"/>
          <w:rtl w:val="0"/>
        </w:rPr>
        <w:t xml:space="preserve">BoDN</w:t>
      </w:r>
      <w:r w:rsidDel="00000000" w:rsidR="00000000" w:rsidRPr="00000000">
        <w:rPr>
          <w:rtl w:val="0"/>
        </w:rPr>
        <w:t xml:space="preserve">) painted on the ceiling of Ramesses V/VI’s burial chamber (Fig.1), which depicts the goddess Nut swallowing and birthing the sun.</w:t>
      </w:r>
      <w:r w:rsidDel="00000000" w:rsidR="00000000" w:rsidRPr="00000000">
        <w:rPr>
          <w:vertAlign w:val="superscript"/>
        </w:rPr>
        <w:footnoteReference w:customMarkFollows="0" w:id="0"/>
      </w:r>
      <w:r w:rsidDel="00000000" w:rsidR="00000000" w:rsidRPr="00000000">
        <w:rPr>
          <w:rtl w:val="0"/>
        </w:rPr>
        <w:t xml:space="preserve"> The second will be my own painting, titled </w:t>
      </w:r>
      <w:r w:rsidDel="00000000" w:rsidR="00000000" w:rsidRPr="00000000">
        <w:rPr>
          <w:i w:val="1"/>
          <w:iCs w:val="1"/>
          <w:rtl w:val="0"/>
        </w:rPr>
        <w:t xml:space="preserve">Happy New Year</w:t>
      </w:r>
      <w:r w:rsidDel="00000000" w:rsidR="00000000" w:rsidRPr="00000000">
        <w:rPr>
          <w:rtl w:val="0"/>
        </w:rPr>
        <w:t xml:space="preserve"> (Fig.2).</w:t>
      </w:r>
      <w:r w:rsidDel="00000000" w:rsidR="00000000" w:rsidRPr="00000000">
        <w:rPr>
          <w:vertAlign w:val="superscript"/>
        </w:rPr>
        <w:footnoteReference w:customMarkFollows="0" w:id="1"/>
      </w:r>
      <w:r w:rsidDel="00000000" w:rsidR="00000000" w:rsidRPr="00000000">
        <w:rPr>
          <w:rtl w:val="0"/>
        </w:rPr>
        <w:t xml:space="preserve"> </w:t>
      </w:r>
    </w:p>
    <w:p w:rsidR="00000000" w:rsidDel="00000000" w:rsidP="00000000" w:rsidRDefault="00000000" w:rsidRPr="00000000" w14:paraId="000000AB">
      <w:pPr>
        <w:spacing w:line="240" w:lineRule="auto"/>
        <w:ind w:firstLine="720"/>
        <w:rPr>
          <w:b w:val="1"/>
          <w:bCs w:val="1"/>
          <w:i w:val="1"/>
          <w:iCs w:val="1"/>
        </w:rPr>
      </w:pPr>
      <w:r w:rsidDel="00000000" w:rsidR="00000000" w:rsidRPr="00000000">
        <w:rPr>
          <w:rtl w:val="0"/>
        </w:rPr>
        <w:t xml:space="preserve">Section 1 will provide a brief historical background to each piece. Section 2 will examine the formal elements constituting each piece and what that might reveal about their respective culture's attitude towards the sky. Section 3 will focus on the sky myths underlying said pieces, while Section 4 will continue this mythic analysis by utilizing a Weberian ‘enchanted versus disenchanted’ framework.</w:t>
      </w:r>
      <w:r w:rsidDel="00000000" w:rsidR="00000000" w:rsidRPr="00000000">
        <w:rPr>
          <w:rtl w:val="0"/>
        </w:rPr>
      </w:r>
    </w:p>
    <w:p w:rsidR="00000000" w:rsidDel="00000000" w:rsidP="00000000" w:rsidRDefault="00000000" w:rsidRPr="00000000" w14:paraId="000000AC">
      <w:pPr>
        <w:spacing w:line="240" w:lineRule="auto"/>
        <w:rPr>
          <w:b w:val="1"/>
          <w:bCs w:val="1"/>
        </w:rPr>
      </w:pPr>
      <w:r w:rsidDel="00000000" w:rsidR="00000000" w:rsidRPr="00000000">
        <w:rPr>
          <w:b w:val="1"/>
          <w:bCs w:val="1"/>
          <w:rtl w:val="0"/>
        </w:rPr>
        <w:t xml:space="preserve">______________________________________________________________________________</w:t>
      </w:r>
    </w:p>
    <w:p w:rsidR="00000000" w:rsidDel="00000000" w:rsidP="00000000" w:rsidRDefault="00000000" w:rsidRPr="00000000" w14:paraId="000000AD">
      <w:pPr>
        <w:spacing w:line="240" w:lineRule="auto"/>
        <w:rPr>
          <w:b w:val="1"/>
          <w:bCs w:val="1"/>
        </w:rPr>
      </w:pPr>
      <w:r w:rsidDel="00000000" w:rsidR="00000000" w:rsidRPr="00000000">
        <w:rPr>
          <w:rtl w:val="0"/>
        </w:rPr>
      </w:r>
    </w:p>
    <w:p w:rsidR="00000000" w:rsidDel="00000000" w:rsidP="00000000" w:rsidRDefault="00000000" w:rsidRPr="00000000" w14:paraId="000000AE">
      <w:pPr>
        <w:spacing w:line="240" w:lineRule="auto"/>
        <w:rPr>
          <w:b w:val="1"/>
          <w:bCs w:val="1"/>
        </w:rPr>
      </w:pPr>
      <w:r w:rsidDel="00000000" w:rsidR="00000000" w:rsidRPr="00000000">
        <w:rPr>
          <w:b w:val="1"/>
          <w:bCs w:val="1"/>
          <w:rtl w:val="0"/>
        </w:rPr>
        <w:t xml:space="preserve">1.  </w:t>
        <w:tab/>
      </w:r>
    </w:p>
    <w:p w:rsidR="00000000" w:rsidDel="00000000" w:rsidP="00000000" w:rsidRDefault="00000000" w:rsidRPr="00000000" w14:paraId="000000AF">
      <w:pPr>
        <w:spacing w:line="240" w:lineRule="auto"/>
        <w:rPr/>
      </w:pPr>
      <w:r w:rsidDel="00000000" w:rsidR="00000000" w:rsidRPr="00000000">
        <w:rPr>
          <w:b w:val="1"/>
          <w:bCs w:val="1"/>
          <w:rtl w:val="0"/>
        </w:rPr>
        <w:t xml:space="preserve">1.1. Terminology:</w:t>
        <w:br w:type="textWrapping"/>
        <w:tab/>
      </w:r>
      <w:r w:rsidDel="00000000" w:rsidR="00000000" w:rsidRPr="00000000">
        <w:rPr>
          <w:rtl w:val="0"/>
        </w:rPr>
        <w:t xml:space="preserve">Before proceeding, some terms need to be defined:</w:t>
      </w:r>
    </w:p>
    <w:p w:rsidR="00000000" w:rsidDel="00000000" w:rsidP="00000000" w:rsidRDefault="00000000" w:rsidRPr="00000000" w14:paraId="000000B0">
      <w:pPr>
        <w:spacing w:line="240" w:lineRule="auto"/>
        <w:rPr/>
      </w:pPr>
      <w:r w:rsidDel="00000000" w:rsidR="00000000" w:rsidRPr="00000000">
        <w:rPr>
          <w:i w:val="1"/>
          <w:iCs w:val="1"/>
          <w:rtl w:val="0"/>
        </w:rPr>
        <w:t xml:space="preserve">The West</w:t>
      </w:r>
      <w:r w:rsidDel="00000000" w:rsidR="00000000" w:rsidRPr="00000000">
        <w:rPr>
          <w:rtl w:val="0"/>
        </w:rPr>
        <w:t xml:space="preserve">— even though the term often encompasses Europe and North America, this paper will only refer to the culture of the United States, my birthplace, when using said term. However, an attempt will be made to instead simply refer to the United States by name, when possible.</w:t>
      </w:r>
    </w:p>
    <w:p w:rsidR="00000000" w:rsidDel="00000000" w:rsidP="00000000" w:rsidRDefault="00000000" w:rsidRPr="00000000" w14:paraId="000000B1">
      <w:pPr>
        <w:spacing w:line="240" w:lineRule="auto"/>
        <w:ind w:firstLine="720"/>
        <w:rPr/>
      </w:pPr>
      <w:r w:rsidDel="00000000" w:rsidR="00000000" w:rsidRPr="00000000">
        <w:rPr>
          <w:rtl w:val="0"/>
        </w:rPr>
        <w:br w:type="textWrapping"/>
      </w:r>
      <w:r w:rsidDel="00000000" w:rsidR="00000000" w:rsidRPr="00000000">
        <w:rPr>
          <w:i w:val="1"/>
          <w:iCs w:val="1"/>
          <w:rtl w:val="0"/>
        </w:rPr>
        <w:t xml:space="preserve">Myth</w:t>
      </w:r>
      <w:r w:rsidDel="00000000" w:rsidR="00000000" w:rsidRPr="00000000">
        <w:rPr>
          <w:rtl w:val="0"/>
        </w:rPr>
        <w:t xml:space="preserve">— </w:t>
      </w:r>
      <w:r w:rsidDel="00000000" w:rsidR="00000000" w:rsidRPr="00000000">
        <w:rPr>
          <w:color w:val="1a1818"/>
          <w:rtl w:val="0"/>
        </w:rPr>
        <w:t xml:space="preserve">Thompson and Schrempp’s definition will be used: ‘narratives of profound cultural and individual importance’ that ‘establish our understanding of ourselves and our place in the cosmos.’</w:t>
      </w:r>
      <w:r w:rsidDel="00000000" w:rsidR="00000000" w:rsidRPr="00000000">
        <w:rPr>
          <w:color w:val="1a1818"/>
          <w:vertAlign w:val="superscript"/>
        </w:rPr>
        <w:footnoteReference w:customMarkFollows="0" w:id="2"/>
      </w:r>
      <w:r w:rsidDel="00000000" w:rsidR="00000000" w:rsidRPr="00000000">
        <w:rPr>
          <w:color w:val="1a1818"/>
          <w:rtl w:val="0"/>
        </w:rPr>
        <w:t xml:space="preserve"> Hence, this paper will not concern itself with any veracity claims.</w:t>
        <w:br w:type="textWrapping"/>
        <w:br w:type="textWrapping"/>
      </w:r>
      <w:r w:rsidDel="00000000" w:rsidR="00000000" w:rsidRPr="00000000">
        <w:rPr>
          <w:i w:val="1"/>
          <w:iCs w:val="1"/>
          <w:color w:val="1a1818"/>
          <w:rtl w:val="0"/>
        </w:rPr>
        <w:t xml:space="preserve">Wonder</w:t>
      </w:r>
      <w:r w:rsidDel="00000000" w:rsidR="00000000" w:rsidRPr="00000000">
        <w:rPr>
          <w:color w:val="1a1818"/>
          <w:rtl w:val="0"/>
        </w:rPr>
        <w:t xml:space="preserve">—  By combining </w:t>
      </w:r>
      <w:r w:rsidDel="00000000" w:rsidR="00000000" w:rsidRPr="00000000">
        <w:rPr>
          <w:rtl w:val="0"/>
        </w:rPr>
        <w:t xml:space="preserve">Mancuso’s discussion on love, time, and life, with Curry’s writings on wonder, ‘wonder’ here is defined as a temporary, relational experience in which the differences between one and an Other (this ‘Other’ could be another human, a plant, the sky, etc.) are levelled, but not erased, thus producing a sense that one and the Other are both ungovernable.</w:t>
      </w:r>
      <w:r w:rsidDel="00000000" w:rsidR="00000000" w:rsidRPr="00000000">
        <w:rPr>
          <w:vertAlign w:val="superscript"/>
        </w:rPr>
        <w:footnoteReference w:customMarkFollows="0" w:id="3"/>
      </w:r>
      <w:r w:rsidDel="00000000" w:rsidR="00000000" w:rsidRPr="00000000">
        <w:rPr>
          <w:rtl w:val="0"/>
        </w:rPr>
        <w:t xml:space="preserve"> </w:t>
        <w:br w:type="textWrapping"/>
      </w:r>
    </w:p>
    <w:p w:rsidR="00000000" w:rsidDel="00000000" w:rsidP="00000000" w:rsidRDefault="00000000" w:rsidRPr="00000000" w14:paraId="000000B2">
      <w:pPr>
        <w:spacing w:line="240" w:lineRule="auto"/>
        <w:ind w:firstLine="720"/>
        <w:rPr/>
      </w:pPr>
      <w:r w:rsidDel="00000000" w:rsidR="00000000" w:rsidRPr="00000000">
        <w:rPr>
          <w:rtl w:val="0"/>
        </w:rPr>
      </w:r>
    </w:p>
    <w:p w:rsidR="00000000" w:rsidDel="00000000" w:rsidP="00000000" w:rsidRDefault="00000000" w:rsidRPr="00000000" w14:paraId="000000B3">
      <w:pPr>
        <w:spacing w:line="240" w:lineRule="auto"/>
        <w:ind w:firstLine="720"/>
        <w:rPr/>
      </w:pPr>
      <w:r w:rsidDel="00000000" w:rsidR="00000000" w:rsidRPr="00000000">
        <w:rPr>
          <w:rtl w:val="0"/>
        </w:rPr>
        <w:br w:type="textWrapping"/>
      </w:r>
      <w:r w:rsidDel="00000000" w:rsidR="00000000" w:rsidRPr="00000000">
        <w:rPr>
          <w:i w:val="1"/>
          <w:iCs w:val="1"/>
          <w:rtl w:val="0"/>
        </w:rPr>
        <w:t xml:space="preserve">(Dis)Enchantment</w:t>
      </w:r>
      <w:r w:rsidDel="00000000" w:rsidR="00000000" w:rsidRPr="00000000">
        <w:rPr>
          <w:rtl w:val="0"/>
        </w:rPr>
        <w:t xml:space="preserve">— Using Weber’s use of the term(s), ‘enchantment’ will mean a belief in myth and an animate, personalized universe that requires active participation. Conversely, his use of ‘disenchanted’— a belief in a materialist and lifeless universe that leaves no room for myth or personalization —will also be used.</w:t>
      </w:r>
      <w:r w:rsidDel="00000000" w:rsidR="00000000" w:rsidRPr="00000000">
        <w:rPr>
          <w:vertAlign w:val="superscript"/>
        </w:rPr>
        <w:footnoteReference w:customMarkFollows="0" w:id="4"/>
      </w:r>
      <w:r w:rsidDel="00000000" w:rsidR="00000000" w:rsidRPr="00000000">
        <w:rPr>
          <w:rtl w:val="0"/>
        </w:rPr>
        <w:t xml:space="preserve"> Enchantment preserves mystery, while disenchantment dispels it. </w:t>
      </w:r>
      <w:r w:rsidDel="00000000" w:rsidR="00000000" w:rsidRPr="00000000">
        <w:rPr>
          <w:b w:val="1"/>
          <w:bCs w:val="1"/>
          <w:rtl w:val="0"/>
        </w:rPr>
        <w:br w:type="textWrapping"/>
        <w:br w:type="textWrapping"/>
        <w:t xml:space="preserve">1.2. Background: </w:t>
        <w:br w:type="textWrapping"/>
        <w:tab/>
      </w:r>
      <w:r w:rsidDel="00000000" w:rsidR="00000000" w:rsidRPr="00000000">
        <w:rPr>
          <w:rtl w:val="0"/>
        </w:rPr>
        <w:t xml:space="preserve">The vaulted ceiling upon which </w:t>
      </w:r>
      <w:r w:rsidDel="00000000" w:rsidR="00000000" w:rsidRPr="00000000">
        <w:rPr>
          <w:i w:val="1"/>
          <w:iCs w:val="1"/>
          <w:rtl w:val="0"/>
        </w:rPr>
        <w:t xml:space="preserve">BoDN</w:t>
      </w:r>
      <w:r w:rsidDel="00000000" w:rsidR="00000000" w:rsidRPr="00000000">
        <w:rPr>
          <w:rtl w:val="0"/>
        </w:rPr>
        <w:t xml:space="preserve"> (Fig.1)</w:t>
      </w:r>
      <w:r w:rsidDel="00000000" w:rsidR="00000000" w:rsidRPr="00000000">
        <w:rPr>
          <w:i w:val="1"/>
          <w:iCs w:val="1"/>
          <w:rtl w:val="0"/>
        </w:rPr>
        <w:t xml:space="preserve"> </w:t>
      </w:r>
      <w:r w:rsidDel="00000000" w:rsidR="00000000" w:rsidRPr="00000000">
        <w:rPr>
          <w:rtl w:val="0"/>
        </w:rPr>
        <w:t xml:space="preserve">is painted is part of a larger 20th dynasty tomb within The Valley of Kings, located on the western bank of the Nile across from Thebes (Modern–day Luxor), dubbed KV 9. KV 9 was initially constructed for Ramesses V (regnal dates: 1146–1141), then usurped and expanded by Ramesses VI (regnal dates: 1141–1133), during the latter part of the New Kingdom (c.</w:t>
      </w:r>
      <w:r w:rsidDel="00000000" w:rsidR="00000000" w:rsidRPr="00000000">
        <w:rPr>
          <w:color w:val="202122"/>
          <w:highlight w:val="white"/>
          <w:rtl w:val="0"/>
        </w:rPr>
        <w:t xml:space="preserve">16th cent. BCE–11th cent. BCE</w:t>
      </w:r>
      <w:r w:rsidDel="00000000" w:rsidR="00000000" w:rsidRPr="00000000">
        <w:rPr>
          <w:rtl w:val="0"/>
        </w:rPr>
        <w:t xml:space="preserve">) that was marked by territorial loss, economic shrinkage, and terse Pharaonic reigns with a consequent decrease in monarchic authority.</w:t>
      </w:r>
      <w:r w:rsidDel="00000000" w:rsidR="00000000" w:rsidRPr="00000000">
        <w:rPr>
          <w:vertAlign w:val="superscript"/>
        </w:rPr>
        <w:footnoteReference w:customMarkFollows="0" w:id="5"/>
      </w:r>
      <w:r w:rsidDel="00000000" w:rsidR="00000000" w:rsidRPr="00000000">
        <w:rPr>
          <w:b w:val="1"/>
          <w:bCs w:val="1"/>
          <w:rtl w:val="0"/>
        </w:rPr>
        <w:t xml:space="preserve"> </w:t>
      </w:r>
      <w:r w:rsidDel="00000000" w:rsidR="00000000" w:rsidRPr="00000000">
        <w:rPr>
          <w:rtl w:val="0"/>
        </w:rPr>
        <w:t xml:space="preserve">The decoration of royal tombs, paradoxically, perhaps became more elaborate as a response to this decline in imperial potency, as well as the previous religious upheaval from Akhenaten’s reforms.</w:t>
      </w:r>
      <w:r w:rsidDel="00000000" w:rsidR="00000000" w:rsidRPr="00000000">
        <w:rPr>
          <w:vertAlign w:val="superscript"/>
        </w:rPr>
        <w:footnoteReference w:customMarkFollows="0" w:id="6"/>
      </w:r>
      <w:r w:rsidDel="00000000" w:rsidR="00000000" w:rsidRPr="00000000">
        <w:rPr>
          <w:rtl w:val="0"/>
        </w:rPr>
        <w:t xml:space="preserve"> Beginning with the tomb of Sety I (Fig.3), royal tombs began to be completely decorated from entrance to burial chamber with a preference for celestial and cosmological motifs.</w:t>
      </w:r>
      <w:r w:rsidDel="00000000" w:rsidR="00000000" w:rsidRPr="00000000">
        <w:rPr>
          <w:vertAlign w:val="superscript"/>
        </w:rPr>
        <w:footnoteReference w:customMarkFollows="0" w:id="7"/>
      </w:r>
      <w:r w:rsidDel="00000000" w:rsidR="00000000" w:rsidRPr="00000000">
        <w:rPr>
          <w:rtl w:val="0"/>
        </w:rPr>
        <w:t xml:space="preserve"> </w:t>
        <w:tab/>
      </w:r>
    </w:p>
    <w:p w:rsidR="00000000" w:rsidDel="00000000" w:rsidP="00000000" w:rsidRDefault="00000000" w:rsidRPr="00000000" w14:paraId="000000B4">
      <w:pPr>
        <w:spacing w:line="240" w:lineRule="auto"/>
        <w:ind w:left="0" w:firstLine="720"/>
        <w:rPr/>
      </w:pPr>
      <w:r w:rsidDel="00000000" w:rsidR="00000000" w:rsidRPr="00000000">
        <w:rPr>
          <w:rtl w:val="0"/>
        </w:rPr>
        <w:t xml:space="preserve">I painted </w:t>
      </w:r>
      <w:r w:rsidDel="00000000" w:rsidR="00000000" w:rsidRPr="00000000">
        <w:rPr>
          <w:i w:val="1"/>
          <w:iCs w:val="1"/>
          <w:rtl w:val="0"/>
        </w:rPr>
        <w:t xml:space="preserve">Happy New Year</w:t>
      </w:r>
      <w:r w:rsidDel="00000000" w:rsidR="00000000" w:rsidRPr="00000000">
        <w:rPr>
          <w:rtl w:val="0"/>
        </w:rPr>
        <w:t xml:space="preserve"> (Fig.2) in March and April of 2026, on a purchased 60.96 cm (W) by 76.2 cm (L) canvas using acrylic paint. Inspired by how sunset and sunrise were simultaneously presented in </w:t>
      </w:r>
      <w:r w:rsidDel="00000000" w:rsidR="00000000" w:rsidRPr="00000000">
        <w:rPr>
          <w:i w:val="1"/>
          <w:iCs w:val="1"/>
          <w:rtl w:val="0"/>
        </w:rPr>
        <w:t xml:space="preserve">BoDN </w:t>
      </w:r>
      <w:r w:rsidDel="00000000" w:rsidR="00000000" w:rsidRPr="00000000">
        <w:rPr>
          <w:rtl w:val="0"/>
        </w:rPr>
        <w:t xml:space="preserve">(Fig.1), I opted to partition one section of the canvas for sunset, another for sunrise, and the middle for a composite horizon. I then completed </w:t>
      </w:r>
      <w:r w:rsidDel="00000000" w:rsidR="00000000" w:rsidRPr="00000000">
        <w:rPr>
          <w:i w:val="1"/>
          <w:iCs w:val="1"/>
          <w:rtl w:val="0"/>
        </w:rPr>
        <w:t xml:space="preserve">Happy New Year </w:t>
      </w:r>
      <w:r w:rsidDel="00000000" w:rsidR="00000000" w:rsidRPr="00000000">
        <w:rPr>
          <w:rtl w:val="0"/>
        </w:rPr>
        <w:t xml:space="preserve">(Fig.2) over the course of three sessions. </w:t>
      </w:r>
    </w:p>
    <w:p w:rsidR="00000000" w:rsidDel="00000000" w:rsidP="00000000" w:rsidRDefault="00000000" w:rsidRPr="00000000" w14:paraId="000000B5">
      <w:pPr>
        <w:spacing w:line="240" w:lineRule="auto"/>
        <w:ind w:firstLine="720"/>
        <w:rPr/>
      </w:pPr>
      <w:r w:rsidDel="00000000" w:rsidR="00000000" w:rsidRPr="00000000">
        <w:rPr>
          <w:rtl w:val="0"/>
        </w:rPr>
        <w:t xml:space="preserve">My intention was to paint from observation. Therefore, the ‘sunset section’ was done on the evening of March 19, before the sunrise of the spring equinox, at Turtle Beach in Sarasota, Florida. The ‘sunrise section’ was done on April 2 at Celery Hill, which is an artificial mound. It is one of the few sites, in an otherwise flat landscape, that offers an elevated 360° view that isn’t a privately–owned building. I finally painted in the last section, this time at home on April 9, according to what I thought was visually pleasing; editing and revising the ‘sunset’ and ‘sunrise’ sections, altering their colors and outlining certain forms. </w:t>
      </w:r>
    </w:p>
    <w:p w:rsidR="00000000" w:rsidDel="00000000" w:rsidP="00000000" w:rsidRDefault="00000000" w:rsidRPr="00000000" w14:paraId="000000B6">
      <w:pPr>
        <w:spacing w:line="240" w:lineRule="auto"/>
        <w:ind w:firstLine="720"/>
        <w:rPr/>
      </w:pPr>
      <w:r w:rsidDel="00000000" w:rsidR="00000000" w:rsidRPr="00000000">
        <w:rPr>
          <w:rtl w:val="0"/>
        </w:rPr>
      </w:r>
    </w:p>
    <w:p w:rsidR="00000000" w:rsidDel="00000000" w:rsidP="00000000" w:rsidRDefault="00000000" w:rsidRPr="00000000" w14:paraId="000000B7">
      <w:pPr>
        <w:spacing w:line="240" w:lineRule="auto"/>
        <w:ind w:left="0" w:firstLine="0"/>
        <w:rPr/>
      </w:pPr>
      <w:r w:rsidDel="00000000" w:rsidR="00000000" w:rsidRPr="00000000">
        <w:rPr>
          <w:b w:val="1"/>
          <w:bCs w:val="1"/>
          <w:rtl w:val="0"/>
        </w:rPr>
        <w:t xml:space="preserve">2. Formal elements:</w:t>
        <w:br w:type="textWrapping"/>
        <w:tab/>
      </w:r>
      <w:r w:rsidDel="00000000" w:rsidR="00000000" w:rsidRPr="00000000">
        <w:rPr>
          <w:rtl w:val="0"/>
        </w:rPr>
        <w:t xml:space="preserve">Both </w:t>
      </w:r>
      <w:r w:rsidDel="00000000" w:rsidR="00000000" w:rsidRPr="00000000">
        <w:rPr>
          <w:i w:val="1"/>
          <w:iCs w:val="1"/>
          <w:rtl w:val="0"/>
        </w:rPr>
        <w:t xml:space="preserve">BoDN</w:t>
      </w:r>
      <w:r w:rsidDel="00000000" w:rsidR="00000000" w:rsidRPr="00000000">
        <w:rPr>
          <w:rtl w:val="0"/>
        </w:rPr>
        <w:t xml:space="preserve"> and </w:t>
      </w:r>
      <w:r w:rsidDel="00000000" w:rsidR="00000000" w:rsidRPr="00000000">
        <w:rPr>
          <w:i w:val="1"/>
          <w:iCs w:val="1"/>
          <w:rtl w:val="0"/>
        </w:rPr>
        <w:t xml:space="preserve">Happy New Year</w:t>
      </w:r>
      <w:r w:rsidDel="00000000" w:rsidR="00000000" w:rsidRPr="00000000">
        <w:rPr>
          <w:rtl w:val="0"/>
        </w:rPr>
        <w:t xml:space="preserve"> (Fig.1–2) visualize the sun’s entire course in an entire day, from dusk to dawn, albeit via different styles. In </w:t>
      </w:r>
      <w:r w:rsidDel="00000000" w:rsidR="00000000" w:rsidRPr="00000000">
        <w:rPr>
          <w:i w:val="1"/>
          <w:iCs w:val="1"/>
          <w:rtl w:val="0"/>
        </w:rPr>
        <w:t xml:space="preserve">BoDN</w:t>
      </w:r>
      <w:r w:rsidDel="00000000" w:rsidR="00000000" w:rsidRPr="00000000">
        <w:rPr>
          <w:rtl w:val="0"/>
        </w:rPr>
        <w:t xml:space="preserve"> (Fig.1), the sky is personified as Nut, the Egyptian sky goddess.</w:t>
      </w:r>
      <w:r w:rsidDel="00000000" w:rsidR="00000000" w:rsidRPr="00000000">
        <w:rPr>
          <w:vertAlign w:val="superscript"/>
        </w:rPr>
        <w:footnoteReference w:customMarkFollows="0" w:id="8"/>
      </w:r>
      <w:r w:rsidDel="00000000" w:rsidR="00000000" w:rsidRPr="00000000">
        <w:rPr>
          <w:rtl w:val="0"/>
        </w:rPr>
        <w:t xml:space="preserve"> On the ceiling, she is presented as a nude woman in two, near–identical forms, although it is important that she be described as one single entity, as shall be clarified later. Nut wears arm bands and bracelets and is elongated and arched over registers of hieroglyphs and smaller, processional figures (Fig.4). She is rendered in a range of single, primary colors that are flatly applied: her skin is rendered golden, her hair black, and a coat of blue, popularly known as ‘Egyptian blue’, provides the background (Fig.4).</w:t>
      </w:r>
      <w:r w:rsidDel="00000000" w:rsidR="00000000" w:rsidRPr="00000000">
        <w:rPr>
          <w:vertAlign w:val="superscript"/>
        </w:rPr>
        <w:footnoteReference w:customMarkFollows="0" w:id="9"/>
      </w:r>
      <w:r w:rsidDel="00000000" w:rsidR="00000000" w:rsidRPr="00000000">
        <w:rPr>
          <w:rtl w:val="0"/>
        </w:rPr>
        <w:t xml:space="preserve"> Touching the earth, which is stylized as a slim pink band, are Nut’s feet and hands which represent likewise the eastern and western horizons (Fig.5).</w:t>
      </w:r>
      <w:r w:rsidDel="00000000" w:rsidR="00000000" w:rsidRPr="00000000">
        <w:rPr>
          <w:vertAlign w:val="superscript"/>
        </w:rPr>
        <w:footnoteReference w:customMarkFollows="0" w:id="10"/>
      </w:r>
      <w:r w:rsidDel="00000000" w:rsidR="00000000" w:rsidRPr="00000000">
        <w:rPr>
          <w:rtl w:val="0"/>
        </w:rPr>
      </w:r>
    </w:p>
    <w:p w:rsidR="00000000" w:rsidDel="00000000" w:rsidP="00000000" w:rsidRDefault="00000000" w:rsidRPr="00000000" w14:paraId="000000B8">
      <w:pPr>
        <w:spacing w:line="240" w:lineRule="auto"/>
        <w:ind w:firstLine="720"/>
        <w:rPr/>
      </w:pPr>
      <w:r w:rsidDel="00000000" w:rsidR="00000000" w:rsidRPr="00000000">
        <w:rPr>
          <w:rtl w:val="0"/>
        </w:rPr>
        <w:t xml:space="preserve">Nut’s bimorphic body divides the ceiling in half, forming a roughly symmetrical image with one half being the day, the other the night. The diurnal side shows twelve red solar disks dotting Nut’s elongated torso, delineating the sun’s passage. The solar disks are framed by two rows of five–pointed stars running along Nut’s torso. Another solar disc floats in front of Nut’s lips, representing her swallowing of the sun (Fig.6)—i.e. sunset. Sunrise is instead represented by another solar disk emerging from Nut’s vagina (Fig.7). This particular solar disk is depicted as a yellow winged scarab, a symbol of rebirth and self–generation found throughout Egyptian iconography.</w:t>
      </w:r>
      <w:r w:rsidDel="00000000" w:rsidR="00000000" w:rsidRPr="00000000">
        <w:rPr>
          <w:vertAlign w:val="superscript"/>
        </w:rPr>
        <w:footnoteReference w:customMarkFollows="0" w:id="11"/>
      </w:r>
      <w:r w:rsidDel="00000000" w:rsidR="00000000" w:rsidRPr="00000000">
        <w:rPr>
          <w:rtl w:val="0"/>
        </w:rPr>
        <w:t xml:space="preserve"> No solar disk is painted, appropriately, on the nocturnal half of the composition. Instead, Nut’s body is decorated with a single file of five–pointed stars running from her navel to below her breast. </w:t>
      </w:r>
      <w:r w:rsidDel="00000000" w:rsidR="00000000" w:rsidRPr="00000000">
        <w:rPr>
          <w:rtl w:val="0"/>
        </w:rPr>
        <w:t xml:space="preserve">The processional figures running from left to right (if viewing the </w:t>
      </w:r>
      <w:r w:rsidDel="00000000" w:rsidR="00000000" w:rsidRPr="00000000">
        <w:rPr>
          <w:i w:val="1"/>
          <w:iCs w:val="1"/>
          <w:rtl w:val="0"/>
        </w:rPr>
        <w:t xml:space="preserve">Book of the Day</w:t>
      </w:r>
      <w:r w:rsidDel="00000000" w:rsidR="00000000" w:rsidRPr="00000000">
        <w:rPr>
          <w:rtl w:val="0"/>
        </w:rPr>
        <w:t xml:space="preserve"> section right–side up), along with the hieroglyphic text, lead the eye across the composition in a consistent direction, implying the piece’s strive for legibility and order.</w:t>
      </w:r>
      <w:r w:rsidDel="00000000" w:rsidR="00000000" w:rsidRPr="00000000">
        <w:rPr>
          <w:highlight w:val="red"/>
          <w:rtl w:val="0"/>
        </w:rPr>
        <w:br w:type="textWrapping"/>
      </w:r>
      <w:r w:rsidDel="00000000" w:rsidR="00000000" w:rsidRPr="00000000">
        <w:rPr>
          <w:rtl w:val="0"/>
        </w:rPr>
        <w:tab/>
      </w:r>
      <w:r w:rsidDel="00000000" w:rsidR="00000000" w:rsidRPr="00000000">
        <w:rPr>
          <w:i w:val="1"/>
          <w:iCs w:val="1"/>
          <w:rtl w:val="0"/>
        </w:rPr>
        <w:t xml:space="preserve">Happy New Year</w:t>
      </w:r>
      <w:r w:rsidDel="00000000" w:rsidR="00000000" w:rsidRPr="00000000">
        <w:rPr>
          <w:rtl w:val="0"/>
        </w:rPr>
        <w:t xml:space="preserve"> (Fig.2) is divided into three unequal bands. In contrast to the use of single colors in </w:t>
      </w:r>
      <w:r w:rsidDel="00000000" w:rsidR="00000000" w:rsidRPr="00000000">
        <w:rPr>
          <w:i w:val="1"/>
          <w:iCs w:val="1"/>
          <w:rtl w:val="0"/>
        </w:rPr>
        <w:t xml:space="preserve">BoDN </w:t>
      </w:r>
      <w:r w:rsidDel="00000000" w:rsidR="00000000" w:rsidRPr="00000000">
        <w:rPr>
          <w:rtl w:val="0"/>
        </w:rPr>
        <w:t xml:space="preserve">(Fig.1), each band displays mixed colors and obvious brush strokes. The top band is slightly brighter with the applied paint slightly more diluted by water. The middle band displays a majority of black and blue hues. The third bottom band (Fig.8) makes more prominent use of green, with several black–outlined brush strokes curling and running along the bottom band. </w:t>
      </w:r>
    </w:p>
    <w:p w:rsidR="00000000" w:rsidDel="00000000" w:rsidP="00000000" w:rsidRDefault="00000000" w:rsidRPr="00000000" w14:paraId="000000B9">
      <w:pPr>
        <w:spacing w:line="240" w:lineRule="auto"/>
        <w:ind w:firstLine="720"/>
        <w:rPr/>
      </w:pPr>
      <w:r w:rsidDel="00000000" w:rsidR="00000000" w:rsidRPr="00000000">
        <w:rPr>
          <w:rtl w:val="0"/>
        </w:rPr>
        <w:t xml:space="preserve">The majority of </w:t>
      </w:r>
      <w:r w:rsidDel="00000000" w:rsidR="00000000" w:rsidRPr="00000000">
        <w:rPr>
          <w:i w:val="1"/>
          <w:iCs w:val="1"/>
          <w:rtl w:val="0"/>
        </w:rPr>
        <w:t xml:space="preserve">Happy New Year</w:t>
      </w:r>
      <w:r w:rsidDel="00000000" w:rsidR="00000000" w:rsidRPr="00000000">
        <w:rPr>
          <w:rtl w:val="0"/>
        </w:rPr>
        <w:t xml:space="preserve"> is dark with a golden long shape outlined in red proceeding down–center, starting from the bottom edge of the first band and ending at the middle of the bottom third band (Fig.2). This shape is thus a composite of the two separate events I observed on March 19 and April 2, exhibiting the influence </w:t>
      </w:r>
      <w:r w:rsidDel="00000000" w:rsidR="00000000" w:rsidRPr="00000000">
        <w:rPr>
          <w:i w:val="1"/>
          <w:iCs w:val="1"/>
          <w:rtl w:val="0"/>
        </w:rPr>
        <w:t xml:space="preserve">BoDN </w:t>
      </w:r>
      <w:r w:rsidDel="00000000" w:rsidR="00000000" w:rsidRPr="00000000">
        <w:rPr>
          <w:rtl w:val="0"/>
        </w:rPr>
        <w:t xml:space="preserve">(Fig.1) had on me. </w:t>
        <w:br w:type="textWrapping"/>
        <w:tab/>
        <w:t xml:space="preserve">My primary intention was to ‘objectively’ document sunset, sunrise, and the relevant changing conditions of the sky, from a color–wise perspective. In being devoted to painting in ‘real time’, I was paradoxically led to avoid mixing my colors ‘realistically’ since the sky conditions changed too quickly (coupled with the fact that I hadn’t painted in many years). An additional circumstance was that, during the low–light phase of the sunrise session, it was simply too dark for me to clearly see which colors I was mixing (I refused to use a flashlight). I consequently pivoted my focus towards documenting the movements of cloud formations and birds with whatever colors I could. In trying to record all the events that elapsed in the sky on a small canvas, the result is a painting replete with frenetic brush strokes and swatches of color (Fig.2) that greatly differ from photographs I took of the sunset and sunrise (Fig.9–10). </w:t>
      </w:r>
      <w:r w:rsidDel="00000000" w:rsidR="00000000" w:rsidRPr="00000000">
        <w:rPr>
          <w:i w:val="1"/>
          <w:iCs w:val="1"/>
          <w:rtl w:val="0"/>
        </w:rPr>
        <w:t xml:space="preserve">Happy New Year </w:t>
      </w:r>
      <w:r w:rsidDel="00000000" w:rsidR="00000000" w:rsidRPr="00000000">
        <w:rPr>
          <w:rtl w:val="0"/>
        </w:rPr>
        <w:t xml:space="preserve">(Fig.2) thus became a gestural record of my subjective experience of the sky. Said experience is reflected in the composition, which, unlike </w:t>
      </w:r>
      <w:r w:rsidDel="00000000" w:rsidR="00000000" w:rsidRPr="00000000">
        <w:rPr>
          <w:i w:val="1"/>
          <w:iCs w:val="1"/>
          <w:rtl w:val="0"/>
        </w:rPr>
        <w:t xml:space="preserve">BoDN </w:t>
      </w:r>
      <w:r w:rsidDel="00000000" w:rsidR="00000000" w:rsidRPr="00000000">
        <w:rPr>
          <w:rtl w:val="0"/>
        </w:rPr>
        <w:t xml:space="preserve">(Fig.1), does not lead the eye in one direction but multiple; whether it be by tracing the horizon line, the yellow shapes in the center, or many jagged brush strokes, there is no singular visual path to follow.</w:t>
        <w:br w:type="textWrapping"/>
        <w:tab/>
        <w:t xml:space="preserve"> Although both </w:t>
      </w:r>
      <w:r w:rsidDel="00000000" w:rsidR="00000000" w:rsidRPr="00000000">
        <w:rPr>
          <w:i w:val="1"/>
          <w:iCs w:val="1"/>
          <w:rtl w:val="0"/>
        </w:rPr>
        <w:t xml:space="preserve">Happy New Year </w:t>
      </w:r>
      <w:r w:rsidDel="00000000" w:rsidR="00000000" w:rsidRPr="00000000">
        <w:rPr>
          <w:rtl w:val="0"/>
        </w:rPr>
        <w:t xml:space="preserve">(Fig.2) and </w:t>
      </w:r>
      <w:r w:rsidDel="00000000" w:rsidR="00000000" w:rsidRPr="00000000">
        <w:rPr>
          <w:i w:val="1"/>
          <w:iCs w:val="1"/>
          <w:rtl w:val="0"/>
        </w:rPr>
        <w:t xml:space="preserve">BoDN </w:t>
      </w:r>
      <w:r w:rsidDel="00000000" w:rsidR="00000000" w:rsidRPr="00000000">
        <w:rPr>
          <w:rtl w:val="0"/>
        </w:rPr>
        <w:t xml:space="preserve">(Fig.1) are unconcerned with an ‘accurate’ representation of the sky, they imply very different outlooks towards it.</w:t>
      </w:r>
      <w:r w:rsidDel="00000000" w:rsidR="00000000" w:rsidRPr="00000000">
        <w:rPr>
          <w:i w:val="1"/>
          <w:iCs w:val="1"/>
          <w:rtl w:val="0"/>
        </w:rPr>
        <w:t xml:space="preserve">BoDN</w:t>
      </w:r>
      <w:r w:rsidDel="00000000" w:rsidR="00000000" w:rsidRPr="00000000">
        <w:rPr>
          <w:rtl w:val="0"/>
        </w:rPr>
        <w:t xml:space="preserve">’s</w:t>
      </w:r>
      <w:r w:rsidDel="00000000" w:rsidR="00000000" w:rsidRPr="00000000">
        <w:rPr>
          <w:i w:val="1"/>
          <w:iCs w:val="1"/>
          <w:rtl w:val="0"/>
        </w:rPr>
        <w:t xml:space="preserve"> </w:t>
      </w:r>
      <w:r w:rsidDel="00000000" w:rsidR="00000000" w:rsidRPr="00000000">
        <w:rPr>
          <w:rtl w:val="0"/>
        </w:rPr>
        <w:t xml:space="preserve">(Fig.1) mirroring composition, steady application of single colors, and guiding use of text imply that the sky can be schematized and therefore navigated. </w:t>
      </w:r>
      <w:r w:rsidDel="00000000" w:rsidR="00000000" w:rsidRPr="00000000">
        <w:rPr>
          <w:i w:val="1"/>
          <w:iCs w:val="1"/>
          <w:rtl w:val="0"/>
        </w:rPr>
        <w:t xml:space="preserve">Happy New Year </w:t>
      </w:r>
      <w:r w:rsidDel="00000000" w:rsidR="00000000" w:rsidRPr="00000000">
        <w:rPr>
          <w:rtl w:val="0"/>
        </w:rPr>
        <w:t xml:space="preserve">(Fig.2), in its scattered use of mixed color and multiple focal points, instead assumes that the sky cannot be so easily mapped or traversed.</w:t>
      </w:r>
    </w:p>
    <w:p w:rsidR="00000000" w:rsidDel="00000000" w:rsidP="00000000" w:rsidRDefault="00000000" w:rsidRPr="00000000" w14:paraId="000000BA">
      <w:pPr>
        <w:spacing w:line="240" w:lineRule="auto"/>
        <w:ind w:firstLine="720"/>
        <w:rPr/>
      </w:pPr>
      <w:r w:rsidDel="00000000" w:rsidR="00000000" w:rsidRPr="00000000">
        <w:rPr>
          <w:rtl w:val="0"/>
        </w:rPr>
      </w:r>
    </w:p>
    <w:p w:rsidR="00000000" w:rsidDel="00000000" w:rsidP="00000000" w:rsidRDefault="00000000" w:rsidRPr="00000000" w14:paraId="000000BB">
      <w:pPr>
        <w:spacing w:line="240" w:lineRule="auto"/>
        <w:rPr/>
      </w:pPr>
      <w:r w:rsidDel="00000000" w:rsidR="00000000" w:rsidRPr="00000000">
        <w:rPr>
          <w:b w:val="1"/>
          <w:bCs w:val="1"/>
          <w:rtl w:val="0"/>
        </w:rPr>
        <w:t xml:space="preserve">3. Underlying myths:</w:t>
      </w:r>
      <w:r w:rsidDel="00000000" w:rsidR="00000000" w:rsidRPr="00000000">
        <w:rPr>
          <w:rtl w:val="0"/>
        </w:rPr>
        <w:br w:type="textWrapping"/>
        <w:tab/>
        <w:t xml:space="preserve">Both pieces engage with and render a form of sky myth. The winged solar scarab emerging from Nut’s genitals in </w:t>
      </w:r>
      <w:r w:rsidDel="00000000" w:rsidR="00000000" w:rsidRPr="00000000">
        <w:rPr>
          <w:i w:val="1"/>
          <w:iCs w:val="1"/>
          <w:rtl w:val="0"/>
        </w:rPr>
        <w:t xml:space="preserve">BoDN</w:t>
      </w:r>
      <w:r w:rsidDel="00000000" w:rsidR="00000000" w:rsidRPr="00000000">
        <w:rPr>
          <w:rtl w:val="0"/>
        </w:rPr>
        <w:t xml:space="preserve"> (Fig.1) elaborates her role as a divine mother figure who births the sunrise. Since the sun passes through the body of Nut in the </w:t>
      </w:r>
      <w:r w:rsidDel="00000000" w:rsidR="00000000" w:rsidRPr="00000000">
        <w:rPr>
          <w:i w:val="1"/>
          <w:iCs w:val="1"/>
          <w:rtl w:val="0"/>
        </w:rPr>
        <w:t xml:space="preserve">Book of the Night</w:t>
      </w:r>
      <w:r w:rsidDel="00000000" w:rsidR="00000000" w:rsidRPr="00000000">
        <w:rPr>
          <w:rtl w:val="0"/>
        </w:rPr>
        <w:t xml:space="preserve"> (Fig.1, Fig.5), it hence becomes a depiction of her as pregnant. Further, the Egyptians believed that a woman’s mouth led directly to the uterine complex and that ingestion of semen could lead to pregnancy.</w:t>
      </w:r>
      <w:r w:rsidDel="00000000" w:rsidR="00000000" w:rsidRPr="00000000">
        <w:rPr>
          <w:vertAlign w:val="superscript"/>
        </w:rPr>
        <w:footnoteReference w:customMarkFollows="0" w:id="12"/>
      </w:r>
      <w:r w:rsidDel="00000000" w:rsidR="00000000" w:rsidRPr="00000000">
        <w:rPr>
          <w:rtl w:val="0"/>
        </w:rPr>
        <w:t xml:space="preserve"> This is relevant to the depiction of Nut since the sun embodied a male procreative principle, as can be found in various Pyramid Texts.</w:t>
      </w:r>
      <w:r w:rsidDel="00000000" w:rsidR="00000000" w:rsidRPr="00000000">
        <w:rPr>
          <w:vertAlign w:val="superscript"/>
        </w:rPr>
        <w:footnoteReference w:customMarkFollows="0" w:id="13"/>
      </w:r>
      <w:r w:rsidDel="00000000" w:rsidR="00000000" w:rsidRPr="00000000">
        <w:rPr>
          <w:rtl w:val="0"/>
        </w:rPr>
        <w:t xml:space="preserve"> Therefore, the depiction of Nut in </w:t>
      </w:r>
      <w:r w:rsidDel="00000000" w:rsidR="00000000" w:rsidRPr="00000000">
        <w:rPr>
          <w:i w:val="1"/>
          <w:iCs w:val="1"/>
          <w:rtl w:val="0"/>
        </w:rPr>
        <w:t xml:space="preserve">BoDN </w:t>
      </w:r>
      <w:r w:rsidDel="00000000" w:rsidR="00000000" w:rsidRPr="00000000">
        <w:rPr>
          <w:rtl w:val="0"/>
        </w:rPr>
        <w:t xml:space="preserve">(Fig.1) swallowing the sun assumes an additional meaning signifying the moment of her impregnation. </w:t>
      </w:r>
    </w:p>
    <w:p w:rsidR="00000000" w:rsidDel="00000000" w:rsidP="00000000" w:rsidRDefault="00000000" w:rsidRPr="00000000" w14:paraId="000000BC">
      <w:pPr>
        <w:spacing w:line="240" w:lineRule="auto"/>
        <w:ind w:firstLine="720"/>
        <w:rPr/>
      </w:pPr>
      <w:r w:rsidDel="00000000" w:rsidR="00000000" w:rsidRPr="00000000">
        <w:rPr>
          <w:rtl w:val="0"/>
        </w:rPr>
        <w:t xml:space="preserve">Within Egyptian funerary culture, each deceased Pharaoh, ideally, would become Osiris in the afterlife. Osiris was the mythic first Pharaoh who, after having been resurrected by Isis, became the ruler of the Duat, or Netherworld.</w:t>
      </w:r>
      <w:r w:rsidDel="00000000" w:rsidR="00000000" w:rsidRPr="00000000">
        <w:rPr>
          <w:vertAlign w:val="superscript"/>
        </w:rPr>
        <w:footnoteReference w:customMarkFollows="0" w:id="14"/>
      </w:r>
      <w:r w:rsidDel="00000000" w:rsidR="00000000" w:rsidRPr="00000000">
        <w:rPr>
          <w:rtl w:val="0"/>
        </w:rPr>
        <w:t xml:space="preserve"> In the Egyptian ennead, Osiris was the son of Nut; so by becoming Osiris, the deceased Pharaoh returned to his divine mother, to be reborn as the sun of the next morning. As such, </w:t>
      </w:r>
      <w:r w:rsidDel="00000000" w:rsidR="00000000" w:rsidRPr="00000000">
        <w:rPr>
          <w:i w:val="1"/>
          <w:iCs w:val="1"/>
          <w:rtl w:val="0"/>
        </w:rPr>
        <w:t xml:space="preserve">BoDN </w:t>
      </w:r>
      <w:r w:rsidDel="00000000" w:rsidR="00000000" w:rsidRPr="00000000">
        <w:rPr>
          <w:rtl w:val="0"/>
        </w:rPr>
        <w:t xml:space="preserve">(Fig.1) not only depicts the course of the sun throughout the day and night, but also the original event of the first sunrise, which came forth from the body of Nut. To bury the Pharaoh’s mummy under </w:t>
      </w:r>
      <w:r w:rsidDel="00000000" w:rsidR="00000000" w:rsidRPr="00000000">
        <w:rPr>
          <w:i w:val="1"/>
          <w:iCs w:val="1"/>
          <w:rtl w:val="0"/>
        </w:rPr>
        <w:t xml:space="preserve">BoDN </w:t>
      </w:r>
      <w:r w:rsidDel="00000000" w:rsidR="00000000" w:rsidRPr="00000000">
        <w:rPr>
          <w:rtl w:val="0"/>
        </w:rPr>
        <w:t xml:space="preserve">(Fig.1) was to enact a ritual in the Eliadan sense and initiate a return to the singular, sacred event of an original myth.</w:t>
      </w:r>
      <w:r w:rsidDel="00000000" w:rsidR="00000000" w:rsidRPr="00000000">
        <w:rPr>
          <w:vertAlign w:val="superscript"/>
        </w:rPr>
        <w:footnoteReference w:customMarkFollows="0" w:id="15"/>
      </w:r>
      <w:r w:rsidDel="00000000" w:rsidR="00000000" w:rsidRPr="00000000">
        <w:rPr>
          <w:rtl w:val="0"/>
        </w:rPr>
      </w:r>
    </w:p>
    <w:p w:rsidR="00000000" w:rsidDel="00000000" w:rsidP="00000000" w:rsidRDefault="00000000" w:rsidRPr="00000000" w14:paraId="000000BD">
      <w:pPr>
        <w:spacing w:line="240" w:lineRule="auto"/>
        <w:ind w:firstLine="720"/>
        <w:rPr/>
      </w:pPr>
      <w:r w:rsidDel="00000000" w:rsidR="00000000" w:rsidRPr="00000000">
        <w:rPr>
          <w:i w:val="1"/>
          <w:iCs w:val="1"/>
          <w:rtl w:val="0"/>
        </w:rPr>
        <w:t xml:space="preserve">Happy New Year</w:t>
      </w:r>
      <w:r w:rsidDel="00000000" w:rsidR="00000000" w:rsidRPr="00000000">
        <w:rPr>
          <w:rtl w:val="0"/>
        </w:rPr>
        <w:t xml:space="preserve"> (Fig.2) seems to use no recognizable symbol for such a myth, at a glance. Indeed, since I painted it for only myself, I wasn’t bound by the requirement for any ‘symbolic legibility’ or collectively recognizable iconography. However, </w:t>
      </w:r>
      <w:r w:rsidDel="00000000" w:rsidR="00000000" w:rsidRPr="00000000">
        <w:rPr>
          <w:i w:val="1"/>
          <w:iCs w:val="1"/>
          <w:rtl w:val="0"/>
        </w:rPr>
        <w:t xml:space="preserve">Happy New Year </w:t>
      </w:r>
      <w:r w:rsidDel="00000000" w:rsidR="00000000" w:rsidRPr="00000000">
        <w:rPr>
          <w:rtl w:val="0"/>
        </w:rPr>
        <w:t xml:space="preserve">(Fig.2) became a personal symbol for my own sky myth. My decision to paint the last sunset before the 2026 spring equinox grew from a reaction to my sense of detachment regarding New Year’s Eve (a feeling that has brewed since 2020) and my natural surroundings— it had been months that I hadn’t observed the sky for a prolonged session. I therefore promised myself to instead celebrate my ‘own New Year’ by attending the sunset before the spring equinox. </w:t>
      </w:r>
      <w:r w:rsidDel="00000000" w:rsidR="00000000" w:rsidRPr="00000000">
        <w:rPr>
          <w:i w:val="1"/>
          <w:iCs w:val="1"/>
          <w:rtl w:val="0"/>
        </w:rPr>
        <w:t xml:space="preserve">Happy New Year </w:t>
      </w:r>
      <w:r w:rsidDel="00000000" w:rsidR="00000000" w:rsidRPr="00000000">
        <w:rPr>
          <w:rtl w:val="0"/>
        </w:rPr>
        <w:t xml:space="preserve">(Fig.2) therefore becomes a simultaneous marker of my personal breakage from a holiday I had stopped caring for, and a reminder to instead (re)embrace the sky. Like </w:t>
      </w:r>
      <w:r w:rsidDel="00000000" w:rsidR="00000000" w:rsidRPr="00000000">
        <w:rPr>
          <w:i w:val="1"/>
          <w:iCs w:val="1"/>
          <w:rtl w:val="0"/>
        </w:rPr>
        <w:t xml:space="preserve">BoDN </w:t>
      </w:r>
      <w:r w:rsidDel="00000000" w:rsidR="00000000" w:rsidRPr="00000000">
        <w:rPr>
          <w:rtl w:val="0"/>
        </w:rPr>
        <w:t xml:space="preserve">(Fig.1), my painting signifies now a hallowed first event to ideally return to, a catalyst for ritual. </w:t>
        <w:tab/>
        <w:br w:type="textWrapping"/>
      </w:r>
      <w:r w:rsidDel="00000000" w:rsidR="00000000" w:rsidRPr="00000000">
        <w:rPr/>
        <w:drawing>
          <wp:inline distB="114300" distT="114300" distL="114300" distR="114300">
            <wp:extent cx="5943600" cy="3048967"/>
            <wp:effectExtent b="0" l="0" r="0" t="0"/>
            <wp:docPr id="4" name="image10.jpg"/>
            <a:graphic>
              <a:graphicData uri="http://schemas.openxmlformats.org/drawingml/2006/picture">
                <pic:pic>
                  <pic:nvPicPr>
                    <pic:cNvPr id="0" name="image10.jpg"/>
                    <pic:cNvPicPr preferRelativeResize="0"/>
                  </pic:nvPicPr>
                  <pic:blipFill>
                    <a:blip r:embed="rId10"/>
                    <a:srcRect b="0" l="0" r="0" t="0"/>
                    <a:stretch>
                      <a:fillRect/>
                    </a:stretch>
                  </pic:blipFill>
                  <pic:spPr>
                    <a:xfrm>
                      <a:off x="0" y="0"/>
                      <a:ext cx="5943600" cy="3048967"/>
                    </a:xfrm>
                    <a:prstGeom prst="rect"/>
                    <a:ln/>
                  </pic:spPr>
                </pic:pic>
              </a:graphicData>
            </a:graphic>
          </wp:inline>
        </w:drawing>
      </w:r>
      <w:r w:rsidDel="00000000" w:rsidR="00000000" w:rsidRPr="00000000">
        <w:rPr>
          <w:rtl w:val="0"/>
        </w:rPr>
        <w:br w:type="textWrapping"/>
      </w:r>
    </w:p>
    <w:sdt>
      <w:sdtPr>
        <w:lock w:val="contentLocked"/>
        <w:id w:val="-1784021665"/>
        <w:tag w:val="goog_rdk_0"/>
      </w:sdtPr>
      <w:sdtContent>
        <w:tbl>
          <w:tblPr>
            <w:tblStyle w:val="Table3"/>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blHeader w:val="0"/>
            </w:trPr>
            <w:tc>
              <w:tcPr>
                <w:tcBorders>
                  <w:top w:color="ffffff" w:space="0" w:sz="8" w:val="single"/>
                  <w:left w:color="ffffff" w:space="0" w:sz="8" w:val="single"/>
                  <w:bottom w:color="ffffff" w:space="0" w:sz="8" w:val="single"/>
                  <w:right w:color="ffffff"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2"/>
                    <w:szCs w:val="22"/>
                  </w:rPr>
                </w:pPr>
                <w:r w:rsidDel="00000000" w:rsidR="00000000" w:rsidRPr="00000000">
                  <w:rPr>
                    <w:sz w:val="22"/>
                    <w:szCs w:val="22"/>
                    <w:rtl w:val="0"/>
                  </w:rPr>
                  <w:t xml:space="preserve">Figure 1. Unknown (n.d.), </w:t>
                </w:r>
                <w:r w:rsidDel="00000000" w:rsidR="00000000" w:rsidRPr="00000000">
                  <w:rPr>
                    <w:i w:val="1"/>
                    <w:iCs w:val="1"/>
                    <w:sz w:val="22"/>
                    <w:szCs w:val="22"/>
                    <w:rtl w:val="0"/>
                  </w:rPr>
                  <w:t xml:space="preserve">Book of the Day / Book of the Night, </w:t>
                </w:r>
                <w:r w:rsidDel="00000000" w:rsidR="00000000" w:rsidRPr="00000000">
                  <w:rPr>
                    <w:sz w:val="22"/>
                    <w:szCs w:val="22"/>
                    <w:rtl w:val="0"/>
                  </w:rPr>
                  <w:t xml:space="preserve">Dynasty 20, tempura paint on ceiling, KV 9, Valley of the Kings, </w:t>
                </w:r>
                <w:r w:rsidDel="00000000" w:rsidR="00000000" w:rsidRPr="00000000">
                  <w:rPr>
                    <w:color w:val="141513"/>
                    <w:sz w:val="22"/>
                    <w:szCs w:val="22"/>
                    <w:rtl w:val="0"/>
                  </w:rPr>
                  <w:t xml:space="preserve">East Valley West Bank, </w:t>
                </w:r>
                <w:r w:rsidDel="00000000" w:rsidR="00000000" w:rsidRPr="00000000">
                  <w:rPr>
                    <w:sz w:val="22"/>
                    <w:szCs w:val="22"/>
                    <w:rtl w:val="0"/>
                  </w:rPr>
                  <w:t xml:space="preserve">Luxor, Egypt.</w:t>
                </w:r>
                <w:r w:rsidDel="00000000" w:rsidR="00000000" w:rsidRPr="00000000">
                  <w:rPr>
                    <w:i w:val="1"/>
                    <w:iCs w:val="1"/>
                    <w:sz w:val="22"/>
                    <w:szCs w:val="22"/>
                    <w:rtl w:val="0"/>
                  </w:rPr>
                  <w:t xml:space="preserve"> Image</w:t>
                </w:r>
                <w:r w:rsidDel="00000000" w:rsidR="00000000" w:rsidRPr="00000000">
                  <w:rPr>
                    <w:sz w:val="22"/>
                    <w:szCs w:val="22"/>
                    <w:rtl w:val="0"/>
                  </w:rPr>
                  <w:t xml:space="preserve">: </w:t>
                </w:r>
                <w:r w:rsidDel="00000000" w:rsidR="00000000" w:rsidRPr="00000000">
                  <w:rPr>
                    <w:color w:val="141513"/>
                    <w:sz w:val="22"/>
                    <w:szCs w:val="22"/>
                    <w:highlight w:val="white"/>
                    <w:rtl w:val="0"/>
                  </w:rPr>
                  <w:t xml:space="preserve">American Research Center in Egypt (ARCE) / Theban Mapping Project.</w:t>
                </w:r>
                <w:r w:rsidDel="00000000" w:rsidR="00000000" w:rsidRPr="00000000">
                  <w:rPr>
                    <w:rtl w:val="0"/>
                  </w:rPr>
                </w:r>
              </w:p>
            </w:tc>
          </w:tr>
        </w:tbl>
      </w:sdtContent>
    </w:sdt>
    <w:p w:rsidR="00000000" w:rsidDel="00000000" w:rsidP="00000000" w:rsidRDefault="00000000" w:rsidRPr="00000000" w14:paraId="000000BF">
      <w:pPr>
        <w:spacing w:line="240" w:lineRule="auto"/>
        <w:ind w:left="0" w:firstLine="0"/>
        <w:rPr/>
      </w:pPr>
      <w:r w:rsidDel="00000000" w:rsidR="00000000" w:rsidRPr="00000000">
        <w:rPr>
          <w:rtl w:val="0"/>
        </w:rPr>
        <w:br w:type="textWrapping"/>
      </w:r>
      <w:r w:rsidDel="00000000" w:rsidR="00000000" w:rsidRPr="00000000">
        <w:rPr/>
        <w:drawing>
          <wp:inline distB="114300" distT="114300" distL="114300" distR="114300">
            <wp:extent cx="5848350" cy="3353246"/>
            <wp:effectExtent b="0" l="0" r="0" t="0"/>
            <wp:docPr id="3" name="image8.jpg"/>
            <a:graphic>
              <a:graphicData uri="http://schemas.openxmlformats.org/drawingml/2006/picture">
                <pic:pic>
                  <pic:nvPicPr>
                    <pic:cNvPr id="0" name="image8.jpg"/>
                    <pic:cNvPicPr preferRelativeResize="0"/>
                  </pic:nvPicPr>
                  <pic:blipFill>
                    <a:blip r:embed="rId11"/>
                    <a:srcRect b="0" l="0" r="0" t="0"/>
                    <a:stretch>
                      <a:fillRect/>
                    </a:stretch>
                  </pic:blipFill>
                  <pic:spPr>
                    <a:xfrm>
                      <a:off x="0" y="0"/>
                      <a:ext cx="5848350" cy="3353246"/>
                    </a:xfrm>
                    <a:prstGeom prst="rect"/>
                    <a:ln/>
                  </pic:spPr>
                </pic:pic>
              </a:graphicData>
            </a:graphic>
          </wp:inline>
        </w:drawing>
      </w:r>
      <w:r w:rsidDel="00000000" w:rsidR="00000000" w:rsidRPr="00000000">
        <w:rPr>
          <w:rtl w:val="0"/>
        </w:rPr>
        <w:tab/>
      </w:r>
    </w:p>
    <w:p w:rsidR="00000000" w:rsidDel="00000000" w:rsidP="00000000" w:rsidRDefault="00000000" w:rsidRPr="00000000" w14:paraId="000000C0">
      <w:pPr>
        <w:spacing w:line="240" w:lineRule="auto"/>
        <w:ind w:firstLine="720"/>
        <w:rPr/>
      </w:pPr>
      <w:r w:rsidDel="00000000" w:rsidR="00000000" w:rsidRPr="00000000">
        <w:rPr>
          <w:rtl w:val="0"/>
        </w:rPr>
      </w:r>
    </w:p>
    <w:sdt>
      <w:sdtPr>
        <w:lock w:val="contentLocked"/>
        <w:id w:val="-1892323580"/>
        <w:tag w:val="goog_rdk_1"/>
      </w:sdtPr>
      <w:sdtContent>
        <w:tbl>
          <w:tblPr>
            <w:tblStyle w:val="Table4"/>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blHeader w:val="0"/>
            </w:trPr>
            <w:tc>
              <w:tcPr>
                <w:tcBorders>
                  <w:top w:color="ffffff" w:space="0" w:sz="8" w:val="single"/>
                  <w:left w:color="ffffff" w:space="0" w:sz="8" w:val="single"/>
                  <w:bottom w:color="ffffff" w:space="0" w:sz="8" w:val="single"/>
                  <w:right w:color="ffffff"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C1">
                <w:pPr>
                  <w:widowControl w:val="0"/>
                  <w:spacing w:line="240" w:lineRule="auto"/>
                  <w:rPr/>
                </w:pPr>
                <w:r w:rsidDel="00000000" w:rsidR="00000000" w:rsidRPr="00000000">
                  <w:rPr>
                    <w:sz w:val="22"/>
                    <w:szCs w:val="22"/>
                    <w:rtl w:val="0"/>
                  </w:rPr>
                  <w:t xml:space="preserve">Figure 2. Costantino Toth (1995–current), </w:t>
                </w:r>
                <w:r w:rsidDel="00000000" w:rsidR="00000000" w:rsidRPr="00000000">
                  <w:rPr>
                    <w:i w:val="1"/>
                    <w:iCs w:val="1"/>
                    <w:sz w:val="22"/>
                    <w:szCs w:val="22"/>
                    <w:rtl w:val="0"/>
                  </w:rPr>
                  <w:t xml:space="preserve">Happy New Year, </w:t>
                </w:r>
                <w:r w:rsidDel="00000000" w:rsidR="00000000" w:rsidRPr="00000000">
                  <w:rPr>
                    <w:sz w:val="22"/>
                    <w:szCs w:val="22"/>
                    <w:rtl w:val="0"/>
                  </w:rPr>
                  <w:t xml:space="preserve">2026, acrylic paint on canvas, Sarasota, Florida, U.S.A.</w:t>
                </w:r>
                <w:r w:rsidDel="00000000" w:rsidR="00000000" w:rsidRPr="00000000">
                  <w:rPr>
                    <w:rtl w:val="0"/>
                  </w:rPr>
                  <w:t xml:space="preserve"> </w:t>
                </w:r>
              </w:p>
            </w:tc>
          </w:tr>
        </w:tbl>
      </w:sdtContent>
    </w:sdt>
    <w:p w:rsidR="00000000" w:rsidDel="00000000" w:rsidP="00000000" w:rsidRDefault="00000000" w:rsidRPr="00000000" w14:paraId="000000C2">
      <w:pPr>
        <w:spacing w:line="240" w:lineRule="auto"/>
        <w:rPr/>
      </w:pPr>
      <w:r w:rsidDel="00000000" w:rsidR="00000000" w:rsidRPr="00000000">
        <w:rPr>
          <w:b w:val="1"/>
          <w:bCs w:val="1"/>
        </w:rPr>
        <w:drawing>
          <wp:inline distB="114300" distT="114300" distL="114300" distR="114300">
            <wp:extent cx="5943600" cy="3376613"/>
            <wp:effectExtent b="0" l="0" r="0" t="0"/>
            <wp:docPr id="10" name="image7.jpg"/>
            <a:graphic>
              <a:graphicData uri="http://schemas.openxmlformats.org/drawingml/2006/picture">
                <pic:pic>
                  <pic:nvPicPr>
                    <pic:cNvPr id="0" name="image7.jpg"/>
                    <pic:cNvPicPr preferRelativeResize="0"/>
                  </pic:nvPicPr>
                  <pic:blipFill>
                    <a:blip r:embed="rId12"/>
                    <a:srcRect b="0" l="0" r="0" t="0"/>
                    <a:stretch>
                      <a:fillRect/>
                    </a:stretch>
                  </pic:blipFill>
                  <pic:spPr>
                    <a:xfrm>
                      <a:off x="0" y="0"/>
                      <a:ext cx="5943600" cy="3376613"/>
                    </a:xfrm>
                    <a:prstGeom prst="rect"/>
                    <a:ln/>
                  </pic:spPr>
                </pic:pic>
              </a:graphicData>
            </a:graphic>
          </wp:inline>
        </w:drawing>
      </w:r>
      <w:r w:rsidDel="00000000" w:rsidR="00000000" w:rsidRPr="00000000">
        <w:rPr>
          <w:b w:val="1"/>
          <w:bCs w:val="1"/>
          <w:rtl w:val="0"/>
        </w:rPr>
        <w:br w:type="textWrapping"/>
      </w:r>
      <w:r w:rsidDel="00000000" w:rsidR="00000000" w:rsidRPr="00000000">
        <w:rPr>
          <w:rtl w:val="0"/>
        </w:rPr>
      </w:r>
    </w:p>
    <w:sdt>
      <w:sdtPr>
        <w:lock w:val="contentLocked"/>
        <w:id w:val="-1628982865"/>
        <w:tag w:val="goog_rdk_2"/>
      </w:sdtPr>
      <w:sdtContent>
        <w:tbl>
          <w:tblPr>
            <w:tblStyle w:val="Table5"/>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blHeader w:val="0"/>
            </w:trPr>
            <w:tc>
              <w:tcPr>
                <w:tcBorders>
                  <w:top w:color="ffffff" w:space="0" w:sz="8" w:val="single"/>
                  <w:left w:color="ffffff" w:space="0" w:sz="8" w:val="single"/>
                  <w:bottom w:color="ffffff" w:space="0" w:sz="8" w:val="single"/>
                  <w:right w:color="ffffff"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C3">
                <w:pPr>
                  <w:widowControl w:val="0"/>
                  <w:spacing w:line="240" w:lineRule="auto"/>
                  <w:rPr>
                    <w:sz w:val="22"/>
                    <w:szCs w:val="22"/>
                  </w:rPr>
                </w:pPr>
                <w:r w:rsidDel="00000000" w:rsidR="00000000" w:rsidRPr="00000000">
                  <w:rPr>
                    <w:sz w:val="22"/>
                    <w:szCs w:val="22"/>
                    <w:rtl w:val="0"/>
                  </w:rPr>
                  <w:t xml:space="preserve">Figure 3. Unknown (n.d.), Detail:</w:t>
                </w:r>
                <w:r w:rsidDel="00000000" w:rsidR="00000000" w:rsidRPr="00000000">
                  <w:rPr>
                    <w:i w:val="1"/>
                    <w:iCs w:val="1"/>
                    <w:sz w:val="22"/>
                    <w:szCs w:val="22"/>
                    <w:rtl w:val="0"/>
                  </w:rPr>
                  <w:t xml:space="preserve"> Ceiling of Sety I’s Burial Chamber, </w:t>
                </w:r>
                <w:r w:rsidDel="00000000" w:rsidR="00000000" w:rsidRPr="00000000">
                  <w:rPr>
                    <w:sz w:val="22"/>
                    <w:szCs w:val="22"/>
                    <w:rtl w:val="0"/>
                  </w:rPr>
                  <w:t xml:space="preserve">Dynasty 19, tempura paint on ceiling, KV 17, Valley of the Kings, </w:t>
                </w:r>
                <w:r w:rsidDel="00000000" w:rsidR="00000000" w:rsidRPr="00000000">
                  <w:rPr>
                    <w:color w:val="141513"/>
                    <w:sz w:val="22"/>
                    <w:szCs w:val="22"/>
                    <w:rtl w:val="0"/>
                  </w:rPr>
                  <w:t xml:space="preserve">East Valley West Bank, </w:t>
                </w:r>
                <w:r w:rsidDel="00000000" w:rsidR="00000000" w:rsidRPr="00000000">
                  <w:rPr>
                    <w:sz w:val="22"/>
                    <w:szCs w:val="22"/>
                    <w:rtl w:val="0"/>
                  </w:rPr>
                  <w:t xml:space="preserve">Luxor, Egypt. </w:t>
                </w:r>
                <w:r w:rsidDel="00000000" w:rsidR="00000000" w:rsidRPr="00000000">
                  <w:rPr>
                    <w:i w:val="1"/>
                    <w:iCs w:val="1"/>
                    <w:sz w:val="22"/>
                    <w:szCs w:val="22"/>
                    <w:rtl w:val="0"/>
                  </w:rPr>
                  <w:t xml:space="preserve">Image</w:t>
                </w:r>
                <w:r w:rsidDel="00000000" w:rsidR="00000000" w:rsidRPr="00000000">
                  <w:rPr>
                    <w:sz w:val="22"/>
                    <w:szCs w:val="22"/>
                    <w:rtl w:val="0"/>
                  </w:rPr>
                  <w:t xml:space="preserve">: </w:t>
                </w:r>
                <w:r w:rsidDel="00000000" w:rsidR="00000000" w:rsidRPr="00000000">
                  <w:rPr>
                    <w:color w:val="141513"/>
                    <w:sz w:val="22"/>
                    <w:szCs w:val="22"/>
                    <w:highlight w:val="white"/>
                    <w:rtl w:val="0"/>
                  </w:rPr>
                  <w:t xml:space="preserve">American Research Center in Egypt (ARCE) / Theban Mapping Project,</w:t>
                </w:r>
                <w:r w:rsidDel="00000000" w:rsidR="00000000" w:rsidRPr="00000000">
                  <w:rPr>
                    <w:i w:val="1"/>
                    <w:iCs w:val="1"/>
                    <w:color w:val="141513"/>
                    <w:sz w:val="22"/>
                    <w:szCs w:val="22"/>
                    <w:highlight w:val="white"/>
                    <w:rtl w:val="0"/>
                  </w:rPr>
                  <w:t xml:space="preserve"> </w:t>
                </w:r>
                <w:r w:rsidDel="00000000" w:rsidR="00000000" w:rsidRPr="00000000">
                  <w:rPr>
                    <w:i w:val="1"/>
                    <w:iCs w:val="1"/>
                    <w:sz w:val="22"/>
                    <w:szCs w:val="22"/>
                    <w:rtl w:val="0"/>
                  </w:rPr>
                  <w:t xml:space="preserve">Credit</w:t>
                </w:r>
                <w:r w:rsidDel="00000000" w:rsidR="00000000" w:rsidRPr="00000000">
                  <w:rPr>
                    <w:sz w:val="22"/>
                    <w:szCs w:val="22"/>
                    <w:rtl w:val="0"/>
                  </w:rPr>
                  <w:t xml:space="preserve">: </w:t>
                </w:r>
                <w:r w:rsidDel="00000000" w:rsidR="00000000" w:rsidRPr="00000000">
                  <w:rPr>
                    <w:color w:val="141513"/>
                    <w:sz w:val="22"/>
                    <w:szCs w:val="22"/>
                    <w:highlight w:val="white"/>
                    <w:rtl w:val="0"/>
                  </w:rPr>
                  <w:t xml:space="preserve">Francis Dzikowski.</w:t>
                </w:r>
                <w:r w:rsidDel="00000000" w:rsidR="00000000" w:rsidRPr="00000000">
                  <w:rPr>
                    <w:rtl w:val="0"/>
                  </w:rPr>
                </w:r>
              </w:p>
            </w:tc>
          </w:tr>
        </w:tbl>
      </w:sdtContent>
    </w:sdt>
    <w:p w:rsidR="00000000" w:rsidDel="00000000" w:rsidP="00000000" w:rsidRDefault="00000000" w:rsidRPr="00000000" w14:paraId="000000C4">
      <w:pPr>
        <w:spacing w:line="240" w:lineRule="auto"/>
        <w:rPr>
          <w:b w:val="1"/>
          <w:bCs w:val="1"/>
        </w:rPr>
      </w:pPr>
      <w:r w:rsidDel="00000000" w:rsidR="00000000" w:rsidRPr="00000000">
        <w:rPr>
          <w:b w:val="1"/>
          <w:bCs w:val="1"/>
          <w:rtl w:val="0"/>
        </w:rPr>
        <w:br w:type="textWrapping"/>
      </w:r>
      <w:r w:rsidDel="00000000" w:rsidR="00000000" w:rsidRPr="00000000">
        <w:rPr>
          <w:b w:val="1"/>
          <w:bCs w:val="1"/>
        </w:rPr>
        <w:drawing>
          <wp:inline distB="114300" distT="114300" distL="114300" distR="114300">
            <wp:extent cx="5857875" cy="2472482"/>
            <wp:effectExtent b="0" l="0" r="0" t="0"/>
            <wp:docPr id="11" name="image9.jpg"/>
            <a:graphic>
              <a:graphicData uri="http://schemas.openxmlformats.org/drawingml/2006/picture">
                <pic:pic>
                  <pic:nvPicPr>
                    <pic:cNvPr id="0" name="image9.jpg"/>
                    <pic:cNvPicPr preferRelativeResize="0"/>
                  </pic:nvPicPr>
                  <pic:blipFill>
                    <a:blip r:embed="rId13"/>
                    <a:srcRect b="0" l="0" r="0" t="0"/>
                    <a:stretch>
                      <a:fillRect/>
                    </a:stretch>
                  </pic:blipFill>
                  <pic:spPr>
                    <a:xfrm>
                      <a:off x="0" y="0"/>
                      <a:ext cx="5857875" cy="2472482"/>
                    </a:xfrm>
                    <a:prstGeom prst="rect"/>
                    <a:ln/>
                  </pic:spPr>
                </pic:pic>
              </a:graphicData>
            </a:graphic>
          </wp:inline>
        </w:drawing>
      </w:r>
      <w:r w:rsidDel="00000000" w:rsidR="00000000" w:rsidRPr="00000000">
        <w:rPr>
          <w:rtl w:val="0"/>
        </w:rPr>
      </w:r>
    </w:p>
    <w:p w:rsidR="00000000" w:rsidDel="00000000" w:rsidP="00000000" w:rsidRDefault="00000000" w:rsidRPr="00000000" w14:paraId="000000C5">
      <w:pPr>
        <w:spacing w:line="240" w:lineRule="auto"/>
        <w:ind w:firstLine="720"/>
        <w:rPr/>
      </w:pPr>
      <w:r w:rsidDel="00000000" w:rsidR="00000000" w:rsidRPr="00000000">
        <w:rPr>
          <w:rtl w:val="0"/>
        </w:rPr>
      </w:r>
    </w:p>
    <w:sdt>
      <w:sdtPr>
        <w:lock w:val="contentLocked"/>
        <w:id w:val="575181744"/>
        <w:tag w:val="goog_rdk_3"/>
      </w:sdtPr>
      <w:sdtContent>
        <w:tbl>
          <w:tblPr>
            <w:tblStyle w:val="Table6"/>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blHeader w:val="0"/>
            </w:trPr>
            <w:tc>
              <w:tcPr>
                <w:tcBorders>
                  <w:top w:color="ffffff" w:space="0" w:sz="8" w:val="single"/>
                  <w:left w:color="ffffff" w:space="0" w:sz="8" w:val="single"/>
                  <w:bottom w:color="ffffff" w:space="0" w:sz="8" w:val="single"/>
                  <w:right w:color="ffffff"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C6">
                <w:pPr>
                  <w:widowControl w:val="0"/>
                  <w:spacing w:line="240" w:lineRule="auto"/>
                  <w:rPr>
                    <w:sz w:val="22"/>
                    <w:szCs w:val="22"/>
                  </w:rPr>
                </w:pPr>
                <w:r w:rsidDel="00000000" w:rsidR="00000000" w:rsidRPr="00000000">
                  <w:rPr>
                    <w:sz w:val="22"/>
                    <w:szCs w:val="22"/>
                    <w:rtl w:val="0"/>
                  </w:rPr>
                  <w:t xml:space="preserve">Figure 4. Unknown (n.d.), Detail of </w:t>
                </w:r>
                <w:r w:rsidDel="00000000" w:rsidR="00000000" w:rsidRPr="00000000">
                  <w:rPr>
                    <w:i w:val="1"/>
                    <w:iCs w:val="1"/>
                    <w:sz w:val="22"/>
                    <w:szCs w:val="22"/>
                    <w:rtl w:val="0"/>
                  </w:rPr>
                  <w:t xml:space="preserve">Book of the Day </w:t>
                </w:r>
                <w:r w:rsidDel="00000000" w:rsidR="00000000" w:rsidRPr="00000000">
                  <w:rPr>
                    <w:sz w:val="22"/>
                    <w:szCs w:val="22"/>
                    <w:rtl w:val="0"/>
                  </w:rPr>
                  <w:t xml:space="preserve">(Nut’s hands represent the western horizon)</w:t>
                </w:r>
                <w:r w:rsidDel="00000000" w:rsidR="00000000" w:rsidRPr="00000000">
                  <w:rPr>
                    <w:i w:val="1"/>
                    <w:iCs w:val="1"/>
                    <w:sz w:val="22"/>
                    <w:szCs w:val="22"/>
                    <w:rtl w:val="0"/>
                  </w:rPr>
                  <w:t xml:space="preserve">, </w:t>
                </w:r>
                <w:r w:rsidDel="00000000" w:rsidR="00000000" w:rsidRPr="00000000">
                  <w:rPr>
                    <w:sz w:val="22"/>
                    <w:szCs w:val="22"/>
                    <w:rtl w:val="0"/>
                  </w:rPr>
                  <w:t xml:space="preserve">Dynasty 20, tempura paint on ceiling, KV 9, Valley of the Kings, </w:t>
                </w:r>
                <w:r w:rsidDel="00000000" w:rsidR="00000000" w:rsidRPr="00000000">
                  <w:rPr>
                    <w:color w:val="141513"/>
                    <w:sz w:val="22"/>
                    <w:szCs w:val="22"/>
                    <w:rtl w:val="0"/>
                  </w:rPr>
                  <w:t xml:space="preserve">East Valley West Bank, </w:t>
                </w:r>
                <w:r w:rsidDel="00000000" w:rsidR="00000000" w:rsidRPr="00000000">
                  <w:rPr>
                    <w:sz w:val="22"/>
                    <w:szCs w:val="22"/>
                    <w:rtl w:val="0"/>
                  </w:rPr>
                  <w:t xml:space="preserve">Luxor, Egypt.</w:t>
                </w:r>
                <w:r w:rsidDel="00000000" w:rsidR="00000000" w:rsidRPr="00000000">
                  <w:rPr>
                    <w:i w:val="1"/>
                    <w:iCs w:val="1"/>
                    <w:sz w:val="22"/>
                    <w:szCs w:val="22"/>
                    <w:rtl w:val="0"/>
                  </w:rPr>
                  <w:t xml:space="preserve"> Image</w:t>
                </w:r>
                <w:r w:rsidDel="00000000" w:rsidR="00000000" w:rsidRPr="00000000">
                  <w:rPr>
                    <w:sz w:val="22"/>
                    <w:szCs w:val="22"/>
                    <w:rtl w:val="0"/>
                  </w:rPr>
                  <w:t xml:space="preserve">: </w:t>
                </w:r>
                <w:r w:rsidDel="00000000" w:rsidR="00000000" w:rsidRPr="00000000">
                  <w:rPr>
                    <w:color w:val="141513"/>
                    <w:sz w:val="22"/>
                    <w:szCs w:val="22"/>
                    <w:highlight w:val="white"/>
                    <w:rtl w:val="0"/>
                  </w:rPr>
                  <w:t xml:space="preserve">American Research Center in Egypt (ARCE) / Theban Mapping Project, </w:t>
                </w:r>
                <w:r w:rsidDel="00000000" w:rsidR="00000000" w:rsidRPr="00000000">
                  <w:rPr>
                    <w:i w:val="1"/>
                    <w:iCs w:val="1"/>
                    <w:color w:val="141513"/>
                    <w:sz w:val="22"/>
                    <w:szCs w:val="22"/>
                    <w:highlight w:val="white"/>
                    <w:rtl w:val="0"/>
                  </w:rPr>
                  <w:t xml:space="preserve">Credit</w:t>
                </w:r>
                <w:r w:rsidDel="00000000" w:rsidR="00000000" w:rsidRPr="00000000">
                  <w:rPr>
                    <w:color w:val="141513"/>
                    <w:sz w:val="22"/>
                    <w:szCs w:val="22"/>
                    <w:highlight w:val="white"/>
                    <w:rtl w:val="0"/>
                  </w:rPr>
                  <w:t xml:space="preserve">: Francis Dzikowski.</w:t>
                </w:r>
                <w:r w:rsidDel="00000000" w:rsidR="00000000" w:rsidRPr="00000000">
                  <w:rPr>
                    <w:rtl w:val="0"/>
                  </w:rPr>
                </w:r>
              </w:p>
            </w:tc>
          </w:tr>
        </w:tbl>
      </w:sdtContent>
    </w:sdt>
    <w:p w:rsidR="00000000" w:rsidDel="00000000" w:rsidP="00000000" w:rsidRDefault="00000000" w:rsidRPr="00000000" w14:paraId="000000C7">
      <w:pPr>
        <w:spacing w:line="240" w:lineRule="auto"/>
        <w:rPr/>
      </w:pPr>
      <w:r w:rsidDel="00000000" w:rsidR="00000000" w:rsidRPr="00000000">
        <w:rPr/>
        <w:drawing>
          <wp:inline distB="114300" distT="114300" distL="114300" distR="114300">
            <wp:extent cx="5943600" cy="3822700"/>
            <wp:effectExtent b="0" l="0" r="0" t="0"/>
            <wp:docPr id="7" name="image2.jpg"/>
            <a:graphic>
              <a:graphicData uri="http://schemas.openxmlformats.org/drawingml/2006/picture">
                <pic:pic>
                  <pic:nvPicPr>
                    <pic:cNvPr id="0" name="image2.jpg"/>
                    <pic:cNvPicPr preferRelativeResize="0"/>
                  </pic:nvPicPr>
                  <pic:blipFill>
                    <a:blip r:embed="rId14"/>
                    <a:srcRect b="0" l="0" r="0" t="0"/>
                    <a:stretch>
                      <a:fillRect/>
                    </a:stretch>
                  </pic:blipFill>
                  <pic:spPr>
                    <a:xfrm>
                      <a:off x="0" y="0"/>
                      <a:ext cx="5943600" cy="3822700"/>
                    </a:xfrm>
                    <a:prstGeom prst="rect"/>
                    <a:ln/>
                  </pic:spPr>
                </pic:pic>
              </a:graphicData>
            </a:graphic>
          </wp:inline>
        </w:drawing>
      </w:r>
      <w:r w:rsidDel="00000000" w:rsidR="00000000" w:rsidRPr="00000000">
        <w:rPr>
          <w:rtl w:val="0"/>
        </w:rPr>
        <w:br w:type="textWrapping"/>
      </w:r>
    </w:p>
    <w:sdt>
      <w:sdtPr>
        <w:lock w:val="contentLocked"/>
        <w:id w:val="1964633671"/>
        <w:tag w:val="goog_rdk_4"/>
      </w:sdtPr>
      <w:sdtContent>
        <w:tbl>
          <w:tblPr>
            <w:tblStyle w:val="Table7"/>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blHeader w:val="0"/>
            </w:trPr>
            <w:tc>
              <w:tcPr>
                <w:tcBorders>
                  <w:top w:color="ffffff" w:space="0" w:sz="8" w:val="single"/>
                  <w:left w:color="ffffff" w:space="0" w:sz="8" w:val="single"/>
                  <w:bottom w:color="ffffff" w:space="0" w:sz="8" w:val="single"/>
                  <w:right w:color="ffffff"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C8">
                <w:pPr>
                  <w:widowControl w:val="0"/>
                  <w:spacing w:line="240" w:lineRule="auto"/>
                  <w:rPr>
                    <w:sz w:val="22"/>
                    <w:szCs w:val="22"/>
                  </w:rPr>
                </w:pPr>
                <w:r w:rsidDel="00000000" w:rsidR="00000000" w:rsidRPr="00000000">
                  <w:rPr>
                    <w:sz w:val="22"/>
                    <w:szCs w:val="22"/>
                    <w:rtl w:val="0"/>
                  </w:rPr>
                  <w:t xml:space="preserve">Figure 5. Unknown (n.d.), Detail of </w:t>
                </w:r>
                <w:r w:rsidDel="00000000" w:rsidR="00000000" w:rsidRPr="00000000">
                  <w:rPr>
                    <w:i w:val="1"/>
                    <w:iCs w:val="1"/>
                    <w:sz w:val="22"/>
                    <w:szCs w:val="22"/>
                    <w:rtl w:val="0"/>
                  </w:rPr>
                  <w:t xml:space="preserve">Book of the Night  </w:t>
                </w:r>
                <w:r w:rsidDel="00000000" w:rsidR="00000000" w:rsidRPr="00000000">
                  <w:rPr>
                    <w:sz w:val="22"/>
                    <w:szCs w:val="22"/>
                    <w:rtl w:val="0"/>
                  </w:rPr>
                  <w:t xml:space="preserve">(Nut’s feet represent the eastern horizon)</w:t>
                </w:r>
                <w:r w:rsidDel="00000000" w:rsidR="00000000" w:rsidRPr="00000000">
                  <w:rPr>
                    <w:i w:val="1"/>
                    <w:iCs w:val="1"/>
                    <w:sz w:val="22"/>
                    <w:szCs w:val="22"/>
                    <w:rtl w:val="0"/>
                  </w:rPr>
                  <w:t xml:space="preserve">, </w:t>
                </w:r>
                <w:r w:rsidDel="00000000" w:rsidR="00000000" w:rsidRPr="00000000">
                  <w:rPr>
                    <w:sz w:val="22"/>
                    <w:szCs w:val="22"/>
                    <w:rtl w:val="0"/>
                  </w:rPr>
                  <w:t xml:space="preserve">Dynasty 20, tempura paint on ceiling, KV 9, Valley of the Kings, </w:t>
                </w:r>
                <w:r w:rsidDel="00000000" w:rsidR="00000000" w:rsidRPr="00000000">
                  <w:rPr>
                    <w:color w:val="141513"/>
                    <w:sz w:val="22"/>
                    <w:szCs w:val="22"/>
                    <w:rtl w:val="0"/>
                  </w:rPr>
                  <w:t xml:space="preserve">East Valley West Bank, </w:t>
                </w:r>
                <w:r w:rsidDel="00000000" w:rsidR="00000000" w:rsidRPr="00000000">
                  <w:rPr>
                    <w:sz w:val="22"/>
                    <w:szCs w:val="22"/>
                    <w:rtl w:val="0"/>
                  </w:rPr>
                  <w:t xml:space="preserve">Luxor, Egypt.</w:t>
                </w:r>
                <w:r w:rsidDel="00000000" w:rsidR="00000000" w:rsidRPr="00000000">
                  <w:rPr>
                    <w:i w:val="1"/>
                    <w:iCs w:val="1"/>
                    <w:sz w:val="22"/>
                    <w:szCs w:val="22"/>
                    <w:rtl w:val="0"/>
                  </w:rPr>
                  <w:t xml:space="preserve"> Image</w:t>
                </w:r>
                <w:r w:rsidDel="00000000" w:rsidR="00000000" w:rsidRPr="00000000">
                  <w:rPr>
                    <w:sz w:val="22"/>
                    <w:szCs w:val="22"/>
                    <w:rtl w:val="0"/>
                  </w:rPr>
                  <w:t xml:space="preserve">: </w:t>
                </w:r>
                <w:r w:rsidDel="00000000" w:rsidR="00000000" w:rsidRPr="00000000">
                  <w:rPr>
                    <w:color w:val="141513"/>
                    <w:sz w:val="22"/>
                    <w:szCs w:val="22"/>
                    <w:highlight w:val="white"/>
                    <w:rtl w:val="0"/>
                  </w:rPr>
                  <w:t xml:space="preserve">American Research Center in Egypt (ARCE) / Theban Mapping Project, </w:t>
                </w:r>
                <w:r w:rsidDel="00000000" w:rsidR="00000000" w:rsidRPr="00000000">
                  <w:rPr>
                    <w:i w:val="1"/>
                    <w:iCs w:val="1"/>
                    <w:color w:val="141513"/>
                    <w:sz w:val="22"/>
                    <w:szCs w:val="22"/>
                    <w:highlight w:val="white"/>
                    <w:rtl w:val="0"/>
                  </w:rPr>
                  <w:t xml:space="preserve">Credit</w:t>
                </w:r>
                <w:r w:rsidDel="00000000" w:rsidR="00000000" w:rsidRPr="00000000">
                  <w:rPr>
                    <w:color w:val="141513"/>
                    <w:sz w:val="22"/>
                    <w:szCs w:val="22"/>
                    <w:highlight w:val="white"/>
                    <w:rtl w:val="0"/>
                  </w:rPr>
                  <w:t xml:space="preserve">: Francis Dzikowski.</w:t>
                </w:r>
                <w:r w:rsidDel="00000000" w:rsidR="00000000" w:rsidRPr="00000000">
                  <w:rPr>
                    <w:rtl w:val="0"/>
                  </w:rPr>
                </w:r>
              </w:p>
            </w:tc>
          </w:tr>
        </w:tbl>
      </w:sdtContent>
    </w:sdt>
    <w:p w:rsidR="00000000" w:rsidDel="00000000" w:rsidP="00000000" w:rsidRDefault="00000000" w:rsidRPr="00000000" w14:paraId="000000C9">
      <w:pPr>
        <w:spacing w:line="240" w:lineRule="auto"/>
        <w:rPr/>
      </w:pPr>
      <w:r w:rsidDel="00000000" w:rsidR="00000000" w:rsidRPr="00000000">
        <w:rPr>
          <w:rtl w:val="0"/>
        </w:rPr>
        <w:br w:type="textWrapping"/>
      </w:r>
      <w:r w:rsidDel="00000000" w:rsidR="00000000" w:rsidRPr="00000000">
        <w:rPr/>
        <w:drawing>
          <wp:inline distB="114300" distT="114300" distL="114300" distR="114300">
            <wp:extent cx="2505075" cy="2196926"/>
            <wp:effectExtent b="0" l="0" r="0" t="0"/>
            <wp:docPr id="1" name="image11.jpg"/>
            <a:graphic>
              <a:graphicData uri="http://schemas.openxmlformats.org/drawingml/2006/picture">
                <pic:pic>
                  <pic:nvPicPr>
                    <pic:cNvPr id="0" name="image11.jpg"/>
                    <pic:cNvPicPr preferRelativeResize="0"/>
                  </pic:nvPicPr>
                  <pic:blipFill>
                    <a:blip r:embed="rId15"/>
                    <a:srcRect b="12740" l="0" r="0" t="31188"/>
                    <a:stretch>
                      <a:fillRect/>
                    </a:stretch>
                  </pic:blipFill>
                  <pic:spPr>
                    <a:xfrm>
                      <a:off x="0" y="0"/>
                      <a:ext cx="2505075" cy="2196926"/>
                    </a:xfrm>
                    <a:prstGeom prst="rect"/>
                    <a:ln/>
                  </pic:spPr>
                </pic:pic>
              </a:graphicData>
            </a:graphic>
          </wp:inline>
        </w:drawing>
      </w:r>
      <w:r w:rsidDel="00000000" w:rsidR="00000000" w:rsidRPr="00000000">
        <w:rPr>
          <w:rtl w:val="0"/>
        </w:rPr>
      </w:r>
    </w:p>
    <w:sdt>
      <w:sdtPr>
        <w:lock w:val="contentLocked"/>
        <w:id w:val="1034459660"/>
        <w:tag w:val="goog_rdk_5"/>
      </w:sdtPr>
      <w:sdtContent>
        <w:tbl>
          <w:tblPr>
            <w:tblStyle w:val="Table8"/>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blHeader w:val="0"/>
            </w:trPr>
            <w:tc>
              <w:tcPr>
                <w:tcBorders>
                  <w:top w:color="ffffff" w:space="0" w:sz="8" w:val="single"/>
                  <w:left w:color="ffffff" w:space="0" w:sz="8" w:val="single"/>
                  <w:bottom w:color="ffffff" w:space="0" w:sz="8" w:val="single"/>
                  <w:right w:color="ffffff"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CA">
                <w:pPr>
                  <w:widowControl w:val="0"/>
                  <w:spacing w:line="240" w:lineRule="auto"/>
                  <w:rPr>
                    <w:sz w:val="22"/>
                    <w:szCs w:val="22"/>
                  </w:rPr>
                </w:pPr>
                <w:r w:rsidDel="00000000" w:rsidR="00000000" w:rsidRPr="00000000">
                  <w:rPr>
                    <w:sz w:val="22"/>
                    <w:szCs w:val="22"/>
                    <w:rtl w:val="0"/>
                  </w:rPr>
                  <w:t xml:space="preserve">Figure 6. Unknown (n.d.), Detail of </w:t>
                </w:r>
                <w:r w:rsidDel="00000000" w:rsidR="00000000" w:rsidRPr="00000000">
                  <w:rPr>
                    <w:i w:val="1"/>
                    <w:iCs w:val="1"/>
                    <w:sz w:val="22"/>
                    <w:szCs w:val="22"/>
                    <w:rtl w:val="0"/>
                  </w:rPr>
                  <w:t xml:space="preserve">Book of the Night  </w:t>
                </w:r>
                <w:r w:rsidDel="00000000" w:rsidR="00000000" w:rsidRPr="00000000">
                  <w:rPr>
                    <w:sz w:val="22"/>
                    <w:szCs w:val="22"/>
                    <w:rtl w:val="0"/>
                  </w:rPr>
                  <w:t xml:space="preserve">(Nut swallowing the sun)</w:t>
                </w:r>
                <w:r w:rsidDel="00000000" w:rsidR="00000000" w:rsidRPr="00000000">
                  <w:rPr>
                    <w:i w:val="1"/>
                    <w:iCs w:val="1"/>
                    <w:sz w:val="22"/>
                    <w:szCs w:val="22"/>
                    <w:rtl w:val="0"/>
                  </w:rPr>
                  <w:t xml:space="preserve">, </w:t>
                </w:r>
                <w:r w:rsidDel="00000000" w:rsidR="00000000" w:rsidRPr="00000000">
                  <w:rPr>
                    <w:sz w:val="22"/>
                    <w:szCs w:val="22"/>
                    <w:rtl w:val="0"/>
                  </w:rPr>
                  <w:t xml:space="preserve">Dynasty 20, tempura paint on ceiling, KV 9, Valley of the Kings, </w:t>
                </w:r>
                <w:r w:rsidDel="00000000" w:rsidR="00000000" w:rsidRPr="00000000">
                  <w:rPr>
                    <w:color w:val="141513"/>
                    <w:sz w:val="22"/>
                    <w:szCs w:val="22"/>
                    <w:rtl w:val="0"/>
                  </w:rPr>
                  <w:t xml:space="preserve">East Valley West Bank, </w:t>
                </w:r>
                <w:r w:rsidDel="00000000" w:rsidR="00000000" w:rsidRPr="00000000">
                  <w:rPr>
                    <w:sz w:val="22"/>
                    <w:szCs w:val="22"/>
                    <w:rtl w:val="0"/>
                  </w:rPr>
                  <w:t xml:space="preserve">Luxor, Egypt.</w:t>
                </w:r>
                <w:r w:rsidDel="00000000" w:rsidR="00000000" w:rsidRPr="00000000">
                  <w:rPr>
                    <w:i w:val="1"/>
                    <w:iCs w:val="1"/>
                    <w:sz w:val="22"/>
                    <w:szCs w:val="22"/>
                    <w:rtl w:val="0"/>
                  </w:rPr>
                  <w:t xml:space="preserve"> Image</w:t>
                </w:r>
                <w:r w:rsidDel="00000000" w:rsidR="00000000" w:rsidRPr="00000000">
                  <w:rPr>
                    <w:sz w:val="22"/>
                    <w:szCs w:val="22"/>
                    <w:rtl w:val="0"/>
                  </w:rPr>
                  <w:t xml:space="preserve">: </w:t>
                </w:r>
                <w:r w:rsidDel="00000000" w:rsidR="00000000" w:rsidRPr="00000000">
                  <w:rPr>
                    <w:color w:val="141513"/>
                    <w:sz w:val="22"/>
                    <w:szCs w:val="22"/>
                    <w:highlight w:val="white"/>
                    <w:rtl w:val="0"/>
                  </w:rPr>
                  <w:t xml:space="preserve">American Research Center in Egypt (ARCE) / Theban Mapping Project, </w:t>
                </w:r>
                <w:r w:rsidDel="00000000" w:rsidR="00000000" w:rsidRPr="00000000">
                  <w:rPr>
                    <w:i w:val="1"/>
                    <w:iCs w:val="1"/>
                    <w:color w:val="141513"/>
                    <w:sz w:val="22"/>
                    <w:szCs w:val="22"/>
                    <w:highlight w:val="white"/>
                    <w:rtl w:val="0"/>
                  </w:rPr>
                  <w:t xml:space="preserve">Credit</w:t>
                </w:r>
                <w:r w:rsidDel="00000000" w:rsidR="00000000" w:rsidRPr="00000000">
                  <w:rPr>
                    <w:color w:val="141513"/>
                    <w:sz w:val="22"/>
                    <w:szCs w:val="22"/>
                    <w:highlight w:val="white"/>
                    <w:rtl w:val="0"/>
                  </w:rPr>
                  <w:t xml:space="preserve">: Francis Dzikowski.</w:t>
                </w:r>
                <w:r w:rsidDel="00000000" w:rsidR="00000000" w:rsidRPr="00000000">
                  <w:rPr>
                    <w:rtl w:val="0"/>
                  </w:rPr>
                </w:r>
              </w:p>
            </w:tc>
          </w:tr>
        </w:tbl>
      </w:sdtContent>
    </w:sdt>
    <w:p w:rsidR="00000000" w:rsidDel="00000000" w:rsidP="00000000" w:rsidRDefault="00000000" w:rsidRPr="00000000" w14:paraId="000000CB">
      <w:pPr>
        <w:spacing w:line="240" w:lineRule="auto"/>
        <w:rPr/>
      </w:pPr>
      <w:r w:rsidDel="00000000" w:rsidR="00000000" w:rsidRPr="00000000">
        <w:rPr>
          <w:b w:val="1"/>
          <w:bCs w:val="1"/>
        </w:rPr>
        <w:drawing>
          <wp:inline distB="114300" distT="114300" distL="114300" distR="114300">
            <wp:extent cx="5943600" cy="3835400"/>
            <wp:effectExtent b="0" l="0" r="0" t="0"/>
            <wp:docPr id="9" name="image5.jpg"/>
            <a:graphic>
              <a:graphicData uri="http://schemas.openxmlformats.org/drawingml/2006/picture">
                <pic:pic>
                  <pic:nvPicPr>
                    <pic:cNvPr id="0" name="image5.jpg"/>
                    <pic:cNvPicPr preferRelativeResize="0"/>
                  </pic:nvPicPr>
                  <pic:blipFill>
                    <a:blip r:embed="rId16"/>
                    <a:srcRect b="0" l="0" r="0" t="0"/>
                    <a:stretch>
                      <a:fillRect/>
                    </a:stretch>
                  </pic:blipFill>
                  <pic:spPr>
                    <a:xfrm>
                      <a:off x="0" y="0"/>
                      <a:ext cx="5943600" cy="3835400"/>
                    </a:xfrm>
                    <a:prstGeom prst="rect"/>
                    <a:ln/>
                  </pic:spPr>
                </pic:pic>
              </a:graphicData>
            </a:graphic>
          </wp:inline>
        </w:drawing>
      </w:r>
      <w:r w:rsidDel="00000000" w:rsidR="00000000" w:rsidRPr="00000000">
        <w:rPr>
          <w:b w:val="1"/>
          <w:bCs w:val="1"/>
          <w:rtl w:val="0"/>
        </w:rPr>
        <w:br w:type="textWrapping"/>
      </w:r>
      <w:r w:rsidDel="00000000" w:rsidR="00000000" w:rsidRPr="00000000">
        <w:rPr>
          <w:rtl w:val="0"/>
        </w:rPr>
      </w:r>
    </w:p>
    <w:sdt>
      <w:sdtPr>
        <w:lock w:val="contentLocked"/>
        <w:id w:val="1216237784"/>
        <w:tag w:val="goog_rdk_6"/>
      </w:sdtPr>
      <w:sdtContent>
        <w:tbl>
          <w:tblPr>
            <w:tblStyle w:val="Table9"/>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blHeader w:val="0"/>
            </w:trPr>
            <w:tc>
              <w:tcPr>
                <w:tcBorders>
                  <w:top w:color="ffffff" w:space="0" w:sz="8" w:val="single"/>
                  <w:left w:color="ffffff" w:space="0" w:sz="8" w:val="single"/>
                  <w:bottom w:color="ffffff" w:space="0" w:sz="8" w:val="single"/>
                  <w:right w:color="ffffff"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CC">
                <w:pPr>
                  <w:widowControl w:val="0"/>
                  <w:spacing w:line="240" w:lineRule="auto"/>
                  <w:rPr>
                    <w:sz w:val="22"/>
                    <w:szCs w:val="22"/>
                  </w:rPr>
                </w:pPr>
                <w:r w:rsidDel="00000000" w:rsidR="00000000" w:rsidRPr="00000000">
                  <w:rPr>
                    <w:sz w:val="22"/>
                    <w:szCs w:val="22"/>
                    <w:rtl w:val="0"/>
                  </w:rPr>
                  <w:t xml:space="preserve">Figure 7. Unknown (n.d.), Detail of </w:t>
                </w:r>
                <w:r w:rsidDel="00000000" w:rsidR="00000000" w:rsidRPr="00000000">
                  <w:rPr>
                    <w:i w:val="1"/>
                    <w:iCs w:val="1"/>
                    <w:sz w:val="22"/>
                    <w:szCs w:val="22"/>
                    <w:rtl w:val="0"/>
                  </w:rPr>
                  <w:t xml:space="preserve">Book of the Day </w:t>
                </w:r>
                <w:r w:rsidDel="00000000" w:rsidR="00000000" w:rsidRPr="00000000">
                  <w:rPr>
                    <w:sz w:val="22"/>
                    <w:szCs w:val="22"/>
                    <w:rtl w:val="0"/>
                  </w:rPr>
                  <w:t xml:space="preserve">(Nut birthing the sun)</w:t>
                </w:r>
                <w:r w:rsidDel="00000000" w:rsidR="00000000" w:rsidRPr="00000000">
                  <w:rPr>
                    <w:i w:val="1"/>
                    <w:iCs w:val="1"/>
                    <w:sz w:val="22"/>
                    <w:szCs w:val="22"/>
                    <w:rtl w:val="0"/>
                  </w:rPr>
                  <w:t xml:space="preserve">, </w:t>
                </w:r>
                <w:r w:rsidDel="00000000" w:rsidR="00000000" w:rsidRPr="00000000">
                  <w:rPr>
                    <w:sz w:val="22"/>
                    <w:szCs w:val="22"/>
                    <w:rtl w:val="0"/>
                  </w:rPr>
                  <w:t xml:space="preserve">Dynasty 20, tempura paint on ceiling, KV 9, Valley of the Kings, </w:t>
                </w:r>
                <w:r w:rsidDel="00000000" w:rsidR="00000000" w:rsidRPr="00000000">
                  <w:rPr>
                    <w:color w:val="141513"/>
                    <w:sz w:val="22"/>
                    <w:szCs w:val="22"/>
                    <w:rtl w:val="0"/>
                  </w:rPr>
                  <w:t xml:space="preserve">East Valley West Bank, </w:t>
                </w:r>
                <w:r w:rsidDel="00000000" w:rsidR="00000000" w:rsidRPr="00000000">
                  <w:rPr>
                    <w:sz w:val="22"/>
                    <w:szCs w:val="22"/>
                    <w:rtl w:val="0"/>
                  </w:rPr>
                  <w:t xml:space="preserve">Luxor, Egypt.</w:t>
                </w:r>
                <w:r w:rsidDel="00000000" w:rsidR="00000000" w:rsidRPr="00000000">
                  <w:rPr>
                    <w:i w:val="1"/>
                    <w:iCs w:val="1"/>
                    <w:sz w:val="22"/>
                    <w:szCs w:val="22"/>
                    <w:rtl w:val="0"/>
                  </w:rPr>
                  <w:t xml:space="preserve"> Image</w:t>
                </w:r>
                <w:r w:rsidDel="00000000" w:rsidR="00000000" w:rsidRPr="00000000">
                  <w:rPr>
                    <w:sz w:val="22"/>
                    <w:szCs w:val="22"/>
                    <w:rtl w:val="0"/>
                  </w:rPr>
                  <w:t xml:space="preserve">: </w:t>
                </w:r>
                <w:r w:rsidDel="00000000" w:rsidR="00000000" w:rsidRPr="00000000">
                  <w:rPr>
                    <w:color w:val="141513"/>
                    <w:sz w:val="22"/>
                    <w:szCs w:val="22"/>
                    <w:highlight w:val="white"/>
                    <w:rtl w:val="0"/>
                  </w:rPr>
                  <w:t xml:space="preserve">American Research Center in Egypt (ARCE) / Theban Mapping Project, </w:t>
                </w:r>
                <w:r w:rsidDel="00000000" w:rsidR="00000000" w:rsidRPr="00000000">
                  <w:rPr>
                    <w:i w:val="1"/>
                    <w:iCs w:val="1"/>
                    <w:color w:val="141513"/>
                    <w:sz w:val="22"/>
                    <w:szCs w:val="22"/>
                    <w:highlight w:val="white"/>
                    <w:rtl w:val="0"/>
                  </w:rPr>
                  <w:t xml:space="preserve">Credit</w:t>
                </w:r>
                <w:r w:rsidDel="00000000" w:rsidR="00000000" w:rsidRPr="00000000">
                  <w:rPr>
                    <w:color w:val="141513"/>
                    <w:sz w:val="22"/>
                    <w:szCs w:val="22"/>
                    <w:highlight w:val="white"/>
                    <w:rtl w:val="0"/>
                  </w:rPr>
                  <w:t xml:space="preserve">: Francis Dzikowski.</w:t>
                </w:r>
                <w:r w:rsidDel="00000000" w:rsidR="00000000" w:rsidRPr="00000000">
                  <w:rPr>
                    <w:rtl w:val="0"/>
                  </w:rPr>
                </w:r>
              </w:p>
            </w:tc>
          </w:tr>
        </w:tbl>
      </w:sdtContent>
    </w:sdt>
    <w:p w:rsidR="00000000" w:rsidDel="00000000" w:rsidP="00000000" w:rsidRDefault="00000000" w:rsidRPr="00000000" w14:paraId="000000CD">
      <w:pPr>
        <w:spacing w:line="240" w:lineRule="auto"/>
        <w:rPr/>
      </w:pPr>
      <w:r w:rsidDel="00000000" w:rsidR="00000000" w:rsidRPr="00000000">
        <w:rPr>
          <w:b w:val="1"/>
          <w:bCs w:val="1"/>
          <w:rtl w:val="0"/>
        </w:rPr>
        <w:br w:type="textWrapping"/>
      </w:r>
      <w:r w:rsidDel="00000000" w:rsidR="00000000" w:rsidRPr="00000000">
        <w:rPr>
          <w:b w:val="1"/>
          <w:bCs w:val="1"/>
        </w:rPr>
        <w:drawing>
          <wp:inline distB="114300" distT="114300" distL="114300" distR="114300">
            <wp:extent cx="5943600" cy="2349326"/>
            <wp:effectExtent b="0" l="0" r="0" t="0"/>
            <wp:docPr id="8" name="image6.jpg"/>
            <a:graphic>
              <a:graphicData uri="http://schemas.openxmlformats.org/drawingml/2006/picture">
                <pic:pic>
                  <pic:nvPicPr>
                    <pic:cNvPr id="0" name="image6.jpg"/>
                    <pic:cNvPicPr preferRelativeResize="0"/>
                  </pic:nvPicPr>
                  <pic:blipFill>
                    <a:blip r:embed="rId17"/>
                    <a:srcRect b="0" l="0" r="0" t="0"/>
                    <a:stretch>
                      <a:fillRect/>
                    </a:stretch>
                  </pic:blipFill>
                  <pic:spPr>
                    <a:xfrm>
                      <a:off x="0" y="0"/>
                      <a:ext cx="5943600" cy="2349326"/>
                    </a:xfrm>
                    <a:prstGeom prst="rect"/>
                    <a:ln/>
                  </pic:spPr>
                </pic:pic>
              </a:graphicData>
            </a:graphic>
          </wp:inline>
        </w:drawing>
      </w:r>
      <w:r w:rsidDel="00000000" w:rsidR="00000000" w:rsidRPr="00000000">
        <w:rPr>
          <w:b w:val="1"/>
          <w:bCs w:val="1"/>
          <w:rtl w:val="0"/>
        </w:rPr>
        <w:br w:type="textWrapping"/>
      </w:r>
      <w:r w:rsidDel="00000000" w:rsidR="00000000" w:rsidRPr="00000000">
        <w:rPr>
          <w:rtl w:val="0"/>
        </w:rPr>
      </w:r>
    </w:p>
    <w:sdt>
      <w:sdtPr>
        <w:lock w:val="contentLocked"/>
        <w:id w:val="871951841"/>
        <w:tag w:val="goog_rdk_7"/>
      </w:sdtPr>
      <w:sdtContent>
        <w:tbl>
          <w:tblPr>
            <w:tblStyle w:val="Table10"/>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blHeader w:val="0"/>
            </w:trPr>
            <w:tc>
              <w:tcPr>
                <w:tcBorders>
                  <w:top w:color="ffffff" w:space="0" w:sz="8" w:val="single"/>
                  <w:left w:color="ffffff" w:space="0" w:sz="8" w:val="single"/>
                  <w:bottom w:color="ffffff" w:space="0" w:sz="8" w:val="single"/>
                  <w:right w:color="ffffff"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CE">
                <w:pPr>
                  <w:widowControl w:val="0"/>
                  <w:spacing w:line="240" w:lineRule="auto"/>
                  <w:rPr>
                    <w:sz w:val="22"/>
                    <w:szCs w:val="22"/>
                  </w:rPr>
                </w:pPr>
                <w:r w:rsidDel="00000000" w:rsidR="00000000" w:rsidRPr="00000000">
                  <w:rPr>
                    <w:sz w:val="22"/>
                    <w:szCs w:val="22"/>
                    <w:rtl w:val="0"/>
                  </w:rPr>
                  <w:t xml:space="preserve">Figure 8. Costantino Toth (1995–current), Detail of </w:t>
                </w:r>
                <w:r w:rsidDel="00000000" w:rsidR="00000000" w:rsidRPr="00000000">
                  <w:rPr>
                    <w:i w:val="1"/>
                    <w:iCs w:val="1"/>
                    <w:sz w:val="22"/>
                    <w:szCs w:val="22"/>
                    <w:rtl w:val="0"/>
                  </w:rPr>
                  <w:t xml:space="preserve">Happy New Year </w:t>
                </w:r>
                <w:r w:rsidDel="00000000" w:rsidR="00000000" w:rsidRPr="00000000">
                  <w:rPr>
                    <w:sz w:val="22"/>
                    <w:szCs w:val="22"/>
                    <w:rtl w:val="0"/>
                  </w:rPr>
                  <w:t xml:space="preserve">(third bottom–most band of canvas)</w:t>
                </w:r>
                <w:r w:rsidDel="00000000" w:rsidR="00000000" w:rsidRPr="00000000">
                  <w:rPr>
                    <w:i w:val="1"/>
                    <w:iCs w:val="1"/>
                    <w:sz w:val="22"/>
                    <w:szCs w:val="22"/>
                    <w:rtl w:val="0"/>
                  </w:rPr>
                  <w:t xml:space="preserve">, </w:t>
                </w:r>
                <w:r w:rsidDel="00000000" w:rsidR="00000000" w:rsidRPr="00000000">
                  <w:rPr>
                    <w:sz w:val="22"/>
                    <w:szCs w:val="22"/>
                    <w:rtl w:val="0"/>
                  </w:rPr>
                  <w:t xml:space="preserve">2026, acrylic paint on canvas, Sarasota, Florida, U.S.A. </w:t>
                </w:r>
              </w:p>
            </w:tc>
          </w:tr>
        </w:tbl>
      </w:sdtContent>
    </w:sdt>
    <w:p w:rsidR="00000000" w:rsidDel="00000000" w:rsidP="00000000" w:rsidRDefault="00000000" w:rsidRPr="00000000" w14:paraId="000000CF">
      <w:pPr>
        <w:spacing w:line="240" w:lineRule="auto"/>
        <w:rPr>
          <w:b w:val="1"/>
          <w:bCs w:val="1"/>
        </w:rPr>
      </w:pPr>
      <w:r w:rsidDel="00000000" w:rsidR="00000000" w:rsidRPr="00000000">
        <w:rPr>
          <w:b w:val="1"/>
          <w:bCs w:val="1"/>
        </w:rPr>
        <w:drawing>
          <wp:inline distB="114300" distT="114300" distL="114300" distR="114300">
            <wp:extent cx="5943600" cy="5943600"/>
            <wp:effectExtent b="0" l="0" r="0" t="0"/>
            <wp:docPr id="6" name="image3.jpg"/>
            <a:graphic>
              <a:graphicData uri="http://schemas.openxmlformats.org/drawingml/2006/picture">
                <pic:pic>
                  <pic:nvPicPr>
                    <pic:cNvPr id="0" name="image3.jpg"/>
                    <pic:cNvPicPr preferRelativeResize="0"/>
                  </pic:nvPicPr>
                  <pic:blipFill>
                    <a:blip r:embed="rId18"/>
                    <a:srcRect b="0" l="0" r="0" t="0"/>
                    <a:stretch>
                      <a:fillRect/>
                    </a:stretch>
                  </pic:blipFill>
                  <pic:spPr>
                    <a:xfrm>
                      <a:off x="0" y="0"/>
                      <a:ext cx="5943600" cy="5943600"/>
                    </a:xfrm>
                    <a:prstGeom prst="rect"/>
                    <a:ln/>
                  </pic:spPr>
                </pic:pic>
              </a:graphicData>
            </a:graphic>
          </wp:inline>
        </w:drawing>
      </w:r>
      <w:r w:rsidDel="00000000" w:rsidR="00000000" w:rsidRPr="00000000">
        <w:rPr>
          <w:rtl w:val="0"/>
        </w:rPr>
      </w:r>
    </w:p>
    <w:p w:rsidR="00000000" w:rsidDel="00000000" w:rsidP="00000000" w:rsidRDefault="00000000" w:rsidRPr="00000000" w14:paraId="000000D0">
      <w:pPr>
        <w:spacing w:line="240" w:lineRule="auto"/>
        <w:rPr/>
      </w:pPr>
      <w:r w:rsidDel="00000000" w:rsidR="00000000" w:rsidRPr="00000000">
        <w:rPr>
          <w:rtl w:val="0"/>
        </w:rPr>
      </w:r>
    </w:p>
    <w:sdt>
      <w:sdtPr>
        <w:lock w:val="contentLocked"/>
        <w:id w:val="24385100"/>
        <w:tag w:val="goog_rdk_8"/>
      </w:sdtPr>
      <w:sdtContent>
        <w:tbl>
          <w:tblPr>
            <w:tblStyle w:val="Table1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blHeader w:val="0"/>
            </w:trPr>
            <w:tc>
              <w:tcPr>
                <w:tcBorders>
                  <w:top w:color="ffffff" w:space="0" w:sz="8" w:val="single"/>
                  <w:left w:color="ffffff" w:space="0" w:sz="8" w:val="single"/>
                  <w:bottom w:color="ffffff" w:space="0" w:sz="8" w:val="single"/>
                  <w:right w:color="ffffff"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D1">
                <w:pPr>
                  <w:widowControl w:val="0"/>
                  <w:spacing w:line="240" w:lineRule="auto"/>
                  <w:rPr>
                    <w:sz w:val="22"/>
                    <w:szCs w:val="22"/>
                  </w:rPr>
                </w:pPr>
                <w:r w:rsidDel="00000000" w:rsidR="00000000" w:rsidRPr="00000000">
                  <w:rPr>
                    <w:sz w:val="22"/>
                    <w:szCs w:val="22"/>
                    <w:rtl w:val="0"/>
                  </w:rPr>
                  <w:t xml:space="preserve">Figure 9. Costantino Toth (1995–current),</w:t>
                </w:r>
                <w:r w:rsidDel="00000000" w:rsidR="00000000" w:rsidRPr="00000000">
                  <w:rPr>
                    <w:i w:val="1"/>
                    <w:iCs w:val="1"/>
                    <w:sz w:val="22"/>
                    <w:szCs w:val="22"/>
                    <w:rtl w:val="0"/>
                  </w:rPr>
                  <w:t xml:space="preserve"> Sunset from Turtle Beach, </w:t>
                </w:r>
                <w:r w:rsidDel="00000000" w:rsidR="00000000" w:rsidRPr="00000000">
                  <w:rPr>
                    <w:sz w:val="22"/>
                    <w:szCs w:val="22"/>
                    <w:rtl w:val="0"/>
                  </w:rPr>
                  <w:t xml:space="preserve">2026, photograph, Sarasota, Florida, U.S.A. </w:t>
                </w:r>
              </w:p>
            </w:tc>
          </w:tr>
        </w:tbl>
      </w:sdtContent>
    </w:sdt>
    <w:p w:rsidR="00000000" w:rsidDel="00000000" w:rsidP="00000000" w:rsidRDefault="00000000" w:rsidRPr="00000000" w14:paraId="000000D2">
      <w:pPr>
        <w:spacing w:line="240" w:lineRule="auto"/>
        <w:rPr/>
      </w:pPr>
      <w:r w:rsidDel="00000000" w:rsidR="00000000" w:rsidRPr="00000000">
        <w:rPr>
          <w:rtl w:val="0"/>
        </w:rPr>
      </w:r>
    </w:p>
    <w:p w:rsidR="00000000" w:rsidDel="00000000" w:rsidP="00000000" w:rsidRDefault="00000000" w:rsidRPr="00000000" w14:paraId="000000D3">
      <w:pPr>
        <w:spacing w:line="240" w:lineRule="auto"/>
        <w:ind w:left="0" w:firstLine="0"/>
        <w:rPr/>
      </w:pPr>
      <w:r w:rsidDel="00000000" w:rsidR="00000000" w:rsidRPr="00000000">
        <w:rPr>
          <w:rtl w:val="0"/>
        </w:rPr>
      </w:r>
    </w:p>
    <w:p w:rsidR="00000000" w:rsidDel="00000000" w:rsidP="00000000" w:rsidRDefault="00000000" w:rsidRPr="00000000" w14:paraId="000000D4">
      <w:pPr>
        <w:spacing w:line="240" w:lineRule="auto"/>
        <w:ind w:left="0" w:firstLine="0"/>
        <w:rPr/>
      </w:pPr>
      <w:r w:rsidDel="00000000" w:rsidR="00000000" w:rsidRPr="00000000">
        <w:rPr>
          <w:rtl w:val="0"/>
        </w:rPr>
      </w:r>
    </w:p>
    <w:p w:rsidR="00000000" w:rsidDel="00000000" w:rsidP="00000000" w:rsidRDefault="00000000" w:rsidRPr="00000000" w14:paraId="000000D5">
      <w:pPr>
        <w:spacing w:line="240" w:lineRule="auto"/>
        <w:ind w:left="0" w:firstLine="0"/>
        <w:rPr/>
      </w:pPr>
      <w:r w:rsidDel="00000000" w:rsidR="00000000" w:rsidRPr="00000000">
        <w:rPr>
          <w:rtl w:val="0"/>
        </w:rPr>
      </w:r>
    </w:p>
    <w:p w:rsidR="00000000" w:rsidDel="00000000" w:rsidP="00000000" w:rsidRDefault="00000000" w:rsidRPr="00000000" w14:paraId="000000D6">
      <w:pPr>
        <w:spacing w:line="240" w:lineRule="auto"/>
        <w:ind w:left="0" w:firstLine="0"/>
        <w:rPr/>
      </w:pPr>
      <w:r w:rsidDel="00000000" w:rsidR="00000000" w:rsidRPr="00000000">
        <w:rPr>
          <w:rtl w:val="0"/>
        </w:rPr>
      </w:r>
    </w:p>
    <w:p w:rsidR="00000000" w:rsidDel="00000000" w:rsidP="00000000" w:rsidRDefault="00000000" w:rsidRPr="00000000" w14:paraId="000000D7">
      <w:pPr>
        <w:spacing w:line="240" w:lineRule="auto"/>
        <w:ind w:left="0" w:firstLine="0"/>
        <w:rPr/>
      </w:pPr>
      <w:r w:rsidDel="00000000" w:rsidR="00000000" w:rsidRPr="00000000">
        <w:rPr>
          <w:rtl w:val="0"/>
        </w:rPr>
      </w:r>
    </w:p>
    <w:p w:rsidR="00000000" w:rsidDel="00000000" w:rsidP="00000000" w:rsidRDefault="00000000" w:rsidRPr="00000000" w14:paraId="000000D8">
      <w:pPr>
        <w:spacing w:line="240" w:lineRule="auto"/>
        <w:ind w:left="0" w:firstLine="0"/>
        <w:rPr/>
      </w:pPr>
      <w:r w:rsidDel="00000000" w:rsidR="00000000" w:rsidRPr="00000000">
        <w:rPr>
          <w:rtl w:val="0"/>
        </w:rPr>
      </w:r>
    </w:p>
    <w:p w:rsidR="00000000" w:rsidDel="00000000" w:rsidP="00000000" w:rsidRDefault="00000000" w:rsidRPr="00000000" w14:paraId="000000D9">
      <w:pPr>
        <w:spacing w:line="240" w:lineRule="auto"/>
        <w:ind w:left="0" w:firstLine="0"/>
        <w:rPr/>
      </w:pPr>
      <w:r w:rsidDel="00000000" w:rsidR="00000000" w:rsidRPr="00000000">
        <w:rPr>
          <w:rtl w:val="0"/>
        </w:rPr>
      </w:r>
    </w:p>
    <w:p w:rsidR="00000000" w:rsidDel="00000000" w:rsidP="00000000" w:rsidRDefault="00000000" w:rsidRPr="00000000" w14:paraId="000000DA">
      <w:pPr>
        <w:spacing w:line="240" w:lineRule="auto"/>
        <w:ind w:left="0" w:firstLine="0"/>
        <w:rPr>
          <w:b w:val="1"/>
          <w:bCs w:val="1"/>
        </w:rPr>
      </w:pPr>
      <w:r w:rsidDel="00000000" w:rsidR="00000000" w:rsidRPr="00000000">
        <w:rPr>
          <w:b w:val="1"/>
          <w:bCs w:val="1"/>
        </w:rPr>
        <w:drawing>
          <wp:inline distB="114300" distT="114300" distL="114300" distR="114300">
            <wp:extent cx="5943600" cy="5943600"/>
            <wp:effectExtent b="0" l="0" r="0" t="0"/>
            <wp:docPr id="2" name="image1.jpg"/>
            <a:graphic>
              <a:graphicData uri="http://schemas.openxmlformats.org/drawingml/2006/picture">
                <pic:pic>
                  <pic:nvPicPr>
                    <pic:cNvPr id="0" name="image1.jpg"/>
                    <pic:cNvPicPr preferRelativeResize="0"/>
                  </pic:nvPicPr>
                  <pic:blipFill>
                    <a:blip r:embed="rId19"/>
                    <a:srcRect b="0" l="0" r="0" t="0"/>
                    <a:stretch>
                      <a:fillRect/>
                    </a:stretch>
                  </pic:blipFill>
                  <pic:spPr>
                    <a:xfrm>
                      <a:off x="0" y="0"/>
                      <a:ext cx="5943600" cy="5943600"/>
                    </a:xfrm>
                    <a:prstGeom prst="rect"/>
                    <a:ln/>
                  </pic:spPr>
                </pic:pic>
              </a:graphicData>
            </a:graphic>
          </wp:inline>
        </w:drawing>
      </w:r>
      <w:r w:rsidDel="00000000" w:rsidR="00000000" w:rsidRPr="00000000">
        <w:rPr>
          <w:rtl w:val="0"/>
        </w:rPr>
      </w:r>
    </w:p>
    <w:p w:rsidR="00000000" w:rsidDel="00000000" w:rsidP="00000000" w:rsidRDefault="00000000" w:rsidRPr="00000000" w14:paraId="000000DB">
      <w:pPr>
        <w:spacing w:line="240" w:lineRule="auto"/>
        <w:rPr/>
      </w:pPr>
      <w:r w:rsidDel="00000000" w:rsidR="00000000" w:rsidRPr="00000000">
        <w:rPr>
          <w:rtl w:val="0"/>
        </w:rPr>
      </w:r>
    </w:p>
    <w:sdt>
      <w:sdtPr>
        <w:lock w:val="contentLocked"/>
        <w:id w:val="1569992943"/>
        <w:tag w:val="goog_rdk_9"/>
      </w:sdtPr>
      <w:sdtContent>
        <w:tbl>
          <w:tblPr>
            <w:tblStyle w:val="Table1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blHeader w:val="0"/>
            </w:trPr>
            <w:tc>
              <w:tcPr>
                <w:tcBorders>
                  <w:top w:color="ffffff" w:space="0" w:sz="8" w:val="single"/>
                  <w:left w:color="ffffff" w:space="0" w:sz="8" w:val="single"/>
                  <w:bottom w:color="ffffff" w:space="0" w:sz="8" w:val="single"/>
                  <w:right w:color="ffffff"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DC">
                <w:pPr>
                  <w:widowControl w:val="0"/>
                  <w:spacing w:line="240" w:lineRule="auto"/>
                  <w:rPr/>
                </w:pPr>
                <w:r w:rsidDel="00000000" w:rsidR="00000000" w:rsidRPr="00000000">
                  <w:rPr>
                    <w:sz w:val="22"/>
                    <w:szCs w:val="22"/>
                    <w:rtl w:val="0"/>
                  </w:rPr>
                  <w:t xml:space="preserve">Figure 10. Costantino Toth (1995–current),</w:t>
                </w:r>
                <w:r w:rsidDel="00000000" w:rsidR="00000000" w:rsidRPr="00000000">
                  <w:rPr>
                    <w:i w:val="1"/>
                    <w:iCs w:val="1"/>
                    <w:sz w:val="22"/>
                    <w:szCs w:val="22"/>
                    <w:rtl w:val="0"/>
                  </w:rPr>
                  <w:t xml:space="preserve"> Sunrise from Celery Hill, </w:t>
                </w:r>
                <w:r w:rsidDel="00000000" w:rsidR="00000000" w:rsidRPr="00000000">
                  <w:rPr>
                    <w:sz w:val="22"/>
                    <w:szCs w:val="22"/>
                    <w:rtl w:val="0"/>
                  </w:rPr>
                  <w:t xml:space="preserve">2026, photograph, Sarasota, Florida, U.S.A</w:t>
                </w:r>
                <w:r w:rsidDel="00000000" w:rsidR="00000000" w:rsidRPr="00000000">
                  <w:rPr>
                    <w:rtl w:val="0"/>
                  </w:rPr>
                  <w:t xml:space="preserve">. </w:t>
                </w:r>
              </w:p>
            </w:tc>
          </w:tr>
        </w:tbl>
      </w:sdtContent>
    </w:sdt>
    <w:p w:rsidR="00000000" w:rsidDel="00000000" w:rsidP="00000000" w:rsidRDefault="00000000" w:rsidRPr="00000000" w14:paraId="000000DD">
      <w:pPr>
        <w:spacing w:line="240" w:lineRule="auto"/>
        <w:rPr/>
      </w:pPr>
      <w:r w:rsidDel="00000000" w:rsidR="00000000" w:rsidRPr="00000000">
        <w:rPr>
          <w:rtl w:val="0"/>
        </w:rPr>
      </w:r>
    </w:p>
    <w:p w:rsidR="00000000" w:rsidDel="00000000" w:rsidP="00000000" w:rsidRDefault="00000000" w:rsidRPr="00000000" w14:paraId="000000DE">
      <w:pPr>
        <w:spacing w:line="240" w:lineRule="auto"/>
        <w:rPr/>
      </w:pPr>
      <w:r w:rsidDel="00000000" w:rsidR="00000000" w:rsidRPr="00000000">
        <w:rPr>
          <w:rtl w:val="0"/>
        </w:rPr>
      </w:r>
    </w:p>
    <w:p w:rsidR="00000000" w:rsidDel="00000000" w:rsidP="00000000" w:rsidRDefault="00000000" w:rsidRPr="00000000" w14:paraId="000000DF">
      <w:pPr>
        <w:spacing w:line="240" w:lineRule="auto"/>
        <w:rPr/>
      </w:pPr>
      <w:r w:rsidDel="00000000" w:rsidR="00000000" w:rsidRPr="00000000">
        <w:rPr>
          <w:rtl w:val="0"/>
        </w:rPr>
      </w:r>
    </w:p>
    <w:p w:rsidR="00000000" w:rsidDel="00000000" w:rsidP="00000000" w:rsidRDefault="00000000" w:rsidRPr="00000000" w14:paraId="000000E0">
      <w:pPr>
        <w:spacing w:line="240" w:lineRule="auto"/>
        <w:rPr/>
      </w:pPr>
      <w:r w:rsidDel="00000000" w:rsidR="00000000" w:rsidRPr="00000000">
        <w:rPr>
          <w:rtl w:val="0"/>
        </w:rPr>
      </w:r>
    </w:p>
    <w:p w:rsidR="00000000" w:rsidDel="00000000" w:rsidP="00000000" w:rsidRDefault="00000000" w:rsidRPr="00000000" w14:paraId="000000E1">
      <w:pPr>
        <w:spacing w:line="240" w:lineRule="auto"/>
        <w:rPr/>
      </w:pPr>
      <w:r w:rsidDel="00000000" w:rsidR="00000000" w:rsidRPr="00000000">
        <w:rPr>
          <w:rtl w:val="0"/>
        </w:rPr>
      </w:r>
    </w:p>
    <w:p w:rsidR="00000000" w:rsidDel="00000000" w:rsidP="00000000" w:rsidRDefault="00000000" w:rsidRPr="00000000" w14:paraId="000000E2">
      <w:pPr>
        <w:spacing w:line="240" w:lineRule="auto"/>
        <w:rPr/>
      </w:pPr>
      <w:r w:rsidDel="00000000" w:rsidR="00000000" w:rsidRPr="00000000">
        <w:rPr>
          <w:rtl w:val="0"/>
        </w:rPr>
      </w:r>
    </w:p>
    <w:p w:rsidR="00000000" w:rsidDel="00000000" w:rsidP="00000000" w:rsidRDefault="00000000" w:rsidRPr="00000000" w14:paraId="000000E3">
      <w:pPr>
        <w:spacing w:line="240" w:lineRule="auto"/>
        <w:rPr/>
      </w:pPr>
      <w:r w:rsidDel="00000000" w:rsidR="00000000" w:rsidRPr="00000000">
        <w:rPr>
          <w:rtl w:val="0"/>
        </w:rPr>
      </w:r>
    </w:p>
    <w:p w:rsidR="00000000" w:rsidDel="00000000" w:rsidP="00000000" w:rsidRDefault="00000000" w:rsidRPr="00000000" w14:paraId="000000E4">
      <w:pPr>
        <w:spacing w:line="240" w:lineRule="auto"/>
        <w:ind w:left="0" w:firstLine="0"/>
        <w:rPr/>
      </w:pPr>
      <w:r w:rsidDel="00000000" w:rsidR="00000000" w:rsidRPr="00000000">
        <w:rPr>
          <w:rtl w:val="0"/>
        </w:rPr>
      </w:r>
    </w:p>
    <w:p w:rsidR="00000000" w:rsidDel="00000000" w:rsidP="00000000" w:rsidRDefault="00000000" w:rsidRPr="00000000" w14:paraId="000000E5">
      <w:pPr>
        <w:spacing w:line="240" w:lineRule="auto"/>
        <w:ind w:left="0" w:firstLine="0"/>
        <w:rPr>
          <w:b w:val="1"/>
          <w:bCs w:val="1"/>
        </w:rPr>
      </w:pPr>
      <w:r w:rsidDel="00000000" w:rsidR="00000000" w:rsidRPr="00000000">
        <w:rPr>
          <w:b w:val="1"/>
          <w:bCs w:val="1"/>
          <w:rtl w:val="0"/>
        </w:rPr>
        <w:t xml:space="preserve">4. (Dis)enchantment:</w:t>
      </w:r>
      <w:r w:rsidDel="00000000" w:rsidR="00000000" w:rsidRPr="00000000">
        <w:rPr>
          <w:rtl w:val="0"/>
        </w:rPr>
      </w:r>
    </w:p>
    <w:p w:rsidR="00000000" w:rsidDel="00000000" w:rsidP="00000000" w:rsidRDefault="00000000" w:rsidRPr="00000000" w14:paraId="000000E6">
      <w:pPr>
        <w:spacing w:line="240" w:lineRule="auto"/>
        <w:ind w:firstLine="720"/>
        <w:rPr/>
      </w:pPr>
      <w:r w:rsidDel="00000000" w:rsidR="00000000" w:rsidRPr="00000000">
        <w:rPr>
          <w:rtl w:val="0"/>
        </w:rPr>
        <w:t xml:space="preserve">Max Weber characterized the West in the 20th century as primarily ‘disenchanted.’ In doing so, he intentionally constructed a binary opposition between the West and archaic societies, which were ‘enchanted.’</w:t>
      </w:r>
      <w:r w:rsidDel="00000000" w:rsidR="00000000" w:rsidRPr="00000000">
        <w:rPr>
          <w:vertAlign w:val="superscript"/>
        </w:rPr>
        <w:footnoteReference w:customMarkFollows="0" w:id="16"/>
      </w:r>
      <w:r w:rsidDel="00000000" w:rsidR="00000000" w:rsidRPr="00000000">
        <w:rPr>
          <w:rtl w:val="0"/>
        </w:rPr>
        <w:t xml:space="preserve"> A visual comparison between </w:t>
      </w:r>
      <w:r w:rsidDel="00000000" w:rsidR="00000000" w:rsidRPr="00000000">
        <w:rPr>
          <w:i w:val="1"/>
          <w:iCs w:val="1"/>
          <w:rtl w:val="0"/>
        </w:rPr>
        <w:t xml:space="preserve">BoDN</w:t>
      </w:r>
      <w:r w:rsidDel="00000000" w:rsidR="00000000" w:rsidRPr="00000000">
        <w:rPr>
          <w:rtl w:val="0"/>
        </w:rPr>
        <w:t xml:space="preserve"> (Fig.1) and </w:t>
      </w:r>
      <w:r w:rsidDel="00000000" w:rsidR="00000000" w:rsidRPr="00000000">
        <w:rPr>
          <w:i w:val="1"/>
          <w:iCs w:val="1"/>
          <w:rtl w:val="0"/>
        </w:rPr>
        <w:t xml:space="preserve">Happy New Year</w:t>
      </w:r>
      <w:r w:rsidDel="00000000" w:rsidR="00000000" w:rsidRPr="00000000">
        <w:rPr>
          <w:rtl w:val="0"/>
        </w:rPr>
        <w:t xml:space="preserve"> (Fig.2) initially supports Weber’s thesis, in that </w:t>
      </w:r>
      <w:r w:rsidDel="00000000" w:rsidR="00000000" w:rsidRPr="00000000">
        <w:rPr>
          <w:i w:val="1"/>
          <w:iCs w:val="1"/>
          <w:rtl w:val="0"/>
        </w:rPr>
        <w:t xml:space="preserve">BoDN</w:t>
      </w:r>
      <w:r w:rsidDel="00000000" w:rsidR="00000000" w:rsidRPr="00000000">
        <w:rPr>
          <w:rtl w:val="0"/>
        </w:rPr>
        <w:t xml:space="preserve"> makes use of mythology and anthropomorphicization by rendering the sky as Nut, while my painting does not. Upon further scrutiny and contextualization of the two pieces, however, Weber’s thesis proves untenable. </w:t>
      </w:r>
    </w:p>
    <w:p w:rsidR="00000000" w:rsidDel="00000000" w:rsidP="00000000" w:rsidRDefault="00000000" w:rsidRPr="00000000" w14:paraId="000000E7">
      <w:pPr>
        <w:spacing w:line="240" w:lineRule="auto"/>
        <w:ind w:firstLine="720"/>
        <w:rPr/>
      </w:pPr>
      <w:r w:rsidDel="00000000" w:rsidR="00000000" w:rsidRPr="00000000">
        <w:rPr>
          <w:rtl w:val="0"/>
        </w:rPr>
        <w:t xml:space="preserve"> The sky’s personification in </w:t>
      </w:r>
      <w:r w:rsidDel="00000000" w:rsidR="00000000" w:rsidRPr="00000000">
        <w:rPr>
          <w:i w:val="1"/>
          <w:iCs w:val="1"/>
          <w:rtl w:val="0"/>
        </w:rPr>
        <w:t xml:space="preserve">BoDN</w:t>
      </w:r>
      <w:r w:rsidDel="00000000" w:rsidR="00000000" w:rsidRPr="00000000">
        <w:rPr>
          <w:rtl w:val="0"/>
        </w:rPr>
        <w:t xml:space="preserve"> (Fig.1) implies the Egyptians’ view of the sky as requiring purposeful intervention. In the light of motherhood, Nut’s arching position in </w:t>
      </w:r>
      <w:r w:rsidDel="00000000" w:rsidR="00000000" w:rsidRPr="00000000">
        <w:rPr>
          <w:i w:val="1"/>
          <w:iCs w:val="1"/>
          <w:rtl w:val="0"/>
        </w:rPr>
        <w:t xml:space="preserve">BoDN</w:t>
      </w:r>
      <w:r w:rsidDel="00000000" w:rsidR="00000000" w:rsidRPr="00000000">
        <w:rPr>
          <w:rtl w:val="0"/>
        </w:rPr>
        <w:t xml:space="preserve"> (Fig.1) can be interpreted as a protective gesture (Fig.1, Fig.5) meant to protect the sun during its journey. However, childbirth in the ancient world was life–threatening for both the child and mother, with a fifty–percent infant mortality rate.</w:t>
      </w:r>
      <w:r w:rsidDel="00000000" w:rsidR="00000000" w:rsidRPr="00000000">
        <w:rPr>
          <w:vertAlign w:val="superscript"/>
        </w:rPr>
        <w:footnoteReference w:customMarkFollows="0" w:id="17"/>
      </w:r>
      <w:r w:rsidDel="00000000" w:rsidR="00000000" w:rsidRPr="00000000">
        <w:rPr>
          <w:rtl w:val="0"/>
        </w:rPr>
        <w:t xml:space="preserve"> Medical textual sources unsurprisingly display a plethora of spells and invocations for the safety of mother and infant.</w:t>
      </w:r>
      <w:r w:rsidDel="00000000" w:rsidR="00000000" w:rsidRPr="00000000">
        <w:rPr>
          <w:vertAlign w:val="superscript"/>
        </w:rPr>
        <w:footnoteReference w:customMarkFollows="0" w:id="18"/>
      </w:r>
      <w:r w:rsidDel="00000000" w:rsidR="00000000" w:rsidRPr="00000000">
        <w:rPr>
          <w:rtl w:val="0"/>
        </w:rPr>
        <w:t xml:space="preserve"> In addition, a</w:t>
      </w:r>
      <w:r w:rsidDel="00000000" w:rsidR="00000000" w:rsidRPr="00000000">
        <w:rPr>
          <w:rtl w:val="0"/>
        </w:rPr>
        <w:t xml:space="preserve"> possible etymology for Nut’s name derives from nu, the chaotic waters from which the world emerged.</w:t>
      </w:r>
      <w:r w:rsidDel="00000000" w:rsidR="00000000" w:rsidRPr="00000000">
        <w:rPr>
          <w:vertAlign w:val="superscript"/>
        </w:rPr>
        <w:footnoteReference w:customMarkFollows="0" w:id="19"/>
      </w:r>
      <w:r w:rsidDel="00000000" w:rsidR="00000000" w:rsidRPr="00000000">
        <w:rPr>
          <w:rtl w:val="0"/>
        </w:rPr>
        <w:t xml:space="preserve"> Casting Nut in a maternal role thus renders her a dualistic symbol of safety and threat, which explains her </w:t>
      </w:r>
      <w:r w:rsidDel="00000000" w:rsidR="00000000" w:rsidRPr="00000000">
        <w:rPr>
          <w:rtl w:val="0"/>
        </w:rPr>
        <w:t xml:space="preserve">bimorphism in </w:t>
      </w:r>
      <w:r w:rsidDel="00000000" w:rsidR="00000000" w:rsidRPr="00000000">
        <w:rPr>
          <w:i w:val="1"/>
          <w:iCs w:val="1"/>
          <w:rtl w:val="0"/>
        </w:rPr>
        <w:t xml:space="preserve">BoDN </w:t>
      </w:r>
      <w:r w:rsidDel="00000000" w:rsidR="00000000" w:rsidRPr="00000000">
        <w:rPr>
          <w:rtl w:val="0"/>
        </w:rPr>
        <w:t xml:space="preserve">(Fig.1). Since the Egyptians viewed night as dangerous,— a completely rational fear for a pre–electrical society —it can be logically assumed that the nocturnal ‘pregnant’ side of Nut embodies uncertainty and the chance of destruction. On the other hand, the diurnal Nut, who has just given birth, embodies the triumph over a treacherous ordeal. To conclude this parallelism: like the life of a yet–unborn infant, the next sunrise was not guaranteed, and required action to ensure a safe ‘delivery.’</w:t>
      </w:r>
      <w:r w:rsidDel="00000000" w:rsidR="00000000" w:rsidRPr="00000000">
        <w:rPr>
          <w:rtl w:val="0"/>
        </w:rPr>
        <w:br w:type="textWrapping"/>
        <w:tab/>
        <w:t xml:space="preserve">This seeming paradox between celestial safety and danger falls into the wider Egyptian conceptualization of the cosmos as a malleable dynamic between various conceptual oppositions: day–night, order–chaos, male–female, for example.</w:t>
      </w:r>
      <w:r w:rsidDel="00000000" w:rsidR="00000000" w:rsidRPr="00000000">
        <w:rPr>
          <w:vertAlign w:val="superscript"/>
        </w:rPr>
        <w:footnoteReference w:customMarkFollows="0" w:id="20"/>
      </w:r>
      <w:r w:rsidDel="00000000" w:rsidR="00000000" w:rsidRPr="00000000">
        <w:rPr>
          <w:rtl w:val="0"/>
        </w:rPr>
        <w:t xml:space="preserve"> The possibility of complete cosmic collapse thus resided in the potential for one half in a duality to overtake the other half. In other words, it was the balancing of two poles that ensured the survival of life. This cosmological dualism organized the Egyptian pantheon: many gods were placed in a tripartite structure, where one god represented one concept, a second god the opposing, and a third god the consummate balance or ‘child’ of the two.</w:t>
      </w:r>
      <w:r w:rsidDel="00000000" w:rsidR="00000000" w:rsidRPr="00000000">
        <w:rPr>
          <w:vertAlign w:val="superscript"/>
        </w:rPr>
        <w:footnoteReference w:customMarkFollows="0" w:id="21"/>
      </w:r>
      <w:r w:rsidDel="00000000" w:rsidR="00000000" w:rsidRPr="00000000">
        <w:rPr>
          <w:rtl w:val="0"/>
        </w:rPr>
        <w:t xml:space="preserve"> </w:t>
      </w:r>
    </w:p>
    <w:p w:rsidR="00000000" w:rsidDel="00000000" w:rsidP="00000000" w:rsidRDefault="00000000" w:rsidRPr="00000000" w14:paraId="000000E8">
      <w:pPr>
        <w:spacing w:line="240" w:lineRule="auto"/>
        <w:ind w:firstLine="720"/>
        <w:rPr/>
      </w:pPr>
      <w:r w:rsidDel="00000000" w:rsidR="00000000" w:rsidRPr="00000000">
        <w:rPr>
          <w:rtl w:val="0"/>
        </w:rPr>
        <w:t xml:space="preserve">If indeed the world might collapse via imbalance, where the sun might fail to rise anew because it was overtaken by night, then it was consistent ritual intervention and use of </w:t>
      </w:r>
      <w:r w:rsidDel="00000000" w:rsidR="00000000" w:rsidRPr="00000000">
        <w:rPr>
          <w:i w:val="1"/>
          <w:iCs w:val="1"/>
          <w:rtl w:val="0"/>
        </w:rPr>
        <w:t xml:space="preserve">heka</w:t>
      </w:r>
      <w:r w:rsidDel="00000000" w:rsidR="00000000" w:rsidRPr="00000000">
        <w:rPr>
          <w:rtl w:val="0"/>
        </w:rPr>
        <w:t xml:space="preserve">, like the various medicines and spells meant to protect mother and infant during childbirth, that mitigated this unwanted outcome.</w:t>
      </w:r>
      <w:r w:rsidDel="00000000" w:rsidR="00000000" w:rsidRPr="00000000">
        <w:rPr>
          <w:vertAlign w:val="superscript"/>
        </w:rPr>
        <w:footnoteReference w:customMarkFollows="0" w:id="22"/>
      </w:r>
      <w:r w:rsidDel="00000000" w:rsidR="00000000" w:rsidRPr="00000000">
        <w:rPr>
          <w:rtl w:val="0"/>
        </w:rPr>
        <w:t xml:space="preserve"> In this delicate cosmogonic structure, the Pharaoh thus served as a uniting principle or melder of opposites.</w:t>
      </w:r>
      <w:r w:rsidDel="00000000" w:rsidR="00000000" w:rsidRPr="00000000">
        <w:rPr>
          <w:vertAlign w:val="superscript"/>
        </w:rPr>
        <w:footnoteReference w:customMarkFollows="0" w:id="23"/>
      </w:r>
      <w:r w:rsidDel="00000000" w:rsidR="00000000" w:rsidRPr="00000000">
        <w:rPr>
          <w:rtl w:val="0"/>
        </w:rPr>
        <w:t xml:space="preserve"> For example, one of his royal epithets was ‘king of the dualities’ (</w:t>
      </w:r>
      <w:r w:rsidDel="00000000" w:rsidR="00000000" w:rsidRPr="00000000">
        <w:rPr>
          <w:i w:val="1"/>
          <w:iCs w:val="1"/>
          <w:rtl w:val="0"/>
        </w:rPr>
        <w:t xml:space="preserve">nsw-bjty</w:t>
      </w:r>
      <w:r w:rsidDel="00000000" w:rsidR="00000000" w:rsidRPr="00000000">
        <w:rPr>
          <w:rtl w:val="0"/>
        </w:rPr>
        <w:t xml:space="preserve">), a title of mythic return all’Eliade to Osiris, the first unifier of Egypt.</w:t>
      </w:r>
      <w:r w:rsidDel="00000000" w:rsidR="00000000" w:rsidRPr="00000000">
        <w:rPr>
          <w:vertAlign w:val="superscript"/>
        </w:rPr>
        <w:footnoteReference w:customMarkFollows="0" w:id="24"/>
      </w:r>
      <w:r w:rsidDel="00000000" w:rsidR="00000000" w:rsidRPr="00000000">
        <w:rPr>
          <w:rtl w:val="0"/>
        </w:rPr>
        <w:t xml:space="preserve"> Being both king and priest, the Pharaoh had to continually observe the sky and , ideally, perform the necessary ritual actions to maintain its ordered movement. However, this responsibility of ‘religious maintenance’ did not end after the Pharaoh’s death, hence why he became Osiris in the Duat. As stated before in Section 1.2, perhaps this change in motif was a reaction to religious and economic turmoil, and an answer to a perceived higher demand for the Pharaoh to bring balance and harmony.</w:t>
      </w:r>
    </w:p>
    <w:p w:rsidR="00000000" w:rsidDel="00000000" w:rsidP="00000000" w:rsidRDefault="00000000" w:rsidRPr="00000000" w14:paraId="000000E9">
      <w:pPr>
        <w:spacing w:line="240" w:lineRule="auto"/>
        <w:ind w:left="0" w:firstLine="0"/>
        <w:rPr/>
      </w:pPr>
      <w:r w:rsidDel="00000000" w:rsidR="00000000" w:rsidRPr="00000000">
        <w:rPr>
          <w:rtl w:val="0"/>
        </w:rPr>
        <w:tab/>
        <w:t xml:space="preserve">To understand the role of</w:t>
      </w:r>
      <w:r w:rsidDel="00000000" w:rsidR="00000000" w:rsidRPr="00000000">
        <w:rPr>
          <w:i w:val="1"/>
          <w:iCs w:val="1"/>
          <w:rtl w:val="0"/>
        </w:rPr>
        <w:t xml:space="preserve"> BoDN</w:t>
      </w:r>
      <w:r w:rsidDel="00000000" w:rsidR="00000000" w:rsidRPr="00000000">
        <w:rPr>
          <w:rtl w:val="0"/>
        </w:rPr>
        <w:t xml:space="preserve"> (Fig.1) in all this, two concepts need to be overviewed. Firstly, there was no concept in ancient Egypt of the art gallery, where visual works were presented solely for an audience’s delight, nor was there a word for ‘art.’</w:t>
      </w:r>
      <w:r w:rsidDel="00000000" w:rsidR="00000000" w:rsidRPr="00000000">
        <w:rPr>
          <w:vertAlign w:val="superscript"/>
        </w:rPr>
        <w:footnoteReference w:customMarkFollows="0" w:id="25"/>
      </w:r>
      <w:r w:rsidDel="00000000" w:rsidR="00000000" w:rsidRPr="00000000">
        <w:rPr>
          <w:rtl w:val="0"/>
        </w:rPr>
        <w:t xml:space="preserve"> Secondly, words and images were seen as magical and could thus conjure or affect whatever it was they represented.</w:t>
      </w:r>
      <w:r w:rsidDel="00000000" w:rsidR="00000000" w:rsidRPr="00000000">
        <w:rPr>
          <w:vertAlign w:val="superscript"/>
        </w:rPr>
        <w:footnoteReference w:customMarkFollows="0" w:id="26"/>
      </w:r>
      <w:r w:rsidDel="00000000" w:rsidR="00000000" w:rsidRPr="00000000">
        <w:rPr>
          <w:rtl w:val="0"/>
        </w:rPr>
        <w:t xml:space="preserve"> Therefore, </w:t>
      </w:r>
      <w:r w:rsidDel="00000000" w:rsidR="00000000" w:rsidRPr="00000000">
        <w:rPr>
          <w:i w:val="1"/>
          <w:iCs w:val="1"/>
          <w:rtl w:val="0"/>
        </w:rPr>
        <w:t xml:space="preserve">BoDN</w:t>
      </w:r>
      <w:r w:rsidDel="00000000" w:rsidR="00000000" w:rsidRPr="00000000">
        <w:rPr>
          <w:rtl w:val="0"/>
        </w:rPr>
        <w:t xml:space="preserve"> (Fig.1) should not be categorized as ‘art’ from our present perspective, but as a functional magical text or technology.</w:t>
      </w:r>
      <w:r w:rsidDel="00000000" w:rsidR="00000000" w:rsidRPr="00000000">
        <w:rPr>
          <w:vertAlign w:val="superscript"/>
        </w:rPr>
        <w:footnoteReference w:customMarkFollows="0" w:id="27"/>
      </w:r>
      <w:r w:rsidDel="00000000" w:rsidR="00000000" w:rsidRPr="00000000">
        <w:rPr>
          <w:rtl w:val="0"/>
        </w:rPr>
        <w:t xml:space="preserve"> Nut’s swallowing and (re)birthing of the sun in </w:t>
      </w:r>
      <w:r w:rsidDel="00000000" w:rsidR="00000000" w:rsidRPr="00000000">
        <w:rPr>
          <w:i w:val="1"/>
          <w:iCs w:val="1"/>
          <w:rtl w:val="0"/>
        </w:rPr>
        <w:t xml:space="preserve">BoDN</w:t>
      </w:r>
      <w:r w:rsidDel="00000000" w:rsidR="00000000" w:rsidRPr="00000000">
        <w:rPr>
          <w:rtl w:val="0"/>
        </w:rPr>
        <w:t xml:space="preserve"> (Fig.7, Fig.8) can be interpreted not only as a symbolic representation of Osiris’ first birth and resurrection, nor as a gesture of hope for the continued preservation of Egypt, but as a form of invocation for cosmic order. As such, </w:t>
      </w:r>
      <w:r w:rsidDel="00000000" w:rsidR="00000000" w:rsidRPr="00000000">
        <w:rPr>
          <w:i w:val="1"/>
          <w:iCs w:val="1"/>
          <w:rtl w:val="0"/>
        </w:rPr>
        <w:t xml:space="preserve">BoDN </w:t>
      </w:r>
      <w:r w:rsidDel="00000000" w:rsidR="00000000" w:rsidRPr="00000000">
        <w:rPr>
          <w:rtl w:val="0"/>
        </w:rPr>
        <w:t xml:space="preserve">(Fig.1) transforms the entire tomb into a ‘magical machine’ that will aid Ramesses VI in propelling and prolonging the ordered day–night cycle.</w:t>
      </w:r>
      <w:r w:rsidDel="00000000" w:rsidR="00000000" w:rsidRPr="00000000">
        <w:rPr>
          <w:vertAlign w:val="superscript"/>
        </w:rPr>
        <w:footnoteReference w:customMarkFollows="0" w:id="28"/>
      </w:r>
      <w:r w:rsidDel="00000000" w:rsidR="00000000" w:rsidRPr="00000000">
        <w:rPr>
          <w:rtl w:val="0"/>
        </w:rPr>
        <w:t xml:space="preserve"> </w:t>
      </w:r>
    </w:p>
    <w:p w:rsidR="00000000" w:rsidDel="00000000" w:rsidP="00000000" w:rsidRDefault="00000000" w:rsidRPr="00000000" w14:paraId="000000EA">
      <w:pPr>
        <w:spacing w:line="240" w:lineRule="auto"/>
        <w:ind w:left="0" w:firstLine="720"/>
        <w:rPr/>
      </w:pPr>
      <w:r w:rsidDel="00000000" w:rsidR="00000000" w:rsidRPr="00000000">
        <w:rPr>
          <w:i w:val="1"/>
          <w:iCs w:val="1"/>
          <w:rtl w:val="0"/>
        </w:rPr>
        <w:t xml:space="preserve">Happy New Year</w:t>
      </w:r>
      <w:r w:rsidDel="00000000" w:rsidR="00000000" w:rsidRPr="00000000">
        <w:rPr>
          <w:rtl w:val="0"/>
        </w:rPr>
        <w:t xml:space="preserve"> (Fig.2), as stated in section 3, is a product of my own derived importance from observing the sky. In addition, I have maintained a lunar ritual practice since 2023, a result of my belief that the universe is animate. The very act of creating </w:t>
      </w:r>
      <w:r w:rsidDel="00000000" w:rsidR="00000000" w:rsidRPr="00000000">
        <w:rPr>
          <w:i w:val="1"/>
          <w:iCs w:val="1"/>
          <w:rtl w:val="0"/>
        </w:rPr>
        <w:t xml:space="preserve">Happy New Year</w:t>
      </w:r>
      <w:r w:rsidDel="00000000" w:rsidR="00000000" w:rsidRPr="00000000">
        <w:rPr>
          <w:rtl w:val="0"/>
        </w:rPr>
        <w:t xml:space="preserve"> (Fig.2), coupled with my individual context, therefore, does not align with Weber’s thesis. However, it might be argued that I am only an example of a minority, of pockets of society incongruent with modernity, similar to how Adorno criticized astrologers.</w:t>
      </w:r>
      <w:r w:rsidDel="00000000" w:rsidR="00000000" w:rsidRPr="00000000">
        <w:rPr>
          <w:vertAlign w:val="superscript"/>
        </w:rPr>
        <w:footnoteReference w:customMarkFollows="0" w:id="29"/>
      </w:r>
      <w:r w:rsidDel="00000000" w:rsidR="00000000" w:rsidRPr="00000000">
        <w:rPr>
          <w:rtl w:val="0"/>
        </w:rPr>
        <w:t xml:space="preserve"> </w:t>
      </w:r>
    </w:p>
    <w:p w:rsidR="00000000" w:rsidDel="00000000" w:rsidP="00000000" w:rsidRDefault="00000000" w:rsidRPr="00000000" w14:paraId="000000EB">
      <w:pPr>
        <w:spacing w:line="240" w:lineRule="auto"/>
        <w:ind w:left="0" w:firstLine="720"/>
        <w:rPr/>
      </w:pPr>
      <w:r w:rsidDel="00000000" w:rsidR="00000000" w:rsidRPr="00000000">
        <w:rPr>
          <w:rtl w:val="0"/>
        </w:rPr>
        <w:t xml:space="preserve">I also think that the universe will continue operating with or without my attendance to the sky. At a glance, my belief seems to be shared on a collective scope, as there seems to be no popular expectation for the President or any other United States politician to observe the skies, nor is there a government wing of priests who maintain the sky’s motion through ritual. Again, Weber would have defined this belief as inherent to a ‘disenchanted’ society. An intellectual root to said disenchantment has often been posited to be found in Newtonianism.</w:t>
      </w:r>
      <w:r w:rsidDel="00000000" w:rsidR="00000000" w:rsidRPr="00000000">
        <w:rPr>
          <w:vertAlign w:val="superscript"/>
        </w:rPr>
        <w:footnoteReference w:customMarkFollows="0" w:id="30"/>
      </w:r>
      <w:r w:rsidDel="00000000" w:rsidR="00000000" w:rsidRPr="00000000">
        <w:rPr>
          <w:rtl w:val="0"/>
        </w:rPr>
        <w:t xml:space="preserve"> Newton’s theory of gravity framed the universe as operating according to its own immutable laws with or without human interference, like a mechanism. Simultaneously, his theory described the universe as physically inert unless acted upon by an outside force.</w:t>
      </w:r>
      <w:r w:rsidDel="00000000" w:rsidR="00000000" w:rsidRPr="00000000">
        <w:rPr>
          <w:vertAlign w:val="superscript"/>
        </w:rPr>
        <w:footnoteReference w:customMarkFollows="0" w:id="31"/>
      </w:r>
      <w:r w:rsidDel="00000000" w:rsidR="00000000" w:rsidRPr="00000000">
        <w:rPr>
          <w:rtl w:val="0"/>
        </w:rPr>
        <w:t xml:space="preserve"> Although Newton himself believed in God, his theory was soon interpreted as antithetical to a universe animated or populated by deities.</w:t>
      </w:r>
      <w:r w:rsidDel="00000000" w:rsidR="00000000" w:rsidRPr="00000000">
        <w:rPr>
          <w:vertAlign w:val="superscript"/>
        </w:rPr>
        <w:footnoteReference w:customMarkFollows="0" w:id="32"/>
      </w:r>
      <w:r w:rsidDel="00000000" w:rsidR="00000000" w:rsidRPr="00000000">
        <w:rPr>
          <w:rtl w:val="0"/>
        </w:rPr>
        <w:t xml:space="preserve"> The result, according to Weber, was that nature was viewed as governable by science and rationality— hence, it need not be maintained or mediated via myth and ritual, but dominated.</w:t>
      </w:r>
      <w:r w:rsidDel="00000000" w:rsidR="00000000" w:rsidRPr="00000000">
        <w:rPr>
          <w:vertAlign w:val="superscript"/>
        </w:rPr>
        <w:footnoteReference w:customMarkFollows="0" w:id="33"/>
      </w:r>
      <w:r w:rsidDel="00000000" w:rsidR="00000000" w:rsidRPr="00000000">
        <w:rPr>
          <w:rtl w:val="0"/>
        </w:rPr>
        <w:t xml:space="preserve"> </w:t>
      </w:r>
    </w:p>
    <w:p w:rsidR="00000000" w:rsidDel="00000000" w:rsidP="00000000" w:rsidRDefault="00000000" w:rsidRPr="00000000" w14:paraId="000000EC">
      <w:pPr>
        <w:spacing w:line="240" w:lineRule="auto"/>
        <w:ind w:left="0" w:firstLine="720"/>
        <w:rPr/>
      </w:pPr>
      <w:r w:rsidDel="00000000" w:rsidR="00000000" w:rsidRPr="00000000">
        <w:rPr>
          <w:rtl w:val="0"/>
        </w:rPr>
        <w:t xml:space="preserve">In a framework where the cosmos operates independently, both tomorrow is guaranteed and the Egyptian fear of night overtaking day is irrelevant (especially in an electrically–lit society). Nor is there any need for the explanatory power of myth to mediate an American’s experience of the sky. Instead, from my local perspective in Sarasota, the sky is simply a backdrop to leisure and festivity. The city’s beaches and sunsets have served as the natural setting for American holidays, such as Independence Day, for my entire life.</w:t>
      </w:r>
    </w:p>
    <w:p w:rsidR="00000000" w:rsidDel="00000000" w:rsidP="00000000" w:rsidRDefault="00000000" w:rsidRPr="00000000" w14:paraId="000000ED">
      <w:pPr>
        <w:spacing w:line="240" w:lineRule="auto"/>
        <w:ind w:left="0" w:firstLine="720"/>
        <w:rPr/>
      </w:pPr>
      <w:r w:rsidDel="00000000" w:rsidR="00000000" w:rsidRPr="00000000">
        <w:rPr>
          <w:rtl w:val="0"/>
        </w:rPr>
        <w:t xml:space="preserve">However, the U.S. does possess its own sky–related existential fears— catastrophic climate change, warheads raining from the sky— which are depicted in a plethora of media, from literature to film. When I began painting </w:t>
      </w:r>
      <w:r w:rsidDel="00000000" w:rsidR="00000000" w:rsidRPr="00000000">
        <w:rPr>
          <w:i w:val="1"/>
          <w:iCs w:val="1"/>
          <w:rtl w:val="0"/>
        </w:rPr>
        <w:t xml:space="preserve">Happy New Year </w:t>
      </w:r>
      <w:r w:rsidDel="00000000" w:rsidR="00000000" w:rsidRPr="00000000">
        <w:rPr>
          <w:rtl w:val="0"/>
        </w:rPr>
        <w:t xml:space="preserve">(Fig.2), news outlets were speculating whether the U.S–Iran conflict would escalate to nuclear war. My family and friends echoed these reports and were generally concerned for the future state of the world. President Trump’s April 7 statement that a ‘whole civilization will die tonight’ might have subconsciously influenced me during the third painting session of </w:t>
      </w:r>
      <w:r w:rsidDel="00000000" w:rsidR="00000000" w:rsidRPr="00000000">
        <w:rPr>
          <w:i w:val="1"/>
          <w:iCs w:val="1"/>
          <w:rtl w:val="0"/>
        </w:rPr>
        <w:t xml:space="preserve">Happy New Year </w:t>
      </w:r>
      <w:r w:rsidDel="00000000" w:rsidR="00000000" w:rsidRPr="00000000">
        <w:rPr>
          <w:rtl w:val="0"/>
        </w:rPr>
        <w:t xml:space="preserve">(Fig.2), evidenced by the more frenetic strokes in the lower band of my painting (Fig.9).</w:t>
      </w:r>
      <w:r w:rsidDel="00000000" w:rsidR="00000000" w:rsidRPr="00000000">
        <w:rPr>
          <w:vertAlign w:val="superscript"/>
        </w:rPr>
        <w:footnoteReference w:customMarkFollows="0" w:id="34"/>
      </w:r>
      <w:r w:rsidDel="00000000" w:rsidR="00000000" w:rsidRPr="00000000">
        <w:rPr>
          <w:rtl w:val="0"/>
        </w:rPr>
        <w:t xml:space="preserve"> </w:t>
      </w:r>
    </w:p>
    <w:p w:rsidR="00000000" w:rsidDel="00000000" w:rsidP="00000000" w:rsidRDefault="00000000" w:rsidRPr="00000000" w14:paraId="000000EE">
      <w:pPr>
        <w:spacing w:line="240" w:lineRule="auto"/>
        <w:ind w:left="0" w:firstLine="720"/>
        <w:rPr/>
      </w:pPr>
      <w:r w:rsidDel="00000000" w:rsidR="00000000" w:rsidRPr="00000000">
        <w:rPr>
          <w:rtl w:val="0"/>
        </w:rPr>
        <w:t xml:space="preserve">Along with its geo–political fears, the U.S. does have its own sky myths. </w:t>
      </w:r>
      <w:r w:rsidDel="00000000" w:rsidR="00000000" w:rsidRPr="00000000">
        <w:rPr>
          <w:color w:val="1a1818"/>
          <w:rtl w:val="0"/>
        </w:rPr>
        <w:t xml:space="preserve">An example is the 1969 lunar landing, a narrative that holds special prominence in the American consciousness as a culminating event in a wider time of exploration, triumph over Communism, and American exceptionalism.</w:t>
      </w:r>
      <w:r w:rsidDel="00000000" w:rsidR="00000000" w:rsidRPr="00000000">
        <w:rPr>
          <w:color w:val="1a1818"/>
          <w:vertAlign w:val="superscript"/>
        </w:rPr>
        <w:footnoteReference w:customMarkFollows="0" w:id="35"/>
      </w:r>
      <w:r w:rsidDel="00000000" w:rsidR="00000000" w:rsidRPr="00000000">
        <w:rPr>
          <w:color w:val="1a1818"/>
          <w:rtl w:val="0"/>
        </w:rPr>
        <w:t xml:space="preserve"> Indeed, scientists such as Michio Kaku write about the so–called Space Race in mythic terms, a time when the U.S. government readily funded N.A.S.A and space exploration,  as a long–lost golden age of scientific progress.</w:t>
      </w:r>
      <w:r w:rsidDel="00000000" w:rsidR="00000000" w:rsidRPr="00000000">
        <w:rPr>
          <w:color w:val="1a1818"/>
          <w:vertAlign w:val="superscript"/>
        </w:rPr>
        <w:footnoteReference w:customMarkFollows="0" w:id="36"/>
      </w:r>
      <w:r w:rsidDel="00000000" w:rsidR="00000000" w:rsidRPr="00000000">
        <w:rPr>
          <w:color w:val="1a1818"/>
          <w:rtl w:val="0"/>
        </w:rPr>
        <w:t xml:space="preserve"> This narrative has been continuously rehashed with every subsequent rocket launch, as a promised revival of that special period. A reason for the Space Race’s mythologization is an underlying fear of the destruction of humanity. Scientists and entrepreneurs— such as Kaku, Elon Musk, and others —are publicly vocal in their opinion that space exploration is the key to humanity’s survival, lest the species succumb to climate catastrophe, nuclear war, or an errant asteroid.</w:t>
      </w:r>
      <w:r w:rsidDel="00000000" w:rsidR="00000000" w:rsidRPr="00000000">
        <w:rPr>
          <w:color w:val="1a1818"/>
          <w:vertAlign w:val="superscript"/>
        </w:rPr>
        <w:footnoteReference w:customMarkFollows="0" w:id="37"/>
      </w:r>
      <w:r w:rsidDel="00000000" w:rsidR="00000000" w:rsidRPr="00000000">
        <w:rPr>
          <w:color w:val="1a1818"/>
          <w:rtl w:val="0"/>
        </w:rPr>
        <w:t xml:space="preserve"> Within this frame of logic, every rocket launch not only functions as a ritualistic return to the Apollo 11 mission but also as a soteriological promise. This governing narrative functions on the same assumption that sustained the Egyptian myth of Nut’s (re)birthing of Osiris: that the sky harbors danger and that participation can mitigate said danger. Like the ancient Egyptian expectation that the Pharaoh and ruling class should attend to the sky, many Astrofuturists wish for more government (or privatized and corporate) participation in space exploration. This desire for government participation in celestial matters can also apply to climate activists and scientists, as they also share a similar core philosophy: if the government does not intervene and curb its carbon emissions, the world will meet catastrophe. I myself believe in the importance of space exploration and climate intervention, so much so that it influences whom I vote for. </w:t>
        <w:br w:type="textWrapping"/>
        <w:tab/>
        <w:t xml:space="preserve">Post–Weber </w:t>
      </w:r>
      <w:r w:rsidDel="00000000" w:rsidR="00000000" w:rsidRPr="00000000">
        <w:rPr>
          <w:rtl w:val="0"/>
        </w:rPr>
        <w:t xml:space="preserve">scholarship has additionally found that Western countries are just as ‘enchanted’ as non–Western or ancient societies. R</w:t>
      </w:r>
      <w:r w:rsidDel="00000000" w:rsidR="00000000" w:rsidRPr="00000000">
        <w:rPr>
          <w:color w:val="1a1818"/>
          <w:rtl w:val="0"/>
        </w:rPr>
        <w:t xml:space="preserve">ecent sociological data suggests that a majority of Americans, not a minority, believe in the existence of supernatural entities or phenomena.</w:t>
      </w:r>
      <w:r w:rsidDel="00000000" w:rsidR="00000000" w:rsidRPr="00000000">
        <w:rPr>
          <w:color w:val="1a1818"/>
          <w:vertAlign w:val="superscript"/>
        </w:rPr>
        <w:footnoteReference w:customMarkFollows="0" w:id="38"/>
      </w:r>
      <w:r w:rsidDel="00000000" w:rsidR="00000000" w:rsidRPr="00000000">
        <w:rPr>
          <w:color w:val="1a1818"/>
          <w:rtl w:val="0"/>
        </w:rPr>
        <w:t xml:space="preserve"> </w:t>
      </w:r>
      <w:r w:rsidDel="00000000" w:rsidR="00000000" w:rsidRPr="00000000">
        <w:rPr>
          <w:rtl w:val="0"/>
        </w:rPr>
        <w:t xml:space="preserve">Science, which is often defined as diametrically opposed to ‘myth’, is often promoted by enchantment, while scientists are </w:t>
      </w:r>
      <w:r w:rsidDel="00000000" w:rsidR="00000000" w:rsidRPr="00000000">
        <w:rPr>
          <w:color w:val="1a1818"/>
          <w:rtl w:val="0"/>
        </w:rPr>
        <w:t xml:space="preserve">often enchanted themselves. </w:t>
      </w:r>
      <w:r w:rsidDel="00000000" w:rsidR="00000000" w:rsidRPr="00000000">
        <w:rPr>
          <w:color w:val="1a1818"/>
          <w:rtl w:val="0"/>
        </w:rPr>
        <w:t xml:space="preserve">Thus,</w:t>
      </w:r>
      <w:r w:rsidDel="00000000" w:rsidR="00000000" w:rsidRPr="00000000">
        <w:rPr>
          <w:color w:val="1a1818"/>
          <w:rtl w:val="0"/>
        </w:rPr>
        <w:t xml:space="preserve"> science does not so much eradicate myths, but instead offers new compensatory ones.</w:t>
      </w:r>
      <w:r w:rsidDel="00000000" w:rsidR="00000000" w:rsidRPr="00000000">
        <w:rPr>
          <w:color w:val="1a1818"/>
          <w:vertAlign w:val="superscript"/>
        </w:rPr>
        <w:footnoteReference w:customMarkFollows="0" w:id="39"/>
      </w:r>
      <w:r w:rsidDel="00000000" w:rsidR="00000000" w:rsidRPr="00000000">
        <w:rPr>
          <w:color w:val="1a1818"/>
          <w:rtl w:val="0"/>
        </w:rPr>
        <w:t xml:space="preserve"> A more contextual analysis of </w:t>
      </w:r>
      <w:r w:rsidDel="00000000" w:rsidR="00000000" w:rsidRPr="00000000">
        <w:rPr>
          <w:i w:val="1"/>
          <w:iCs w:val="1"/>
          <w:color w:val="1a1818"/>
          <w:rtl w:val="0"/>
        </w:rPr>
        <w:t xml:space="preserve">BoDN</w:t>
      </w:r>
      <w:r w:rsidDel="00000000" w:rsidR="00000000" w:rsidRPr="00000000">
        <w:rPr>
          <w:color w:val="1a1818"/>
          <w:rtl w:val="0"/>
        </w:rPr>
        <w:t xml:space="preserve"> (Fig.1) and </w:t>
      </w:r>
      <w:r w:rsidDel="00000000" w:rsidR="00000000" w:rsidRPr="00000000">
        <w:rPr>
          <w:i w:val="1"/>
          <w:iCs w:val="1"/>
          <w:color w:val="1a1818"/>
          <w:rtl w:val="0"/>
        </w:rPr>
        <w:t xml:space="preserve">Happy New Year</w:t>
      </w:r>
      <w:r w:rsidDel="00000000" w:rsidR="00000000" w:rsidRPr="00000000">
        <w:rPr>
          <w:color w:val="1a1818"/>
          <w:rtl w:val="0"/>
        </w:rPr>
        <w:t xml:space="preserve"> (Fig.2) thus reveals the demarcation of the ‘disenchanted’ West versus the ‘enchanted’ Egyptian to be much more porous. As such, both the ancient Egyptians and present–day Americans seem to exhibit a culturally–pervasive belief that the sky should, in some way, be actively engaged with. </w:t>
      </w:r>
      <w:r w:rsidDel="00000000" w:rsidR="00000000" w:rsidRPr="00000000">
        <w:rPr>
          <w:b w:val="1"/>
          <w:bCs w:val="1"/>
          <w:rtl w:val="0"/>
        </w:rPr>
        <w:br w:type="textWrapping"/>
        <w:tab/>
      </w:r>
      <w:r w:rsidDel="00000000" w:rsidR="00000000" w:rsidRPr="00000000">
        <w:rPr>
          <w:rtl w:val="0"/>
        </w:rPr>
        <w:t xml:space="preserve">While Weber’s binary labeling of the West as ‘disenchanted' and ancient civilizations as ‘enchanted’, his definitions are still useful. If the image of the ‘disenchanted’ West is done away with, then the inverse possibility that people of ancient societies could have experienced </w:t>
      </w:r>
      <w:r w:rsidDel="00000000" w:rsidR="00000000" w:rsidRPr="00000000">
        <w:rPr>
          <w:i w:val="1"/>
          <w:iCs w:val="1"/>
          <w:rtl w:val="0"/>
        </w:rPr>
        <w:t xml:space="preserve">disenchantmen</w:t>
      </w:r>
      <w:r w:rsidDel="00000000" w:rsidR="00000000" w:rsidRPr="00000000">
        <w:rPr>
          <w:rtl w:val="0"/>
        </w:rPr>
        <w:t xml:space="preserve">t towards the sky should be considered. While this paper’s analysis has constructed and relied on an image of ancient Egypt as being ‘enchanted’, in which active participation with the sky was a defining pillar of their society, said construction is based only on the evidence of funerary customs survived from the royalty and elites. </w:t>
        <w:br w:type="textWrapping"/>
        <w:tab/>
        <w:t xml:space="preserve">Through the lens of disenchantment, the question on what the painters of </w:t>
      </w:r>
      <w:r w:rsidDel="00000000" w:rsidR="00000000" w:rsidRPr="00000000">
        <w:rPr>
          <w:i w:val="1"/>
          <w:iCs w:val="1"/>
          <w:rtl w:val="0"/>
        </w:rPr>
        <w:t xml:space="preserve">BoDN</w:t>
      </w:r>
      <w:r w:rsidDel="00000000" w:rsidR="00000000" w:rsidRPr="00000000">
        <w:rPr>
          <w:rtl w:val="0"/>
        </w:rPr>
        <w:t xml:space="preserve"> (Fig.1) might have felt, their phenomenological experience towards their work, should be approached. If Ramesses VI’s tomb was so central to the preservation of the cosmos, then it is possible that </w:t>
      </w:r>
      <w:r w:rsidDel="00000000" w:rsidR="00000000" w:rsidRPr="00000000">
        <w:rPr>
          <w:i w:val="1"/>
          <w:iCs w:val="1"/>
          <w:rtl w:val="0"/>
        </w:rPr>
        <w:t xml:space="preserve">BoDN</w:t>
      </w:r>
      <w:r w:rsidDel="00000000" w:rsidR="00000000" w:rsidRPr="00000000">
        <w:rPr>
          <w:rtl w:val="0"/>
        </w:rPr>
        <w:t xml:space="preserve">’s painters (Fig.1) felt not only the pressure of a looming deadline, but a form of existential anxiety in making sure the decorations were successfully completed. Indeed, the process of tomb–painting was a highly systematic and collective effort. After the walls of the rock–cut tomb had been mudded, plastered, and smoothed, the painters from the nearby village of Deir el–Medina would have been issued their pigments and tools.</w:t>
      </w:r>
      <w:r w:rsidDel="00000000" w:rsidR="00000000" w:rsidRPr="00000000">
        <w:rPr>
          <w:vertAlign w:val="superscript"/>
        </w:rPr>
        <w:footnoteReference w:customMarkFollows="0" w:id="40"/>
      </w:r>
      <w:r w:rsidDel="00000000" w:rsidR="00000000" w:rsidRPr="00000000">
        <w:rPr>
          <w:rtl w:val="0"/>
        </w:rPr>
        <w:t xml:space="preserve"> They would then have worked off of a draughtsman’s design— given the aforementioned importance of the spells’ efficacy, no improvisation or mistakes were allowed. All of this would have been done in the darkness of the mountain’s interior, by candlelight, far from actual visibility of the sky.</w:t>
      </w:r>
      <w:r w:rsidDel="00000000" w:rsidR="00000000" w:rsidRPr="00000000">
        <w:rPr>
          <w:vertAlign w:val="superscript"/>
        </w:rPr>
        <w:footnoteReference w:customMarkFollows="0" w:id="41"/>
      </w:r>
      <w:r w:rsidDel="00000000" w:rsidR="00000000" w:rsidRPr="00000000">
        <w:rPr>
          <w:rtl w:val="0"/>
        </w:rPr>
        <w:br w:type="textWrapping"/>
        <w:tab/>
        <w:t xml:space="preserve">Due to the distance of the Valley of the Kings from Deir el–Medina, the workers would have lived in a separate, smaller village during the work phase, spending days or weeks away from their families.</w:t>
      </w:r>
      <w:r w:rsidDel="00000000" w:rsidR="00000000" w:rsidRPr="00000000">
        <w:rPr>
          <w:vertAlign w:val="superscript"/>
        </w:rPr>
        <w:footnoteReference w:customMarkFollows="0" w:id="42"/>
      </w:r>
      <w:r w:rsidDel="00000000" w:rsidR="00000000" w:rsidRPr="00000000">
        <w:rPr>
          <w:rtl w:val="0"/>
        </w:rPr>
        <w:t xml:space="preserve"> The decoration of KV 9 also experienced delays and setbacks.</w:t>
      </w:r>
      <w:r w:rsidDel="00000000" w:rsidR="00000000" w:rsidRPr="00000000">
        <w:rPr>
          <w:vertAlign w:val="superscript"/>
        </w:rPr>
        <w:footnoteReference w:customMarkFollows="0" w:id="43"/>
      </w:r>
      <w:r w:rsidDel="00000000" w:rsidR="00000000" w:rsidRPr="00000000">
        <w:rPr>
          <w:rtl w:val="0"/>
        </w:rPr>
        <w:t xml:space="preserve"> Since this was a job (paid in bread and beer) upon which the livelihood of their families depended, such events would have caused tension. Indeed, the earliest extant documentation of a workers’ strike is of the Deir el–Medina workers during the reign of Ramesses III, in response to delays in payment.</w:t>
      </w:r>
      <w:r w:rsidDel="00000000" w:rsidR="00000000" w:rsidRPr="00000000">
        <w:rPr>
          <w:vertAlign w:val="superscript"/>
        </w:rPr>
        <w:footnoteReference w:customMarkFollows="0" w:id="44"/>
      </w:r>
      <w:r w:rsidDel="00000000" w:rsidR="00000000" w:rsidRPr="00000000">
        <w:rPr>
          <w:rtl w:val="0"/>
        </w:rPr>
        <w:t xml:space="preserve"> Any possible reverence for the cosmic importance of their work might have been contrasted by feelings of annoyance, anxiety, and hum–drum from their job. The painters’ difficult material conditions can indicate that the process of </w:t>
      </w:r>
      <w:r w:rsidDel="00000000" w:rsidR="00000000" w:rsidRPr="00000000">
        <w:rPr>
          <w:i w:val="1"/>
          <w:iCs w:val="1"/>
          <w:rtl w:val="0"/>
        </w:rPr>
        <w:t xml:space="preserve">BoDN</w:t>
      </w:r>
      <w:r w:rsidDel="00000000" w:rsidR="00000000" w:rsidRPr="00000000">
        <w:rPr>
          <w:rtl w:val="0"/>
        </w:rPr>
        <w:t xml:space="preserve"> sustained both a physical and emotional detachment from the so–called ‘active participation’ with the sky that ‘enchantment’ requires.</w:t>
        <w:br w:type="textWrapping"/>
        <w:tab/>
        <w:t xml:space="preserve">Unlike the arduous and slow process behind </w:t>
      </w:r>
      <w:r w:rsidDel="00000000" w:rsidR="00000000" w:rsidRPr="00000000">
        <w:rPr>
          <w:i w:val="1"/>
          <w:iCs w:val="1"/>
          <w:rtl w:val="0"/>
        </w:rPr>
        <w:t xml:space="preserve">BoDN </w:t>
      </w:r>
      <w:r w:rsidDel="00000000" w:rsidR="00000000" w:rsidRPr="00000000">
        <w:rPr>
          <w:rtl w:val="0"/>
        </w:rPr>
        <w:t xml:space="preserve">(Fig.1), my process for </w:t>
      </w:r>
      <w:r w:rsidDel="00000000" w:rsidR="00000000" w:rsidRPr="00000000">
        <w:rPr>
          <w:i w:val="1"/>
          <w:iCs w:val="1"/>
          <w:rtl w:val="0"/>
        </w:rPr>
        <w:t xml:space="preserve">Happy New Year</w:t>
      </w:r>
      <w:r w:rsidDel="00000000" w:rsidR="00000000" w:rsidRPr="00000000">
        <w:rPr>
          <w:rtl w:val="0"/>
        </w:rPr>
        <w:t xml:space="preserve"> (Fig.2) was quick, improvisational, and reliant on direct observation of the sky. I did not work off a precise template, and my mixing and use of colors was haphazard. As I painted, I progressively felt my attempt to ‘capture’ the sunset and sunrise to be futile. At some point, I stopped painting and decided to simply be present in a moment of wonder towards the vista. </w:t>
        <w:br w:type="textWrapping"/>
        <w:tab/>
        <w:t xml:space="preserve">A comparison of the processes underlying both </w:t>
      </w:r>
      <w:r w:rsidDel="00000000" w:rsidR="00000000" w:rsidRPr="00000000">
        <w:rPr>
          <w:i w:val="1"/>
          <w:iCs w:val="1"/>
          <w:rtl w:val="0"/>
        </w:rPr>
        <w:t xml:space="preserve">BoDN</w:t>
      </w:r>
      <w:r w:rsidDel="00000000" w:rsidR="00000000" w:rsidRPr="00000000">
        <w:rPr>
          <w:rtl w:val="0"/>
        </w:rPr>
        <w:t xml:space="preserve"> (Fig.1) and </w:t>
      </w:r>
      <w:r w:rsidDel="00000000" w:rsidR="00000000" w:rsidRPr="00000000">
        <w:rPr>
          <w:i w:val="1"/>
          <w:iCs w:val="1"/>
          <w:rtl w:val="0"/>
        </w:rPr>
        <w:t xml:space="preserve">Happy New Year</w:t>
      </w:r>
      <w:r w:rsidDel="00000000" w:rsidR="00000000" w:rsidRPr="00000000">
        <w:rPr>
          <w:rtl w:val="0"/>
        </w:rPr>
        <w:t xml:space="preserve"> (Fig.2) suggests an interesting inversion of Weber’s typical ‘enchanted’ vs. ‘disenchanted’ construction. </w:t>
      </w:r>
      <w:r w:rsidDel="00000000" w:rsidR="00000000" w:rsidRPr="00000000">
        <w:rPr>
          <w:i w:val="1"/>
          <w:iCs w:val="1"/>
          <w:rtl w:val="0"/>
        </w:rPr>
        <w:t xml:space="preserve">Happy New Year </w:t>
      </w:r>
      <w:r w:rsidDel="00000000" w:rsidR="00000000" w:rsidRPr="00000000">
        <w:rPr>
          <w:rtl w:val="0"/>
        </w:rPr>
        <w:t xml:space="preserve">(Fig.2) records a moment when I engaged with the sky in a personally mythic and enchanted way. On the other hand, the manner in which </w:t>
      </w:r>
      <w:r w:rsidDel="00000000" w:rsidR="00000000" w:rsidRPr="00000000">
        <w:rPr>
          <w:i w:val="1"/>
          <w:iCs w:val="1"/>
          <w:rtl w:val="0"/>
        </w:rPr>
        <w:t xml:space="preserve">BoDN</w:t>
      </w:r>
      <w:r w:rsidDel="00000000" w:rsidR="00000000" w:rsidRPr="00000000">
        <w:rPr>
          <w:rtl w:val="0"/>
        </w:rPr>
        <w:t xml:space="preserve"> (Fig.1) was executed might have not afforded the painters involved that same experience. In other words, through an analysis of process, </w:t>
      </w:r>
      <w:r w:rsidDel="00000000" w:rsidR="00000000" w:rsidRPr="00000000">
        <w:rPr>
          <w:i w:val="1"/>
          <w:iCs w:val="1"/>
          <w:rtl w:val="0"/>
        </w:rPr>
        <w:t xml:space="preserve">BoDN</w:t>
      </w:r>
      <w:r w:rsidDel="00000000" w:rsidR="00000000" w:rsidRPr="00000000">
        <w:rPr>
          <w:rtl w:val="0"/>
        </w:rPr>
        <w:t xml:space="preserve"> (Fig.1) could be a record of ancient </w:t>
      </w:r>
      <w:r w:rsidDel="00000000" w:rsidR="00000000" w:rsidRPr="00000000">
        <w:rPr>
          <w:i w:val="1"/>
          <w:iCs w:val="1"/>
          <w:rtl w:val="0"/>
        </w:rPr>
        <w:t xml:space="preserve">disenchantment </w:t>
      </w:r>
      <w:r w:rsidDel="00000000" w:rsidR="00000000" w:rsidRPr="00000000">
        <w:rPr>
          <w:rtl w:val="0"/>
        </w:rPr>
        <w:t xml:space="preserve">with the sky, while </w:t>
      </w:r>
      <w:r w:rsidDel="00000000" w:rsidR="00000000" w:rsidRPr="00000000">
        <w:rPr>
          <w:i w:val="1"/>
          <w:iCs w:val="1"/>
          <w:rtl w:val="0"/>
        </w:rPr>
        <w:t xml:space="preserve">Happy New Year </w:t>
      </w:r>
      <w:r w:rsidDel="00000000" w:rsidR="00000000" w:rsidRPr="00000000">
        <w:rPr>
          <w:rtl w:val="0"/>
        </w:rPr>
        <w:t xml:space="preserve">(Fig.2) signifies a modern enchantment. </w:t>
      </w:r>
    </w:p>
    <w:p w:rsidR="00000000" w:rsidDel="00000000" w:rsidP="00000000" w:rsidRDefault="00000000" w:rsidRPr="00000000" w14:paraId="000000EF">
      <w:pPr>
        <w:spacing w:line="240" w:lineRule="auto"/>
        <w:ind w:left="0" w:firstLine="720"/>
        <w:rPr/>
      </w:pPr>
      <w:r w:rsidDel="00000000" w:rsidR="00000000" w:rsidRPr="00000000">
        <w:rPr>
          <w:rtl w:val="0"/>
        </w:rPr>
      </w:r>
    </w:p>
    <w:p w:rsidR="00000000" w:rsidDel="00000000" w:rsidP="00000000" w:rsidRDefault="00000000" w:rsidRPr="00000000" w14:paraId="000000F0">
      <w:pPr>
        <w:spacing w:line="240" w:lineRule="auto"/>
        <w:ind w:left="0" w:firstLine="0"/>
        <w:rPr>
          <w:b w:val="1"/>
          <w:bCs w:val="1"/>
        </w:rPr>
      </w:pPr>
      <w:r w:rsidDel="00000000" w:rsidR="00000000" w:rsidRPr="00000000">
        <w:rPr>
          <w:b w:val="1"/>
          <w:bCs w:val="1"/>
          <w:rtl w:val="0"/>
        </w:rPr>
        <w:t xml:space="preserve">Concl</w:t>
      </w:r>
      <w:r w:rsidDel="00000000" w:rsidR="00000000" w:rsidRPr="00000000">
        <w:rPr>
          <w:b w:val="1"/>
          <w:bCs w:val="1"/>
          <w:rtl w:val="0"/>
        </w:rPr>
        <w:t xml:space="preserve">usion:</w:t>
      </w:r>
    </w:p>
    <w:p w:rsidR="00000000" w:rsidDel="00000000" w:rsidP="00000000" w:rsidRDefault="00000000" w:rsidRPr="00000000" w14:paraId="000000F1">
      <w:pPr>
        <w:spacing w:line="240" w:lineRule="auto"/>
        <w:ind w:left="0" w:firstLine="0"/>
        <w:rPr/>
      </w:pPr>
      <w:r w:rsidDel="00000000" w:rsidR="00000000" w:rsidRPr="00000000">
        <w:rPr>
          <w:rtl w:val="0"/>
        </w:rPr>
        <w:tab/>
        <w:t xml:space="preserve">A comparison between </w:t>
      </w:r>
      <w:r w:rsidDel="00000000" w:rsidR="00000000" w:rsidRPr="00000000">
        <w:rPr>
          <w:i w:val="1"/>
          <w:iCs w:val="1"/>
          <w:rtl w:val="0"/>
        </w:rPr>
        <w:t xml:space="preserve">Happy New Year</w:t>
      </w:r>
      <w:r w:rsidDel="00000000" w:rsidR="00000000" w:rsidRPr="00000000">
        <w:rPr>
          <w:rtl w:val="0"/>
        </w:rPr>
        <w:t xml:space="preserve"> (Fig.2) and</w:t>
      </w:r>
      <w:r w:rsidDel="00000000" w:rsidR="00000000" w:rsidRPr="00000000">
        <w:rPr>
          <w:i w:val="1"/>
          <w:iCs w:val="1"/>
          <w:rtl w:val="0"/>
        </w:rPr>
        <w:t xml:space="preserve"> Book of the Day and the Night</w:t>
      </w:r>
      <w:r w:rsidDel="00000000" w:rsidR="00000000" w:rsidRPr="00000000">
        <w:rPr>
          <w:rtl w:val="0"/>
        </w:rPr>
        <w:t xml:space="preserve"> within the sarcophagal chamber of KV 9 (Fig.1) highlights a stark divide between their formal and procedural characteristics, despite pictorially representing the same subject of the sky: sunrise and sunset. </w:t>
      </w:r>
      <w:r w:rsidDel="00000000" w:rsidR="00000000" w:rsidRPr="00000000">
        <w:rPr>
          <w:i w:val="1"/>
          <w:iCs w:val="1"/>
          <w:rtl w:val="0"/>
        </w:rPr>
        <w:t xml:space="preserve">Happy New Year</w:t>
      </w:r>
      <w:r w:rsidDel="00000000" w:rsidR="00000000" w:rsidRPr="00000000">
        <w:rPr>
          <w:rtl w:val="0"/>
        </w:rPr>
        <w:t xml:space="preserve"> (Fig.2) employs a liberal color palette and composition, and renders its subject in a more abstract fashion. Alternatively, </w:t>
      </w:r>
      <w:r w:rsidDel="00000000" w:rsidR="00000000" w:rsidRPr="00000000">
        <w:rPr>
          <w:i w:val="1"/>
          <w:iCs w:val="1"/>
          <w:rtl w:val="0"/>
        </w:rPr>
        <w:t xml:space="preserve">BoDN</w:t>
      </w:r>
      <w:r w:rsidDel="00000000" w:rsidR="00000000" w:rsidRPr="00000000">
        <w:rPr>
          <w:rtl w:val="0"/>
        </w:rPr>
        <w:t xml:space="preserve"> (Fig.1) personified the sky as the recognizable goddess Nut, rendering her with a minimal palette of single colors and a symmetrically organized layout. From this cursory analysis, the ancient Egyptians’ view of the sky seemed ordered and deliberate, while mine seems chaotic. </w:t>
      </w:r>
    </w:p>
    <w:p w:rsidR="00000000" w:rsidDel="00000000" w:rsidP="00000000" w:rsidRDefault="00000000" w:rsidRPr="00000000" w14:paraId="000000F2">
      <w:pPr>
        <w:spacing w:line="240" w:lineRule="auto"/>
        <w:ind w:left="0" w:firstLine="0"/>
        <w:rPr/>
      </w:pPr>
      <w:r w:rsidDel="00000000" w:rsidR="00000000" w:rsidRPr="00000000">
        <w:rPr>
          <w:rtl w:val="0"/>
        </w:rPr>
        <w:tab/>
        <w:t xml:space="preserve">Through a mythic analysis, however, both paintings reveal that the Egyptians and I both prioritize a form of engagement with the sky, which catalyzes ritual and organizing narratives. Further analysis reveals that an ‘active participation’ with the sky, which, according to Weber’s framework, should only be relevant to the Egyptians, is also applicable to American culture. Both cultures harbor existential fears related to the sky, whether divine or not. Both also believe in the soteriological potential of governmental participation with said sky, whether that involves the Pharaoh following right conduct or modern space exploration.  </w:t>
      </w:r>
    </w:p>
    <w:p w:rsidR="00000000" w:rsidDel="00000000" w:rsidP="00000000" w:rsidRDefault="00000000" w:rsidRPr="00000000" w14:paraId="000000F3">
      <w:pPr>
        <w:spacing w:line="240" w:lineRule="auto"/>
        <w:ind w:left="0" w:firstLine="0"/>
        <w:rPr/>
      </w:pPr>
      <w:r w:rsidDel="00000000" w:rsidR="00000000" w:rsidRPr="00000000">
        <w:rPr>
          <w:rtl w:val="0"/>
        </w:rPr>
        <w:tab/>
        <w:t xml:space="preserve">A final comparison between </w:t>
      </w:r>
      <w:r w:rsidDel="00000000" w:rsidR="00000000" w:rsidRPr="00000000">
        <w:rPr>
          <w:i w:val="1"/>
          <w:iCs w:val="1"/>
          <w:rtl w:val="0"/>
        </w:rPr>
        <w:t xml:space="preserve">Happy New Year</w:t>
      </w:r>
      <w:r w:rsidDel="00000000" w:rsidR="00000000" w:rsidRPr="00000000">
        <w:rPr>
          <w:rtl w:val="0"/>
        </w:rPr>
        <w:t xml:space="preserve"> (Fig.2) and </w:t>
      </w:r>
      <w:r w:rsidDel="00000000" w:rsidR="00000000" w:rsidRPr="00000000">
        <w:rPr>
          <w:i w:val="1"/>
          <w:iCs w:val="1"/>
          <w:rtl w:val="0"/>
        </w:rPr>
        <w:t xml:space="preserve">BoDN</w:t>
      </w:r>
      <w:r w:rsidDel="00000000" w:rsidR="00000000" w:rsidRPr="00000000">
        <w:rPr>
          <w:rtl w:val="0"/>
        </w:rPr>
        <w:t xml:space="preserve"> (Fig.1) is made via Weber’s definitions of ‘enchanted’ and ‘disenchanted’ and considers the possibility that the painters of </w:t>
      </w:r>
      <w:r w:rsidDel="00000000" w:rsidR="00000000" w:rsidRPr="00000000">
        <w:rPr>
          <w:i w:val="1"/>
          <w:iCs w:val="1"/>
          <w:rtl w:val="0"/>
        </w:rPr>
        <w:t xml:space="preserve">BoDN</w:t>
      </w:r>
      <w:r w:rsidDel="00000000" w:rsidR="00000000" w:rsidRPr="00000000">
        <w:rPr>
          <w:rtl w:val="0"/>
        </w:rPr>
        <w:t xml:space="preserve"> (Fig.1) felt a sense of disenchantment during their work. As such, the Weberian binary of the ‘disenchanted’ West versus an ‘enchanted’ ancient society is collapsed and inverted. Present American culture and ancient Egyptian culture are suggested to share more commonalities than expected in their attitudes and behaviors towards the sky. </w:t>
        <w:br w:type="textWrapping"/>
        <w:br w:type="textWrapping"/>
      </w:r>
      <w:r w:rsidDel="00000000" w:rsidR="00000000" w:rsidRPr="00000000">
        <w:rPr>
          <w:b w:val="1"/>
          <w:bCs w:val="1"/>
          <w:rtl w:val="0"/>
        </w:rPr>
        <w:t xml:space="preserve">______________________________________________________________________________</w:t>
      </w:r>
      <w:r w:rsidDel="00000000" w:rsidR="00000000" w:rsidRPr="00000000">
        <w:rPr>
          <w:rtl w:val="0"/>
        </w:rPr>
      </w:r>
    </w:p>
    <w:p w:rsidR="00000000" w:rsidDel="00000000" w:rsidP="00000000" w:rsidRDefault="00000000" w:rsidRPr="00000000" w14:paraId="000000F4">
      <w:pPr>
        <w:spacing w:line="240" w:lineRule="auto"/>
        <w:ind w:left="0" w:firstLine="0"/>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F5">
      <w:pPr>
        <w:spacing w:line="240" w:lineRule="auto"/>
        <w:ind w:firstLine="720"/>
        <w:rPr>
          <w:highlight w:val="red"/>
        </w:rPr>
      </w:pPr>
      <w:r w:rsidDel="00000000" w:rsidR="00000000" w:rsidRPr="00000000">
        <w:rPr>
          <w:rtl w:val="0"/>
        </w:rPr>
      </w:r>
    </w:p>
    <w:p w:rsidR="00000000" w:rsidDel="00000000" w:rsidP="00000000" w:rsidRDefault="00000000" w:rsidRPr="00000000" w14:paraId="000000F6">
      <w:pPr>
        <w:spacing w:line="240" w:lineRule="auto"/>
        <w:ind w:firstLine="720"/>
        <w:rPr/>
      </w:pPr>
      <w:r w:rsidDel="00000000" w:rsidR="00000000" w:rsidRPr="00000000">
        <w:rPr>
          <w:rtl w:val="0"/>
        </w:rPr>
      </w:r>
    </w:p>
    <w:p w:rsidR="00000000" w:rsidDel="00000000" w:rsidP="00000000" w:rsidRDefault="00000000" w:rsidRPr="00000000" w14:paraId="000000F7">
      <w:pPr>
        <w:spacing w:line="240" w:lineRule="auto"/>
        <w:ind w:firstLine="720"/>
        <w:rPr/>
      </w:pPr>
      <w:r w:rsidDel="00000000" w:rsidR="00000000" w:rsidRPr="00000000">
        <w:rPr>
          <w:rtl w:val="0"/>
        </w:rPr>
      </w:r>
    </w:p>
    <w:p w:rsidR="00000000" w:rsidDel="00000000" w:rsidP="00000000" w:rsidRDefault="00000000" w:rsidRPr="00000000" w14:paraId="000000F8">
      <w:pPr>
        <w:spacing w:line="240" w:lineRule="auto"/>
        <w:ind w:firstLine="720"/>
        <w:rPr/>
      </w:pPr>
      <w:r w:rsidDel="00000000" w:rsidR="00000000" w:rsidRPr="00000000">
        <w:rPr>
          <w:rtl w:val="0"/>
        </w:rPr>
      </w:r>
    </w:p>
    <w:p w:rsidR="00000000" w:rsidDel="00000000" w:rsidP="00000000" w:rsidRDefault="00000000" w:rsidRPr="00000000" w14:paraId="000000F9">
      <w:pPr>
        <w:spacing w:line="240" w:lineRule="auto"/>
        <w:ind w:firstLine="720"/>
        <w:rPr/>
      </w:pPr>
      <w:r w:rsidDel="00000000" w:rsidR="00000000" w:rsidRPr="00000000">
        <w:rPr>
          <w:rtl w:val="0"/>
        </w:rPr>
      </w:r>
    </w:p>
    <w:p w:rsidR="00000000" w:rsidDel="00000000" w:rsidP="00000000" w:rsidRDefault="00000000" w:rsidRPr="00000000" w14:paraId="000000FA">
      <w:pPr>
        <w:spacing w:line="240" w:lineRule="auto"/>
        <w:rPr>
          <w:b w:val="1"/>
          <w:bCs w:val="1"/>
        </w:rPr>
      </w:pPr>
      <w:r w:rsidDel="00000000" w:rsidR="00000000" w:rsidRPr="00000000">
        <w:rPr>
          <w:rtl w:val="0"/>
        </w:rPr>
      </w:r>
    </w:p>
    <w:p w:rsidR="00000000" w:rsidDel="00000000" w:rsidP="00000000" w:rsidRDefault="00000000" w:rsidRPr="00000000" w14:paraId="000000FB">
      <w:pPr>
        <w:spacing w:line="240" w:lineRule="auto"/>
        <w:jc w:val="center"/>
        <w:rPr>
          <w:b w:val="1"/>
          <w:bCs w:val="1"/>
        </w:rPr>
      </w:pPr>
      <w:r w:rsidDel="00000000" w:rsidR="00000000" w:rsidRPr="00000000">
        <w:rPr>
          <w:b w:val="1"/>
          <w:bCs w:val="1"/>
          <w:rtl w:val="0"/>
        </w:rPr>
        <w:t xml:space="preserve">Bibliography</w:t>
      </w:r>
    </w:p>
    <w:p w:rsidR="00000000" w:rsidDel="00000000" w:rsidP="00000000" w:rsidRDefault="00000000" w:rsidRPr="00000000" w14:paraId="000000FC">
      <w:pPr>
        <w:spacing w:line="240" w:lineRule="auto"/>
        <w:rPr/>
      </w:pPr>
      <w:r w:rsidDel="00000000" w:rsidR="00000000" w:rsidRPr="00000000">
        <w:rPr>
          <w:i w:val="1"/>
          <w:iCs w:val="1"/>
          <w:rtl w:val="0"/>
        </w:rPr>
        <w:t xml:space="preserve">Primary sources</w:t>
      </w:r>
      <w:r w:rsidDel="00000000" w:rsidR="00000000" w:rsidRPr="00000000">
        <w:rPr>
          <w:rtl w:val="0"/>
        </w:rPr>
      </w:r>
    </w:p>
    <w:p w:rsidR="00000000" w:rsidDel="00000000" w:rsidP="00000000" w:rsidRDefault="00000000" w:rsidRPr="00000000" w14:paraId="000000FD">
      <w:pPr>
        <w:spacing w:line="240" w:lineRule="auto"/>
        <w:rPr>
          <w:i w:val="1"/>
          <w:iCs w:val="1"/>
        </w:rPr>
      </w:pPr>
      <w:r w:rsidDel="00000000" w:rsidR="00000000" w:rsidRPr="00000000">
        <w:rPr>
          <w:rtl w:val="0"/>
        </w:rPr>
        <w:t xml:space="preserve">Kaku, Michio, </w:t>
      </w:r>
      <w:r w:rsidDel="00000000" w:rsidR="00000000" w:rsidRPr="00000000">
        <w:rPr>
          <w:i w:val="1"/>
          <w:iCs w:val="1"/>
          <w:rtl w:val="0"/>
        </w:rPr>
        <w:t xml:space="preserve">The Future of Humanity: Our Destiny in the Universe </w:t>
      </w:r>
      <w:r w:rsidDel="00000000" w:rsidR="00000000" w:rsidRPr="00000000">
        <w:rPr>
          <w:color w:val="1a1819"/>
          <w:rtl w:val="0"/>
        </w:rPr>
        <w:t xml:space="preserve">(New York: Anchor, 2019)</w:t>
      </w:r>
      <w:r w:rsidDel="00000000" w:rsidR="00000000" w:rsidRPr="00000000">
        <w:rPr>
          <w:rtl w:val="0"/>
        </w:rPr>
      </w:r>
    </w:p>
    <w:p w:rsidR="00000000" w:rsidDel="00000000" w:rsidP="00000000" w:rsidRDefault="00000000" w:rsidRPr="00000000" w14:paraId="000000FE">
      <w:pPr>
        <w:spacing w:line="240" w:lineRule="auto"/>
        <w:rPr>
          <w:i w:val="1"/>
          <w:iCs w:val="1"/>
        </w:rPr>
      </w:pPr>
      <w:r w:rsidDel="00000000" w:rsidR="00000000" w:rsidRPr="00000000">
        <w:rPr>
          <w:rtl w:val="0"/>
        </w:rPr>
      </w:r>
    </w:p>
    <w:p w:rsidR="00000000" w:rsidDel="00000000" w:rsidP="00000000" w:rsidRDefault="00000000" w:rsidRPr="00000000" w14:paraId="000000FF">
      <w:pPr>
        <w:spacing w:line="240" w:lineRule="auto"/>
        <w:rPr/>
      </w:pPr>
      <w:r w:rsidDel="00000000" w:rsidR="00000000" w:rsidRPr="00000000">
        <w:rPr>
          <w:color w:val="141413"/>
          <w:rtl w:val="0"/>
        </w:rPr>
        <w:t xml:space="preserve">Musk, Elon, ‘Making Humans a Multi-Planetary Species’, in</w:t>
      </w:r>
      <w:r w:rsidDel="00000000" w:rsidR="00000000" w:rsidRPr="00000000">
        <w:rPr>
          <w:i w:val="1"/>
          <w:iCs w:val="1"/>
          <w:color w:val="141413"/>
          <w:rtl w:val="0"/>
        </w:rPr>
        <w:t xml:space="preserve"> New Space</w:t>
      </w:r>
      <w:r w:rsidDel="00000000" w:rsidR="00000000" w:rsidRPr="00000000">
        <w:rPr>
          <w:color w:val="141413"/>
          <w:rtl w:val="0"/>
        </w:rPr>
        <w:t xml:space="preserve">, 5.2 (2017), pp. 46–61</w:t>
        <w:br w:type="textWrapping"/>
        <w:br w:type="textWrapping"/>
      </w:r>
      <w:r w:rsidDel="00000000" w:rsidR="00000000" w:rsidRPr="00000000">
        <w:rPr>
          <w:rtl w:val="0"/>
        </w:rPr>
        <w:t xml:space="preserve">Plutarch, </w:t>
      </w:r>
      <w:r w:rsidDel="00000000" w:rsidR="00000000" w:rsidRPr="00000000">
        <w:rPr>
          <w:i w:val="1"/>
          <w:iCs w:val="1"/>
          <w:rtl w:val="0"/>
        </w:rPr>
        <w:t xml:space="preserve">Moralia, Vol. 5</w:t>
      </w:r>
      <w:r w:rsidDel="00000000" w:rsidR="00000000" w:rsidRPr="00000000">
        <w:rPr>
          <w:rtl w:val="0"/>
        </w:rPr>
        <w:t xml:space="preserve">, trans. by Frank Cole Babbit, Loeb Classical Library 306 (Cambridge: Harvard University Press, 1936)</w:t>
      </w:r>
      <w:r w:rsidDel="00000000" w:rsidR="00000000" w:rsidRPr="00000000">
        <w:rPr>
          <w:rtl w:val="0"/>
        </w:rPr>
        <w:br w:type="textWrapping"/>
        <w:br w:type="textWrapping"/>
        <w:t xml:space="preserve">Space Renaissance Initiative, Space Renaissance (2016) &lt;</w:t>
      </w:r>
      <w:hyperlink r:id="rId20">
        <w:r w:rsidDel="00000000" w:rsidR="00000000" w:rsidRPr="00000000">
          <w:rPr>
            <w:color w:val="1155cc"/>
            <w:u w:val="single"/>
            <w:rtl w:val="0"/>
          </w:rPr>
          <w:t xml:space="preserve">https://spacerenaissance.space/</w:t>
        </w:r>
      </w:hyperlink>
      <w:r w:rsidDel="00000000" w:rsidR="00000000" w:rsidRPr="00000000">
        <w:rPr>
          <w:rtl w:val="0"/>
        </w:rPr>
        <w:t xml:space="preserve">&gt; [accessed 29 December 2025]</w:t>
        <w:br w:type="textWrapping"/>
        <w:br w:type="textWrapping"/>
        <w:t xml:space="preserve">Toth, Costantino, </w:t>
      </w:r>
      <w:r w:rsidDel="00000000" w:rsidR="00000000" w:rsidRPr="00000000">
        <w:rPr>
          <w:i w:val="1"/>
          <w:iCs w:val="1"/>
          <w:rtl w:val="0"/>
        </w:rPr>
        <w:t xml:space="preserve">Happy New Year</w:t>
      </w:r>
      <w:r w:rsidDel="00000000" w:rsidR="00000000" w:rsidRPr="00000000">
        <w:rPr>
          <w:rtl w:val="0"/>
        </w:rPr>
        <w:t xml:space="preserve"> [Acrylic on canvas] (2026)</w:t>
        <w:br w:type="textWrapping"/>
        <w:tab/>
        <w:t xml:space="preserve">—</w:t>
      </w:r>
      <w:r w:rsidDel="00000000" w:rsidR="00000000" w:rsidRPr="00000000">
        <w:rPr>
          <w:i w:val="1"/>
          <w:iCs w:val="1"/>
          <w:rtl w:val="0"/>
        </w:rPr>
        <w:t xml:space="preserve">Sunset from Turtle Beach</w:t>
      </w:r>
      <w:r w:rsidDel="00000000" w:rsidR="00000000" w:rsidRPr="00000000">
        <w:rPr>
          <w:rtl w:val="0"/>
        </w:rPr>
        <w:t xml:space="preserve"> [Photograph] (2026) </w:t>
      </w:r>
    </w:p>
    <w:p w:rsidR="00000000" w:rsidDel="00000000" w:rsidP="00000000" w:rsidRDefault="00000000" w:rsidRPr="00000000" w14:paraId="00000100">
      <w:pPr>
        <w:spacing w:line="240" w:lineRule="auto"/>
        <w:rPr/>
      </w:pPr>
      <w:r w:rsidDel="00000000" w:rsidR="00000000" w:rsidRPr="00000000">
        <w:rPr>
          <w:rtl w:val="0"/>
        </w:rPr>
        <w:br w:type="textWrapping"/>
        <w:tab/>
        <w:t xml:space="preserve">—</w:t>
      </w:r>
      <w:r w:rsidDel="00000000" w:rsidR="00000000" w:rsidRPr="00000000">
        <w:rPr>
          <w:i w:val="1"/>
          <w:iCs w:val="1"/>
          <w:rtl w:val="0"/>
        </w:rPr>
        <w:t xml:space="preserve">Sunrise from Celery Hill</w:t>
      </w:r>
      <w:r w:rsidDel="00000000" w:rsidR="00000000" w:rsidRPr="00000000">
        <w:rPr>
          <w:rtl w:val="0"/>
        </w:rPr>
        <w:t xml:space="preserve"> [Photograph] (2026)</w:t>
        <w:br w:type="textWrapping"/>
        <w:br w:type="textWrapping"/>
        <w:t xml:space="preserve">Trump, Donald J., ‘</w:t>
      </w:r>
      <w:r w:rsidDel="00000000" w:rsidR="00000000" w:rsidRPr="00000000">
        <w:rPr>
          <w:color w:val="08051b"/>
          <w:highlight w:val="white"/>
          <w:rtl w:val="0"/>
        </w:rPr>
        <w:t xml:space="preserve">A whole civilization will die tonight, never to be brought back again…’, Truth, 7 April 2026 &lt;</w:t>
      </w:r>
      <w:hyperlink r:id="rId21">
        <w:r w:rsidDel="00000000" w:rsidR="00000000" w:rsidRPr="00000000">
          <w:rPr>
            <w:color w:val="1155cc"/>
            <w:highlight w:val="white"/>
            <w:u w:val="single"/>
            <w:rtl w:val="0"/>
          </w:rPr>
          <w:t xml:space="preserve">https://truthsocial.com/@realDonaldTrump/posts/116363336033995961</w:t>
        </w:r>
      </w:hyperlink>
      <w:r w:rsidDel="00000000" w:rsidR="00000000" w:rsidRPr="00000000">
        <w:rPr>
          <w:rtl w:val="0"/>
        </w:rPr>
        <w:t xml:space="preserve">&gt; [accessed 15 April, 2026]</w:t>
      </w:r>
      <w:r w:rsidDel="00000000" w:rsidR="00000000" w:rsidRPr="00000000">
        <w:rPr>
          <w:rtl w:val="0"/>
        </w:rPr>
        <w:br w:type="textWrapping"/>
      </w:r>
    </w:p>
    <w:p w:rsidR="00000000" w:rsidDel="00000000" w:rsidP="00000000" w:rsidRDefault="00000000" w:rsidRPr="00000000" w14:paraId="00000101">
      <w:pPr>
        <w:spacing w:line="240" w:lineRule="auto"/>
        <w:rPr/>
      </w:pPr>
      <w:r w:rsidDel="00000000" w:rsidR="00000000" w:rsidRPr="00000000">
        <w:rPr>
          <w:rtl w:val="0"/>
        </w:rPr>
        <w:t xml:space="preserve">Unknown, </w:t>
      </w:r>
      <w:r w:rsidDel="00000000" w:rsidR="00000000" w:rsidRPr="00000000">
        <w:rPr>
          <w:i w:val="1"/>
          <w:iCs w:val="1"/>
          <w:rtl w:val="0"/>
        </w:rPr>
        <w:t xml:space="preserve">Book of the Day / Book of the Night </w:t>
      </w:r>
      <w:r w:rsidDel="00000000" w:rsidR="00000000" w:rsidRPr="00000000">
        <w:rPr>
          <w:rtl w:val="0"/>
        </w:rPr>
        <w:t xml:space="preserve">[Tempura paint on ceiling] (c. 12th cent. BCE), Valley of the Kings</w:t>
      </w:r>
    </w:p>
    <w:p w:rsidR="00000000" w:rsidDel="00000000" w:rsidP="00000000" w:rsidRDefault="00000000" w:rsidRPr="00000000" w14:paraId="00000102">
      <w:pPr>
        <w:spacing w:line="240" w:lineRule="auto"/>
        <w:rPr/>
      </w:pPr>
      <w:r w:rsidDel="00000000" w:rsidR="00000000" w:rsidRPr="00000000">
        <w:rPr>
          <w:rtl w:val="0"/>
        </w:rPr>
      </w:r>
    </w:p>
    <w:p w:rsidR="00000000" w:rsidDel="00000000" w:rsidP="00000000" w:rsidRDefault="00000000" w:rsidRPr="00000000" w14:paraId="00000103">
      <w:pPr>
        <w:spacing w:line="240" w:lineRule="auto"/>
        <w:rPr>
          <w:i w:val="1"/>
          <w:iCs w:val="1"/>
        </w:rPr>
      </w:pPr>
      <w:r w:rsidDel="00000000" w:rsidR="00000000" w:rsidRPr="00000000">
        <w:rPr>
          <w:i w:val="1"/>
          <w:iCs w:val="1"/>
          <w:rtl w:val="0"/>
        </w:rPr>
        <w:t xml:space="preserve">Secondary sources</w:t>
        <w:br w:type="textWrapping"/>
      </w:r>
      <w:r w:rsidDel="00000000" w:rsidR="00000000" w:rsidRPr="00000000">
        <w:rPr>
          <w:rtl w:val="0"/>
        </w:rPr>
        <w:t xml:space="preserve">Adorno, Theodor, </w:t>
      </w:r>
      <w:r w:rsidDel="00000000" w:rsidR="00000000" w:rsidRPr="00000000">
        <w:rPr>
          <w:i w:val="1"/>
          <w:iCs w:val="1"/>
          <w:rtl w:val="0"/>
        </w:rPr>
        <w:t xml:space="preserve">The Stars Down to Earth and other essays on the irrational in culture</w:t>
      </w:r>
    </w:p>
    <w:p w:rsidR="00000000" w:rsidDel="00000000" w:rsidP="00000000" w:rsidRDefault="00000000" w:rsidRPr="00000000" w14:paraId="00000104">
      <w:pPr>
        <w:spacing w:line="240" w:lineRule="auto"/>
        <w:rPr/>
      </w:pPr>
      <w:r w:rsidDel="00000000" w:rsidR="00000000" w:rsidRPr="00000000">
        <w:rPr>
          <w:rtl w:val="0"/>
        </w:rPr>
        <w:t xml:space="preserve">(London: Routledge, 1994)</w:t>
      </w:r>
      <w:r w:rsidDel="00000000" w:rsidR="00000000" w:rsidRPr="00000000">
        <w:rPr>
          <w:sz w:val="20"/>
          <w:szCs w:val="20"/>
          <w:rtl w:val="0"/>
        </w:rPr>
        <w:br w:type="textWrapping"/>
      </w:r>
      <w:r w:rsidDel="00000000" w:rsidR="00000000" w:rsidRPr="00000000">
        <w:rPr>
          <w:i w:val="1"/>
          <w:iCs w:val="1"/>
          <w:rtl w:val="0"/>
        </w:rPr>
        <w:br w:type="textWrapping"/>
      </w:r>
      <w:r w:rsidDel="00000000" w:rsidR="00000000" w:rsidRPr="00000000">
        <w:rPr>
          <w:rtl w:val="0"/>
        </w:rPr>
        <w:t xml:space="preserve">Amer, Amin A. M. A., Reflections on the Reign of Ramesses VI, </w:t>
      </w:r>
      <w:r w:rsidDel="00000000" w:rsidR="00000000" w:rsidRPr="00000000">
        <w:rPr>
          <w:i w:val="1"/>
          <w:iCs w:val="1"/>
          <w:rtl w:val="0"/>
        </w:rPr>
        <w:t xml:space="preserve">Journal of Egyptian Archaeology</w:t>
      </w:r>
      <w:r w:rsidDel="00000000" w:rsidR="00000000" w:rsidRPr="00000000">
        <w:rPr>
          <w:rtl w:val="0"/>
        </w:rPr>
        <w:t xml:space="preserve">, 71 (1985), pp. 66–70</w:t>
        <w:br w:type="textWrapping"/>
        <w:br w:type="textWrapping"/>
        <w:t xml:space="preserve">Aruz, Joan, ‘The Nude Female and the Iconography of Birth’, in</w:t>
      </w:r>
      <w:r w:rsidDel="00000000" w:rsidR="00000000" w:rsidRPr="00000000">
        <w:rPr>
          <w:i w:val="1"/>
          <w:iCs w:val="1"/>
          <w:rtl w:val="0"/>
        </w:rPr>
        <w:t xml:space="preserve"> Bulletin of the Egyptological Seminar</w:t>
      </w:r>
      <w:r w:rsidDel="00000000" w:rsidR="00000000" w:rsidRPr="00000000">
        <w:rPr>
          <w:rtl w:val="0"/>
        </w:rPr>
        <w:t xml:space="preserve">, 19 (2015), pp. 85–102</w:t>
      </w:r>
    </w:p>
    <w:p w:rsidR="00000000" w:rsidDel="00000000" w:rsidP="00000000" w:rsidRDefault="00000000" w:rsidRPr="00000000" w14:paraId="00000105">
      <w:pPr>
        <w:spacing w:line="240" w:lineRule="auto"/>
        <w:rPr/>
      </w:pPr>
      <w:r w:rsidDel="00000000" w:rsidR="00000000" w:rsidRPr="00000000">
        <w:rPr>
          <w:rtl w:val="0"/>
        </w:rPr>
      </w:r>
    </w:p>
    <w:p w:rsidR="00000000" w:rsidDel="00000000" w:rsidP="00000000" w:rsidRDefault="00000000" w:rsidRPr="00000000" w14:paraId="00000106">
      <w:pPr>
        <w:spacing w:line="240" w:lineRule="auto"/>
        <w:rPr/>
      </w:pPr>
      <w:r w:rsidDel="00000000" w:rsidR="00000000" w:rsidRPr="00000000">
        <w:rPr>
          <w:rtl w:val="0"/>
        </w:rPr>
        <w:t xml:space="preserve">Assman, Jan, </w:t>
      </w:r>
      <w:r w:rsidDel="00000000" w:rsidR="00000000" w:rsidRPr="00000000">
        <w:rPr>
          <w:i w:val="1"/>
          <w:iCs w:val="1"/>
          <w:rtl w:val="0"/>
        </w:rPr>
        <w:t xml:space="preserve">The Mind of Ancient Egypt: History and Meaning in the Time of the Pharaohs</w:t>
      </w:r>
      <w:r w:rsidDel="00000000" w:rsidR="00000000" w:rsidRPr="00000000">
        <w:rPr>
          <w:rtl w:val="0"/>
        </w:rPr>
        <w:t xml:space="preserve">, trans. by Andrew Jenkins (New York: Metropolitan Books, 2002)</w:t>
      </w:r>
    </w:p>
    <w:p w:rsidR="00000000" w:rsidDel="00000000" w:rsidP="00000000" w:rsidRDefault="00000000" w:rsidRPr="00000000" w14:paraId="00000107">
      <w:pPr>
        <w:spacing w:line="240" w:lineRule="auto"/>
        <w:rPr/>
      </w:pPr>
      <w:r w:rsidDel="00000000" w:rsidR="00000000" w:rsidRPr="00000000">
        <w:rPr>
          <w:rtl w:val="0"/>
        </w:rPr>
        <w:br w:type="textWrapping"/>
      </w:r>
      <w:r w:rsidDel="00000000" w:rsidR="00000000" w:rsidRPr="00000000">
        <w:rPr>
          <w:rtl w:val="0"/>
        </w:rPr>
        <w:t xml:space="preserve">Bryan, Betsy M., ‘Pharaonic Painting Through the New Kingdom’, in </w:t>
      </w:r>
      <w:r w:rsidDel="00000000" w:rsidR="00000000" w:rsidRPr="00000000">
        <w:rPr>
          <w:i w:val="1"/>
          <w:iCs w:val="1"/>
          <w:rtl w:val="0"/>
        </w:rPr>
        <w:t xml:space="preserve">A Companion to Ancient Egypt, Vol. II</w:t>
      </w:r>
      <w:r w:rsidDel="00000000" w:rsidR="00000000" w:rsidRPr="00000000">
        <w:rPr>
          <w:rtl w:val="0"/>
        </w:rPr>
        <w:t xml:space="preserve">, ed. by Alan B. Lloyd (Oxford:Wiley–Blackwell, 2010), pp. 990–1007</w:t>
      </w:r>
    </w:p>
    <w:p w:rsidR="00000000" w:rsidDel="00000000" w:rsidP="00000000" w:rsidRDefault="00000000" w:rsidRPr="00000000" w14:paraId="00000108">
      <w:pPr>
        <w:spacing w:line="240" w:lineRule="auto"/>
        <w:rPr/>
      </w:pPr>
      <w:r w:rsidDel="00000000" w:rsidR="00000000" w:rsidRPr="00000000">
        <w:rPr>
          <w:rtl w:val="0"/>
        </w:rPr>
        <w:br w:type="textWrapping"/>
        <w:t xml:space="preserve">Campion, Nicholas, </w:t>
      </w:r>
      <w:r w:rsidDel="00000000" w:rsidR="00000000" w:rsidRPr="00000000">
        <w:rPr>
          <w:i w:val="1"/>
          <w:iCs w:val="1"/>
          <w:rtl w:val="0"/>
        </w:rPr>
        <w:t xml:space="preserve">Astrology and Cosmology in the World’s Religions </w:t>
      </w:r>
      <w:r w:rsidDel="00000000" w:rsidR="00000000" w:rsidRPr="00000000">
        <w:rPr>
          <w:rtl w:val="0"/>
        </w:rPr>
        <w:t xml:space="preserve">(New York: NYU Press, 2012)</w:t>
      </w:r>
      <w:r w:rsidDel="00000000" w:rsidR="00000000" w:rsidRPr="00000000">
        <w:rPr>
          <w:rtl w:val="0"/>
        </w:rPr>
        <w:br w:type="textWrapping"/>
        <w:tab/>
        <w:t xml:space="preserve">— </w:t>
      </w:r>
      <w:r w:rsidDel="00000000" w:rsidR="00000000" w:rsidRPr="00000000">
        <w:rPr>
          <w:i w:val="1"/>
          <w:iCs w:val="1"/>
          <w:rtl w:val="0"/>
        </w:rPr>
        <w:t xml:space="preserve">A History of Western</w:t>
      </w:r>
      <w:r w:rsidDel="00000000" w:rsidR="00000000" w:rsidRPr="00000000">
        <w:rPr>
          <w:rtl w:val="0"/>
        </w:rPr>
        <w:t xml:space="preserve"> </w:t>
      </w:r>
      <w:r w:rsidDel="00000000" w:rsidR="00000000" w:rsidRPr="00000000">
        <w:rPr>
          <w:i w:val="1"/>
          <w:iCs w:val="1"/>
          <w:rtl w:val="0"/>
        </w:rPr>
        <w:t xml:space="preserve">Astrology: The Medieval and Modern Worlds, </w:t>
      </w:r>
      <w:r w:rsidDel="00000000" w:rsidR="00000000" w:rsidRPr="00000000">
        <w:rPr>
          <w:rtl w:val="0"/>
        </w:rPr>
        <w:t xml:space="preserve">Vol.2 (New York: Bloomsbury,</w:t>
      </w:r>
      <w:r w:rsidDel="00000000" w:rsidR="00000000" w:rsidRPr="00000000">
        <w:rPr>
          <w:rtl w:val="0"/>
        </w:rPr>
        <w:t xml:space="preserve"> 2013)</w:t>
      </w:r>
      <w:r w:rsidDel="00000000" w:rsidR="00000000" w:rsidRPr="00000000">
        <w:rPr>
          <w:rtl w:val="0"/>
        </w:rPr>
        <w:br w:type="textWrapping"/>
      </w:r>
    </w:p>
    <w:p w:rsidR="00000000" w:rsidDel="00000000" w:rsidP="00000000" w:rsidRDefault="00000000" w:rsidRPr="00000000" w14:paraId="00000109">
      <w:pPr>
        <w:spacing w:line="240" w:lineRule="auto"/>
        <w:rPr>
          <w:color w:val="1f1f1f"/>
        </w:rPr>
      </w:pPr>
      <w:r w:rsidDel="00000000" w:rsidR="00000000" w:rsidRPr="00000000">
        <w:rPr>
          <w:rtl w:val="0"/>
        </w:rPr>
        <w:t xml:space="preserve">‘Carpo’, in </w:t>
      </w:r>
      <w:r w:rsidDel="00000000" w:rsidR="00000000" w:rsidRPr="00000000">
        <w:rPr>
          <w:i w:val="1"/>
          <w:iCs w:val="1"/>
          <w:rtl w:val="0"/>
        </w:rPr>
        <w:t xml:space="preserve">The Pocket Oxford Latin Dictionary, </w:t>
      </w:r>
      <w:r w:rsidDel="00000000" w:rsidR="00000000" w:rsidRPr="00000000">
        <w:rPr>
          <w:rtl w:val="0"/>
        </w:rPr>
        <w:t xml:space="preserve">ed. by James Morwood, 3rd edn (Oxford: Oxford University Press, 2005)</w:t>
        <w:br w:type="textWrapping"/>
        <w:br w:type="textWrapping"/>
      </w:r>
      <w:r w:rsidDel="00000000" w:rsidR="00000000" w:rsidRPr="00000000">
        <w:rPr>
          <w:rtl w:val="0"/>
        </w:rPr>
        <w:t xml:space="preserve">Collier, Mark, Manley, Bill, </w:t>
      </w:r>
      <w:r w:rsidDel="00000000" w:rsidR="00000000" w:rsidRPr="00000000">
        <w:rPr>
          <w:i w:val="1"/>
          <w:iCs w:val="1"/>
          <w:rtl w:val="0"/>
        </w:rPr>
        <w:t xml:space="preserve">How To Read Egyptian Hieroglyphs: A Step-By-Step Guide to Teach Yourself</w:t>
      </w:r>
      <w:r w:rsidDel="00000000" w:rsidR="00000000" w:rsidRPr="00000000">
        <w:rPr>
          <w:rtl w:val="0"/>
        </w:rPr>
        <w:t xml:space="preserve"> (Berkeley, Los Angeles: University of California Press, 1998)</w:t>
        <w:br w:type="textWrapping"/>
        <w:br w:type="textWrapping"/>
        <w:t xml:space="preserve">Curry, Patrick, ‘Enchantment, Place and Space: Implications for Cultural Astronomy’, in </w:t>
      </w:r>
      <w:r w:rsidDel="00000000" w:rsidR="00000000" w:rsidRPr="00000000">
        <w:rPr>
          <w:i w:val="1"/>
          <w:iCs w:val="1"/>
          <w:rtl w:val="0"/>
        </w:rPr>
        <w:t xml:space="preserve">Culture and Cosmos,</w:t>
      </w:r>
      <w:r w:rsidDel="00000000" w:rsidR="00000000" w:rsidRPr="00000000">
        <w:rPr>
          <w:rtl w:val="0"/>
        </w:rPr>
        <w:t xml:space="preserve"> 23.2 (2019), pp. 11–23</w:t>
        <w:br w:type="textWrapping"/>
        <w:br w:type="textWrapping"/>
      </w:r>
      <w:r w:rsidDel="00000000" w:rsidR="00000000" w:rsidRPr="00000000">
        <w:rPr>
          <w:rtl w:val="0"/>
        </w:rPr>
        <w:t xml:space="preserve">Dickens, Peter, ‘The Humanization of the Cosmos: To What End?’,  </w:t>
      </w:r>
      <w:r w:rsidDel="00000000" w:rsidR="00000000" w:rsidRPr="00000000">
        <w:rPr>
          <w:i w:val="1"/>
          <w:iCs w:val="1"/>
          <w:rtl w:val="0"/>
        </w:rPr>
        <w:t xml:space="preserve">The Monthly Review</w:t>
      </w:r>
      <w:r w:rsidDel="00000000" w:rsidR="00000000" w:rsidRPr="00000000">
        <w:rPr>
          <w:rtl w:val="0"/>
        </w:rPr>
        <w:t xml:space="preserve">, 1 (2010) &lt;</w:t>
      </w:r>
      <w:hyperlink r:id="rId22">
        <w:r w:rsidDel="00000000" w:rsidR="00000000" w:rsidRPr="00000000">
          <w:rPr>
            <w:color w:val="1155cc"/>
            <w:u w:val="single"/>
            <w:rtl w:val="0"/>
          </w:rPr>
          <w:t xml:space="preserve">https://monthlyreview.org/articles/the-humanization-of-the-cosmos-to-what-end/</w:t>
        </w:r>
      </w:hyperlink>
      <w:r w:rsidDel="00000000" w:rsidR="00000000" w:rsidRPr="00000000">
        <w:rPr>
          <w:rtl w:val="0"/>
        </w:rPr>
        <w:t xml:space="preserve">&gt;</w:t>
      </w:r>
      <w:r w:rsidDel="00000000" w:rsidR="00000000" w:rsidRPr="00000000">
        <w:rPr>
          <w:rtl w:val="0"/>
        </w:rPr>
        <w:br w:type="textWrapping"/>
        <w:br w:type="textWrapping"/>
        <w:t xml:space="preserve">Dieleman, Jacco, ‘Egypt’, in </w:t>
      </w:r>
      <w:r w:rsidDel="00000000" w:rsidR="00000000" w:rsidRPr="00000000">
        <w:rPr>
          <w:i w:val="1"/>
          <w:iCs w:val="1"/>
          <w:color w:val="1f1f1f"/>
          <w:rtl w:val="0"/>
        </w:rPr>
        <w:t xml:space="preserve">Guide to the Study of Ancient Magic,</w:t>
      </w:r>
      <w:r w:rsidDel="00000000" w:rsidR="00000000" w:rsidRPr="00000000">
        <w:rPr>
          <w:color w:val="1f1f1f"/>
          <w:rtl w:val="0"/>
        </w:rPr>
        <w:t xml:space="preserve"> ed. by David Frankfurter (London and Leiden: Brill, 2008), pp. 87–114</w:t>
      </w:r>
    </w:p>
    <w:p w:rsidR="00000000" w:rsidDel="00000000" w:rsidP="00000000" w:rsidRDefault="00000000" w:rsidRPr="00000000" w14:paraId="0000010A">
      <w:pPr>
        <w:spacing w:line="240" w:lineRule="auto"/>
        <w:rPr>
          <w:color w:val="1f1f1f"/>
        </w:rPr>
      </w:pPr>
      <w:r w:rsidDel="00000000" w:rsidR="00000000" w:rsidRPr="00000000">
        <w:rPr>
          <w:rtl w:val="0"/>
        </w:rPr>
      </w:r>
    </w:p>
    <w:p w:rsidR="00000000" w:rsidDel="00000000" w:rsidP="00000000" w:rsidRDefault="00000000" w:rsidRPr="00000000" w14:paraId="0000010B">
      <w:pPr>
        <w:spacing w:line="240" w:lineRule="auto"/>
        <w:rPr>
          <w:highlight w:val="white"/>
        </w:rPr>
      </w:pPr>
      <w:r w:rsidDel="00000000" w:rsidR="00000000" w:rsidRPr="00000000">
        <w:rPr>
          <w:color w:val="1f1f1f"/>
          <w:rtl w:val="0"/>
        </w:rPr>
        <w:t xml:space="preserve">Dodson, Aidan, ‘</w:t>
      </w:r>
      <w:r w:rsidDel="00000000" w:rsidR="00000000" w:rsidRPr="00000000">
        <w:rPr>
          <w:rtl w:val="0"/>
        </w:rPr>
        <w:t xml:space="preserve">Mortuary Architecture and Decorative Systems’, in </w:t>
      </w:r>
      <w:r w:rsidDel="00000000" w:rsidR="00000000" w:rsidRPr="00000000">
        <w:rPr>
          <w:i w:val="1"/>
          <w:iCs w:val="1"/>
          <w:rtl w:val="0"/>
        </w:rPr>
        <w:t xml:space="preserve">A Companion to Ancient Egypt, Vol. II</w:t>
      </w:r>
      <w:r w:rsidDel="00000000" w:rsidR="00000000" w:rsidRPr="00000000">
        <w:rPr>
          <w:rtl w:val="0"/>
        </w:rPr>
        <w:t xml:space="preserve">, ed. by Alan B. Lloyd (Oxford:Wiley–Blackwell, 2010), pp. 804–825</w:t>
      </w:r>
      <w:r w:rsidDel="00000000" w:rsidR="00000000" w:rsidRPr="00000000">
        <w:rPr>
          <w:i w:val="1"/>
          <w:iCs w:val="1"/>
          <w:rtl w:val="0"/>
        </w:rPr>
        <w:br w:type="textWrapping"/>
        <w:br w:type="textWrapping"/>
      </w:r>
      <w:r w:rsidDel="00000000" w:rsidR="00000000" w:rsidRPr="00000000">
        <w:rPr>
          <w:highlight w:val="white"/>
          <w:rtl w:val="0"/>
        </w:rPr>
        <w:t xml:space="preserve">‘Duality’, in </w:t>
      </w:r>
      <w:r w:rsidDel="00000000" w:rsidR="00000000" w:rsidRPr="00000000">
        <w:rPr>
          <w:i w:val="1"/>
          <w:iCs w:val="1"/>
          <w:highlight w:val="white"/>
          <w:rtl w:val="0"/>
        </w:rPr>
        <w:t xml:space="preserve">UCLA Encyclopedia of Egyptology</w:t>
      </w:r>
      <w:r w:rsidDel="00000000" w:rsidR="00000000" w:rsidRPr="00000000">
        <w:rPr>
          <w:i w:val="1"/>
          <w:iCs w:val="1"/>
          <w:rtl w:val="0"/>
        </w:rPr>
        <w:t xml:space="preserve"> </w:t>
      </w:r>
      <w:r w:rsidDel="00000000" w:rsidR="00000000" w:rsidRPr="00000000">
        <w:rPr>
          <w:highlight w:val="white"/>
          <w:rtl w:val="0"/>
        </w:rPr>
        <w:t xml:space="preserve">[online], &lt;</w:t>
      </w:r>
      <w:hyperlink r:id="rId23">
        <w:r w:rsidDel="00000000" w:rsidR="00000000" w:rsidRPr="00000000">
          <w:rPr>
            <w:color w:val="1155cc"/>
            <w:highlight w:val="white"/>
            <w:u w:val="single"/>
            <w:rtl w:val="0"/>
          </w:rPr>
          <w:t xml:space="preserve">https://escholarship.org/uc/item/95b9b2db</w:t>
        </w:r>
      </w:hyperlink>
      <w:r w:rsidDel="00000000" w:rsidR="00000000" w:rsidRPr="00000000">
        <w:rPr>
          <w:highlight w:val="white"/>
          <w:rtl w:val="0"/>
        </w:rPr>
        <w:t xml:space="preserve">&gt; [accessed 10 April 2026]</w:t>
      </w:r>
      <w:r w:rsidDel="00000000" w:rsidR="00000000" w:rsidRPr="00000000">
        <w:rPr>
          <w:rtl w:val="0"/>
        </w:rPr>
      </w:r>
    </w:p>
    <w:p w:rsidR="00000000" w:rsidDel="00000000" w:rsidP="00000000" w:rsidRDefault="00000000" w:rsidRPr="00000000" w14:paraId="0000010C">
      <w:pPr>
        <w:spacing w:line="240" w:lineRule="auto"/>
        <w:rPr>
          <w:i w:val="1"/>
          <w:iCs w:val="1"/>
          <w:color w:val="1f1f1f"/>
        </w:rPr>
      </w:pPr>
      <w:r w:rsidDel="00000000" w:rsidR="00000000" w:rsidRPr="00000000">
        <w:rPr>
          <w:i w:val="1"/>
          <w:iCs w:val="1"/>
          <w:rtl w:val="0"/>
        </w:rPr>
        <w:br w:type="textWrapping"/>
      </w:r>
      <w:r w:rsidDel="00000000" w:rsidR="00000000" w:rsidRPr="00000000">
        <w:rPr>
          <w:rtl w:val="0"/>
        </w:rPr>
        <w:t xml:space="preserve">Eliade, Mircea, ‘The Eternal Return’, in </w:t>
      </w:r>
      <w:r w:rsidDel="00000000" w:rsidR="00000000" w:rsidRPr="00000000">
        <w:rPr>
          <w:i w:val="1"/>
          <w:iCs w:val="1"/>
          <w:rtl w:val="0"/>
        </w:rPr>
        <w:t xml:space="preserve">Parabola: The Magazine of Myth and Tradition</w:t>
      </w:r>
      <w:r w:rsidDel="00000000" w:rsidR="00000000" w:rsidRPr="00000000">
        <w:rPr>
          <w:rtl w:val="0"/>
        </w:rPr>
        <w:t xml:space="preserve">, 8.2 (1988), pp. 4–15</w:t>
        <w:br w:type="textWrapping"/>
        <w:br w:type="textWrapping"/>
      </w:r>
      <w:r w:rsidDel="00000000" w:rsidR="00000000" w:rsidRPr="00000000">
        <w:rPr>
          <w:color w:val="1f1f1f"/>
          <w:rtl w:val="0"/>
        </w:rPr>
        <w:t xml:space="preserve">Frankfurter, David (ed.), </w:t>
      </w:r>
      <w:r w:rsidDel="00000000" w:rsidR="00000000" w:rsidRPr="00000000">
        <w:rPr>
          <w:i w:val="1"/>
          <w:iCs w:val="1"/>
          <w:color w:val="1f1f1f"/>
          <w:rtl w:val="0"/>
        </w:rPr>
        <w:t xml:space="preserve">Guide to the Study of Ancient Magic</w:t>
      </w:r>
      <w:r w:rsidDel="00000000" w:rsidR="00000000" w:rsidRPr="00000000">
        <w:rPr>
          <w:color w:val="1f1f1f"/>
          <w:rtl w:val="0"/>
        </w:rPr>
        <w:t xml:space="preserve"> (London and Leiden: Brill, 2008)</w:t>
        <w:br w:type="textWrapping"/>
        <w:tab/>
        <w:t xml:space="preserve">—‘The Magic of Writing in Mediterranean Antiquity’, in </w:t>
      </w:r>
      <w:r w:rsidDel="00000000" w:rsidR="00000000" w:rsidRPr="00000000">
        <w:rPr>
          <w:i w:val="1"/>
          <w:iCs w:val="1"/>
          <w:color w:val="1f1f1f"/>
          <w:rtl w:val="0"/>
        </w:rPr>
        <w:t xml:space="preserve">Guide to the Study of Ancient </w:t>
      </w:r>
    </w:p>
    <w:p w:rsidR="00000000" w:rsidDel="00000000" w:rsidP="00000000" w:rsidRDefault="00000000" w:rsidRPr="00000000" w14:paraId="0000010D">
      <w:pPr>
        <w:spacing w:line="240" w:lineRule="auto"/>
        <w:ind w:firstLine="720"/>
        <w:rPr/>
      </w:pPr>
      <w:r w:rsidDel="00000000" w:rsidR="00000000" w:rsidRPr="00000000">
        <w:rPr>
          <w:i w:val="1"/>
          <w:iCs w:val="1"/>
          <w:color w:val="1f1f1f"/>
          <w:rtl w:val="0"/>
        </w:rPr>
        <w:t xml:space="preserve">Magic, </w:t>
      </w:r>
      <w:r w:rsidDel="00000000" w:rsidR="00000000" w:rsidRPr="00000000">
        <w:rPr>
          <w:color w:val="1f1f1f"/>
          <w:rtl w:val="0"/>
        </w:rPr>
        <w:t xml:space="preserve">ed. by David Frankfurter (London and Leiden: Brill, 2008), pp. 626–58</w:t>
        <w:br w:type="textWrapping"/>
        <w:br w:type="textWrapping"/>
        <w:t xml:space="preserve">Grandet, Pierre, </w:t>
      </w:r>
      <w:r w:rsidDel="00000000" w:rsidR="00000000" w:rsidRPr="00000000">
        <w:rPr>
          <w:i w:val="1"/>
          <w:iCs w:val="1"/>
          <w:color w:val="1f1f1f"/>
          <w:rtl w:val="0"/>
        </w:rPr>
        <w:t xml:space="preserve">New gleanings from Deir el-Medina, From the IFAO Archive</w:t>
      </w:r>
      <w:r w:rsidDel="00000000" w:rsidR="00000000" w:rsidRPr="00000000">
        <w:rPr>
          <w:color w:val="1f1f1f"/>
          <w:rtl w:val="0"/>
        </w:rPr>
        <w:t xml:space="preserve"> </w:t>
      </w:r>
      <w:r w:rsidDel="00000000" w:rsidR="00000000" w:rsidRPr="00000000">
        <w:rPr>
          <w:rtl w:val="0"/>
        </w:rPr>
        <w:t xml:space="preserve">[Youtube video], available at: </w:t>
      </w:r>
      <w:hyperlink r:id="rId24">
        <w:r w:rsidDel="00000000" w:rsidR="00000000" w:rsidRPr="00000000">
          <w:rPr>
            <w:color w:val="1155cc"/>
            <w:u w:val="single"/>
            <w:rtl w:val="0"/>
          </w:rPr>
          <w:t xml:space="preserve">https://www.youtube.com/watch?v=2IWI6uNM64w&amp;t=1542s</w:t>
        </w:r>
      </w:hyperlink>
      <w:r w:rsidDel="00000000" w:rsidR="00000000" w:rsidRPr="00000000">
        <w:rPr>
          <w:rtl w:val="0"/>
        </w:rPr>
        <w:t xml:space="preserve"> [accessed 17 April, 2026]</w:t>
      </w:r>
      <w:r w:rsidDel="00000000" w:rsidR="00000000" w:rsidRPr="00000000">
        <w:rPr>
          <w:rtl w:val="0"/>
        </w:rPr>
      </w:r>
    </w:p>
    <w:p w:rsidR="00000000" w:rsidDel="00000000" w:rsidP="00000000" w:rsidRDefault="00000000" w:rsidRPr="00000000" w14:paraId="0000010E">
      <w:pPr>
        <w:spacing w:line="240" w:lineRule="auto"/>
        <w:rPr/>
      </w:pPr>
      <w:r w:rsidDel="00000000" w:rsidR="00000000" w:rsidRPr="00000000">
        <w:rPr>
          <w:rtl w:val="0"/>
        </w:rPr>
        <w:br w:type="textWrapping"/>
        <w:t xml:space="preserve">Graur, Or, ‘The Ancient Egyptian Personification of the Milky Way as the Sky-Goddess Nut: An Astronomical and Cross-Cultural Analysis’, in </w:t>
      </w:r>
      <w:r w:rsidDel="00000000" w:rsidR="00000000" w:rsidRPr="00000000">
        <w:rPr>
          <w:i w:val="1"/>
          <w:iCs w:val="1"/>
          <w:rtl w:val="0"/>
        </w:rPr>
        <w:t xml:space="preserve">Journal of Astronomical History and Heritage</w:t>
      </w:r>
      <w:r w:rsidDel="00000000" w:rsidR="00000000" w:rsidRPr="00000000">
        <w:rPr>
          <w:rtl w:val="0"/>
        </w:rPr>
        <w:t xml:space="preserve">, 27.1 (2024), pp. 28– 45</w:t>
        <w:br w:type="textWrapping"/>
        <w:br w:type="textWrapping"/>
        <w:t xml:space="preserve">Graves–Brown, Carolyn, </w:t>
      </w:r>
      <w:r w:rsidDel="00000000" w:rsidR="00000000" w:rsidRPr="00000000">
        <w:rPr>
          <w:i w:val="1"/>
          <w:iCs w:val="1"/>
          <w:rtl w:val="0"/>
        </w:rPr>
        <w:t xml:space="preserve">Dancing for Hathor: Women in Ancient Egypt</w:t>
      </w:r>
      <w:r w:rsidDel="00000000" w:rsidR="00000000" w:rsidRPr="00000000">
        <w:rPr>
          <w:rtl w:val="0"/>
        </w:rPr>
        <w:t xml:space="preserve"> (London: A&amp;C Black, 2010)</w:t>
        <w:br w:type="textWrapping"/>
      </w:r>
    </w:p>
    <w:p w:rsidR="00000000" w:rsidDel="00000000" w:rsidP="00000000" w:rsidRDefault="00000000" w:rsidRPr="00000000" w14:paraId="0000010F">
      <w:pPr>
        <w:spacing w:line="240" w:lineRule="auto"/>
        <w:rPr/>
      </w:pPr>
      <w:r w:rsidDel="00000000" w:rsidR="00000000" w:rsidRPr="00000000">
        <w:rPr>
          <w:rtl w:val="0"/>
        </w:rPr>
        <w:t xml:space="preserve">Guardiano, Lorenzo,</w:t>
      </w:r>
      <w:r w:rsidDel="00000000" w:rsidR="00000000" w:rsidRPr="00000000">
        <w:rPr>
          <w:i w:val="1"/>
          <w:iCs w:val="1"/>
          <w:rtl w:val="0"/>
        </w:rPr>
        <w:t xml:space="preserve"> Il cielo dei faraoni. I soffitti astronomici dell'Egitto del Nuovo Regno </w:t>
      </w:r>
      <w:r w:rsidDel="00000000" w:rsidR="00000000" w:rsidRPr="00000000">
        <w:rPr>
          <w:rtl w:val="0"/>
        </w:rPr>
        <w:t xml:space="preserve">[Youtube video], available at: </w:t>
      </w:r>
      <w:hyperlink r:id="rId25">
        <w:r w:rsidDel="00000000" w:rsidR="00000000" w:rsidRPr="00000000">
          <w:rPr>
            <w:color w:val="1155cc"/>
            <w:u w:val="single"/>
            <w:rtl w:val="0"/>
          </w:rPr>
          <w:t xml:space="preserve">https://www.youtube.com/watch?v=hOB9cJybbNY&amp;t=3349s</w:t>
        </w:r>
      </w:hyperlink>
      <w:r w:rsidDel="00000000" w:rsidR="00000000" w:rsidRPr="00000000">
        <w:rPr>
          <w:rtl w:val="0"/>
        </w:rPr>
        <w:t xml:space="preserve"> [accessed 6 March, 2026]</w:t>
      </w:r>
      <w:r w:rsidDel="00000000" w:rsidR="00000000" w:rsidRPr="00000000">
        <w:rPr>
          <w:rtl w:val="0"/>
        </w:rPr>
      </w:r>
    </w:p>
    <w:p w:rsidR="00000000" w:rsidDel="00000000" w:rsidP="00000000" w:rsidRDefault="00000000" w:rsidRPr="00000000" w14:paraId="00000110">
      <w:pPr>
        <w:spacing w:line="240" w:lineRule="auto"/>
        <w:ind w:left="0" w:firstLine="0"/>
        <w:rPr>
          <w:color w:val="1f1f1f"/>
        </w:rPr>
      </w:pPr>
      <w:r w:rsidDel="00000000" w:rsidR="00000000" w:rsidRPr="00000000">
        <w:rPr>
          <w:rtl w:val="0"/>
        </w:rPr>
      </w:r>
    </w:p>
    <w:p w:rsidR="00000000" w:rsidDel="00000000" w:rsidP="00000000" w:rsidRDefault="00000000" w:rsidRPr="00000000" w14:paraId="00000111">
      <w:pPr>
        <w:spacing w:line="240" w:lineRule="auto"/>
        <w:ind w:left="0" w:firstLine="0"/>
        <w:rPr>
          <w:color w:val="1f1f1f"/>
        </w:rPr>
      </w:pPr>
      <w:r w:rsidDel="00000000" w:rsidR="00000000" w:rsidRPr="00000000">
        <w:rPr>
          <w:rtl w:val="0"/>
        </w:rPr>
      </w:r>
    </w:p>
    <w:p w:rsidR="00000000" w:rsidDel="00000000" w:rsidP="00000000" w:rsidRDefault="00000000" w:rsidRPr="00000000" w14:paraId="00000112">
      <w:pPr>
        <w:spacing w:line="240" w:lineRule="auto"/>
        <w:ind w:left="0" w:firstLine="0"/>
        <w:rPr>
          <w:color w:val="1f1f1f"/>
        </w:rPr>
      </w:pPr>
      <w:r w:rsidDel="00000000" w:rsidR="00000000" w:rsidRPr="00000000">
        <w:rPr>
          <w:rtl w:val="0"/>
        </w:rPr>
      </w:r>
    </w:p>
    <w:p w:rsidR="00000000" w:rsidDel="00000000" w:rsidP="00000000" w:rsidRDefault="00000000" w:rsidRPr="00000000" w14:paraId="00000113">
      <w:pPr>
        <w:spacing w:line="240" w:lineRule="auto"/>
        <w:ind w:left="0" w:firstLine="0"/>
        <w:rPr>
          <w:sz w:val="28"/>
          <w:szCs w:val="28"/>
        </w:rPr>
      </w:pPr>
      <w:r w:rsidDel="00000000" w:rsidR="00000000" w:rsidRPr="00000000">
        <w:rPr>
          <w:rtl w:val="0"/>
        </w:rPr>
        <w:t xml:space="preserve">Lehmaus, Lennart (ed.), </w:t>
      </w:r>
      <w:r w:rsidDel="00000000" w:rsidR="00000000" w:rsidRPr="00000000">
        <w:rPr>
          <w:i w:val="1"/>
          <w:iCs w:val="1"/>
          <w:rtl w:val="0"/>
        </w:rPr>
        <w:t xml:space="preserve">Female Bodies and Female Practitioners: Gynaecology, Women’s Bodies, and Expertise in the Ancient to Medieval Mediterranean and Middle East </w:t>
      </w:r>
      <w:r w:rsidDel="00000000" w:rsidR="00000000" w:rsidRPr="00000000">
        <w:rPr>
          <w:rtl w:val="0"/>
        </w:rPr>
        <w:t xml:space="preserve">(Tübingen: Mohr Seibeck, 2023)</w:t>
      </w:r>
      <w:r w:rsidDel="00000000" w:rsidR="00000000" w:rsidRPr="00000000">
        <w:rPr>
          <w:rtl w:val="0"/>
        </w:rPr>
        <w:br w:type="textWrapping"/>
      </w:r>
      <w:r w:rsidDel="00000000" w:rsidR="00000000" w:rsidRPr="00000000">
        <w:rPr>
          <w:rtl w:val="0"/>
        </w:rPr>
        <w:br w:type="textWrapping"/>
      </w:r>
      <w:r w:rsidDel="00000000" w:rsidR="00000000" w:rsidRPr="00000000">
        <w:rPr>
          <w:rtl w:val="0"/>
        </w:rPr>
        <w:t xml:space="preserve">Lloyd, Alan B. (ed.), </w:t>
      </w:r>
      <w:r w:rsidDel="00000000" w:rsidR="00000000" w:rsidRPr="00000000">
        <w:rPr>
          <w:i w:val="1"/>
          <w:iCs w:val="1"/>
          <w:rtl w:val="0"/>
        </w:rPr>
        <w:t xml:space="preserve">A Companion to Ancient Egypt, Vol. I/II</w:t>
      </w:r>
      <w:r w:rsidDel="00000000" w:rsidR="00000000" w:rsidRPr="00000000">
        <w:rPr>
          <w:rtl w:val="0"/>
        </w:rPr>
        <w:t xml:space="preserve"> (Oxford:Wiley–Blackwell, 2010)</w:t>
      </w:r>
      <w:r w:rsidDel="00000000" w:rsidR="00000000" w:rsidRPr="00000000">
        <w:rPr>
          <w:rtl w:val="0"/>
        </w:rPr>
      </w:r>
    </w:p>
    <w:p w:rsidR="00000000" w:rsidDel="00000000" w:rsidP="00000000" w:rsidRDefault="00000000" w:rsidRPr="00000000" w14:paraId="00000114">
      <w:pPr>
        <w:spacing w:line="240" w:lineRule="auto"/>
        <w:rPr/>
      </w:pPr>
      <w:r w:rsidDel="00000000" w:rsidR="00000000" w:rsidRPr="00000000">
        <w:rPr>
          <w:rtl w:val="0"/>
        </w:rPr>
        <w:br w:type="textWrapping"/>
      </w:r>
      <w:r w:rsidDel="00000000" w:rsidR="00000000" w:rsidRPr="00000000">
        <w:rPr>
          <w:rtl w:val="0"/>
        </w:rPr>
        <w:t xml:space="preserve">Hollis, Susan Tower, </w:t>
      </w:r>
      <w:r w:rsidDel="00000000" w:rsidR="00000000" w:rsidRPr="00000000">
        <w:rPr>
          <w:i w:val="1"/>
          <w:iCs w:val="1"/>
          <w:rtl w:val="0"/>
        </w:rPr>
        <w:t xml:space="preserve">Five Egyptian Goddesses: Their Possible Beginnings, Actions, and Relationships in the Third Millennium BCE </w:t>
      </w:r>
      <w:r w:rsidDel="00000000" w:rsidR="00000000" w:rsidRPr="00000000">
        <w:rPr>
          <w:rtl w:val="0"/>
        </w:rPr>
        <w:t xml:space="preserve">(London: Bloomsbury Academic, 2020)</w:t>
        <w:br w:type="textWrapping"/>
        <w:br w:type="textWrapping"/>
      </w:r>
      <w:r w:rsidDel="00000000" w:rsidR="00000000" w:rsidRPr="00000000">
        <w:rPr>
          <w:rtl w:val="0"/>
        </w:rPr>
        <w:t xml:space="preserve">Ikram, Salima, </w:t>
      </w:r>
      <w:r w:rsidDel="00000000" w:rsidR="00000000" w:rsidRPr="00000000">
        <w:rPr>
          <w:i w:val="1"/>
          <w:iCs w:val="1"/>
          <w:rtl w:val="0"/>
        </w:rPr>
        <w:t xml:space="preserve">Ancient Egypt: An Introduction</w:t>
      </w:r>
      <w:r w:rsidDel="00000000" w:rsidR="00000000" w:rsidRPr="00000000">
        <w:rPr>
          <w:rtl w:val="0"/>
        </w:rPr>
        <w:t xml:space="preserve"> (Cambridge: Cambridge University Press, 2010)</w:t>
      </w:r>
      <w:r w:rsidDel="00000000" w:rsidR="00000000" w:rsidRPr="00000000">
        <w:rPr>
          <w:rtl w:val="0"/>
        </w:rPr>
      </w:r>
    </w:p>
    <w:p w:rsidR="00000000" w:rsidDel="00000000" w:rsidP="00000000" w:rsidRDefault="00000000" w:rsidRPr="00000000" w14:paraId="00000115">
      <w:pPr>
        <w:spacing w:line="240" w:lineRule="auto"/>
        <w:rPr/>
      </w:pPr>
      <w:r w:rsidDel="00000000" w:rsidR="00000000" w:rsidRPr="00000000">
        <w:rPr>
          <w:rtl w:val="0"/>
        </w:rPr>
        <w:br w:type="textWrapping"/>
      </w:r>
      <w:r w:rsidDel="00000000" w:rsidR="00000000" w:rsidRPr="00000000">
        <w:rPr>
          <w:rtl w:val="0"/>
        </w:rPr>
        <w:t xml:space="preserve">Jenkins, Richard, ‘Disenchantment, Enchantment and Re-Enchantment: Max Weber at the Millennium’, in </w:t>
      </w:r>
      <w:r w:rsidDel="00000000" w:rsidR="00000000" w:rsidRPr="00000000">
        <w:rPr>
          <w:i w:val="1"/>
          <w:iCs w:val="1"/>
          <w:rtl w:val="0"/>
        </w:rPr>
        <w:t xml:space="preserve">Max Weber Studies, </w:t>
      </w:r>
      <w:r w:rsidDel="00000000" w:rsidR="00000000" w:rsidRPr="00000000">
        <w:rPr>
          <w:rtl w:val="0"/>
        </w:rPr>
        <w:t xml:space="preserve">1 (2000), pp.11– 32</w:t>
      </w:r>
      <w:r w:rsidDel="00000000" w:rsidR="00000000" w:rsidRPr="00000000">
        <w:rPr>
          <w:rtl w:val="0"/>
        </w:rPr>
        <w:br w:type="textWrapping"/>
        <w:br w:type="textWrapping"/>
        <w:t xml:space="preserve">Mancuso, Vito,</w:t>
      </w:r>
      <w:r w:rsidDel="00000000" w:rsidR="00000000" w:rsidRPr="00000000">
        <w:rPr>
          <w:b w:val="1"/>
          <w:bCs w:val="1"/>
          <w:rtl w:val="0"/>
        </w:rPr>
        <w:t xml:space="preserve"> </w:t>
      </w:r>
      <w:r w:rsidDel="00000000" w:rsidR="00000000" w:rsidRPr="00000000">
        <w:rPr>
          <w:i w:val="1"/>
          <w:iCs w:val="1"/>
          <w:rtl w:val="0"/>
        </w:rPr>
        <w:t xml:space="preserve">Che cos'è l'amore? </w:t>
      </w:r>
      <w:r w:rsidDel="00000000" w:rsidR="00000000" w:rsidRPr="00000000">
        <w:rPr>
          <w:rtl w:val="0"/>
        </w:rPr>
        <w:t xml:space="preserve">[Youtube video], available at: </w:t>
      </w:r>
      <w:hyperlink r:id="rId26">
        <w:r w:rsidDel="00000000" w:rsidR="00000000" w:rsidRPr="00000000">
          <w:rPr>
            <w:u w:val="single"/>
            <w:rtl w:val="0"/>
          </w:rPr>
          <w:t xml:space="preserve">https://www.youtube.com/watch?v=-QDRYGM-VUw</w:t>
        </w:r>
      </w:hyperlink>
      <w:r w:rsidDel="00000000" w:rsidR="00000000" w:rsidRPr="00000000">
        <w:rPr>
          <w:rtl w:val="0"/>
        </w:rPr>
        <w:t xml:space="preserve"> [accessed 17 November, 2025]</w:t>
        <w:br w:type="textWrapping"/>
        <w:br w:type="textWrapping"/>
      </w:r>
      <w:r w:rsidDel="00000000" w:rsidR="00000000" w:rsidRPr="00000000">
        <w:rPr>
          <w:rtl w:val="0"/>
        </w:rPr>
        <w:t xml:space="preserve">Maravelia, Amanda–Alice, </w:t>
      </w:r>
      <w:r w:rsidDel="00000000" w:rsidR="00000000" w:rsidRPr="00000000">
        <w:rPr>
          <w:rtl w:val="0"/>
        </w:rPr>
        <w:t xml:space="preserve">“Cosmic Space and Archetypal Time: Depictions of the Sky-Goddess Nut in Three Royal Tombs of the New Kingdom and Her Relation to the Milky Way.” </w:t>
      </w:r>
      <w:r w:rsidDel="00000000" w:rsidR="00000000" w:rsidRPr="00000000">
        <w:rPr>
          <w:i w:val="1"/>
          <w:iCs w:val="1"/>
          <w:rtl w:val="0"/>
        </w:rPr>
        <w:t xml:space="preserve">Göttinger Miszellen</w:t>
      </w:r>
      <w:r w:rsidDel="00000000" w:rsidR="00000000" w:rsidRPr="00000000">
        <w:rPr>
          <w:rtl w:val="0"/>
        </w:rPr>
        <w:t xml:space="preserve">, 197 (January 1, 2003), pp. 55–72</w:t>
      </w:r>
    </w:p>
    <w:p w:rsidR="00000000" w:rsidDel="00000000" w:rsidP="00000000" w:rsidRDefault="00000000" w:rsidRPr="00000000" w14:paraId="00000116">
      <w:pPr>
        <w:spacing w:line="240" w:lineRule="auto"/>
        <w:rPr/>
      </w:pPr>
      <w:r w:rsidDel="00000000" w:rsidR="00000000" w:rsidRPr="00000000">
        <w:rPr>
          <w:rtl w:val="0"/>
        </w:rPr>
      </w:r>
    </w:p>
    <w:p w:rsidR="00000000" w:rsidDel="00000000" w:rsidP="00000000" w:rsidRDefault="00000000" w:rsidRPr="00000000" w14:paraId="00000117">
      <w:pPr>
        <w:spacing w:line="240" w:lineRule="auto"/>
        <w:rPr/>
      </w:pPr>
      <w:r w:rsidDel="00000000" w:rsidR="00000000" w:rsidRPr="00000000">
        <w:rPr>
          <w:rtl w:val="0"/>
        </w:rPr>
        <w:t xml:space="preserve">Pommerening, Tanja, ‘The Female Body in Ancient Egypt: Sources, Terminology, and Concepts’, </w:t>
      </w:r>
      <w:r w:rsidDel="00000000" w:rsidR="00000000" w:rsidRPr="00000000">
        <w:rPr>
          <w:i w:val="1"/>
          <w:iCs w:val="1"/>
          <w:rtl w:val="0"/>
        </w:rPr>
        <w:t xml:space="preserve">Female Bodies and Female Practitioners: Gynaecology, Women’s Bodies, and Expertise in the Ancient to Medieval Mediterranean and Middle East, </w:t>
      </w:r>
      <w:r w:rsidDel="00000000" w:rsidR="00000000" w:rsidRPr="00000000">
        <w:rPr>
          <w:rtl w:val="0"/>
        </w:rPr>
        <w:t xml:space="preserve">ed. by Lennart Lehmaus, (Tübingen: Mohr Seibeck, 2023), 133–174</w:t>
        <w:br w:type="textWrapping"/>
      </w:r>
      <w:r w:rsidDel="00000000" w:rsidR="00000000" w:rsidRPr="00000000">
        <w:rPr>
          <w:b w:val="1"/>
          <w:bCs w:val="1"/>
          <w:sz w:val="18"/>
          <w:szCs w:val="18"/>
          <w:rtl w:val="0"/>
        </w:rPr>
        <w:br w:type="textWrapping"/>
      </w:r>
      <w:r w:rsidDel="00000000" w:rsidR="00000000" w:rsidRPr="00000000">
        <w:rPr>
          <w:rtl w:val="0"/>
        </w:rPr>
        <w:t xml:space="preserve">Robins, Gay, </w:t>
      </w:r>
      <w:r w:rsidDel="00000000" w:rsidR="00000000" w:rsidRPr="00000000">
        <w:rPr>
          <w:i w:val="1"/>
          <w:iCs w:val="1"/>
          <w:rtl w:val="0"/>
        </w:rPr>
        <w:t xml:space="preserve">The Art of Ancient Egypt </w:t>
      </w:r>
      <w:r w:rsidDel="00000000" w:rsidR="00000000" w:rsidRPr="00000000">
        <w:rPr>
          <w:rtl w:val="0"/>
        </w:rPr>
        <w:t xml:space="preserve">(Cambridge, Massachusetts: Harvard University Press, 1997)</w:t>
      </w:r>
    </w:p>
    <w:p w:rsidR="00000000" w:rsidDel="00000000" w:rsidP="00000000" w:rsidRDefault="00000000" w:rsidRPr="00000000" w14:paraId="00000118">
      <w:pPr>
        <w:spacing w:line="240" w:lineRule="auto"/>
        <w:rPr/>
      </w:pPr>
      <w:r w:rsidDel="00000000" w:rsidR="00000000" w:rsidRPr="00000000">
        <w:rPr>
          <w:rtl w:val="0"/>
        </w:rPr>
      </w:r>
    </w:p>
    <w:p w:rsidR="00000000" w:rsidDel="00000000" w:rsidP="00000000" w:rsidRDefault="00000000" w:rsidRPr="00000000" w14:paraId="00000119">
      <w:pPr>
        <w:spacing w:line="240" w:lineRule="auto"/>
        <w:rPr>
          <w:color w:val="1a1718"/>
        </w:rPr>
      </w:pPr>
      <w:r w:rsidDel="00000000" w:rsidR="00000000" w:rsidRPr="00000000">
        <w:rPr>
          <w:rtl w:val="0"/>
        </w:rPr>
        <w:t xml:space="preserve">Sabbahy, Lisa K.,</w:t>
      </w:r>
      <w:r w:rsidDel="00000000" w:rsidR="00000000" w:rsidRPr="00000000">
        <w:rPr>
          <w:b w:val="1"/>
          <w:bCs w:val="1"/>
          <w:rtl w:val="0"/>
        </w:rPr>
        <w:t xml:space="preserve"> </w:t>
      </w:r>
      <w:r w:rsidDel="00000000" w:rsidR="00000000" w:rsidRPr="00000000">
        <w:rPr>
          <w:i w:val="1"/>
          <w:iCs w:val="1"/>
          <w:rtl w:val="0"/>
        </w:rPr>
        <w:t xml:space="preserve">Daily Life of Women in Ancient Egypt</w:t>
      </w:r>
      <w:r w:rsidDel="00000000" w:rsidR="00000000" w:rsidRPr="00000000">
        <w:rPr>
          <w:rtl w:val="0"/>
        </w:rPr>
        <w:t xml:space="preserve"> (New York: Bloomsbury, 2022)</w:t>
      </w:r>
      <w:r w:rsidDel="00000000" w:rsidR="00000000" w:rsidRPr="00000000">
        <w:rPr>
          <w:color w:val="1a1718"/>
          <w:rtl w:val="0"/>
        </w:rPr>
        <w:br w:type="textWrapping"/>
        <w:br w:type="textWrapping"/>
      </w:r>
      <w:r w:rsidDel="00000000" w:rsidR="00000000" w:rsidRPr="00000000">
        <w:rPr>
          <w:highlight w:val="white"/>
          <w:rtl w:val="0"/>
        </w:rPr>
        <w:t xml:space="preserve">‘Scarab’, in </w:t>
      </w:r>
      <w:r w:rsidDel="00000000" w:rsidR="00000000" w:rsidRPr="00000000">
        <w:rPr>
          <w:i w:val="1"/>
          <w:iCs w:val="1"/>
          <w:highlight w:val="white"/>
          <w:rtl w:val="0"/>
        </w:rPr>
        <w:t xml:space="preserve">UCLA Encyclopedia of Egyptology</w:t>
      </w:r>
      <w:r w:rsidDel="00000000" w:rsidR="00000000" w:rsidRPr="00000000">
        <w:rPr>
          <w:i w:val="1"/>
          <w:iCs w:val="1"/>
          <w:rtl w:val="0"/>
        </w:rPr>
        <w:t xml:space="preserve"> </w:t>
      </w:r>
      <w:r w:rsidDel="00000000" w:rsidR="00000000" w:rsidRPr="00000000">
        <w:rPr>
          <w:highlight w:val="white"/>
          <w:rtl w:val="0"/>
        </w:rPr>
        <w:t xml:space="preserve">[online] &lt;</w:t>
      </w:r>
      <w:hyperlink r:id="rId27">
        <w:r w:rsidDel="00000000" w:rsidR="00000000" w:rsidRPr="00000000">
          <w:rPr>
            <w:color w:val="1155cc"/>
            <w:highlight w:val="white"/>
            <w:u w:val="single"/>
            <w:rtl w:val="0"/>
          </w:rPr>
          <w:t xml:space="preserve">https://escholarship.org/uc/item/13v7v5gd</w:t>
        </w:r>
      </w:hyperlink>
      <w:r w:rsidDel="00000000" w:rsidR="00000000" w:rsidRPr="00000000">
        <w:rPr>
          <w:highlight w:val="white"/>
          <w:rtl w:val="0"/>
        </w:rPr>
        <w:t xml:space="preserve">&gt; [accessed 10 April 2026]</w:t>
      </w:r>
      <w:r w:rsidDel="00000000" w:rsidR="00000000" w:rsidRPr="00000000">
        <w:rPr>
          <w:rtl w:val="0"/>
        </w:rPr>
      </w:r>
    </w:p>
    <w:p w:rsidR="00000000" w:rsidDel="00000000" w:rsidP="00000000" w:rsidRDefault="00000000" w:rsidRPr="00000000" w14:paraId="0000011A">
      <w:pPr>
        <w:spacing w:line="240" w:lineRule="auto"/>
        <w:ind w:left="0" w:firstLine="0"/>
        <w:rPr>
          <w:color w:val="1a1718"/>
          <w:sz w:val="20"/>
          <w:szCs w:val="20"/>
        </w:rPr>
      </w:pPr>
      <w:r w:rsidDel="00000000" w:rsidR="00000000" w:rsidRPr="00000000">
        <w:rPr>
          <w:rtl w:val="0"/>
        </w:rPr>
      </w:r>
    </w:p>
    <w:p w:rsidR="00000000" w:rsidDel="00000000" w:rsidP="00000000" w:rsidRDefault="00000000" w:rsidRPr="00000000" w14:paraId="0000011B">
      <w:pPr>
        <w:spacing w:line="240" w:lineRule="auto"/>
        <w:rPr>
          <w:sz w:val="28"/>
          <w:szCs w:val="28"/>
        </w:rPr>
      </w:pPr>
      <w:r w:rsidDel="00000000" w:rsidR="00000000" w:rsidRPr="00000000">
        <w:rPr>
          <w:rtl w:val="0"/>
        </w:rPr>
        <w:t xml:space="preserve">Storm, Jason </w:t>
      </w:r>
      <w:r w:rsidDel="00000000" w:rsidR="00000000" w:rsidRPr="00000000">
        <w:rPr>
          <w:color w:val="3a3a3a"/>
          <w:highlight w:val="white"/>
          <w:rtl w:val="0"/>
        </w:rPr>
        <w:t xml:space="preserve">Ā</w:t>
      </w:r>
      <w:r w:rsidDel="00000000" w:rsidR="00000000" w:rsidRPr="00000000">
        <w:rPr>
          <w:rtl w:val="0"/>
        </w:rPr>
        <w:t xml:space="preserve">nanda Josephson, </w:t>
      </w:r>
      <w:r w:rsidDel="00000000" w:rsidR="00000000" w:rsidRPr="00000000">
        <w:rPr>
          <w:i w:val="1"/>
          <w:iCs w:val="1"/>
          <w:rtl w:val="0"/>
        </w:rPr>
        <w:t xml:space="preserve">The Myth of Disenchantment: Magic, Modernity, and the Birth of the Human Sciences</w:t>
      </w:r>
      <w:r w:rsidDel="00000000" w:rsidR="00000000" w:rsidRPr="00000000">
        <w:rPr>
          <w:rtl w:val="0"/>
        </w:rPr>
        <w:t xml:space="preserve"> (Chicago: University of Chicago Press, 2017)</w:t>
        <w:br w:type="textWrapping"/>
        <w:br w:type="textWrapping"/>
      </w:r>
      <w:r w:rsidDel="00000000" w:rsidR="00000000" w:rsidRPr="00000000">
        <w:rPr>
          <w:rtl w:val="0"/>
        </w:rPr>
        <w:t xml:space="preserve">Thompson, Tok, Schrempp, Gregory, </w:t>
      </w:r>
      <w:r w:rsidDel="00000000" w:rsidR="00000000" w:rsidRPr="00000000">
        <w:rPr>
          <w:i w:val="1"/>
          <w:iCs w:val="1"/>
          <w:rtl w:val="0"/>
        </w:rPr>
        <w:t xml:space="preserve">The Truth of Mythology: World Mythology in Theory and Everyday Life</w:t>
      </w:r>
      <w:r w:rsidDel="00000000" w:rsidR="00000000" w:rsidRPr="00000000">
        <w:rPr>
          <w:rtl w:val="0"/>
        </w:rPr>
        <w:t xml:space="preserve"> (Oxford: Oxford University Press, 2020)</w:t>
      </w:r>
      <w:r w:rsidDel="00000000" w:rsidR="00000000" w:rsidRPr="00000000">
        <w:rPr>
          <w:rtl w:val="0"/>
        </w:rPr>
      </w:r>
    </w:p>
    <w:p w:rsidR="00000000" w:rsidDel="00000000" w:rsidP="00000000" w:rsidRDefault="00000000" w:rsidRPr="00000000" w14:paraId="0000011C">
      <w:pPr>
        <w:spacing w:line="240" w:lineRule="auto"/>
        <w:rPr/>
      </w:pPr>
      <w:r w:rsidDel="00000000" w:rsidR="00000000" w:rsidRPr="00000000">
        <w:rPr>
          <w:b w:val="1"/>
          <w:bCs w:val="1"/>
          <w:sz w:val="21"/>
          <w:szCs w:val="21"/>
          <w:highlight w:val="red"/>
          <w:rtl w:val="0"/>
        </w:rPr>
        <w:br w:type="textWrapping"/>
      </w:r>
      <w:r w:rsidDel="00000000" w:rsidR="00000000" w:rsidRPr="00000000">
        <w:rPr>
          <w:rtl w:val="0"/>
        </w:rPr>
        <w:t xml:space="preserve">Ventura, Raphael, ‘The Largest Project for a Royal Tomb in the Valley of the Kings’, in </w:t>
      </w:r>
      <w:r w:rsidDel="00000000" w:rsidR="00000000" w:rsidRPr="00000000">
        <w:rPr>
          <w:i w:val="1"/>
          <w:iCs w:val="1"/>
          <w:rtl w:val="0"/>
        </w:rPr>
        <w:t xml:space="preserve">Journal of Egyptian Archaeology</w:t>
      </w:r>
      <w:r w:rsidDel="00000000" w:rsidR="00000000" w:rsidRPr="00000000">
        <w:rPr>
          <w:rtl w:val="0"/>
        </w:rPr>
        <w:t xml:space="preserve">, 74 (1988), pp. 137–156</w:t>
      </w:r>
    </w:p>
    <w:p w:rsidR="00000000" w:rsidDel="00000000" w:rsidP="00000000" w:rsidRDefault="00000000" w:rsidRPr="00000000" w14:paraId="0000011D">
      <w:pPr>
        <w:spacing w:line="240" w:lineRule="auto"/>
        <w:rPr/>
      </w:pPr>
      <w:r w:rsidDel="00000000" w:rsidR="00000000" w:rsidRPr="00000000">
        <w:rPr>
          <w:rtl w:val="0"/>
        </w:rPr>
      </w:r>
    </w:p>
    <w:p w:rsidR="00000000" w:rsidDel="00000000" w:rsidP="00000000" w:rsidRDefault="00000000" w:rsidRPr="00000000" w14:paraId="0000011E">
      <w:pPr>
        <w:spacing w:line="240" w:lineRule="auto"/>
        <w:rPr/>
      </w:pPr>
      <w:r w:rsidDel="00000000" w:rsidR="00000000" w:rsidRPr="00000000">
        <w:rPr>
          <w:rtl w:val="0"/>
        </w:rPr>
        <w:t xml:space="preserve">Weber, Max, </w:t>
      </w:r>
      <w:r w:rsidDel="00000000" w:rsidR="00000000" w:rsidRPr="00000000">
        <w:rPr>
          <w:i w:val="1"/>
          <w:iCs w:val="1"/>
          <w:rtl w:val="0"/>
        </w:rPr>
        <w:t xml:space="preserve">The Sociology of Religion</w:t>
      </w:r>
      <w:r w:rsidDel="00000000" w:rsidR="00000000" w:rsidRPr="00000000">
        <w:rPr>
          <w:rtl w:val="0"/>
        </w:rPr>
        <w:t xml:space="preserve">, trans. by Ephraim Fischoff (London: Methuen &amp; Co., 1965)</w:t>
      </w:r>
    </w:p>
    <w:p w:rsidR="00000000" w:rsidDel="00000000" w:rsidP="00000000" w:rsidRDefault="00000000" w:rsidRPr="00000000" w14:paraId="0000011F">
      <w:pPr>
        <w:spacing w:line="240" w:lineRule="auto"/>
        <w:rPr/>
      </w:pPr>
      <w:r w:rsidDel="00000000" w:rsidR="00000000" w:rsidRPr="00000000">
        <w:rPr>
          <w:rtl w:val="0"/>
        </w:rPr>
      </w:r>
    </w:p>
    <w:p w:rsidR="00000000" w:rsidDel="00000000" w:rsidP="00000000" w:rsidRDefault="00000000" w:rsidRPr="00000000" w14:paraId="00000120">
      <w:pPr>
        <w:spacing w:line="240" w:lineRule="auto"/>
        <w:rPr/>
      </w:pPr>
      <w:r w:rsidDel="00000000" w:rsidR="00000000" w:rsidRPr="00000000">
        <w:rPr>
          <w:b w:val="1"/>
          <w:bCs w:val="1"/>
          <w:rtl w:val="0"/>
        </w:rPr>
        <w:t xml:space="preserve">______________________________________________________________________________</w:t>
      </w:r>
      <w:r w:rsidDel="00000000" w:rsidR="00000000" w:rsidRPr="00000000">
        <w:rPr>
          <w:rtl w:val="0"/>
        </w:rPr>
      </w:r>
    </w:p>
    <w:sectPr>
      <w:headerReference r:id="rId28" w:type="default"/>
      <w:footerReference r:id="rId2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imes New Roman"/>
  <w:font w:name="Trebuchet MS"/>
  <w:font w:name="Calibri"/>
  <w:font w:name="Tahoma">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22">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18"/>
        <w:szCs w:val="18"/>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18"/>
        <w:szCs w:val="18"/>
        <w:u w:val="none"/>
        <w:shd w:fill="auto" w:val="clear"/>
        <w:vertAlign w:val="baseline"/>
        <w:rtl w:val="0"/>
      </w:rPr>
      <w:t xml:space="preserve"> </w:t>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123">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Unknown, </w:t>
      </w:r>
      <w:r w:rsidDel="00000000" w:rsidR="00000000" w:rsidRPr="00000000">
        <w:rPr>
          <w:i w:val="1"/>
          <w:iCs w:val="1"/>
          <w:sz w:val="20"/>
          <w:szCs w:val="20"/>
          <w:rtl w:val="0"/>
        </w:rPr>
        <w:t xml:space="preserve">Book of the Day / Book of the Night </w:t>
      </w:r>
      <w:r w:rsidDel="00000000" w:rsidR="00000000" w:rsidRPr="00000000">
        <w:rPr>
          <w:sz w:val="20"/>
          <w:szCs w:val="20"/>
          <w:rtl w:val="0"/>
        </w:rPr>
        <w:t xml:space="preserve">[Tempura paint on ceiling] (c. 12th cent. BCE), Valley of the Kings.</w:t>
      </w:r>
      <w:r w:rsidDel="00000000" w:rsidR="00000000" w:rsidRPr="00000000">
        <w:rPr>
          <w:rtl w:val="0"/>
        </w:rPr>
      </w:r>
    </w:p>
  </w:footnote>
  <w:footnote w:id="17">
    <w:p w:rsidR="00000000" w:rsidDel="00000000" w:rsidP="00000000" w:rsidRDefault="00000000" w:rsidRPr="00000000" w14:paraId="00000124">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Lisa K. Sabbahy,</w:t>
      </w:r>
      <w:r w:rsidDel="00000000" w:rsidR="00000000" w:rsidRPr="00000000">
        <w:rPr>
          <w:b w:val="1"/>
          <w:bCs w:val="1"/>
          <w:sz w:val="20"/>
          <w:szCs w:val="20"/>
          <w:rtl w:val="0"/>
        </w:rPr>
        <w:t xml:space="preserve"> </w:t>
      </w:r>
      <w:r w:rsidDel="00000000" w:rsidR="00000000" w:rsidRPr="00000000">
        <w:rPr>
          <w:i w:val="1"/>
          <w:iCs w:val="1"/>
          <w:sz w:val="20"/>
          <w:szCs w:val="20"/>
          <w:rtl w:val="0"/>
        </w:rPr>
        <w:t xml:space="preserve">Daily Life of Women in Ancient Egypt</w:t>
      </w:r>
      <w:r w:rsidDel="00000000" w:rsidR="00000000" w:rsidRPr="00000000">
        <w:rPr>
          <w:sz w:val="20"/>
          <w:szCs w:val="20"/>
          <w:rtl w:val="0"/>
        </w:rPr>
        <w:t xml:space="preserve"> (New York: Bloomsbury, 2022), p. 8.</w:t>
      </w:r>
    </w:p>
  </w:footnote>
  <w:footnote w:id="11">
    <w:p w:rsidR="00000000" w:rsidDel="00000000" w:rsidP="00000000" w:rsidRDefault="00000000" w:rsidRPr="00000000" w14:paraId="00000125">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‘Scarab’, in </w:t>
      </w:r>
      <w:r w:rsidDel="00000000" w:rsidR="00000000" w:rsidRPr="00000000">
        <w:rPr>
          <w:i w:val="1"/>
          <w:iCs w:val="1"/>
          <w:sz w:val="20"/>
          <w:szCs w:val="20"/>
          <w:highlight w:val="white"/>
          <w:rtl w:val="0"/>
        </w:rPr>
        <w:t xml:space="preserve">UCLA Encyclopedia of Egyptology</w:t>
      </w:r>
      <w:r w:rsidDel="00000000" w:rsidR="00000000" w:rsidRPr="00000000">
        <w:rPr>
          <w:i w:val="1"/>
          <w:iCs w:val="1"/>
          <w:sz w:val="20"/>
          <w:szCs w:val="20"/>
          <w:rtl w:val="0"/>
        </w:rPr>
        <w:t xml:space="preserve"> </w:t>
      </w:r>
      <w:r w:rsidDel="00000000" w:rsidR="00000000" w:rsidRPr="00000000">
        <w:rPr>
          <w:sz w:val="20"/>
          <w:szCs w:val="20"/>
          <w:highlight w:val="white"/>
          <w:rtl w:val="0"/>
        </w:rPr>
        <w:t xml:space="preserve">[online], &lt;</w:t>
      </w:r>
      <w:hyperlink r:id="rId1">
        <w:r w:rsidDel="00000000" w:rsidR="00000000" w:rsidRPr="00000000">
          <w:rPr>
            <w:color w:val="1155cc"/>
            <w:sz w:val="20"/>
            <w:szCs w:val="20"/>
            <w:highlight w:val="white"/>
            <w:u w:val="single"/>
            <w:rtl w:val="0"/>
          </w:rPr>
          <w:t xml:space="preserve">https://escholarship.org/uc/item/13v7v5gd</w:t>
        </w:r>
      </w:hyperlink>
      <w:r w:rsidDel="00000000" w:rsidR="00000000" w:rsidRPr="00000000">
        <w:rPr>
          <w:sz w:val="20"/>
          <w:szCs w:val="20"/>
          <w:highlight w:val="white"/>
          <w:rtl w:val="0"/>
        </w:rPr>
        <w:t xml:space="preserve">&gt;</w:t>
        <w:br w:type="textWrapping"/>
        <w:tab/>
        <w:t xml:space="preserve">[accessed 10 April 2026].</w:t>
      </w:r>
      <w:r w:rsidDel="00000000" w:rsidR="00000000" w:rsidRPr="00000000">
        <w:rPr>
          <w:rtl w:val="0"/>
        </w:rPr>
      </w:r>
    </w:p>
  </w:footnote>
  <w:footnote w:id="5">
    <w:p w:rsidR="00000000" w:rsidDel="00000000" w:rsidP="00000000" w:rsidRDefault="00000000" w:rsidRPr="00000000" w14:paraId="00000126">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Amanda–Alice Maravelia, ‘Cosmic Space and Archetypal Time: Depictions of the Sky-Goddess Nut in Three</w:t>
      </w:r>
    </w:p>
    <w:p w:rsidR="00000000" w:rsidDel="00000000" w:rsidP="00000000" w:rsidRDefault="00000000" w:rsidRPr="00000000" w14:paraId="00000127">
      <w:pPr>
        <w:ind w:firstLine="720"/>
        <w:rPr>
          <w:sz w:val="20"/>
          <w:szCs w:val="20"/>
        </w:rPr>
      </w:pPr>
      <w:r w:rsidDel="00000000" w:rsidR="00000000" w:rsidRPr="00000000">
        <w:rPr>
          <w:sz w:val="20"/>
          <w:szCs w:val="20"/>
          <w:rtl w:val="0"/>
        </w:rPr>
        <w:t xml:space="preserve"> Royal Tombs of the New Kingdom and Her Relation to the Milky Way’, in </w:t>
      </w:r>
      <w:r w:rsidDel="00000000" w:rsidR="00000000" w:rsidRPr="00000000">
        <w:rPr>
          <w:i w:val="1"/>
          <w:iCs w:val="1"/>
          <w:sz w:val="20"/>
          <w:szCs w:val="20"/>
          <w:rtl w:val="0"/>
        </w:rPr>
        <w:t xml:space="preserve">Göttinger Miszellen</w:t>
      </w:r>
      <w:r w:rsidDel="00000000" w:rsidR="00000000" w:rsidRPr="00000000">
        <w:rPr>
          <w:sz w:val="20"/>
          <w:szCs w:val="20"/>
          <w:rtl w:val="0"/>
        </w:rPr>
        <w:t xml:space="preserve">, 197 </w:t>
      </w:r>
    </w:p>
    <w:p w:rsidR="00000000" w:rsidDel="00000000" w:rsidP="00000000" w:rsidRDefault="00000000" w:rsidRPr="00000000" w14:paraId="00000128">
      <w:pPr>
        <w:ind w:left="720" w:firstLine="0"/>
        <w:rPr>
          <w:sz w:val="20"/>
          <w:szCs w:val="20"/>
          <w:highlight w:val="red"/>
        </w:rPr>
      </w:pPr>
      <w:r w:rsidDel="00000000" w:rsidR="00000000" w:rsidRPr="00000000">
        <w:rPr>
          <w:sz w:val="20"/>
          <w:szCs w:val="20"/>
          <w:rtl w:val="0"/>
        </w:rPr>
        <w:t xml:space="preserve">(2003), pp. 55–72, p.5.</w:t>
      </w:r>
      <w:r w:rsidDel="00000000" w:rsidR="00000000" w:rsidRPr="00000000">
        <w:rPr>
          <w:rtl w:val="0"/>
        </w:rPr>
      </w:r>
    </w:p>
  </w:footnote>
  <w:footnote w:id="22">
    <w:p w:rsidR="00000000" w:rsidDel="00000000" w:rsidP="00000000" w:rsidRDefault="00000000" w:rsidRPr="00000000" w14:paraId="00000129">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Ikram, </w:t>
      </w:r>
      <w:r w:rsidDel="00000000" w:rsidR="00000000" w:rsidRPr="00000000">
        <w:rPr>
          <w:i w:val="1"/>
          <w:iCs w:val="1"/>
          <w:sz w:val="20"/>
          <w:szCs w:val="20"/>
          <w:rtl w:val="0"/>
        </w:rPr>
        <w:t xml:space="preserve">Ancient Egypt: An Introduction, </w:t>
      </w:r>
      <w:r w:rsidDel="00000000" w:rsidR="00000000" w:rsidRPr="00000000">
        <w:rPr>
          <w:sz w:val="20"/>
          <w:szCs w:val="20"/>
          <w:rtl w:val="0"/>
        </w:rPr>
        <w:t xml:space="preserve">p.115; Jacco Dieleman, ‘Egypt’, in </w:t>
      </w:r>
      <w:r w:rsidDel="00000000" w:rsidR="00000000" w:rsidRPr="00000000">
        <w:rPr>
          <w:i w:val="1"/>
          <w:iCs w:val="1"/>
          <w:color w:val="1f1f1f"/>
          <w:sz w:val="20"/>
          <w:szCs w:val="20"/>
          <w:rtl w:val="0"/>
        </w:rPr>
        <w:t xml:space="preserve">Guide to the Study of Ancient Magic,</w:t>
        <w:br w:type="textWrapping"/>
        <w:tab/>
      </w:r>
      <w:r w:rsidDel="00000000" w:rsidR="00000000" w:rsidRPr="00000000">
        <w:rPr>
          <w:color w:val="1f1f1f"/>
          <w:sz w:val="20"/>
          <w:szCs w:val="20"/>
          <w:rtl w:val="0"/>
        </w:rPr>
        <w:t xml:space="preserve"> ed. by David Frankfurter (London and Leiden: Brill, 2008), pp. 87–114, p. </w:t>
      </w:r>
      <w:r w:rsidDel="00000000" w:rsidR="00000000" w:rsidRPr="00000000">
        <w:rPr>
          <w:sz w:val="20"/>
          <w:szCs w:val="20"/>
          <w:rtl w:val="0"/>
        </w:rPr>
        <w:t xml:space="preserve">113.</w:t>
      </w:r>
      <w:r w:rsidDel="00000000" w:rsidR="00000000" w:rsidRPr="00000000">
        <w:rPr>
          <w:rtl w:val="0"/>
        </w:rPr>
      </w:r>
    </w:p>
  </w:footnote>
  <w:footnote w:id="20">
    <w:p w:rsidR="00000000" w:rsidDel="00000000" w:rsidP="00000000" w:rsidRDefault="00000000" w:rsidRPr="00000000" w14:paraId="0000012A">
      <w:pPr>
        <w:rPr>
          <w:sz w:val="20"/>
          <w:szCs w:val="20"/>
          <w:highlight w:val="white"/>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‘Duality’, in </w:t>
      </w:r>
      <w:r w:rsidDel="00000000" w:rsidR="00000000" w:rsidRPr="00000000">
        <w:rPr>
          <w:i w:val="1"/>
          <w:iCs w:val="1"/>
          <w:sz w:val="20"/>
          <w:szCs w:val="20"/>
          <w:highlight w:val="white"/>
          <w:rtl w:val="0"/>
        </w:rPr>
        <w:t xml:space="preserve">UCLA Encyclopedia of Egyptology</w:t>
      </w:r>
      <w:r w:rsidDel="00000000" w:rsidR="00000000" w:rsidRPr="00000000">
        <w:rPr>
          <w:i w:val="1"/>
          <w:iCs w:val="1"/>
          <w:sz w:val="20"/>
          <w:szCs w:val="20"/>
          <w:rtl w:val="0"/>
        </w:rPr>
        <w:t xml:space="preserve"> </w:t>
      </w:r>
      <w:r w:rsidDel="00000000" w:rsidR="00000000" w:rsidRPr="00000000">
        <w:rPr>
          <w:sz w:val="20"/>
          <w:szCs w:val="20"/>
          <w:highlight w:val="white"/>
          <w:rtl w:val="0"/>
        </w:rPr>
        <w:t xml:space="preserve">[online], &lt;</w:t>
      </w:r>
      <w:hyperlink r:id="rId2">
        <w:r w:rsidDel="00000000" w:rsidR="00000000" w:rsidRPr="00000000">
          <w:rPr>
            <w:color w:val="1155cc"/>
            <w:sz w:val="20"/>
            <w:szCs w:val="20"/>
            <w:highlight w:val="white"/>
            <w:u w:val="single"/>
            <w:rtl w:val="0"/>
          </w:rPr>
          <w:t xml:space="preserve">https://escholarship.org/uc/item/95b9b2db</w:t>
        </w:r>
      </w:hyperlink>
      <w:r w:rsidDel="00000000" w:rsidR="00000000" w:rsidRPr="00000000">
        <w:rPr>
          <w:sz w:val="20"/>
          <w:szCs w:val="20"/>
          <w:highlight w:val="white"/>
          <w:rtl w:val="0"/>
        </w:rPr>
        <w:t xml:space="preserve">&gt; </w:t>
      </w:r>
    </w:p>
    <w:p w:rsidR="00000000" w:rsidDel="00000000" w:rsidP="00000000" w:rsidRDefault="00000000" w:rsidRPr="00000000" w14:paraId="0000012B">
      <w:pPr>
        <w:ind w:firstLine="720"/>
        <w:rPr>
          <w:sz w:val="20"/>
          <w:szCs w:val="20"/>
        </w:rPr>
      </w:pPr>
      <w:r w:rsidDel="00000000" w:rsidR="00000000" w:rsidRPr="00000000">
        <w:rPr>
          <w:sz w:val="20"/>
          <w:szCs w:val="20"/>
          <w:highlight w:val="white"/>
          <w:rtl w:val="0"/>
        </w:rPr>
        <w:t xml:space="preserve">[accessed 10 April 2026]</w:t>
      </w:r>
      <w:r w:rsidDel="00000000" w:rsidR="00000000" w:rsidRPr="00000000">
        <w:rPr>
          <w:rtl w:val="0"/>
        </w:rPr>
      </w:r>
    </w:p>
  </w:footnote>
  <w:footnote w:id="21">
    <w:p w:rsidR="00000000" w:rsidDel="00000000" w:rsidP="00000000" w:rsidRDefault="00000000" w:rsidRPr="00000000" w14:paraId="0000012C">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Salima Ikram, </w:t>
      </w:r>
      <w:r w:rsidDel="00000000" w:rsidR="00000000" w:rsidRPr="00000000">
        <w:rPr>
          <w:i w:val="1"/>
          <w:iCs w:val="1"/>
          <w:sz w:val="20"/>
          <w:szCs w:val="20"/>
          <w:rtl w:val="0"/>
        </w:rPr>
        <w:t xml:space="preserve">Ancient Egypt: An Introduction</w:t>
      </w:r>
      <w:r w:rsidDel="00000000" w:rsidR="00000000" w:rsidRPr="00000000">
        <w:rPr>
          <w:sz w:val="20"/>
          <w:szCs w:val="20"/>
          <w:rtl w:val="0"/>
        </w:rPr>
        <w:t xml:space="preserve"> (Cambridge: Cambridge University Press, 2010), pp. 119–120.</w:t>
      </w:r>
    </w:p>
  </w:footnote>
  <w:footnote w:id="6">
    <w:p w:rsidR="00000000" w:rsidDel="00000000" w:rsidP="00000000" w:rsidRDefault="00000000" w:rsidRPr="00000000" w14:paraId="0000012D">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Jan Assman, </w:t>
      </w:r>
      <w:r w:rsidDel="00000000" w:rsidR="00000000" w:rsidRPr="00000000">
        <w:rPr>
          <w:i w:val="1"/>
          <w:iCs w:val="1"/>
          <w:sz w:val="20"/>
          <w:szCs w:val="20"/>
          <w:rtl w:val="0"/>
        </w:rPr>
        <w:t xml:space="preserve">The Mind of Ancient Egypt: History and Meaning in the Time of the Pharaohs</w:t>
      </w:r>
      <w:r w:rsidDel="00000000" w:rsidR="00000000" w:rsidRPr="00000000">
        <w:rPr>
          <w:sz w:val="20"/>
          <w:szCs w:val="20"/>
          <w:rtl w:val="0"/>
        </w:rPr>
        <w:t xml:space="preserve">, </w:t>
      </w:r>
    </w:p>
    <w:p w:rsidR="00000000" w:rsidDel="00000000" w:rsidP="00000000" w:rsidRDefault="00000000" w:rsidRPr="00000000" w14:paraId="0000012E">
      <w:pPr>
        <w:ind w:firstLine="720"/>
        <w:rPr>
          <w:sz w:val="20"/>
          <w:szCs w:val="20"/>
        </w:rPr>
      </w:pPr>
      <w:r w:rsidDel="00000000" w:rsidR="00000000" w:rsidRPr="00000000">
        <w:rPr>
          <w:sz w:val="20"/>
          <w:szCs w:val="20"/>
          <w:rtl w:val="0"/>
        </w:rPr>
        <w:t xml:space="preserve">trans. by Andrew Jenkins (New York: Metropolitan Books, 2002), p. </w:t>
      </w:r>
      <w:r w:rsidDel="00000000" w:rsidR="00000000" w:rsidRPr="00000000">
        <w:rPr>
          <w:sz w:val="20"/>
          <w:szCs w:val="20"/>
          <w:rtl w:val="0"/>
        </w:rPr>
        <w:t xml:space="preserve">272–2.</w:t>
      </w:r>
    </w:p>
  </w:footnote>
  <w:footnote w:id="7">
    <w:p w:rsidR="00000000" w:rsidDel="00000000" w:rsidP="00000000" w:rsidRDefault="00000000" w:rsidRPr="00000000" w14:paraId="0000012F">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Aidan Dodson, </w:t>
      </w:r>
      <w:r w:rsidDel="00000000" w:rsidR="00000000" w:rsidRPr="00000000">
        <w:rPr>
          <w:color w:val="1f1f1f"/>
          <w:sz w:val="20"/>
          <w:szCs w:val="20"/>
          <w:rtl w:val="0"/>
        </w:rPr>
        <w:t xml:space="preserve">‘</w:t>
      </w:r>
      <w:r w:rsidDel="00000000" w:rsidR="00000000" w:rsidRPr="00000000">
        <w:rPr>
          <w:sz w:val="20"/>
          <w:szCs w:val="20"/>
          <w:rtl w:val="0"/>
        </w:rPr>
        <w:t xml:space="preserve">Mortuary Architecture and Decorative Systems’, in </w:t>
      </w:r>
      <w:r w:rsidDel="00000000" w:rsidR="00000000" w:rsidRPr="00000000">
        <w:rPr>
          <w:i w:val="1"/>
          <w:iCs w:val="1"/>
          <w:sz w:val="20"/>
          <w:szCs w:val="20"/>
          <w:rtl w:val="0"/>
        </w:rPr>
        <w:t xml:space="preserve">A Companion to Ancient Egypt, Vol. II</w:t>
      </w:r>
      <w:r w:rsidDel="00000000" w:rsidR="00000000" w:rsidRPr="00000000">
        <w:rPr>
          <w:sz w:val="20"/>
          <w:szCs w:val="20"/>
          <w:rtl w:val="0"/>
        </w:rPr>
        <w:t xml:space="preserve">, </w:t>
      </w:r>
    </w:p>
    <w:p w:rsidR="00000000" w:rsidDel="00000000" w:rsidP="00000000" w:rsidRDefault="00000000" w:rsidRPr="00000000" w14:paraId="00000130">
      <w:pPr>
        <w:ind w:firstLine="720"/>
        <w:rPr>
          <w:sz w:val="20"/>
          <w:szCs w:val="20"/>
        </w:rPr>
      </w:pPr>
      <w:r w:rsidDel="00000000" w:rsidR="00000000" w:rsidRPr="00000000">
        <w:rPr>
          <w:sz w:val="20"/>
          <w:szCs w:val="20"/>
          <w:rtl w:val="0"/>
        </w:rPr>
        <w:t xml:space="preserve">ed. by Alan B. Lloyd (Oxford:Wiley–Blackwell, 2010), pp. 804–825, p.820;</w:t>
      </w:r>
    </w:p>
    <w:p w:rsidR="00000000" w:rsidDel="00000000" w:rsidP="00000000" w:rsidRDefault="00000000" w:rsidRPr="00000000" w14:paraId="00000131">
      <w:pPr>
        <w:ind w:firstLine="720"/>
        <w:rPr>
          <w:sz w:val="20"/>
          <w:szCs w:val="20"/>
        </w:rPr>
      </w:pPr>
      <w:r w:rsidDel="00000000" w:rsidR="00000000" w:rsidRPr="00000000">
        <w:rPr>
          <w:sz w:val="20"/>
          <w:szCs w:val="20"/>
          <w:rtl w:val="0"/>
        </w:rPr>
        <w:t xml:space="preserve">Gay Robins, </w:t>
      </w:r>
      <w:r w:rsidDel="00000000" w:rsidR="00000000" w:rsidRPr="00000000">
        <w:rPr>
          <w:i w:val="1"/>
          <w:iCs w:val="1"/>
          <w:sz w:val="20"/>
          <w:szCs w:val="20"/>
          <w:rtl w:val="0"/>
        </w:rPr>
        <w:t xml:space="preserve">The Art of Ancient Egypt </w:t>
      </w:r>
      <w:r w:rsidDel="00000000" w:rsidR="00000000" w:rsidRPr="00000000">
        <w:rPr>
          <w:sz w:val="20"/>
          <w:szCs w:val="20"/>
          <w:rtl w:val="0"/>
        </w:rPr>
        <w:t xml:space="preserve">(Cambridge, Massachusetts: Harvard University Press, 1997), </w:t>
      </w:r>
    </w:p>
    <w:p w:rsidR="00000000" w:rsidDel="00000000" w:rsidP="00000000" w:rsidRDefault="00000000" w:rsidRPr="00000000" w14:paraId="00000132">
      <w:pPr>
        <w:ind w:firstLine="720"/>
        <w:rPr>
          <w:sz w:val="20"/>
          <w:szCs w:val="20"/>
          <w:highlight w:val="red"/>
        </w:rPr>
      </w:pPr>
      <w:r w:rsidDel="00000000" w:rsidR="00000000" w:rsidRPr="00000000">
        <w:rPr>
          <w:sz w:val="20"/>
          <w:szCs w:val="20"/>
          <w:rtl w:val="0"/>
        </w:rPr>
        <w:t xml:space="preserve">p. 168.</w:t>
      </w:r>
      <w:r w:rsidDel="00000000" w:rsidR="00000000" w:rsidRPr="00000000">
        <w:rPr>
          <w:rtl w:val="0"/>
        </w:rPr>
      </w:r>
    </w:p>
  </w:footnote>
  <w:footnote w:id="10">
    <w:p w:rsidR="00000000" w:rsidDel="00000000" w:rsidP="00000000" w:rsidRDefault="00000000" w:rsidRPr="00000000" w14:paraId="00000133">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Or Graur, ‘The Ancient Egyptian Personification of the Milky Way as the Sky-Goddess Nut: An Astronomical </w:t>
      </w:r>
    </w:p>
    <w:p w:rsidR="00000000" w:rsidDel="00000000" w:rsidP="00000000" w:rsidRDefault="00000000" w:rsidRPr="00000000" w14:paraId="00000134">
      <w:pPr>
        <w:ind w:firstLine="720"/>
        <w:rPr>
          <w:sz w:val="20"/>
          <w:szCs w:val="20"/>
        </w:rPr>
      </w:pPr>
      <w:r w:rsidDel="00000000" w:rsidR="00000000" w:rsidRPr="00000000">
        <w:rPr>
          <w:sz w:val="20"/>
          <w:szCs w:val="20"/>
          <w:rtl w:val="0"/>
        </w:rPr>
        <w:t xml:space="preserve">and Cross-Cultural Analysis’, in </w:t>
      </w:r>
      <w:r w:rsidDel="00000000" w:rsidR="00000000" w:rsidRPr="00000000">
        <w:rPr>
          <w:i w:val="1"/>
          <w:iCs w:val="1"/>
          <w:sz w:val="20"/>
          <w:szCs w:val="20"/>
          <w:rtl w:val="0"/>
        </w:rPr>
        <w:t xml:space="preserve">Journal of Astronomical History and Heritage</w:t>
      </w:r>
      <w:r w:rsidDel="00000000" w:rsidR="00000000" w:rsidRPr="00000000">
        <w:rPr>
          <w:sz w:val="20"/>
          <w:szCs w:val="20"/>
          <w:rtl w:val="0"/>
        </w:rPr>
        <w:t xml:space="preserve">, 27.1 (2024), pp. 28– 45, </w:t>
      </w:r>
    </w:p>
    <w:p w:rsidR="00000000" w:rsidDel="00000000" w:rsidP="00000000" w:rsidRDefault="00000000" w:rsidRPr="00000000" w14:paraId="00000135">
      <w:pPr>
        <w:ind w:firstLine="720"/>
        <w:rPr>
          <w:sz w:val="20"/>
          <w:szCs w:val="20"/>
        </w:rPr>
      </w:pPr>
      <w:r w:rsidDel="00000000" w:rsidR="00000000" w:rsidRPr="00000000">
        <w:rPr>
          <w:sz w:val="20"/>
          <w:szCs w:val="20"/>
          <w:rtl w:val="0"/>
        </w:rPr>
        <w:t xml:space="preserve">p.28.</w:t>
      </w:r>
    </w:p>
  </w:footnote>
  <w:footnote w:id="8">
    <w:p w:rsidR="00000000" w:rsidDel="00000000" w:rsidP="00000000" w:rsidRDefault="00000000" w:rsidRPr="00000000" w14:paraId="00000136">
      <w:pPr>
        <w:ind w:left="0" w:firstLine="0"/>
        <w:rPr>
          <w:i w:val="1"/>
          <w:iCs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Susan Tower Hollis, </w:t>
      </w:r>
      <w:r w:rsidDel="00000000" w:rsidR="00000000" w:rsidRPr="00000000">
        <w:rPr>
          <w:i w:val="1"/>
          <w:iCs w:val="1"/>
          <w:sz w:val="20"/>
          <w:szCs w:val="20"/>
          <w:rtl w:val="0"/>
        </w:rPr>
        <w:t xml:space="preserve">Five Egyptian Goddesses: Their Possible Beginnings, Actions, and Relationships in the Third </w:t>
      </w:r>
    </w:p>
    <w:p w:rsidR="00000000" w:rsidDel="00000000" w:rsidP="00000000" w:rsidRDefault="00000000" w:rsidRPr="00000000" w14:paraId="00000137">
      <w:pPr>
        <w:ind w:left="0" w:firstLine="720"/>
        <w:rPr>
          <w:sz w:val="20"/>
          <w:szCs w:val="20"/>
        </w:rPr>
      </w:pPr>
      <w:r w:rsidDel="00000000" w:rsidR="00000000" w:rsidRPr="00000000">
        <w:rPr>
          <w:i w:val="1"/>
          <w:iCs w:val="1"/>
          <w:sz w:val="20"/>
          <w:szCs w:val="20"/>
          <w:rtl w:val="0"/>
        </w:rPr>
        <w:t xml:space="preserve">Millennium BCE </w:t>
      </w:r>
      <w:r w:rsidDel="00000000" w:rsidR="00000000" w:rsidRPr="00000000">
        <w:rPr>
          <w:sz w:val="20"/>
          <w:szCs w:val="20"/>
          <w:rtl w:val="0"/>
        </w:rPr>
        <w:t xml:space="preserve">(London: Bloomsbury Academic, 2020), p.69.</w:t>
      </w:r>
    </w:p>
  </w:footnote>
  <w:footnote w:id="9">
    <w:p w:rsidR="00000000" w:rsidDel="00000000" w:rsidP="00000000" w:rsidRDefault="00000000" w:rsidRPr="00000000" w14:paraId="00000138">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Robins, </w:t>
      </w:r>
      <w:r w:rsidDel="00000000" w:rsidR="00000000" w:rsidRPr="00000000">
        <w:rPr>
          <w:i w:val="1"/>
          <w:iCs w:val="1"/>
          <w:sz w:val="20"/>
          <w:szCs w:val="20"/>
          <w:rtl w:val="0"/>
        </w:rPr>
        <w:t xml:space="preserve">The Art of Ancient Egypt</w:t>
      </w:r>
      <w:r w:rsidDel="00000000" w:rsidR="00000000" w:rsidRPr="00000000">
        <w:rPr>
          <w:sz w:val="20"/>
          <w:szCs w:val="20"/>
          <w:rtl w:val="0"/>
        </w:rPr>
        <w:t xml:space="preserve">, 27–8.</w:t>
      </w:r>
    </w:p>
  </w:footnote>
  <w:footnote w:id="33">
    <w:p w:rsidR="00000000" w:rsidDel="00000000" w:rsidP="00000000" w:rsidRDefault="00000000" w:rsidRPr="00000000" w14:paraId="00000139">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Jenkins, ‘Disenchantment, Enchantment and Re-Enchantment’, p. 12.</w:t>
      </w:r>
    </w:p>
  </w:footnote>
  <w:footnote w:id="32">
    <w:p w:rsidR="00000000" w:rsidDel="00000000" w:rsidP="00000000" w:rsidRDefault="00000000" w:rsidRPr="00000000" w14:paraId="0000013A">
      <w:pPr>
        <w:rPr>
          <w:i w:val="1"/>
          <w:iCs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w:t>
      </w:r>
      <w:r w:rsidDel="00000000" w:rsidR="00000000" w:rsidRPr="00000000">
        <w:rPr>
          <w:sz w:val="20"/>
          <w:szCs w:val="20"/>
          <w:rtl w:val="0"/>
        </w:rPr>
        <w:t xml:space="preserve">, p.</w:t>
      </w:r>
      <w:r w:rsidDel="00000000" w:rsidR="00000000" w:rsidRPr="00000000">
        <w:rPr>
          <w:sz w:val="20"/>
          <w:szCs w:val="20"/>
          <w:rtl w:val="0"/>
        </w:rPr>
        <w:t xml:space="preserve">176; Jason </w:t>
      </w:r>
      <w:r w:rsidDel="00000000" w:rsidR="00000000" w:rsidRPr="00000000">
        <w:rPr>
          <w:color w:val="3a3a3a"/>
          <w:sz w:val="20"/>
          <w:szCs w:val="20"/>
          <w:highlight w:val="white"/>
          <w:rtl w:val="0"/>
        </w:rPr>
        <w:t xml:space="preserve">Ā</w:t>
      </w:r>
      <w:r w:rsidDel="00000000" w:rsidR="00000000" w:rsidRPr="00000000">
        <w:rPr>
          <w:sz w:val="20"/>
          <w:szCs w:val="20"/>
          <w:rtl w:val="0"/>
        </w:rPr>
        <w:t xml:space="preserve">nanda Josephson Storm, </w:t>
      </w:r>
      <w:r w:rsidDel="00000000" w:rsidR="00000000" w:rsidRPr="00000000">
        <w:rPr>
          <w:i w:val="1"/>
          <w:iCs w:val="1"/>
          <w:sz w:val="20"/>
          <w:szCs w:val="20"/>
          <w:rtl w:val="0"/>
        </w:rPr>
        <w:t xml:space="preserve">The Myth of Disenchantment: Magic, Modernity, and the Birth of the</w:t>
      </w:r>
    </w:p>
    <w:p w:rsidR="00000000" w:rsidDel="00000000" w:rsidP="00000000" w:rsidRDefault="00000000" w:rsidRPr="00000000" w14:paraId="0000013B">
      <w:pPr>
        <w:ind w:firstLine="720"/>
        <w:rPr>
          <w:sz w:val="20"/>
          <w:szCs w:val="20"/>
        </w:rPr>
      </w:pPr>
      <w:r w:rsidDel="00000000" w:rsidR="00000000" w:rsidRPr="00000000">
        <w:rPr>
          <w:i w:val="1"/>
          <w:iCs w:val="1"/>
          <w:sz w:val="20"/>
          <w:szCs w:val="20"/>
          <w:rtl w:val="0"/>
        </w:rPr>
        <w:t xml:space="preserve"> Human Sciences</w:t>
      </w:r>
      <w:r w:rsidDel="00000000" w:rsidR="00000000" w:rsidRPr="00000000">
        <w:rPr>
          <w:sz w:val="20"/>
          <w:szCs w:val="20"/>
          <w:rtl w:val="0"/>
        </w:rPr>
        <w:t xml:space="preserve"> (Chicago: University of Chicago Press, 2017), p.43.</w:t>
      </w:r>
    </w:p>
  </w:footnote>
  <w:footnote w:id="2">
    <w:p w:rsidR="00000000" w:rsidDel="00000000" w:rsidP="00000000" w:rsidRDefault="00000000" w:rsidRPr="00000000" w14:paraId="0000013C">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Tok Thompson, Gregory Schrempp, </w:t>
      </w:r>
      <w:r w:rsidDel="00000000" w:rsidR="00000000" w:rsidRPr="00000000">
        <w:rPr>
          <w:i w:val="1"/>
          <w:iCs w:val="1"/>
          <w:sz w:val="20"/>
          <w:szCs w:val="20"/>
          <w:rtl w:val="0"/>
        </w:rPr>
        <w:t xml:space="preserve">The Truth of Mythology: World Mythology in Theory and Everyday Life</w:t>
      </w:r>
      <w:r w:rsidDel="00000000" w:rsidR="00000000" w:rsidRPr="00000000">
        <w:rPr>
          <w:sz w:val="20"/>
          <w:szCs w:val="20"/>
          <w:rtl w:val="0"/>
        </w:rPr>
        <w:t xml:space="preserve"> </w:t>
      </w:r>
    </w:p>
    <w:p w:rsidR="00000000" w:rsidDel="00000000" w:rsidP="00000000" w:rsidRDefault="00000000" w:rsidRPr="00000000" w14:paraId="0000013D">
      <w:pPr>
        <w:ind w:firstLine="720"/>
        <w:rPr>
          <w:sz w:val="20"/>
          <w:szCs w:val="20"/>
        </w:rPr>
      </w:pPr>
      <w:r w:rsidDel="00000000" w:rsidR="00000000" w:rsidRPr="00000000">
        <w:rPr>
          <w:sz w:val="20"/>
          <w:szCs w:val="20"/>
          <w:rtl w:val="0"/>
        </w:rPr>
        <w:t xml:space="preserve">(Oxford: Oxford University Press, 2020), p. 3, 7, 9.</w:t>
      </w:r>
    </w:p>
  </w:footnote>
  <w:footnote w:id="13">
    <w:p w:rsidR="00000000" w:rsidDel="00000000" w:rsidP="00000000" w:rsidRDefault="00000000" w:rsidRPr="00000000" w14:paraId="0000013E">
      <w:pPr>
        <w:rPr>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Pommerening, ‘The Female Body in Ancient Egypt’, p. 152.</w:t>
      </w:r>
      <w:r w:rsidDel="00000000" w:rsidR="00000000" w:rsidRPr="00000000">
        <w:rPr>
          <w:rtl w:val="0"/>
        </w:rPr>
      </w:r>
    </w:p>
  </w:footnote>
  <w:footnote w:id="15">
    <w:p w:rsidR="00000000" w:rsidDel="00000000" w:rsidP="00000000" w:rsidRDefault="00000000" w:rsidRPr="00000000" w14:paraId="0000013F">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Mircea Eliade, ‘The Eternal Return’, in </w:t>
      </w:r>
      <w:r w:rsidDel="00000000" w:rsidR="00000000" w:rsidRPr="00000000">
        <w:rPr>
          <w:i w:val="1"/>
          <w:iCs w:val="1"/>
          <w:sz w:val="20"/>
          <w:szCs w:val="20"/>
          <w:rtl w:val="0"/>
        </w:rPr>
        <w:t xml:space="preserve">Parabola: The Magazine of Myth and Tradition</w:t>
      </w:r>
      <w:r w:rsidDel="00000000" w:rsidR="00000000" w:rsidRPr="00000000">
        <w:rPr>
          <w:sz w:val="20"/>
          <w:szCs w:val="20"/>
          <w:rtl w:val="0"/>
        </w:rPr>
        <w:t xml:space="preserve">, 8.2 (1988),</w:t>
      </w:r>
    </w:p>
    <w:p w:rsidR="00000000" w:rsidDel="00000000" w:rsidP="00000000" w:rsidRDefault="00000000" w:rsidRPr="00000000" w14:paraId="00000140">
      <w:pPr>
        <w:ind w:firstLine="720"/>
        <w:rPr>
          <w:sz w:val="20"/>
          <w:szCs w:val="20"/>
        </w:rPr>
      </w:pPr>
      <w:r w:rsidDel="00000000" w:rsidR="00000000" w:rsidRPr="00000000">
        <w:rPr>
          <w:sz w:val="20"/>
          <w:szCs w:val="20"/>
          <w:rtl w:val="0"/>
        </w:rPr>
        <w:t xml:space="preserve">pp. 4–15, p. 6.</w:t>
      </w:r>
    </w:p>
  </w:footnote>
  <w:footnote w:id="18">
    <w:p w:rsidR="00000000" w:rsidDel="00000000" w:rsidP="00000000" w:rsidRDefault="00000000" w:rsidRPr="00000000" w14:paraId="00000141">
      <w:pPr>
        <w:ind w:left="0" w:firstLine="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Sabbahy, </w:t>
      </w:r>
      <w:r w:rsidDel="00000000" w:rsidR="00000000" w:rsidRPr="00000000">
        <w:rPr>
          <w:i w:val="1"/>
          <w:iCs w:val="1"/>
          <w:sz w:val="20"/>
          <w:szCs w:val="20"/>
          <w:rtl w:val="0"/>
        </w:rPr>
        <w:t xml:space="preserve">Daily Life of Women in Ancient Egypt</w:t>
      </w:r>
      <w:r w:rsidDel="00000000" w:rsidR="00000000" w:rsidRPr="00000000">
        <w:rPr>
          <w:sz w:val="20"/>
          <w:szCs w:val="20"/>
          <w:rtl w:val="0"/>
        </w:rPr>
        <w:t xml:space="preserve">, p. 10; Joan Aruz, ‘The Nude Female and the Iconography of </w:t>
      </w:r>
    </w:p>
    <w:p w:rsidR="00000000" w:rsidDel="00000000" w:rsidP="00000000" w:rsidRDefault="00000000" w:rsidRPr="00000000" w14:paraId="00000142">
      <w:pPr>
        <w:ind w:left="0" w:firstLine="720"/>
        <w:rPr>
          <w:sz w:val="20"/>
          <w:szCs w:val="20"/>
        </w:rPr>
      </w:pPr>
      <w:r w:rsidDel="00000000" w:rsidR="00000000" w:rsidRPr="00000000">
        <w:rPr>
          <w:sz w:val="20"/>
          <w:szCs w:val="20"/>
          <w:rtl w:val="0"/>
        </w:rPr>
        <w:t xml:space="preserve">Birth’, in</w:t>
      </w:r>
      <w:r w:rsidDel="00000000" w:rsidR="00000000" w:rsidRPr="00000000">
        <w:rPr>
          <w:i w:val="1"/>
          <w:iCs w:val="1"/>
          <w:sz w:val="20"/>
          <w:szCs w:val="20"/>
          <w:rtl w:val="0"/>
        </w:rPr>
        <w:t xml:space="preserve"> Bulletin of the Egyptological Seminar</w:t>
      </w:r>
      <w:r w:rsidDel="00000000" w:rsidR="00000000" w:rsidRPr="00000000">
        <w:rPr>
          <w:sz w:val="20"/>
          <w:szCs w:val="20"/>
          <w:rtl w:val="0"/>
        </w:rPr>
        <w:t xml:space="preserve">, 19 (2015), pp. 85–102, p. 88.</w:t>
      </w:r>
      <w:r w:rsidDel="00000000" w:rsidR="00000000" w:rsidRPr="00000000">
        <w:rPr>
          <w:rtl w:val="0"/>
        </w:rPr>
      </w:r>
    </w:p>
  </w:footnote>
  <w:footnote w:id="24">
    <w:p w:rsidR="00000000" w:rsidDel="00000000" w:rsidP="00000000" w:rsidRDefault="00000000" w:rsidRPr="00000000" w14:paraId="00000143">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Mark Collier, Bill Manley, </w:t>
      </w:r>
      <w:r w:rsidDel="00000000" w:rsidR="00000000" w:rsidRPr="00000000">
        <w:rPr>
          <w:i w:val="1"/>
          <w:iCs w:val="1"/>
          <w:sz w:val="20"/>
          <w:szCs w:val="20"/>
          <w:rtl w:val="0"/>
        </w:rPr>
        <w:t xml:space="preserve">How To Read Egyptian Hieroglyphs: A Step-By-Step Guide to Teach Yourself</w:t>
      </w:r>
      <w:r w:rsidDel="00000000" w:rsidR="00000000" w:rsidRPr="00000000">
        <w:rPr>
          <w:sz w:val="20"/>
          <w:szCs w:val="20"/>
          <w:rtl w:val="0"/>
        </w:rPr>
        <w:t xml:space="preserve"> </w:t>
      </w:r>
    </w:p>
    <w:p w:rsidR="00000000" w:rsidDel="00000000" w:rsidP="00000000" w:rsidRDefault="00000000" w:rsidRPr="00000000" w14:paraId="00000144">
      <w:pPr>
        <w:ind w:left="720" w:firstLine="0"/>
        <w:rPr>
          <w:sz w:val="20"/>
          <w:szCs w:val="20"/>
        </w:rPr>
      </w:pPr>
      <w:r w:rsidDel="00000000" w:rsidR="00000000" w:rsidRPr="00000000">
        <w:rPr>
          <w:sz w:val="20"/>
          <w:szCs w:val="20"/>
          <w:rtl w:val="0"/>
        </w:rPr>
        <w:t xml:space="preserve">(Berkeley, Los Angeles: University of California Press, 1998), p. 155; Ikram, </w:t>
      </w:r>
      <w:r w:rsidDel="00000000" w:rsidR="00000000" w:rsidRPr="00000000">
        <w:rPr>
          <w:i w:val="1"/>
          <w:iCs w:val="1"/>
          <w:sz w:val="20"/>
          <w:szCs w:val="20"/>
          <w:rtl w:val="0"/>
        </w:rPr>
        <w:t xml:space="preserve">Ancient Egypt: An Introduction, </w:t>
      </w:r>
      <w:r w:rsidDel="00000000" w:rsidR="00000000" w:rsidRPr="00000000">
        <w:rPr>
          <w:sz w:val="20"/>
          <w:szCs w:val="20"/>
          <w:rtl w:val="0"/>
        </w:rPr>
        <w:t xml:space="preserve">p.171.</w:t>
      </w:r>
    </w:p>
  </w:footnote>
  <w:footnote w:id="37">
    <w:p w:rsidR="00000000" w:rsidDel="00000000" w:rsidP="00000000" w:rsidRDefault="00000000" w:rsidRPr="00000000" w14:paraId="00000145">
      <w:pPr>
        <w:rPr>
          <w:i w:val="1"/>
          <w:iCs w:val="1"/>
          <w:color w:val="141413"/>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Kaku, </w:t>
      </w:r>
      <w:r w:rsidDel="00000000" w:rsidR="00000000" w:rsidRPr="00000000">
        <w:rPr>
          <w:i w:val="1"/>
          <w:iCs w:val="1"/>
          <w:sz w:val="20"/>
          <w:szCs w:val="20"/>
          <w:rtl w:val="0"/>
        </w:rPr>
        <w:t xml:space="preserve">The Future of Humanity, </w:t>
      </w:r>
      <w:r w:rsidDel="00000000" w:rsidR="00000000" w:rsidRPr="00000000">
        <w:rPr>
          <w:sz w:val="20"/>
          <w:szCs w:val="20"/>
          <w:rtl w:val="0"/>
        </w:rPr>
        <w:t xml:space="preserve">p.19; </w:t>
      </w:r>
      <w:r w:rsidDel="00000000" w:rsidR="00000000" w:rsidRPr="00000000">
        <w:rPr>
          <w:color w:val="141413"/>
          <w:sz w:val="20"/>
          <w:szCs w:val="20"/>
          <w:rtl w:val="0"/>
        </w:rPr>
        <w:t xml:space="preserve">Elon Musk, ‘Making Humans a Multi-Planetary Species’, </w:t>
      </w:r>
      <w:r w:rsidDel="00000000" w:rsidR="00000000" w:rsidRPr="00000000">
        <w:rPr>
          <w:color w:val="141413"/>
          <w:sz w:val="20"/>
          <w:szCs w:val="20"/>
          <w:rtl w:val="0"/>
        </w:rPr>
        <w:t xml:space="preserve">in</w:t>
      </w:r>
      <w:r w:rsidDel="00000000" w:rsidR="00000000" w:rsidRPr="00000000">
        <w:rPr>
          <w:i w:val="1"/>
          <w:iCs w:val="1"/>
          <w:color w:val="141413"/>
          <w:sz w:val="20"/>
          <w:szCs w:val="20"/>
          <w:rtl w:val="0"/>
        </w:rPr>
        <w:t xml:space="preserve"> </w:t>
      </w:r>
    </w:p>
    <w:p w:rsidR="00000000" w:rsidDel="00000000" w:rsidP="00000000" w:rsidRDefault="00000000" w:rsidRPr="00000000" w14:paraId="00000146">
      <w:pPr>
        <w:ind w:firstLine="720"/>
        <w:rPr>
          <w:sz w:val="20"/>
          <w:szCs w:val="20"/>
        </w:rPr>
      </w:pPr>
      <w:r w:rsidDel="00000000" w:rsidR="00000000" w:rsidRPr="00000000">
        <w:rPr>
          <w:i w:val="1"/>
          <w:iCs w:val="1"/>
          <w:color w:val="141413"/>
          <w:sz w:val="20"/>
          <w:szCs w:val="20"/>
          <w:rtl w:val="0"/>
        </w:rPr>
        <w:t xml:space="preserve">New Space</w:t>
      </w:r>
      <w:r w:rsidDel="00000000" w:rsidR="00000000" w:rsidRPr="00000000">
        <w:rPr>
          <w:color w:val="141413"/>
          <w:sz w:val="20"/>
          <w:szCs w:val="20"/>
          <w:rtl w:val="0"/>
        </w:rPr>
        <w:t xml:space="preserve">, 5.2 (2017), pp. 46–61; </w:t>
      </w:r>
      <w:r w:rsidDel="00000000" w:rsidR="00000000" w:rsidRPr="00000000">
        <w:rPr>
          <w:sz w:val="20"/>
          <w:szCs w:val="20"/>
          <w:rtl w:val="0"/>
        </w:rPr>
        <w:t xml:space="preserve">Space Renaissance Initiative, Space Renaissance (2016) </w:t>
      </w:r>
    </w:p>
    <w:p w:rsidR="00000000" w:rsidDel="00000000" w:rsidP="00000000" w:rsidRDefault="00000000" w:rsidRPr="00000000" w14:paraId="00000147">
      <w:pPr>
        <w:ind w:left="720" w:firstLine="0"/>
        <w:rPr>
          <w:sz w:val="20"/>
          <w:szCs w:val="20"/>
        </w:rPr>
      </w:pPr>
      <w:r w:rsidDel="00000000" w:rsidR="00000000" w:rsidRPr="00000000">
        <w:rPr>
          <w:sz w:val="20"/>
          <w:szCs w:val="20"/>
          <w:rtl w:val="0"/>
        </w:rPr>
        <w:t xml:space="preserve">&lt;</w:t>
      </w:r>
      <w:hyperlink r:id="rId3">
        <w:r w:rsidDel="00000000" w:rsidR="00000000" w:rsidRPr="00000000">
          <w:rPr>
            <w:color w:val="1155cc"/>
            <w:sz w:val="20"/>
            <w:szCs w:val="20"/>
            <w:u w:val="single"/>
            <w:rtl w:val="0"/>
          </w:rPr>
          <w:t xml:space="preserve">https://spacerenaissance.space/</w:t>
        </w:r>
      </w:hyperlink>
      <w:r w:rsidDel="00000000" w:rsidR="00000000" w:rsidRPr="00000000">
        <w:rPr>
          <w:sz w:val="20"/>
          <w:szCs w:val="20"/>
          <w:rtl w:val="0"/>
        </w:rPr>
        <w:t xml:space="preserve">&gt; [accessed 29 December 2025].</w:t>
      </w:r>
      <w:r w:rsidDel="00000000" w:rsidR="00000000" w:rsidRPr="00000000">
        <w:rPr>
          <w:rtl w:val="0"/>
        </w:rPr>
      </w:r>
    </w:p>
  </w:footnote>
  <w:footnote w:id="35">
    <w:p w:rsidR="00000000" w:rsidDel="00000000" w:rsidP="00000000" w:rsidRDefault="00000000" w:rsidRPr="00000000" w14:paraId="00000148">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Michio Kaku, </w:t>
      </w:r>
      <w:r w:rsidDel="00000000" w:rsidR="00000000" w:rsidRPr="00000000">
        <w:rPr>
          <w:i w:val="1"/>
          <w:iCs w:val="1"/>
          <w:sz w:val="20"/>
          <w:szCs w:val="20"/>
          <w:rtl w:val="0"/>
        </w:rPr>
        <w:t xml:space="preserve">The Future of Humanity: Our Destiny in the Universe </w:t>
      </w:r>
      <w:r w:rsidDel="00000000" w:rsidR="00000000" w:rsidRPr="00000000">
        <w:rPr>
          <w:color w:val="1a1819"/>
          <w:sz w:val="20"/>
          <w:szCs w:val="20"/>
          <w:rtl w:val="0"/>
        </w:rPr>
        <w:t xml:space="preserve">(New York: Anchor, 2019), </w:t>
      </w:r>
      <w:r w:rsidDel="00000000" w:rsidR="00000000" w:rsidRPr="00000000">
        <w:rPr>
          <w:sz w:val="20"/>
          <w:szCs w:val="20"/>
          <w:rtl w:val="0"/>
        </w:rPr>
        <w:t xml:space="preserve">p. 31.</w:t>
        <w:br w:type="textWrapping"/>
        <w:tab/>
        <w:t xml:space="preserve">Peter Dickens, ‘The Humanization of the Cosmos: To What End?’,  </w:t>
      </w:r>
    </w:p>
    <w:p w:rsidR="00000000" w:rsidDel="00000000" w:rsidP="00000000" w:rsidRDefault="00000000" w:rsidRPr="00000000" w14:paraId="00000149">
      <w:pPr>
        <w:ind w:firstLine="720"/>
        <w:rPr>
          <w:sz w:val="20"/>
          <w:szCs w:val="20"/>
        </w:rPr>
      </w:pPr>
      <w:r w:rsidDel="00000000" w:rsidR="00000000" w:rsidRPr="00000000">
        <w:rPr>
          <w:i w:val="1"/>
          <w:iCs w:val="1"/>
          <w:sz w:val="20"/>
          <w:szCs w:val="20"/>
          <w:rtl w:val="0"/>
        </w:rPr>
        <w:t xml:space="preserve">The Monthly Review</w:t>
      </w:r>
      <w:r w:rsidDel="00000000" w:rsidR="00000000" w:rsidRPr="00000000">
        <w:rPr>
          <w:sz w:val="20"/>
          <w:szCs w:val="20"/>
          <w:rtl w:val="0"/>
        </w:rPr>
        <w:t xml:space="preserve">, 1 November 2010, p. 13.</w:t>
      </w:r>
    </w:p>
    <w:p w:rsidR="00000000" w:rsidDel="00000000" w:rsidP="00000000" w:rsidRDefault="00000000" w:rsidRPr="00000000" w14:paraId="0000014A">
      <w:pPr>
        <w:ind w:firstLine="720"/>
        <w:rPr>
          <w:sz w:val="20"/>
          <w:szCs w:val="20"/>
        </w:rPr>
      </w:pPr>
      <w:r w:rsidDel="00000000" w:rsidR="00000000" w:rsidRPr="00000000">
        <w:rPr>
          <w:sz w:val="20"/>
          <w:szCs w:val="20"/>
          <w:rtl w:val="0"/>
        </w:rPr>
        <w:t xml:space="preserve">&lt;</w:t>
      </w:r>
      <w:hyperlink r:id="rId4">
        <w:r w:rsidDel="00000000" w:rsidR="00000000" w:rsidRPr="00000000">
          <w:rPr>
            <w:color w:val="1155cc"/>
            <w:sz w:val="20"/>
            <w:szCs w:val="20"/>
            <w:u w:val="single"/>
            <w:rtl w:val="0"/>
          </w:rPr>
          <w:t xml:space="preserve">https://monthlyreview.org/articles/the-humanization-of-the-cosmos-to-what-end/</w:t>
        </w:r>
      </w:hyperlink>
      <w:r w:rsidDel="00000000" w:rsidR="00000000" w:rsidRPr="00000000">
        <w:rPr>
          <w:sz w:val="20"/>
          <w:szCs w:val="20"/>
          <w:rtl w:val="0"/>
        </w:rPr>
        <w:t xml:space="preserve">&gt;</w:t>
      </w:r>
    </w:p>
  </w:footnote>
  <w:footnote w:id="25">
    <w:p w:rsidR="00000000" w:rsidDel="00000000" w:rsidP="00000000" w:rsidRDefault="00000000" w:rsidRPr="00000000" w14:paraId="0000014B">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Robins, </w:t>
      </w:r>
      <w:r w:rsidDel="00000000" w:rsidR="00000000" w:rsidRPr="00000000">
        <w:rPr>
          <w:i w:val="1"/>
          <w:iCs w:val="1"/>
          <w:sz w:val="20"/>
          <w:szCs w:val="20"/>
          <w:rtl w:val="0"/>
        </w:rPr>
        <w:t xml:space="preserve">The Art of Ancient Egypt, </w:t>
      </w:r>
      <w:r w:rsidDel="00000000" w:rsidR="00000000" w:rsidRPr="00000000">
        <w:rPr>
          <w:sz w:val="20"/>
          <w:szCs w:val="20"/>
          <w:rtl w:val="0"/>
        </w:rPr>
        <w:t xml:space="preserve">p.</w:t>
      </w:r>
      <w:r w:rsidDel="00000000" w:rsidR="00000000" w:rsidRPr="00000000">
        <w:rPr>
          <w:sz w:val="20"/>
          <w:szCs w:val="20"/>
          <w:rtl w:val="0"/>
        </w:rPr>
        <w:t xml:space="preserve">12.</w:t>
      </w:r>
    </w:p>
  </w:footnote>
  <w:footnote w:id="26">
    <w:p w:rsidR="00000000" w:rsidDel="00000000" w:rsidP="00000000" w:rsidRDefault="00000000" w:rsidRPr="00000000" w14:paraId="0000014C">
      <w:pPr>
        <w:spacing w:line="276" w:lineRule="auto"/>
        <w:ind w:left="0" w:firstLine="0"/>
        <w:rPr>
          <w:i w:val="1"/>
          <w:iCs w:val="1"/>
          <w:color w:val="1f1f1f"/>
          <w:sz w:val="20"/>
          <w:szCs w:val="20"/>
        </w:rPr>
      </w:pPr>
      <w:r w:rsidDel="00000000" w:rsidR="00000000" w:rsidRPr="00000000">
        <w:rPr>
          <w:rStyle w:val="FootnoteReference"/>
          <w:vertAlign w:val="superscript"/>
        </w:rPr>
        <w:footnoteRef/>
      </w:r>
      <w:r w:rsidDel="00000000" w:rsidR="00000000" w:rsidRPr="00000000">
        <w:rPr>
          <w:color w:val="1f1f1f"/>
          <w:sz w:val="20"/>
          <w:szCs w:val="20"/>
          <w:rtl w:val="0"/>
        </w:rPr>
        <w:t xml:space="preserve"> David Frankfurter, ‘The Magic of Writing in Mediterranean Antiquity’, in </w:t>
      </w:r>
      <w:r w:rsidDel="00000000" w:rsidR="00000000" w:rsidRPr="00000000">
        <w:rPr>
          <w:i w:val="1"/>
          <w:iCs w:val="1"/>
          <w:color w:val="1f1f1f"/>
          <w:sz w:val="20"/>
          <w:szCs w:val="20"/>
          <w:rtl w:val="0"/>
        </w:rPr>
        <w:t xml:space="preserve">Guide to the Study of Ancient Magic, </w:t>
      </w:r>
    </w:p>
    <w:p w:rsidR="00000000" w:rsidDel="00000000" w:rsidP="00000000" w:rsidRDefault="00000000" w:rsidRPr="00000000" w14:paraId="0000014D">
      <w:pPr>
        <w:spacing w:line="276" w:lineRule="auto"/>
        <w:ind w:left="0" w:firstLine="720"/>
        <w:rPr>
          <w:sz w:val="20"/>
          <w:szCs w:val="20"/>
        </w:rPr>
      </w:pPr>
      <w:r w:rsidDel="00000000" w:rsidR="00000000" w:rsidRPr="00000000">
        <w:rPr>
          <w:color w:val="1f1f1f"/>
          <w:sz w:val="20"/>
          <w:szCs w:val="20"/>
          <w:rtl w:val="0"/>
        </w:rPr>
        <w:t xml:space="preserve">ed. by David Frankfurter (London and Leiden: Brill, 2008), pp. 626–58, </w:t>
      </w:r>
      <w:r w:rsidDel="00000000" w:rsidR="00000000" w:rsidRPr="00000000">
        <w:rPr>
          <w:sz w:val="20"/>
          <w:szCs w:val="20"/>
          <w:rtl w:val="0"/>
        </w:rPr>
        <w:t xml:space="preserve">p. 630.</w:t>
      </w:r>
    </w:p>
  </w:footnote>
  <w:footnote w:id="27">
    <w:p w:rsidR="00000000" w:rsidDel="00000000" w:rsidP="00000000" w:rsidRDefault="00000000" w:rsidRPr="00000000" w14:paraId="0000014E">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Nicholas Campion, </w:t>
      </w:r>
      <w:r w:rsidDel="00000000" w:rsidR="00000000" w:rsidRPr="00000000">
        <w:rPr>
          <w:i w:val="1"/>
          <w:iCs w:val="1"/>
          <w:sz w:val="20"/>
          <w:szCs w:val="20"/>
          <w:rtl w:val="0"/>
        </w:rPr>
        <w:t xml:space="preserve">Astrology and Cosmology in the World’s Religions </w:t>
      </w:r>
      <w:r w:rsidDel="00000000" w:rsidR="00000000" w:rsidRPr="00000000">
        <w:rPr>
          <w:sz w:val="20"/>
          <w:szCs w:val="20"/>
          <w:rtl w:val="0"/>
        </w:rPr>
        <w:t xml:space="preserve">(New York: NYU Press, 2012), p. </w:t>
      </w:r>
      <w:r w:rsidDel="00000000" w:rsidR="00000000" w:rsidRPr="00000000">
        <w:rPr>
          <w:sz w:val="20"/>
          <w:szCs w:val="20"/>
          <w:rtl w:val="0"/>
        </w:rPr>
        <w:t xml:space="preserve">89.</w:t>
      </w:r>
    </w:p>
  </w:footnote>
  <w:footnote w:id="40">
    <w:p w:rsidR="00000000" w:rsidDel="00000000" w:rsidP="00000000" w:rsidRDefault="00000000" w:rsidRPr="00000000" w14:paraId="0000014F">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Robins, </w:t>
      </w:r>
      <w:r w:rsidDel="00000000" w:rsidR="00000000" w:rsidRPr="00000000">
        <w:rPr>
          <w:i w:val="1"/>
          <w:iCs w:val="1"/>
          <w:sz w:val="20"/>
          <w:szCs w:val="20"/>
          <w:rtl w:val="0"/>
        </w:rPr>
        <w:t xml:space="preserve">The Art of Ancient Egypt, </w:t>
      </w:r>
      <w:r w:rsidDel="00000000" w:rsidR="00000000" w:rsidRPr="00000000">
        <w:rPr>
          <w:sz w:val="20"/>
          <w:szCs w:val="20"/>
          <w:rtl w:val="0"/>
        </w:rPr>
        <w:t xml:space="preserve">p.</w:t>
      </w:r>
      <w:r w:rsidDel="00000000" w:rsidR="00000000" w:rsidRPr="00000000">
        <w:rPr>
          <w:sz w:val="20"/>
          <w:szCs w:val="20"/>
          <w:rtl w:val="0"/>
        </w:rPr>
        <w:t xml:space="preserve">26. </w:t>
      </w:r>
    </w:p>
  </w:footnote>
  <w:footnote w:id="1">
    <w:p w:rsidR="00000000" w:rsidDel="00000000" w:rsidP="00000000" w:rsidRDefault="00000000" w:rsidRPr="00000000" w14:paraId="00000150">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Costantino Toth, </w:t>
      </w:r>
      <w:r w:rsidDel="00000000" w:rsidR="00000000" w:rsidRPr="00000000">
        <w:rPr>
          <w:i w:val="1"/>
          <w:iCs w:val="1"/>
          <w:sz w:val="20"/>
          <w:szCs w:val="20"/>
          <w:rtl w:val="0"/>
        </w:rPr>
        <w:t xml:space="preserve">Happy New Year</w:t>
      </w:r>
      <w:r w:rsidDel="00000000" w:rsidR="00000000" w:rsidRPr="00000000">
        <w:rPr>
          <w:sz w:val="20"/>
          <w:szCs w:val="20"/>
          <w:rtl w:val="0"/>
        </w:rPr>
        <w:t xml:space="preserve"> [Acrylic on canvas] (2026).</w:t>
      </w:r>
    </w:p>
  </w:footnote>
  <w:footnote w:id="12">
    <w:p w:rsidR="00000000" w:rsidDel="00000000" w:rsidP="00000000" w:rsidRDefault="00000000" w:rsidRPr="00000000" w14:paraId="00000151">
      <w:pPr>
        <w:rPr>
          <w:i w:val="1"/>
          <w:iCs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Tanja Pommerening, ‘The Female Body in Ancient Egypt: Sources, Terminology, and Concepts’, </w:t>
      </w:r>
      <w:r w:rsidDel="00000000" w:rsidR="00000000" w:rsidRPr="00000000">
        <w:rPr>
          <w:i w:val="1"/>
          <w:iCs w:val="1"/>
          <w:sz w:val="20"/>
          <w:szCs w:val="20"/>
          <w:rtl w:val="0"/>
        </w:rPr>
        <w:t xml:space="preserve">Female Bodies </w:t>
      </w:r>
    </w:p>
    <w:p w:rsidR="00000000" w:rsidDel="00000000" w:rsidP="00000000" w:rsidRDefault="00000000" w:rsidRPr="00000000" w14:paraId="00000152">
      <w:pPr>
        <w:ind w:firstLine="720"/>
        <w:rPr>
          <w:i w:val="1"/>
          <w:iCs w:val="1"/>
          <w:sz w:val="20"/>
          <w:szCs w:val="20"/>
        </w:rPr>
      </w:pPr>
      <w:r w:rsidDel="00000000" w:rsidR="00000000" w:rsidRPr="00000000">
        <w:rPr>
          <w:i w:val="1"/>
          <w:iCs w:val="1"/>
          <w:sz w:val="20"/>
          <w:szCs w:val="20"/>
          <w:rtl w:val="0"/>
        </w:rPr>
        <w:t xml:space="preserve">and Female Practitioners: Gynaecology, Women’s Bodies, and Expertise in the Ancient to Medieval</w:t>
      </w:r>
    </w:p>
    <w:p w:rsidR="00000000" w:rsidDel="00000000" w:rsidP="00000000" w:rsidRDefault="00000000" w:rsidRPr="00000000" w14:paraId="00000153">
      <w:pPr>
        <w:ind w:firstLine="720"/>
        <w:rPr>
          <w:sz w:val="20"/>
          <w:szCs w:val="20"/>
        </w:rPr>
      </w:pPr>
      <w:r w:rsidDel="00000000" w:rsidR="00000000" w:rsidRPr="00000000">
        <w:rPr>
          <w:i w:val="1"/>
          <w:iCs w:val="1"/>
          <w:sz w:val="20"/>
          <w:szCs w:val="20"/>
          <w:rtl w:val="0"/>
        </w:rPr>
        <w:t xml:space="preserve">Mediterranean and Middle East, </w:t>
      </w:r>
      <w:r w:rsidDel="00000000" w:rsidR="00000000" w:rsidRPr="00000000">
        <w:rPr>
          <w:sz w:val="20"/>
          <w:szCs w:val="20"/>
          <w:rtl w:val="0"/>
        </w:rPr>
        <w:t xml:space="preserve">ed. by Lennart Lehmaus, (Tübingen: Mohr Seibeck, 2023), pp. 133–174, </w:t>
      </w:r>
    </w:p>
    <w:p w:rsidR="00000000" w:rsidDel="00000000" w:rsidP="00000000" w:rsidRDefault="00000000" w:rsidRPr="00000000" w14:paraId="00000154">
      <w:pPr>
        <w:ind w:firstLine="720"/>
        <w:rPr>
          <w:sz w:val="20"/>
          <w:szCs w:val="20"/>
        </w:rPr>
      </w:pPr>
      <w:r w:rsidDel="00000000" w:rsidR="00000000" w:rsidRPr="00000000">
        <w:rPr>
          <w:sz w:val="20"/>
          <w:szCs w:val="20"/>
          <w:rtl w:val="0"/>
        </w:rPr>
        <w:t xml:space="preserve">p. 152.</w:t>
      </w:r>
    </w:p>
  </w:footnote>
  <w:footnote w:id="14">
    <w:p w:rsidR="00000000" w:rsidDel="00000000" w:rsidP="00000000" w:rsidRDefault="00000000" w:rsidRPr="00000000" w14:paraId="00000155">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Plutarch, </w:t>
      </w:r>
      <w:r w:rsidDel="00000000" w:rsidR="00000000" w:rsidRPr="00000000">
        <w:rPr>
          <w:i w:val="1"/>
          <w:iCs w:val="1"/>
          <w:sz w:val="20"/>
          <w:szCs w:val="20"/>
          <w:rtl w:val="0"/>
        </w:rPr>
        <w:t xml:space="preserve">Moralia, Vol. 5</w:t>
      </w:r>
      <w:r w:rsidDel="00000000" w:rsidR="00000000" w:rsidRPr="00000000">
        <w:rPr>
          <w:sz w:val="20"/>
          <w:szCs w:val="20"/>
          <w:rtl w:val="0"/>
        </w:rPr>
        <w:t xml:space="preserve">, trans. by Frank Cole Babbit, Loeb Classical Library 306 </w:t>
      </w:r>
    </w:p>
    <w:p w:rsidR="00000000" w:rsidDel="00000000" w:rsidP="00000000" w:rsidRDefault="00000000" w:rsidRPr="00000000" w14:paraId="00000156">
      <w:pPr>
        <w:ind w:firstLine="720"/>
        <w:rPr>
          <w:sz w:val="20"/>
          <w:szCs w:val="20"/>
        </w:rPr>
      </w:pPr>
      <w:r w:rsidDel="00000000" w:rsidR="00000000" w:rsidRPr="00000000">
        <w:rPr>
          <w:sz w:val="20"/>
          <w:szCs w:val="20"/>
          <w:rtl w:val="0"/>
        </w:rPr>
        <w:t xml:space="preserve">(Cambridge: Harvard University Press, 1936), p. 45.</w:t>
      </w:r>
    </w:p>
  </w:footnote>
  <w:footnote w:id="23">
    <w:p w:rsidR="00000000" w:rsidDel="00000000" w:rsidP="00000000" w:rsidRDefault="00000000" w:rsidRPr="00000000" w14:paraId="00000157">
      <w:pPr>
        <w:rPr>
          <w:sz w:val="20"/>
          <w:szCs w:val="20"/>
          <w:highlight w:val="white"/>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‘Duality’, in </w:t>
      </w:r>
      <w:r w:rsidDel="00000000" w:rsidR="00000000" w:rsidRPr="00000000">
        <w:rPr>
          <w:i w:val="1"/>
          <w:iCs w:val="1"/>
          <w:sz w:val="20"/>
          <w:szCs w:val="20"/>
          <w:highlight w:val="white"/>
          <w:rtl w:val="0"/>
        </w:rPr>
        <w:t xml:space="preserve">UCLA Encyclopedia of Egyptology</w:t>
      </w:r>
      <w:r w:rsidDel="00000000" w:rsidR="00000000" w:rsidRPr="00000000">
        <w:rPr>
          <w:i w:val="1"/>
          <w:iCs w:val="1"/>
          <w:sz w:val="20"/>
          <w:szCs w:val="20"/>
          <w:rtl w:val="0"/>
        </w:rPr>
        <w:t xml:space="preserve"> </w:t>
      </w:r>
      <w:r w:rsidDel="00000000" w:rsidR="00000000" w:rsidRPr="00000000">
        <w:rPr>
          <w:sz w:val="20"/>
          <w:szCs w:val="20"/>
          <w:highlight w:val="white"/>
          <w:rtl w:val="0"/>
        </w:rPr>
        <w:t xml:space="preserve">[online], &lt;</w:t>
      </w:r>
      <w:hyperlink r:id="rId5">
        <w:r w:rsidDel="00000000" w:rsidR="00000000" w:rsidRPr="00000000">
          <w:rPr>
            <w:color w:val="1155cc"/>
            <w:sz w:val="20"/>
            <w:szCs w:val="20"/>
            <w:highlight w:val="white"/>
            <w:u w:val="single"/>
            <w:rtl w:val="0"/>
          </w:rPr>
          <w:t xml:space="preserve">https://escholarship.org/uc/item/95b9b2db</w:t>
        </w:r>
      </w:hyperlink>
      <w:r w:rsidDel="00000000" w:rsidR="00000000" w:rsidRPr="00000000">
        <w:rPr>
          <w:sz w:val="20"/>
          <w:szCs w:val="20"/>
          <w:highlight w:val="white"/>
          <w:rtl w:val="0"/>
        </w:rPr>
        <w:t xml:space="preserve">&gt; </w:t>
      </w:r>
    </w:p>
    <w:p w:rsidR="00000000" w:rsidDel="00000000" w:rsidP="00000000" w:rsidRDefault="00000000" w:rsidRPr="00000000" w14:paraId="00000158">
      <w:pPr>
        <w:ind w:firstLine="720"/>
        <w:rPr>
          <w:sz w:val="20"/>
          <w:szCs w:val="20"/>
        </w:rPr>
      </w:pPr>
      <w:r w:rsidDel="00000000" w:rsidR="00000000" w:rsidRPr="00000000">
        <w:rPr>
          <w:sz w:val="20"/>
          <w:szCs w:val="20"/>
          <w:highlight w:val="white"/>
          <w:rtl w:val="0"/>
        </w:rPr>
        <w:t xml:space="preserve">[accessed 10 April 2026]</w:t>
      </w:r>
      <w:r w:rsidDel="00000000" w:rsidR="00000000" w:rsidRPr="00000000">
        <w:rPr>
          <w:rtl w:val="0"/>
        </w:rPr>
      </w:r>
    </w:p>
  </w:footnote>
  <w:footnote w:id="28">
    <w:p w:rsidR="00000000" w:rsidDel="00000000" w:rsidP="00000000" w:rsidRDefault="00000000" w:rsidRPr="00000000" w14:paraId="00000159">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Dodson, </w:t>
      </w:r>
      <w:r w:rsidDel="00000000" w:rsidR="00000000" w:rsidRPr="00000000">
        <w:rPr>
          <w:color w:val="1f1f1f"/>
          <w:sz w:val="20"/>
          <w:szCs w:val="20"/>
          <w:rtl w:val="0"/>
        </w:rPr>
        <w:t xml:space="preserve">‘</w:t>
      </w:r>
      <w:r w:rsidDel="00000000" w:rsidR="00000000" w:rsidRPr="00000000">
        <w:rPr>
          <w:sz w:val="20"/>
          <w:szCs w:val="20"/>
          <w:rtl w:val="0"/>
        </w:rPr>
        <w:t xml:space="preserve">Mortuary Architecture and Decorative Systems’, p. 805.</w:t>
      </w:r>
    </w:p>
  </w:footnote>
  <w:footnote w:id="43">
    <w:p w:rsidR="00000000" w:rsidDel="00000000" w:rsidP="00000000" w:rsidRDefault="00000000" w:rsidRPr="00000000" w14:paraId="0000015A">
      <w:pPr>
        <w:rPr>
          <w:i w:val="1"/>
          <w:iCs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Raphael Ventura, ‘The Largest Project for a Royal Tomb in the Valley of the Kings’, in </w:t>
      </w:r>
      <w:r w:rsidDel="00000000" w:rsidR="00000000" w:rsidRPr="00000000">
        <w:rPr>
          <w:i w:val="1"/>
          <w:iCs w:val="1"/>
          <w:sz w:val="20"/>
          <w:szCs w:val="20"/>
          <w:rtl w:val="0"/>
        </w:rPr>
        <w:t xml:space="preserve">Journal of Egyptian </w:t>
      </w:r>
    </w:p>
    <w:p w:rsidR="00000000" w:rsidDel="00000000" w:rsidP="00000000" w:rsidRDefault="00000000" w:rsidRPr="00000000" w14:paraId="0000015B">
      <w:pPr>
        <w:ind w:firstLine="720"/>
        <w:rPr>
          <w:sz w:val="20"/>
          <w:szCs w:val="20"/>
        </w:rPr>
      </w:pPr>
      <w:r w:rsidDel="00000000" w:rsidR="00000000" w:rsidRPr="00000000">
        <w:rPr>
          <w:i w:val="1"/>
          <w:iCs w:val="1"/>
          <w:sz w:val="20"/>
          <w:szCs w:val="20"/>
          <w:rtl w:val="0"/>
        </w:rPr>
        <w:t xml:space="preserve">Archaeology</w:t>
      </w:r>
      <w:r w:rsidDel="00000000" w:rsidR="00000000" w:rsidRPr="00000000">
        <w:rPr>
          <w:sz w:val="20"/>
          <w:szCs w:val="20"/>
          <w:rtl w:val="0"/>
        </w:rPr>
        <w:t xml:space="preserve">, 74 (1988), pp. 137–156, p. 137, 155–6.</w:t>
      </w:r>
    </w:p>
  </w:footnote>
  <w:footnote w:id="44">
    <w:p w:rsidR="00000000" w:rsidDel="00000000" w:rsidP="00000000" w:rsidRDefault="00000000" w:rsidRPr="00000000" w14:paraId="0000015C">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Ikram, </w:t>
      </w:r>
      <w:r w:rsidDel="00000000" w:rsidR="00000000" w:rsidRPr="00000000">
        <w:rPr>
          <w:i w:val="1"/>
          <w:iCs w:val="1"/>
          <w:sz w:val="20"/>
          <w:szCs w:val="20"/>
          <w:rtl w:val="0"/>
        </w:rPr>
        <w:t xml:space="preserve">Ancient Egypt: An Introduction, </w:t>
      </w:r>
      <w:r w:rsidDel="00000000" w:rsidR="00000000" w:rsidRPr="00000000">
        <w:rPr>
          <w:sz w:val="20"/>
          <w:szCs w:val="20"/>
          <w:rtl w:val="0"/>
        </w:rPr>
        <w:t xml:space="preserve">p.184.</w:t>
      </w:r>
    </w:p>
  </w:footnote>
  <w:footnote w:id="42">
    <w:p w:rsidR="00000000" w:rsidDel="00000000" w:rsidP="00000000" w:rsidRDefault="00000000" w:rsidRPr="00000000" w14:paraId="0000015D">
      <w:pPr>
        <w:spacing w:line="276" w:lineRule="auto"/>
        <w:ind w:left="0" w:firstLine="0"/>
        <w:rPr>
          <w:sz w:val="20"/>
          <w:szCs w:val="20"/>
        </w:rPr>
      </w:pPr>
      <w:r w:rsidDel="00000000" w:rsidR="00000000" w:rsidRPr="00000000">
        <w:rPr>
          <w:rStyle w:val="FootnoteReference"/>
          <w:vertAlign w:val="superscript"/>
        </w:rPr>
        <w:footnoteRef/>
      </w:r>
      <w:r w:rsidDel="00000000" w:rsidR="00000000" w:rsidRPr="00000000">
        <w:rPr>
          <w:color w:val="1f1f1f"/>
          <w:rtl w:val="0"/>
        </w:rPr>
        <w:t xml:space="preserve"> </w:t>
      </w:r>
      <w:r w:rsidDel="00000000" w:rsidR="00000000" w:rsidRPr="00000000">
        <w:rPr>
          <w:sz w:val="20"/>
          <w:szCs w:val="20"/>
          <w:rtl w:val="0"/>
        </w:rPr>
        <w:t xml:space="preserve">Pierre Grandet, </w:t>
      </w:r>
      <w:r w:rsidDel="00000000" w:rsidR="00000000" w:rsidRPr="00000000">
        <w:rPr>
          <w:i w:val="1"/>
          <w:iCs w:val="1"/>
          <w:sz w:val="20"/>
          <w:szCs w:val="20"/>
          <w:rtl w:val="0"/>
        </w:rPr>
        <w:t xml:space="preserve">New gleanings from Deir el-Medina, From the IFAO Archive</w:t>
      </w:r>
      <w:r w:rsidDel="00000000" w:rsidR="00000000" w:rsidRPr="00000000">
        <w:rPr>
          <w:sz w:val="20"/>
          <w:szCs w:val="20"/>
          <w:rtl w:val="0"/>
        </w:rPr>
        <w:t xml:space="preserve">, </w:t>
      </w:r>
      <w:r w:rsidDel="00000000" w:rsidR="00000000" w:rsidRPr="00000000">
        <w:rPr>
          <w:sz w:val="20"/>
          <w:szCs w:val="20"/>
          <w:rtl w:val="0"/>
        </w:rPr>
        <w:t xml:space="preserve">[Youtube video], available at: </w:t>
      </w:r>
    </w:p>
    <w:p w:rsidR="00000000" w:rsidDel="00000000" w:rsidP="00000000" w:rsidRDefault="00000000" w:rsidRPr="00000000" w14:paraId="0000015E">
      <w:pPr>
        <w:spacing w:line="276" w:lineRule="auto"/>
        <w:ind w:left="0" w:firstLine="720"/>
        <w:rPr>
          <w:sz w:val="20"/>
          <w:szCs w:val="20"/>
        </w:rPr>
      </w:pPr>
      <w:hyperlink r:id="rId6">
        <w:r w:rsidDel="00000000" w:rsidR="00000000" w:rsidRPr="00000000">
          <w:rPr>
            <w:sz w:val="20"/>
            <w:szCs w:val="20"/>
            <w:u w:val="single"/>
            <w:rtl w:val="0"/>
          </w:rPr>
          <w:t xml:space="preserve">https://www.youtube.com/watch?v=2IWI6uNM64w&amp;t=1542s</w:t>
        </w:r>
      </w:hyperlink>
      <w:r w:rsidDel="00000000" w:rsidR="00000000" w:rsidRPr="00000000">
        <w:rPr>
          <w:sz w:val="20"/>
          <w:szCs w:val="20"/>
          <w:rtl w:val="0"/>
        </w:rPr>
        <w:t xml:space="preserve"> [accessed 17 April, 2026]</w:t>
      </w:r>
    </w:p>
  </w:footnote>
  <w:footnote w:id="41">
    <w:p w:rsidR="00000000" w:rsidDel="00000000" w:rsidP="00000000" w:rsidRDefault="00000000" w:rsidRPr="00000000" w14:paraId="0000015F">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 29, 168–9.</w:t>
      </w:r>
    </w:p>
  </w:footnote>
  <w:footnote w:id="36">
    <w:p w:rsidR="00000000" w:rsidDel="00000000" w:rsidP="00000000" w:rsidRDefault="00000000" w:rsidRPr="00000000" w14:paraId="00000160">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Kaku, </w:t>
      </w:r>
      <w:r w:rsidDel="00000000" w:rsidR="00000000" w:rsidRPr="00000000">
        <w:rPr>
          <w:i w:val="1"/>
          <w:iCs w:val="1"/>
          <w:sz w:val="20"/>
          <w:szCs w:val="20"/>
          <w:rtl w:val="0"/>
        </w:rPr>
        <w:t xml:space="preserve">The Future of Humanity</w:t>
      </w:r>
      <w:r w:rsidDel="00000000" w:rsidR="00000000" w:rsidRPr="00000000">
        <w:rPr>
          <w:color w:val="1a1819"/>
          <w:sz w:val="20"/>
          <w:szCs w:val="20"/>
          <w:rtl w:val="0"/>
        </w:rPr>
        <w:t xml:space="preserve">, </w:t>
      </w:r>
      <w:r w:rsidDel="00000000" w:rsidR="00000000" w:rsidRPr="00000000">
        <w:rPr>
          <w:sz w:val="20"/>
          <w:szCs w:val="20"/>
          <w:rtl w:val="0"/>
        </w:rPr>
        <w:t xml:space="preserve">p. 33.</w:t>
      </w:r>
    </w:p>
  </w:footnote>
  <w:footnote w:id="29">
    <w:p w:rsidR="00000000" w:rsidDel="00000000" w:rsidP="00000000" w:rsidRDefault="00000000" w:rsidRPr="00000000" w14:paraId="00000161">
      <w:pPr>
        <w:spacing w:line="276" w:lineRule="auto"/>
        <w:rPr>
          <w:i w:val="1"/>
          <w:iCs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Theodor Adorno, </w:t>
      </w:r>
      <w:r w:rsidDel="00000000" w:rsidR="00000000" w:rsidRPr="00000000">
        <w:rPr>
          <w:i w:val="1"/>
          <w:iCs w:val="1"/>
          <w:sz w:val="20"/>
          <w:szCs w:val="20"/>
          <w:rtl w:val="0"/>
        </w:rPr>
        <w:t xml:space="preserve">The Stars Down to Earth and other essays on the irrational in culture</w:t>
      </w:r>
    </w:p>
    <w:p w:rsidR="00000000" w:rsidDel="00000000" w:rsidP="00000000" w:rsidRDefault="00000000" w:rsidRPr="00000000" w14:paraId="00000162">
      <w:pPr>
        <w:spacing w:line="276" w:lineRule="auto"/>
        <w:ind w:firstLine="720"/>
        <w:rPr>
          <w:sz w:val="20"/>
          <w:szCs w:val="20"/>
        </w:rPr>
      </w:pPr>
      <w:r w:rsidDel="00000000" w:rsidR="00000000" w:rsidRPr="00000000">
        <w:rPr>
          <w:sz w:val="20"/>
          <w:szCs w:val="20"/>
          <w:rtl w:val="0"/>
        </w:rPr>
        <w:t xml:space="preserve">(London: Routledge, 1994), p. 49.</w:t>
      </w:r>
    </w:p>
  </w:footnote>
  <w:footnote w:id="38">
    <w:p w:rsidR="00000000" w:rsidDel="00000000" w:rsidP="00000000" w:rsidRDefault="00000000" w:rsidRPr="00000000" w14:paraId="00000163">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Storm, </w:t>
      </w:r>
      <w:r w:rsidDel="00000000" w:rsidR="00000000" w:rsidRPr="00000000">
        <w:rPr>
          <w:i w:val="1"/>
          <w:iCs w:val="1"/>
          <w:sz w:val="20"/>
          <w:szCs w:val="20"/>
          <w:rtl w:val="0"/>
        </w:rPr>
        <w:t xml:space="preserve">The Myth of Disenchantment, </w:t>
      </w:r>
      <w:r w:rsidDel="00000000" w:rsidR="00000000" w:rsidRPr="00000000">
        <w:rPr>
          <w:sz w:val="20"/>
          <w:szCs w:val="20"/>
          <w:rtl w:val="0"/>
        </w:rPr>
        <w:t xml:space="preserve">p. </w:t>
      </w:r>
      <w:r w:rsidDel="00000000" w:rsidR="00000000" w:rsidRPr="00000000">
        <w:rPr>
          <w:sz w:val="20"/>
          <w:szCs w:val="20"/>
          <w:rtl w:val="0"/>
        </w:rPr>
        <w:t xml:space="preserve">29, 34.</w:t>
      </w:r>
    </w:p>
  </w:footnote>
  <w:footnote w:id="39">
    <w:p w:rsidR="00000000" w:rsidDel="00000000" w:rsidP="00000000" w:rsidRDefault="00000000" w:rsidRPr="00000000" w14:paraId="00000164">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Thompson, Schrempp, </w:t>
      </w:r>
      <w:r w:rsidDel="00000000" w:rsidR="00000000" w:rsidRPr="00000000">
        <w:rPr>
          <w:i w:val="1"/>
          <w:iCs w:val="1"/>
          <w:sz w:val="20"/>
          <w:szCs w:val="20"/>
          <w:rtl w:val="0"/>
        </w:rPr>
        <w:t xml:space="preserve">Truth of Mythology</w:t>
      </w:r>
      <w:r w:rsidDel="00000000" w:rsidR="00000000" w:rsidRPr="00000000">
        <w:rPr>
          <w:sz w:val="20"/>
          <w:szCs w:val="20"/>
          <w:rtl w:val="0"/>
        </w:rPr>
        <w:t xml:space="preserve">, p</w:t>
      </w:r>
      <w:r w:rsidDel="00000000" w:rsidR="00000000" w:rsidRPr="00000000">
        <w:rPr>
          <w:color w:val="1a1818"/>
          <w:sz w:val="20"/>
          <w:szCs w:val="20"/>
          <w:rtl w:val="0"/>
        </w:rPr>
        <w:t xml:space="preserve">p. 22–3.</w:t>
      </w:r>
      <w:r w:rsidDel="00000000" w:rsidR="00000000" w:rsidRPr="00000000">
        <w:rPr>
          <w:rtl w:val="0"/>
        </w:rPr>
      </w:r>
    </w:p>
  </w:footnote>
  <w:footnote w:id="4">
    <w:p w:rsidR="00000000" w:rsidDel="00000000" w:rsidP="00000000" w:rsidRDefault="00000000" w:rsidRPr="00000000" w14:paraId="00000165">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Max Weber, </w:t>
      </w:r>
      <w:r w:rsidDel="00000000" w:rsidR="00000000" w:rsidRPr="00000000">
        <w:rPr>
          <w:i w:val="1"/>
          <w:iCs w:val="1"/>
          <w:sz w:val="20"/>
          <w:szCs w:val="20"/>
          <w:rtl w:val="0"/>
        </w:rPr>
        <w:t xml:space="preserve">The Sociology of Religion</w:t>
      </w:r>
      <w:r w:rsidDel="00000000" w:rsidR="00000000" w:rsidRPr="00000000">
        <w:rPr>
          <w:sz w:val="20"/>
          <w:szCs w:val="20"/>
          <w:rtl w:val="0"/>
        </w:rPr>
        <w:t xml:space="preserve">, trans. by Ephraim Fischoff (London: Methuen &amp; Co., 1965), p. 125, 270.</w:t>
      </w:r>
    </w:p>
    <w:p w:rsidR="00000000" w:rsidDel="00000000" w:rsidP="00000000" w:rsidRDefault="00000000" w:rsidRPr="00000000" w14:paraId="00000166">
      <w:pPr>
        <w:ind w:firstLine="720"/>
        <w:rPr>
          <w:sz w:val="20"/>
          <w:szCs w:val="20"/>
        </w:rPr>
      </w:pPr>
      <w:r w:rsidDel="00000000" w:rsidR="00000000" w:rsidRPr="00000000">
        <w:rPr>
          <w:sz w:val="20"/>
          <w:szCs w:val="20"/>
          <w:rtl w:val="0"/>
        </w:rPr>
        <w:t xml:space="preserve">Richard Jenkins, ‘Disenchantment, Enchantment and Re-Enchantment:</w:t>
      </w:r>
    </w:p>
    <w:p w:rsidR="00000000" w:rsidDel="00000000" w:rsidP="00000000" w:rsidRDefault="00000000" w:rsidRPr="00000000" w14:paraId="00000167">
      <w:pPr>
        <w:spacing w:line="276" w:lineRule="auto"/>
        <w:ind w:firstLine="720"/>
        <w:rPr>
          <w:sz w:val="20"/>
          <w:szCs w:val="20"/>
          <w:highlight w:val="red"/>
        </w:rPr>
      </w:pPr>
      <w:r w:rsidDel="00000000" w:rsidR="00000000" w:rsidRPr="00000000">
        <w:rPr>
          <w:sz w:val="20"/>
          <w:szCs w:val="20"/>
          <w:rtl w:val="0"/>
        </w:rPr>
        <w:t xml:space="preserve">Max Weber at the Millennium’, in </w:t>
      </w:r>
      <w:r w:rsidDel="00000000" w:rsidR="00000000" w:rsidRPr="00000000">
        <w:rPr>
          <w:i w:val="1"/>
          <w:iCs w:val="1"/>
          <w:sz w:val="20"/>
          <w:szCs w:val="20"/>
          <w:rtl w:val="0"/>
        </w:rPr>
        <w:t xml:space="preserve">Max Weber Studies, </w:t>
      </w:r>
      <w:r w:rsidDel="00000000" w:rsidR="00000000" w:rsidRPr="00000000">
        <w:rPr>
          <w:sz w:val="20"/>
          <w:szCs w:val="20"/>
          <w:rtl w:val="0"/>
        </w:rPr>
        <w:t xml:space="preserve">1 (2000), pp. 11–32, p. 12.</w:t>
      </w:r>
      <w:r w:rsidDel="00000000" w:rsidR="00000000" w:rsidRPr="00000000">
        <w:rPr>
          <w:rtl w:val="0"/>
        </w:rPr>
      </w:r>
    </w:p>
  </w:footnote>
  <w:footnote w:id="3">
    <w:p w:rsidR="00000000" w:rsidDel="00000000" w:rsidP="00000000" w:rsidRDefault="00000000" w:rsidRPr="00000000" w14:paraId="00000168">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‘Carpo’, in </w:t>
      </w:r>
      <w:r w:rsidDel="00000000" w:rsidR="00000000" w:rsidRPr="00000000">
        <w:rPr>
          <w:i w:val="1"/>
          <w:iCs w:val="1"/>
          <w:sz w:val="20"/>
          <w:szCs w:val="20"/>
          <w:rtl w:val="0"/>
        </w:rPr>
        <w:t xml:space="preserve">The Pocket Oxford Latin Dictionary, </w:t>
      </w:r>
      <w:r w:rsidDel="00000000" w:rsidR="00000000" w:rsidRPr="00000000">
        <w:rPr>
          <w:sz w:val="20"/>
          <w:szCs w:val="20"/>
          <w:rtl w:val="0"/>
        </w:rPr>
        <w:t xml:space="preserve">ed. by James Morwood, 3rd edn </w:t>
      </w:r>
    </w:p>
    <w:p w:rsidR="00000000" w:rsidDel="00000000" w:rsidP="00000000" w:rsidRDefault="00000000" w:rsidRPr="00000000" w14:paraId="00000169">
      <w:pPr>
        <w:ind w:firstLine="720"/>
        <w:rPr>
          <w:sz w:val="20"/>
          <w:szCs w:val="20"/>
        </w:rPr>
      </w:pPr>
      <w:r w:rsidDel="00000000" w:rsidR="00000000" w:rsidRPr="00000000">
        <w:rPr>
          <w:sz w:val="20"/>
          <w:szCs w:val="20"/>
          <w:rtl w:val="0"/>
        </w:rPr>
        <w:t xml:space="preserve">(Oxford: Oxford University Press, 2005); Vito Mancuso,</w:t>
      </w:r>
      <w:r w:rsidDel="00000000" w:rsidR="00000000" w:rsidRPr="00000000">
        <w:rPr>
          <w:b w:val="1"/>
          <w:bCs w:val="1"/>
          <w:sz w:val="20"/>
          <w:szCs w:val="20"/>
          <w:rtl w:val="0"/>
        </w:rPr>
        <w:t xml:space="preserve"> </w:t>
      </w:r>
      <w:r w:rsidDel="00000000" w:rsidR="00000000" w:rsidRPr="00000000">
        <w:rPr>
          <w:i w:val="1"/>
          <w:iCs w:val="1"/>
          <w:sz w:val="20"/>
          <w:szCs w:val="20"/>
          <w:rtl w:val="0"/>
        </w:rPr>
        <w:t xml:space="preserve">Che cos'è l'amore? </w:t>
      </w:r>
      <w:r w:rsidDel="00000000" w:rsidR="00000000" w:rsidRPr="00000000">
        <w:rPr>
          <w:sz w:val="20"/>
          <w:szCs w:val="20"/>
          <w:rtl w:val="0"/>
        </w:rPr>
        <w:t xml:space="preserve">[Youtube video], available at: </w:t>
      </w:r>
    </w:p>
    <w:p w:rsidR="00000000" w:rsidDel="00000000" w:rsidP="00000000" w:rsidRDefault="00000000" w:rsidRPr="00000000" w14:paraId="0000016A">
      <w:pPr>
        <w:ind w:firstLine="720"/>
        <w:rPr>
          <w:i w:val="1"/>
          <w:iCs w:val="1"/>
          <w:sz w:val="20"/>
          <w:szCs w:val="20"/>
        </w:rPr>
      </w:pPr>
      <w:hyperlink r:id="rId7">
        <w:r w:rsidDel="00000000" w:rsidR="00000000" w:rsidRPr="00000000">
          <w:rPr>
            <w:color w:val="1155cc"/>
            <w:sz w:val="20"/>
            <w:szCs w:val="20"/>
            <w:u w:val="single"/>
            <w:rtl w:val="0"/>
          </w:rPr>
          <w:t xml:space="preserve">https://www.youtube.com/watch?v=-QDRYGM-VUw</w:t>
        </w:r>
      </w:hyperlink>
      <w:r w:rsidDel="00000000" w:rsidR="00000000" w:rsidRPr="00000000">
        <w:rPr>
          <w:sz w:val="20"/>
          <w:szCs w:val="20"/>
          <w:rtl w:val="0"/>
        </w:rPr>
        <w:t xml:space="preserve"> [accessed 17 November, 2025].</w:t>
        <w:br w:type="textWrapping"/>
        <w:tab/>
        <w:t xml:space="preserve">Patrick Curry, ‘Enchantment, Place and Space: Implications for Cultural Astronomy’, in </w:t>
      </w:r>
      <w:r w:rsidDel="00000000" w:rsidR="00000000" w:rsidRPr="00000000">
        <w:rPr>
          <w:i w:val="1"/>
          <w:iCs w:val="1"/>
          <w:sz w:val="20"/>
          <w:szCs w:val="20"/>
          <w:rtl w:val="0"/>
        </w:rPr>
        <w:t xml:space="preserve">Culture and </w:t>
      </w:r>
    </w:p>
    <w:p w:rsidR="00000000" w:rsidDel="00000000" w:rsidP="00000000" w:rsidRDefault="00000000" w:rsidRPr="00000000" w14:paraId="0000016B">
      <w:pPr>
        <w:ind w:firstLine="720"/>
        <w:rPr>
          <w:sz w:val="20"/>
          <w:szCs w:val="20"/>
        </w:rPr>
      </w:pPr>
      <w:r w:rsidDel="00000000" w:rsidR="00000000" w:rsidRPr="00000000">
        <w:rPr>
          <w:i w:val="1"/>
          <w:iCs w:val="1"/>
          <w:sz w:val="20"/>
          <w:szCs w:val="20"/>
          <w:rtl w:val="0"/>
        </w:rPr>
        <w:t xml:space="preserve">Cosmos,</w:t>
      </w:r>
      <w:r w:rsidDel="00000000" w:rsidR="00000000" w:rsidRPr="00000000">
        <w:rPr>
          <w:sz w:val="20"/>
          <w:szCs w:val="20"/>
          <w:rtl w:val="0"/>
        </w:rPr>
        <w:t xml:space="preserve"> 23.2 (2019), pp.11–23.</w:t>
      </w:r>
    </w:p>
  </w:footnote>
  <w:footnote w:id="31">
    <w:p w:rsidR="00000000" w:rsidDel="00000000" w:rsidP="00000000" w:rsidRDefault="00000000" w:rsidRPr="00000000" w14:paraId="0000016C">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Campion, </w:t>
      </w:r>
      <w:r w:rsidDel="00000000" w:rsidR="00000000" w:rsidRPr="00000000">
        <w:rPr>
          <w:i w:val="1"/>
          <w:iCs w:val="1"/>
          <w:sz w:val="20"/>
          <w:szCs w:val="20"/>
          <w:rtl w:val="0"/>
        </w:rPr>
        <w:t xml:space="preserve">A History of Western</w:t>
      </w:r>
      <w:r w:rsidDel="00000000" w:rsidR="00000000" w:rsidRPr="00000000">
        <w:rPr>
          <w:sz w:val="20"/>
          <w:szCs w:val="20"/>
          <w:rtl w:val="0"/>
        </w:rPr>
        <w:t xml:space="preserve"> </w:t>
      </w:r>
      <w:r w:rsidDel="00000000" w:rsidR="00000000" w:rsidRPr="00000000">
        <w:rPr>
          <w:i w:val="1"/>
          <w:iCs w:val="1"/>
          <w:sz w:val="20"/>
          <w:szCs w:val="20"/>
          <w:rtl w:val="0"/>
        </w:rPr>
        <w:t xml:space="preserve">Astrology, </w:t>
      </w:r>
      <w:r w:rsidDel="00000000" w:rsidR="00000000" w:rsidRPr="00000000">
        <w:rPr>
          <w:sz w:val="20"/>
          <w:szCs w:val="20"/>
          <w:rtl w:val="0"/>
        </w:rPr>
        <w:t xml:space="preserve">p.178.</w:t>
      </w:r>
    </w:p>
  </w:footnote>
  <w:footnote w:id="16">
    <w:p w:rsidR="00000000" w:rsidDel="00000000" w:rsidP="00000000" w:rsidRDefault="00000000" w:rsidRPr="00000000" w14:paraId="0000016D">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Jenkins, ‘Disenchantment, Enchantment and Re-Enchantment’, p. 12.</w:t>
      </w:r>
      <w:r w:rsidDel="00000000" w:rsidR="00000000" w:rsidRPr="00000000">
        <w:rPr>
          <w:rtl w:val="0"/>
        </w:rPr>
      </w:r>
    </w:p>
  </w:footnote>
  <w:footnote w:id="19">
    <w:p w:rsidR="00000000" w:rsidDel="00000000" w:rsidP="00000000" w:rsidRDefault="00000000" w:rsidRPr="00000000" w14:paraId="0000016E">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Graur, ‘The Ancient Egyptian Personification of the Milky Way’, p.28; </w:t>
      </w:r>
      <w:r w:rsidDel="00000000" w:rsidR="00000000" w:rsidRPr="00000000">
        <w:rPr>
          <w:sz w:val="20"/>
          <w:szCs w:val="20"/>
          <w:rtl w:val="0"/>
        </w:rPr>
        <w:t xml:space="preserve">Hollis, </w:t>
      </w:r>
      <w:r w:rsidDel="00000000" w:rsidR="00000000" w:rsidRPr="00000000">
        <w:rPr>
          <w:i w:val="1"/>
          <w:iCs w:val="1"/>
          <w:sz w:val="20"/>
          <w:szCs w:val="20"/>
          <w:rtl w:val="0"/>
        </w:rPr>
        <w:t xml:space="preserve">Five Egyptian Goddesses, </w:t>
      </w:r>
      <w:r w:rsidDel="00000000" w:rsidR="00000000" w:rsidRPr="00000000">
        <w:rPr>
          <w:sz w:val="20"/>
          <w:szCs w:val="20"/>
          <w:rtl w:val="0"/>
        </w:rPr>
        <w:t xml:space="preserve">pp.88–9.</w:t>
      </w:r>
      <w:r w:rsidDel="00000000" w:rsidR="00000000" w:rsidRPr="00000000">
        <w:rPr>
          <w:rtl w:val="0"/>
        </w:rPr>
      </w:r>
    </w:p>
  </w:footnote>
  <w:footnote w:id="30">
    <w:p w:rsidR="00000000" w:rsidDel="00000000" w:rsidP="00000000" w:rsidRDefault="00000000" w:rsidRPr="00000000" w14:paraId="0000016F">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Nicholas Campion, </w:t>
      </w:r>
      <w:r w:rsidDel="00000000" w:rsidR="00000000" w:rsidRPr="00000000">
        <w:rPr>
          <w:i w:val="1"/>
          <w:iCs w:val="1"/>
          <w:sz w:val="20"/>
          <w:szCs w:val="20"/>
          <w:rtl w:val="0"/>
        </w:rPr>
        <w:t xml:space="preserve">A History of Western</w:t>
      </w:r>
      <w:r w:rsidDel="00000000" w:rsidR="00000000" w:rsidRPr="00000000">
        <w:rPr>
          <w:sz w:val="20"/>
          <w:szCs w:val="20"/>
          <w:rtl w:val="0"/>
        </w:rPr>
        <w:t xml:space="preserve"> </w:t>
      </w:r>
      <w:r w:rsidDel="00000000" w:rsidR="00000000" w:rsidRPr="00000000">
        <w:rPr>
          <w:i w:val="1"/>
          <w:iCs w:val="1"/>
          <w:sz w:val="20"/>
          <w:szCs w:val="20"/>
          <w:rtl w:val="0"/>
        </w:rPr>
        <w:t xml:space="preserve">Astrology: The Medieval and Modern Worlds,</w:t>
      </w:r>
      <w:r w:rsidDel="00000000" w:rsidR="00000000" w:rsidRPr="00000000">
        <w:rPr>
          <w:sz w:val="20"/>
          <w:szCs w:val="20"/>
          <w:rtl w:val="0"/>
        </w:rPr>
        <w:t xml:space="preserve">Vol.2 </w:t>
      </w:r>
    </w:p>
    <w:p w:rsidR="00000000" w:rsidDel="00000000" w:rsidP="00000000" w:rsidRDefault="00000000" w:rsidRPr="00000000" w14:paraId="00000170">
      <w:pPr>
        <w:ind w:firstLine="720"/>
        <w:rPr>
          <w:sz w:val="20"/>
          <w:szCs w:val="20"/>
        </w:rPr>
      </w:pPr>
      <w:r w:rsidDel="00000000" w:rsidR="00000000" w:rsidRPr="00000000">
        <w:rPr>
          <w:sz w:val="20"/>
          <w:szCs w:val="20"/>
          <w:rtl w:val="0"/>
        </w:rPr>
        <w:t xml:space="preserve">(New York: Bloomsbury, 2013), p.176.</w:t>
      </w:r>
    </w:p>
  </w:footnote>
  <w:footnote w:id="34">
    <w:p w:rsidR="00000000" w:rsidDel="00000000" w:rsidP="00000000" w:rsidRDefault="00000000" w:rsidRPr="00000000" w14:paraId="00000171">
      <w:pPr>
        <w:rPr>
          <w:color w:val="08051b"/>
          <w:sz w:val="20"/>
          <w:szCs w:val="20"/>
          <w:highlight w:val="white"/>
        </w:rPr>
      </w:pPr>
      <w:r w:rsidDel="00000000" w:rsidR="00000000" w:rsidRPr="00000000">
        <w:rPr>
          <w:rStyle w:val="FootnoteReference"/>
          <w:vertAlign w:val="superscript"/>
        </w:rPr>
        <w:footnoteRef/>
      </w:r>
      <w:r w:rsidDel="00000000" w:rsidR="00000000" w:rsidRPr="00000000">
        <w:rPr>
          <w:sz w:val="20"/>
          <w:szCs w:val="20"/>
          <w:rtl w:val="0"/>
        </w:rPr>
        <w:t xml:space="preserve"> Donald J. Trump, ‘</w:t>
      </w:r>
      <w:r w:rsidDel="00000000" w:rsidR="00000000" w:rsidRPr="00000000">
        <w:rPr>
          <w:color w:val="08051b"/>
          <w:sz w:val="20"/>
          <w:szCs w:val="20"/>
          <w:highlight w:val="white"/>
          <w:rtl w:val="0"/>
        </w:rPr>
        <w:t xml:space="preserve">A whole civilization will die tonight, never to be brought back again…’, </w:t>
      </w:r>
    </w:p>
    <w:p w:rsidR="00000000" w:rsidDel="00000000" w:rsidP="00000000" w:rsidRDefault="00000000" w:rsidRPr="00000000" w14:paraId="00000172">
      <w:pPr>
        <w:ind w:firstLine="720"/>
        <w:rPr>
          <w:sz w:val="20"/>
          <w:szCs w:val="20"/>
        </w:rPr>
      </w:pPr>
      <w:r w:rsidDel="00000000" w:rsidR="00000000" w:rsidRPr="00000000">
        <w:rPr>
          <w:color w:val="08051b"/>
          <w:sz w:val="20"/>
          <w:szCs w:val="20"/>
          <w:highlight w:val="white"/>
          <w:rtl w:val="0"/>
        </w:rPr>
        <w:t xml:space="preserve">Truth, 7 April 2026 &lt;</w:t>
      </w:r>
      <w:hyperlink r:id="rId8">
        <w:r w:rsidDel="00000000" w:rsidR="00000000" w:rsidRPr="00000000">
          <w:rPr>
            <w:color w:val="1155cc"/>
            <w:sz w:val="20"/>
            <w:szCs w:val="20"/>
            <w:highlight w:val="white"/>
            <w:u w:val="single"/>
            <w:rtl w:val="0"/>
          </w:rPr>
          <w:t xml:space="preserve">https://truthsocial.com/@realDonaldTrump/posts/116363336033995961</w:t>
        </w:r>
      </w:hyperlink>
      <w:r w:rsidDel="00000000" w:rsidR="00000000" w:rsidRPr="00000000">
        <w:rPr>
          <w:sz w:val="20"/>
          <w:szCs w:val="20"/>
          <w:rtl w:val="0"/>
        </w:rPr>
        <w:t xml:space="preserve">&gt; </w:t>
      </w:r>
    </w:p>
    <w:p w:rsidR="00000000" w:rsidDel="00000000" w:rsidP="00000000" w:rsidRDefault="00000000" w:rsidRPr="00000000" w14:paraId="00000173">
      <w:pPr>
        <w:ind w:firstLine="720"/>
        <w:rPr>
          <w:sz w:val="20"/>
          <w:szCs w:val="20"/>
        </w:rPr>
      </w:pPr>
      <w:r w:rsidDel="00000000" w:rsidR="00000000" w:rsidRPr="00000000">
        <w:rPr>
          <w:sz w:val="20"/>
          <w:szCs w:val="20"/>
          <w:rtl w:val="0"/>
        </w:rPr>
        <w:t xml:space="preserve">[accessed 15 April, 2026].</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2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spacing w:after="60" w:before="240" w:lineRule="auto"/>
    </w:pPr>
    <w:rPr>
      <w:rFonts w:ascii="Arial" w:cs="Arial" w:eastAsia="Arial" w:hAnsi="Arial"/>
      <w:b w:val="1"/>
      <w:bCs w:val="1"/>
      <w:sz w:val="32"/>
      <w:szCs w:val="32"/>
      <w:vertAlign w:val="baseline"/>
    </w:rPr>
  </w:style>
  <w:style w:type="paragraph" w:styleId="Heading2">
    <w:name w:val="heading 2"/>
    <w:basedOn w:val="Normal"/>
    <w:next w:val="Normal"/>
    <w:pPr>
      <w:keepNext w:val="1"/>
      <w:spacing w:after="60" w:before="240" w:lineRule="auto"/>
    </w:pPr>
    <w:rPr>
      <w:rFonts w:ascii="Arial" w:cs="Arial" w:eastAsia="Arial" w:hAnsi="Arial"/>
      <w:b w:val="1"/>
      <w:bCs w:val="1"/>
      <w:i w:val="1"/>
      <w:iCs w:val="1"/>
      <w:sz w:val="28"/>
      <w:szCs w:val="28"/>
      <w:vertAlign w:val="baseline"/>
    </w:rPr>
  </w:style>
  <w:style w:type="paragraph" w:styleId="Heading3">
    <w:name w:val="heading 3"/>
    <w:basedOn w:val="Normal"/>
    <w:next w:val="Normal"/>
    <w:pPr>
      <w:keepNext w:val="1"/>
      <w:ind w:left="720"/>
      <w:jc w:val="both"/>
    </w:pPr>
    <w:rPr>
      <w:rFonts w:ascii="Tahoma" w:cs="Tahoma" w:eastAsia="Tahoma" w:hAnsi="Tahoma"/>
      <w:b w:val="1"/>
      <w:bCs w:val="1"/>
      <w:sz w:val="20"/>
      <w:szCs w:val="20"/>
      <w:vertAlign w:val="baseline"/>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Pr>
  </w:style>
  <w:style w:type="table" w:styleId="Table4">
    <w:basedOn w:val="TableNormal"/>
    <w:tblPr>
      <w:tblStyleRowBandSize w:val="1"/>
      <w:tblStyleColBandSize w:val="1"/>
    </w:tblPr>
  </w:style>
  <w:style w:type="table" w:styleId="Table5">
    <w:basedOn w:val="TableNormal"/>
    <w:tblPr>
      <w:tblStyleRowBandSize w:val="1"/>
      <w:tblStyleColBandSize w:val="1"/>
    </w:tblPr>
  </w:style>
  <w:style w:type="table" w:styleId="Table6">
    <w:basedOn w:val="TableNormal"/>
    <w:tblPr>
      <w:tblStyleRowBandSize w:val="1"/>
      <w:tblStyleColBandSize w:val="1"/>
    </w:tblPr>
  </w:style>
  <w:style w:type="table" w:styleId="Table7">
    <w:basedOn w:val="TableNormal"/>
    <w:tblPr>
      <w:tblStyleRowBandSize w:val="1"/>
      <w:tblStyleColBandSize w:val="1"/>
    </w:tblPr>
  </w:style>
  <w:style w:type="table" w:styleId="Table8">
    <w:basedOn w:val="TableNormal"/>
    <w:tblPr>
      <w:tblStyleRowBandSize w:val="1"/>
      <w:tblStyleColBandSize w:val="1"/>
    </w:tblPr>
  </w:style>
  <w:style w:type="table" w:styleId="Table9">
    <w:basedOn w:val="TableNormal"/>
    <w:tblPr>
      <w:tblStyleRowBandSize w:val="1"/>
      <w:tblStyleColBandSize w:val="1"/>
    </w:tblPr>
  </w:style>
  <w:style w:type="table" w:styleId="Table10">
    <w:basedOn w:val="TableNormal"/>
    <w:tblPr>
      <w:tblStyleRowBandSize w:val="1"/>
      <w:tblStyleColBandSize w:val="1"/>
    </w:tblPr>
  </w:style>
  <w:style w:type="table" w:styleId="Table11">
    <w:basedOn w:val="TableNormal"/>
    <w:tblPr>
      <w:tblStyleRowBandSize w:val="1"/>
      <w:tblStyleColBandSize w:val="1"/>
    </w:tblPr>
  </w:style>
  <w:style w:type="table" w:styleId="Table12">
    <w:basedOn w:val="TableNormal"/>
    <w:tblPr>
      <w:tblStyleRowBandSize w:val="1"/>
      <w:tblStyleColBandSize w:val="1"/>
    </w:tblPr>
  </w:style>
</w:styles>
</file>

<file path=word/_rels/document.xml.rels><?xml version="1.0" encoding="UTF-8" standalone="yes"?><Relationships xmlns="http://schemas.openxmlformats.org/package/2006/relationships"><Relationship Id="rId20" Type="http://schemas.openxmlformats.org/officeDocument/2006/relationships/hyperlink" Target="https://spacerenaissance.space/" TargetMode="External"/><Relationship Id="rId22" Type="http://schemas.openxmlformats.org/officeDocument/2006/relationships/hyperlink" Target="https://monthlyreview.org/articles/the-humanization-of-the-cosmos-to-what-end/" TargetMode="External"/><Relationship Id="rId21" Type="http://schemas.openxmlformats.org/officeDocument/2006/relationships/hyperlink" Target="https://truthsocial.com/@realDonaldTrump/posts/116363336033995961" TargetMode="External"/><Relationship Id="rId24" Type="http://schemas.openxmlformats.org/officeDocument/2006/relationships/hyperlink" Target="https://www.youtube.com/watch?v=2IWI6uNM64w&amp;t=1542s" TargetMode="External"/><Relationship Id="rId23" Type="http://schemas.openxmlformats.org/officeDocument/2006/relationships/hyperlink" Target="https://escholarship.org/uc/item/95b9b2db"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mailto:2430606@student.uwtsd.ac.uk" TargetMode="External"/><Relationship Id="rId26" Type="http://schemas.openxmlformats.org/officeDocument/2006/relationships/hyperlink" Target="https://www.youtube.com/watch?v=-QDRYGM-VUw" TargetMode="External"/><Relationship Id="rId25" Type="http://schemas.openxmlformats.org/officeDocument/2006/relationships/hyperlink" Target="https://www.youtube.com/watch?v=hOB9cJybbNY&amp;t=3349s" TargetMode="External"/><Relationship Id="rId28" Type="http://schemas.openxmlformats.org/officeDocument/2006/relationships/header" Target="header1.xml"/><Relationship Id="rId27" Type="http://schemas.openxmlformats.org/officeDocument/2006/relationships/hyperlink" Target="https://escholarship.org/uc/item/13v7v5gd" TargetMode="External"/><Relationship Id="rId5" Type="http://schemas.openxmlformats.org/officeDocument/2006/relationships/numbering" Target="numbering.xml"/><Relationship Id="rId6" Type="http://schemas.openxmlformats.org/officeDocument/2006/relationships/styles" Target="styles.xml"/><Relationship Id="rId29" Type="http://schemas.openxmlformats.org/officeDocument/2006/relationships/footer" Target="footer1.xml"/><Relationship Id="rId7" Type="http://schemas.openxmlformats.org/officeDocument/2006/relationships/customXml" Target="../customXML/item1.xml"/><Relationship Id="rId8" Type="http://schemas.openxmlformats.org/officeDocument/2006/relationships/image" Target="media/image4.png"/><Relationship Id="rId11" Type="http://schemas.openxmlformats.org/officeDocument/2006/relationships/image" Target="media/image8.jpg"/><Relationship Id="rId10" Type="http://schemas.openxmlformats.org/officeDocument/2006/relationships/image" Target="media/image10.jpg"/><Relationship Id="rId13" Type="http://schemas.openxmlformats.org/officeDocument/2006/relationships/image" Target="media/image9.jpg"/><Relationship Id="rId12" Type="http://schemas.openxmlformats.org/officeDocument/2006/relationships/image" Target="media/image7.jpg"/><Relationship Id="rId15" Type="http://schemas.openxmlformats.org/officeDocument/2006/relationships/image" Target="media/image11.jpg"/><Relationship Id="rId14" Type="http://schemas.openxmlformats.org/officeDocument/2006/relationships/image" Target="media/image2.jpg"/><Relationship Id="rId17" Type="http://schemas.openxmlformats.org/officeDocument/2006/relationships/image" Target="media/image6.jpg"/><Relationship Id="rId16" Type="http://schemas.openxmlformats.org/officeDocument/2006/relationships/image" Target="media/image5.jpg"/><Relationship Id="rId19" Type="http://schemas.openxmlformats.org/officeDocument/2006/relationships/image" Target="media/image1.jpg"/><Relationship Id="rId18" Type="http://schemas.openxmlformats.org/officeDocument/2006/relationships/image" Target="media/image3.jp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_rels/footnotes.xml.rels><?xml version="1.0" encoding="UTF-8" standalone="yes"?><Relationships xmlns="http://schemas.openxmlformats.org/package/2006/relationships"><Relationship Id="rId1" Type="http://schemas.openxmlformats.org/officeDocument/2006/relationships/hyperlink" Target="https://escholarship.org/uc/item/13v7v5gd" TargetMode="External"/><Relationship Id="rId2" Type="http://schemas.openxmlformats.org/officeDocument/2006/relationships/hyperlink" Target="https://escholarship.org/uc/item/95b9b2db" TargetMode="External"/><Relationship Id="rId3" Type="http://schemas.openxmlformats.org/officeDocument/2006/relationships/hyperlink" Target="https://spacerenaissance.space/" TargetMode="External"/><Relationship Id="rId4" Type="http://schemas.openxmlformats.org/officeDocument/2006/relationships/hyperlink" Target="https://monthlyreview.org/articles/the-humanization-of-the-cosmos-to-what-end/" TargetMode="External"/><Relationship Id="rId5" Type="http://schemas.openxmlformats.org/officeDocument/2006/relationships/hyperlink" Target="https://escholarship.org/uc/item/95b9b2db" TargetMode="External"/><Relationship Id="rId6" Type="http://schemas.openxmlformats.org/officeDocument/2006/relationships/hyperlink" Target="https://www.youtube.com/watch?v=2IWI6uNM64w&amp;t=1542s" TargetMode="External"/><Relationship Id="rId7" Type="http://schemas.openxmlformats.org/officeDocument/2006/relationships/hyperlink" Target="https://www.youtube.com/watch?v=-QDRYGM-VUw" TargetMode="External"/><Relationship Id="rId8" Type="http://schemas.openxmlformats.org/officeDocument/2006/relationships/hyperlink" Target="https://truthsocial.com/@realDonaldTrump/posts/1163633360339959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eIQ+PxGA2c11WILXs4cgEOMjTw==">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