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414327" w14:textId="5D42812B" w:rsidR="00F57E5F" w:rsidRDefault="00F57E5F" w:rsidP="00F57E5F">
      <w:pPr>
        <w:rPr>
          <w:rFonts w:ascii="Arial" w:hAnsi="Arial" w:cs="Arial"/>
        </w:rPr>
      </w:pPr>
      <w:r>
        <w:rPr>
          <w:rFonts w:ascii="Arial" w:hAnsi="Arial" w:cs="Arial"/>
        </w:rPr>
        <w:t>Writing Examination</w:t>
      </w:r>
      <w:r>
        <w:rPr>
          <w:rFonts w:ascii="Arial" w:hAnsi="Arial" w:cs="Arial"/>
        </w:rPr>
        <w:t xml:space="preserve"> </w:t>
      </w:r>
    </w:p>
    <w:p w14:paraId="5B6226F6" w14:textId="5F7D8B20" w:rsidR="00297B9E" w:rsidRDefault="00297B9E" w:rsidP="00F57E5F">
      <w:pPr>
        <w:rPr>
          <w:rFonts w:ascii="Arial" w:hAnsi="Arial" w:cs="Arial"/>
        </w:rPr>
      </w:pPr>
    </w:p>
    <w:p w14:paraId="6E4F29B5" w14:textId="77777777" w:rsidR="00297B9E" w:rsidRDefault="00297B9E" w:rsidP="00F57E5F">
      <w:pPr>
        <w:rPr>
          <w:rFonts w:ascii="Arial" w:hAnsi="Arial" w:cs="Arial"/>
        </w:rPr>
      </w:pPr>
    </w:p>
    <w:p w14:paraId="06BA276F" w14:textId="0EEDFDA8" w:rsidR="00F57E5F" w:rsidRDefault="00F57E5F" w:rsidP="00F57E5F">
      <w:pPr>
        <w:rPr>
          <w:rFonts w:ascii="Arial" w:hAnsi="Arial" w:cs="Arial"/>
        </w:rPr>
      </w:pPr>
      <w:r>
        <w:rPr>
          <w:rFonts w:ascii="Arial" w:hAnsi="Arial" w:cs="Arial"/>
        </w:rPr>
        <w:t xml:space="preserve">    Adelina-Victoria Dumitru</w:t>
      </w:r>
    </w:p>
    <w:p w14:paraId="2E876EF8" w14:textId="1CC13405" w:rsidR="00F57E5F" w:rsidRDefault="00F57E5F" w:rsidP="00F57E5F">
      <w:pPr>
        <w:rPr>
          <w:rFonts w:ascii="Arial" w:hAnsi="Arial" w:cs="Arial"/>
        </w:rPr>
      </w:pPr>
      <w:r>
        <w:rPr>
          <w:rFonts w:ascii="Arial" w:hAnsi="Arial" w:cs="Arial"/>
        </w:rPr>
        <w:t xml:space="preserve">   </w:t>
      </w:r>
      <w:r w:rsidR="00297B9E">
        <w:rPr>
          <w:rFonts w:ascii="Arial" w:hAnsi="Arial" w:cs="Arial"/>
        </w:rPr>
        <w:t xml:space="preserve"> </w:t>
      </w:r>
      <w:r>
        <w:rPr>
          <w:rFonts w:ascii="Arial" w:hAnsi="Arial" w:cs="Arial"/>
        </w:rPr>
        <w:t xml:space="preserve">Student </w:t>
      </w:r>
      <w:proofErr w:type="gramStart"/>
      <w:r>
        <w:rPr>
          <w:rFonts w:ascii="Arial" w:hAnsi="Arial" w:cs="Arial"/>
        </w:rPr>
        <w:t>Id :</w:t>
      </w:r>
      <w:proofErr w:type="gramEnd"/>
      <w:r>
        <w:rPr>
          <w:rFonts w:ascii="Arial" w:hAnsi="Arial" w:cs="Arial"/>
        </w:rPr>
        <w:t xml:space="preserve"> 2015292</w:t>
      </w:r>
    </w:p>
    <w:p w14:paraId="1CB8E8ED" w14:textId="77777777" w:rsidR="00F57E5F" w:rsidRDefault="00F57E5F" w:rsidP="00F57E5F">
      <w:pPr>
        <w:rPr>
          <w:rFonts w:ascii="Arial" w:hAnsi="Arial" w:cs="Arial"/>
        </w:rPr>
      </w:pPr>
      <w:r>
        <w:rPr>
          <w:rFonts w:ascii="Arial" w:hAnsi="Arial" w:cs="Arial"/>
        </w:rPr>
        <w:t xml:space="preserve">    Module: Global Business Management </w:t>
      </w:r>
    </w:p>
    <w:p w14:paraId="7CCC94DA" w14:textId="77777777" w:rsidR="00F57E5F" w:rsidRDefault="00F57E5F" w:rsidP="00F57E5F">
      <w:pPr>
        <w:rPr>
          <w:rFonts w:ascii="Arial" w:hAnsi="Arial" w:cs="Arial"/>
        </w:rPr>
      </w:pPr>
      <w:r>
        <w:rPr>
          <w:rFonts w:ascii="Arial" w:hAnsi="Arial" w:cs="Arial"/>
        </w:rPr>
        <w:t xml:space="preserve">    Module </w:t>
      </w:r>
      <w:proofErr w:type="gramStart"/>
      <w:r>
        <w:rPr>
          <w:rFonts w:ascii="Arial" w:hAnsi="Arial" w:cs="Arial"/>
        </w:rPr>
        <w:t>Code :LCBB</w:t>
      </w:r>
      <w:proofErr w:type="gramEnd"/>
      <w:r>
        <w:rPr>
          <w:rFonts w:ascii="Arial" w:hAnsi="Arial" w:cs="Arial"/>
        </w:rPr>
        <w:t>_4005</w:t>
      </w:r>
    </w:p>
    <w:p w14:paraId="4F775758" w14:textId="3AF57437" w:rsidR="00F57E5F" w:rsidRDefault="00F57E5F" w:rsidP="00F57E5F">
      <w:pPr>
        <w:rPr>
          <w:rFonts w:ascii="Arial" w:hAnsi="Arial" w:cs="Arial"/>
        </w:rPr>
      </w:pPr>
      <w:r>
        <w:rPr>
          <w:rFonts w:ascii="Arial" w:hAnsi="Arial" w:cs="Arial"/>
        </w:rPr>
        <w:t xml:space="preserve">   </w:t>
      </w:r>
      <w:r w:rsidR="00297B9E">
        <w:rPr>
          <w:rFonts w:ascii="Arial" w:hAnsi="Arial" w:cs="Arial"/>
        </w:rPr>
        <w:t xml:space="preserve"> </w:t>
      </w:r>
      <w:r>
        <w:rPr>
          <w:rFonts w:ascii="Arial" w:hAnsi="Arial" w:cs="Arial"/>
        </w:rPr>
        <w:t xml:space="preserve">Module </w:t>
      </w:r>
      <w:proofErr w:type="gramStart"/>
      <w:r>
        <w:rPr>
          <w:rFonts w:ascii="Arial" w:hAnsi="Arial" w:cs="Arial"/>
        </w:rPr>
        <w:t>Coordinator :</w:t>
      </w:r>
      <w:proofErr w:type="gramEnd"/>
      <w:r>
        <w:rPr>
          <w:rFonts w:ascii="Arial" w:hAnsi="Arial" w:cs="Arial"/>
        </w:rPr>
        <w:t xml:space="preserve"> Eric Osei</w:t>
      </w:r>
    </w:p>
    <w:p w14:paraId="5E1A4F08" w14:textId="42751035" w:rsidR="00205044" w:rsidRDefault="00205044">
      <w:pPr>
        <w:rPr>
          <w:rFonts w:ascii="Arial" w:hAnsi="Arial" w:cs="Arial"/>
        </w:rPr>
      </w:pPr>
    </w:p>
    <w:p w14:paraId="1FFBAA4E" w14:textId="423C4EE1" w:rsidR="00297B9E" w:rsidRDefault="00297B9E">
      <w:pPr>
        <w:rPr>
          <w:rFonts w:ascii="Arial" w:hAnsi="Arial" w:cs="Arial"/>
        </w:rPr>
      </w:pPr>
    </w:p>
    <w:p w14:paraId="1EAAF883" w14:textId="200C8D36" w:rsidR="00297B9E" w:rsidRDefault="00297B9E">
      <w:pPr>
        <w:rPr>
          <w:rFonts w:ascii="Arial" w:hAnsi="Arial" w:cs="Arial"/>
        </w:rPr>
      </w:pPr>
    </w:p>
    <w:p w14:paraId="1C921F5F" w14:textId="2CCA2F51" w:rsidR="00297B9E" w:rsidRDefault="00297B9E">
      <w:pPr>
        <w:rPr>
          <w:rFonts w:ascii="Arial" w:hAnsi="Arial" w:cs="Arial"/>
        </w:rPr>
      </w:pPr>
    </w:p>
    <w:p w14:paraId="63860BEB" w14:textId="288419E1" w:rsidR="00297B9E" w:rsidRDefault="00297B9E">
      <w:pPr>
        <w:rPr>
          <w:rFonts w:ascii="Arial" w:hAnsi="Arial" w:cs="Arial"/>
        </w:rPr>
      </w:pPr>
    </w:p>
    <w:p w14:paraId="6EE1889A" w14:textId="77777777" w:rsidR="00297B9E" w:rsidRDefault="00297B9E">
      <w:pPr>
        <w:rPr>
          <w:rFonts w:ascii="Arial" w:hAnsi="Arial" w:cs="Arial"/>
        </w:rPr>
      </w:pPr>
    </w:p>
    <w:p w14:paraId="54A00285" w14:textId="198D9C3C" w:rsidR="00297B9E" w:rsidRDefault="00297B9E">
      <w:pPr>
        <w:rPr>
          <w:rFonts w:ascii="Arial" w:hAnsi="Arial" w:cs="Arial"/>
        </w:rPr>
      </w:pPr>
    </w:p>
    <w:p w14:paraId="68AF5D32" w14:textId="2A97383C" w:rsidR="00297B9E" w:rsidRDefault="00297B9E">
      <w:pPr>
        <w:rPr>
          <w:rFonts w:ascii="Arial" w:hAnsi="Arial" w:cs="Arial"/>
        </w:rPr>
      </w:pPr>
    </w:p>
    <w:p w14:paraId="06550CF3" w14:textId="07DE6DC5" w:rsidR="00297B9E" w:rsidRDefault="00297B9E">
      <w:pPr>
        <w:rPr>
          <w:rFonts w:ascii="Arial" w:hAnsi="Arial" w:cs="Arial"/>
        </w:rPr>
      </w:pPr>
    </w:p>
    <w:p w14:paraId="7B25C779" w14:textId="736273E6" w:rsidR="00297B9E" w:rsidRDefault="00297B9E">
      <w:pPr>
        <w:rPr>
          <w:rFonts w:ascii="Arial" w:hAnsi="Arial" w:cs="Arial"/>
        </w:rPr>
      </w:pPr>
    </w:p>
    <w:p w14:paraId="23054401" w14:textId="1C0EA12C" w:rsidR="00297B9E" w:rsidRDefault="00297B9E">
      <w:pPr>
        <w:rPr>
          <w:rFonts w:ascii="Arial" w:hAnsi="Arial" w:cs="Arial"/>
        </w:rPr>
      </w:pPr>
    </w:p>
    <w:p w14:paraId="7849E168" w14:textId="45595D79" w:rsidR="00297B9E" w:rsidRDefault="00297B9E">
      <w:pPr>
        <w:rPr>
          <w:rFonts w:ascii="Arial" w:hAnsi="Arial" w:cs="Arial"/>
        </w:rPr>
      </w:pPr>
    </w:p>
    <w:p w14:paraId="1063CD31" w14:textId="5FC3894C" w:rsidR="00297B9E" w:rsidRDefault="00297B9E">
      <w:pPr>
        <w:rPr>
          <w:rFonts w:ascii="Arial" w:hAnsi="Arial" w:cs="Arial"/>
        </w:rPr>
      </w:pPr>
    </w:p>
    <w:p w14:paraId="2506D91B" w14:textId="77777777" w:rsidR="00297B9E" w:rsidRDefault="00297B9E" w:rsidP="00297B9E">
      <w:pPr>
        <w:rPr>
          <w:rFonts w:ascii="Arial" w:hAnsi="Arial" w:cs="Arial"/>
        </w:rPr>
      </w:pPr>
      <w:r>
        <w:rPr>
          <w:rFonts w:ascii="Arial" w:hAnsi="Arial" w:cs="Arial"/>
        </w:rPr>
        <w:t xml:space="preserve">2) </w:t>
      </w:r>
      <w:proofErr w:type="gramStart"/>
      <w:r>
        <w:rPr>
          <w:rFonts w:ascii="Arial" w:hAnsi="Arial" w:cs="Arial"/>
        </w:rPr>
        <w:t xml:space="preserve">a)  </w:t>
      </w:r>
      <w:r w:rsidRPr="00CC1AFD">
        <w:rPr>
          <w:rFonts w:ascii="Arial" w:hAnsi="Arial" w:cs="Arial"/>
        </w:rPr>
        <w:t>The</w:t>
      </w:r>
      <w:proofErr w:type="gramEnd"/>
      <w:r w:rsidRPr="00CC1AFD">
        <w:rPr>
          <w:rFonts w:ascii="Arial" w:hAnsi="Arial" w:cs="Arial"/>
        </w:rPr>
        <w:t xml:space="preserve"> quantity of an item that company has to offer at a particular price is known as demand.</w:t>
      </w:r>
    </w:p>
    <w:p w14:paraId="12C399FB" w14:textId="77777777" w:rsidR="00297B9E" w:rsidRDefault="00297B9E" w:rsidP="00297B9E">
      <w:pPr>
        <w:rPr>
          <w:rFonts w:ascii="Arial" w:hAnsi="Arial" w:cs="Arial"/>
        </w:rPr>
      </w:pPr>
      <w:r w:rsidRPr="00CC1AFD">
        <w:rPr>
          <w:rFonts w:ascii="Arial" w:hAnsi="Arial" w:cs="Arial"/>
        </w:rPr>
        <w:t xml:space="preserve">The number of goods that manufacturers </w:t>
      </w:r>
      <w:proofErr w:type="gramStart"/>
      <w:r w:rsidRPr="00CC1AFD">
        <w:rPr>
          <w:rFonts w:ascii="Arial" w:hAnsi="Arial" w:cs="Arial"/>
        </w:rPr>
        <w:t>are able to</w:t>
      </w:r>
      <w:proofErr w:type="gramEnd"/>
      <w:r w:rsidRPr="00CC1AFD">
        <w:rPr>
          <w:rFonts w:ascii="Arial" w:hAnsi="Arial" w:cs="Arial"/>
        </w:rPr>
        <w:t xml:space="preserve"> manufacture at a particular price is referred to as supply.</w:t>
      </w:r>
    </w:p>
    <w:p w14:paraId="74F6FC5C" w14:textId="77777777" w:rsidR="00297B9E" w:rsidRDefault="00297B9E" w:rsidP="00297B9E">
      <w:pPr>
        <w:rPr>
          <w:rFonts w:ascii="Arial" w:hAnsi="Arial" w:cs="Arial"/>
        </w:rPr>
      </w:pPr>
      <w:r>
        <w:rPr>
          <w:rFonts w:ascii="Arial" w:hAnsi="Arial" w:cs="Arial"/>
        </w:rPr>
        <w:t xml:space="preserve">b) The </w:t>
      </w:r>
      <w:proofErr w:type="gramStart"/>
      <w:r>
        <w:rPr>
          <w:rFonts w:ascii="Arial" w:hAnsi="Arial" w:cs="Arial"/>
        </w:rPr>
        <w:t>three  factor</w:t>
      </w:r>
      <w:proofErr w:type="gramEnd"/>
      <w:r>
        <w:rPr>
          <w:rFonts w:ascii="Arial" w:hAnsi="Arial" w:cs="Arial"/>
        </w:rPr>
        <w:t xml:space="preserve"> which can affect the demand can be the customer’s expectation about potential cost  , income of customer’s and advertising this can gave a rise in goods and services abilities to change in order to produce benefit to the company or fails . </w:t>
      </w:r>
    </w:p>
    <w:p w14:paraId="6B7700CC" w14:textId="4F668A4B" w:rsidR="00297B9E" w:rsidRDefault="00297B9E">
      <w:pPr>
        <w:rPr>
          <w:rFonts w:ascii="Arial" w:hAnsi="Arial" w:cs="Arial"/>
        </w:rPr>
      </w:pPr>
    </w:p>
    <w:p w14:paraId="2BD44693" w14:textId="09A43B64" w:rsidR="00297B9E" w:rsidRDefault="00297B9E">
      <w:pPr>
        <w:rPr>
          <w:rFonts w:ascii="Arial" w:hAnsi="Arial" w:cs="Arial"/>
        </w:rPr>
      </w:pPr>
    </w:p>
    <w:p w14:paraId="7C871177" w14:textId="64B5ED87" w:rsidR="00297B9E" w:rsidRDefault="00297B9E">
      <w:pPr>
        <w:rPr>
          <w:rFonts w:ascii="Arial" w:hAnsi="Arial" w:cs="Arial"/>
        </w:rPr>
      </w:pPr>
    </w:p>
    <w:p w14:paraId="32663214" w14:textId="159C0189" w:rsidR="00297B9E" w:rsidRDefault="00297B9E">
      <w:pPr>
        <w:rPr>
          <w:rFonts w:ascii="Arial" w:hAnsi="Arial" w:cs="Arial"/>
        </w:rPr>
      </w:pPr>
    </w:p>
    <w:p w14:paraId="1CF39733" w14:textId="47FC3C5E" w:rsidR="00297B9E" w:rsidRDefault="00297B9E">
      <w:pPr>
        <w:rPr>
          <w:rFonts w:ascii="Arial" w:hAnsi="Arial" w:cs="Arial"/>
        </w:rPr>
      </w:pPr>
    </w:p>
    <w:p w14:paraId="32A4CEDF" w14:textId="77A109FD" w:rsidR="00297B9E" w:rsidRDefault="00297B9E">
      <w:pPr>
        <w:rPr>
          <w:rFonts w:ascii="Arial" w:hAnsi="Arial" w:cs="Arial"/>
        </w:rPr>
      </w:pPr>
    </w:p>
    <w:p w14:paraId="64CBB59F" w14:textId="638462E3" w:rsidR="00297B9E" w:rsidRPr="00996536" w:rsidRDefault="00297B9E" w:rsidP="00E37B96">
      <w:pPr>
        <w:ind w:left="284"/>
      </w:pPr>
      <w:r w:rsidRPr="00E37B96">
        <w:rPr>
          <w:rFonts w:ascii="Arial" w:hAnsi="Arial" w:cs="Arial"/>
        </w:rPr>
        <w:lastRenderedPageBreak/>
        <w:t xml:space="preserve">3) </w:t>
      </w:r>
      <w:r w:rsidRPr="00297B9E">
        <w:t xml:space="preserve"> </w:t>
      </w:r>
      <w:r w:rsidRPr="00996536">
        <w:t>A UK care manufacturer who wishes to export cars in the US market</w:t>
      </w:r>
    </w:p>
    <w:p w14:paraId="760383CD" w14:textId="77777777" w:rsidR="00297B9E" w:rsidRPr="00996536" w:rsidRDefault="00297B9E" w:rsidP="00297B9E">
      <w:pPr>
        <w:spacing w:line="480" w:lineRule="auto"/>
        <w:rPr>
          <w:rFonts w:ascii="Times New Roman" w:hAnsi="Times New Roman" w:cs="Times New Roman"/>
          <w:sz w:val="24"/>
          <w:szCs w:val="24"/>
        </w:rPr>
      </w:pPr>
      <w:r w:rsidRPr="00996536">
        <w:rPr>
          <w:rFonts w:ascii="Times New Roman" w:hAnsi="Times New Roman" w:cs="Times New Roman"/>
          <w:sz w:val="24"/>
          <w:szCs w:val="24"/>
        </w:rPr>
        <w:t xml:space="preserve">Coming up with an international trade strategy is important for UK business. </w:t>
      </w:r>
      <w:proofErr w:type="gramStart"/>
      <w:r w:rsidRPr="00996536">
        <w:rPr>
          <w:rFonts w:ascii="Times New Roman" w:hAnsi="Times New Roman" w:cs="Times New Roman"/>
          <w:sz w:val="24"/>
          <w:szCs w:val="24"/>
        </w:rPr>
        <w:t>Therefore</w:t>
      </w:r>
      <w:proofErr w:type="gramEnd"/>
      <w:r w:rsidRPr="00996536">
        <w:rPr>
          <w:rFonts w:ascii="Times New Roman" w:hAnsi="Times New Roman" w:cs="Times New Roman"/>
          <w:sz w:val="24"/>
          <w:szCs w:val="24"/>
        </w:rPr>
        <w:t xml:space="preserve"> the manufacturer needs to adopt a successful plan involving strong and high-quality products and a unique product. Unique and quality products will make a massive difference in the market, considering the opportunities available in the US market. Carrying out market research can, on the other hand, be an important way of allowing the company to ensure that they can avoid all the nuances available in the market as well as dealing with competitors. Also, it will be important to assess the demand for the product and come up with a business proposition that would make it worth building an international operation. Therefore, exporting seems to be the most reliable entry mode for the UK manufacturer of cars due to its low risks and fast entry. This involves direct marketing and selling of the manufactured cars into the US market (</w:t>
      </w:r>
      <w:r w:rsidRPr="00996536">
        <w:rPr>
          <w:rFonts w:ascii="Times New Roman" w:hAnsi="Times New Roman" w:cs="Times New Roman"/>
          <w:color w:val="222222"/>
          <w:sz w:val="24"/>
          <w:szCs w:val="24"/>
          <w:shd w:val="clear" w:color="auto" w:fill="FFFFFF"/>
        </w:rPr>
        <w:t xml:space="preserve">Goodnow, &amp; </w:t>
      </w:r>
      <w:proofErr w:type="spellStart"/>
      <w:r w:rsidRPr="00996536">
        <w:rPr>
          <w:rFonts w:ascii="Times New Roman" w:hAnsi="Times New Roman" w:cs="Times New Roman"/>
          <w:color w:val="222222"/>
          <w:sz w:val="24"/>
          <w:szCs w:val="24"/>
          <w:shd w:val="clear" w:color="auto" w:fill="FFFFFF"/>
        </w:rPr>
        <w:t>Hansz</w:t>
      </w:r>
      <w:proofErr w:type="spellEnd"/>
      <w:r w:rsidRPr="00996536">
        <w:rPr>
          <w:rFonts w:ascii="Times New Roman" w:hAnsi="Times New Roman" w:cs="Times New Roman"/>
          <w:color w:val="222222"/>
          <w:sz w:val="24"/>
          <w:szCs w:val="24"/>
          <w:shd w:val="clear" w:color="auto" w:fill="FFFFFF"/>
        </w:rPr>
        <w:t>, 1972)</w:t>
      </w:r>
      <w:r w:rsidRPr="00996536">
        <w:rPr>
          <w:rFonts w:ascii="Times New Roman" w:hAnsi="Times New Roman" w:cs="Times New Roman"/>
          <w:sz w:val="24"/>
          <w:szCs w:val="24"/>
        </w:rPr>
        <w:t xml:space="preserve">. While this mode of entry has been significantly used in the past, it is important to note that it is well established and does not require investment in foreign production but rather, the production is done in the UK. Then the cars are exported to the USA. However, it is important to note that there are some risks of costs and control of the marketing and distribution of the products. Also, it does not provide the first-hand experience in staking out the competitors and their positions in the markets abroad. However, for car production adopting this strategy provides for the easiest way to enter the US market, and therefore the company can begin the international expansions successfully. Therefore, the cars will be sources from the UK, and therefore, the company can avoid the expenses of establishing operations and manufacturing processes in the new country. </w:t>
      </w:r>
    </w:p>
    <w:p w14:paraId="31FC2A1F" w14:textId="25957A0F" w:rsidR="00297B9E" w:rsidRPr="00996536" w:rsidRDefault="00E37B96" w:rsidP="00E37B96">
      <w:pPr>
        <w:ind w:left="360"/>
      </w:pPr>
      <w:r>
        <w:t xml:space="preserve">b) </w:t>
      </w:r>
      <w:r w:rsidR="00297B9E" w:rsidRPr="00996536">
        <w:t>A large food supplier from the US who wants to enter the European markets</w:t>
      </w:r>
    </w:p>
    <w:p w14:paraId="31E8AE72" w14:textId="77777777" w:rsidR="00297B9E" w:rsidRPr="00996536" w:rsidRDefault="00297B9E" w:rsidP="00297B9E">
      <w:pPr>
        <w:spacing w:line="480" w:lineRule="auto"/>
        <w:rPr>
          <w:rFonts w:ascii="Times New Roman" w:hAnsi="Times New Roman" w:cs="Times New Roman"/>
          <w:sz w:val="24"/>
          <w:szCs w:val="24"/>
        </w:rPr>
      </w:pPr>
      <w:r w:rsidRPr="00996536">
        <w:rPr>
          <w:rFonts w:ascii="Times New Roman" w:hAnsi="Times New Roman" w:cs="Times New Roman"/>
          <w:sz w:val="24"/>
          <w:szCs w:val="24"/>
        </w:rPr>
        <w:t xml:space="preserve">Expanding into the European markets for the food company allows the company to pursue opportunities that are not available in the domestic market and, at the same time, spread the risks of diversification to the European countries. However, before entering the European </w:t>
      </w:r>
      <w:r w:rsidRPr="00996536">
        <w:rPr>
          <w:rFonts w:ascii="Times New Roman" w:hAnsi="Times New Roman" w:cs="Times New Roman"/>
          <w:sz w:val="24"/>
          <w:szCs w:val="24"/>
        </w:rPr>
        <w:lastRenderedPageBreak/>
        <w:t>markets, several factors can influence the company's entry, such as the firm-specific variables, resources, and performance factors related to the company (</w:t>
      </w:r>
      <w:r w:rsidRPr="00996536">
        <w:rPr>
          <w:rFonts w:ascii="Times New Roman" w:hAnsi="Times New Roman" w:cs="Times New Roman"/>
          <w:color w:val="222222"/>
          <w:sz w:val="24"/>
          <w:szCs w:val="24"/>
          <w:shd w:val="clear" w:color="auto" w:fill="FFFFFF"/>
        </w:rPr>
        <w:t>Watson et al., 2018)</w:t>
      </w:r>
      <w:r w:rsidRPr="00996536">
        <w:rPr>
          <w:rFonts w:ascii="Times New Roman" w:hAnsi="Times New Roman" w:cs="Times New Roman"/>
          <w:sz w:val="24"/>
          <w:szCs w:val="24"/>
        </w:rPr>
        <w:t xml:space="preserve">. In this case, however, the most reliable operation mode for the company in the European food industry is through partnerships and strategic alliances with companies that are already operational in the market. It is important to note that the food industry is a very sensitive industry due to the issues to do with the poisoning and the welfare of the people. Therefore, a strategic alliance will involve contractual agreements with two or more enterprises that stipulate the cooperation and operation modes to achieve the company's required goal. This, however, calls for evaluating the value of the partners that the company will partner with and the tangible and intangible aspects the partners will provide. The advantage of partnering with local firms in Europe is that they will be better at understating the local food cultures, market trends, and business ways. It is also important for the company to partner with recognized partners with reputable brands. Also, it will allow the partners to share the risk and resources required for entering the markets. At the same time operating through partners allows for easier entry in the market, risk sharing, tech sharing, joint development of products, and conformation with the government regulation. </w:t>
      </w:r>
    </w:p>
    <w:p w14:paraId="3516ECDA" w14:textId="427631B6" w:rsidR="00297B9E" w:rsidRPr="00996536" w:rsidRDefault="00297B9E" w:rsidP="00E37B96">
      <w:r w:rsidRPr="00E37B96">
        <w:rPr>
          <w:rFonts w:ascii="Arial" w:hAnsi="Arial" w:cs="Arial"/>
        </w:rPr>
        <w:t>C)</w:t>
      </w:r>
      <w:r w:rsidRPr="00297B9E">
        <w:t xml:space="preserve"> </w:t>
      </w:r>
      <w:r w:rsidRPr="00996536">
        <w:t>A Chinese manufacturer of phones and accessories who wants to enter the UK market</w:t>
      </w:r>
    </w:p>
    <w:p w14:paraId="4B892E01" w14:textId="72785FAC" w:rsidR="00297B9E" w:rsidRDefault="00297B9E" w:rsidP="00297B9E">
      <w:pPr>
        <w:spacing w:line="480" w:lineRule="auto"/>
        <w:rPr>
          <w:rFonts w:ascii="Times New Roman" w:hAnsi="Times New Roman" w:cs="Times New Roman"/>
          <w:sz w:val="24"/>
          <w:szCs w:val="24"/>
        </w:rPr>
      </w:pPr>
      <w:r w:rsidRPr="00996536">
        <w:rPr>
          <w:rFonts w:ascii="Times New Roman" w:hAnsi="Times New Roman" w:cs="Times New Roman"/>
          <w:sz w:val="24"/>
          <w:szCs w:val="24"/>
        </w:rPr>
        <w:t xml:space="preserve">The Mobile phone technology industry is very advanced in society, especially in the UK. There are giant companies already operating in the UK market, and therefore, entry into the market is likely to be faced by a wide range of challenges. </w:t>
      </w:r>
      <w:proofErr w:type="gramStart"/>
      <w:r w:rsidRPr="00996536">
        <w:rPr>
          <w:rFonts w:ascii="Times New Roman" w:hAnsi="Times New Roman" w:cs="Times New Roman"/>
          <w:sz w:val="24"/>
          <w:szCs w:val="24"/>
        </w:rPr>
        <w:t>Therefore</w:t>
      </w:r>
      <w:proofErr w:type="gramEnd"/>
      <w:r w:rsidRPr="00996536">
        <w:rPr>
          <w:rFonts w:ascii="Times New Roman" w:hAnsi="Times New Roman" w:cs="Times New Roman"/>
          <w:sz w:val="24"/>
          <w:szCs w:val="24"/>
        </w:rPr>
        <w:t xml:space="preserve"> for the Chinese company that seeks to enter the US market, the most appropriate mode of entry and operation would be through acquisition. This is mainly through gaining control of an already operating low-level company in the UK market through buying stocks, exchanging stock, or buying the company from the owners (</w:t>
      </w:r>
      <w:r w:rsidRPr="00996536">
        <w:rPr>
          <w:rFonts w:ascii="Times New Roman" w:hAnsi="Times New Roman" w:cs="Times New Roman"/>
          <w:color w:val="222222"/>
          <w:sz w:val="24"/>
          <w:szCs w:val="24"/>
          <w:shd w:val="clear" w:color="auto" w:fill="FFFFFF"/>
        </w:rPr>
        <w:t>Buckley, &amp; Casson, 1998)</w:t>
      </w:r>
      <w:r w:rsidRPr="00996536">
        <w:rPr>
          <w:rFonts w:ascii="Times New Roman" w:hAnsi="Times New Roman" w:cs="Times New Roman"/>
          <w:sz w:val="24"/>
          <w:szCs w:val="24"/>
        </w:rPr>
        <w:t xml:space="preserve">. This way, the company will have quick and established access to the UK market. While this process can be very expensive, the </w:t>
      </w:r>
      <w:r w:rsidRPr="00996536">
        <w:rPr>
          <w:rFonts w:ascii="Times New Roman" w:hAnsi="Times New Roman" w:cs="Times New Roman"/>
          <w:sz w:val="24"/>
          <w:szCs w:val="24"/>
        </w:rPr>
        <w:lastRenderedPageBreak/>
        <w:t xml:space="preserve">company will access an already existing market base and thus extend its operations from there. Also, in the case that the company needs for scale acquisition will provide a good entry and operational procedure. Also, it means that the company will not have to deal with extensive government regulations such as licensing since these are already established and in place. The company will therefore operate effectively by providing the customers with unique and quality products which are manufactured. Also, it is important to note that the Chinese company will be </w:t>
      </w:r>
      <w:proofErr w:type="spellStart"/>
      <w:proofErr w:type="gramStart"/>
      <w:r w:rsidRPr="00996536">
        <w:rPr>
          <w:rFonts w:ascii="Times New Roman" w:hAnsi="Times New Roman" w:cs="Times New Roman"/>
          <w:sz w:val="24"/>
          <w:szCs w:val="24"/>
        </w:rPr>
        <w:t>ab;e</w:t>
      </w:r>
      <w:proofErr w:type="spellEnd"/>
      <w:proofErr w:type="gramEnd"/>
      <w:r w:rsidRPr="00996536">
        <w:rPr>
          <w:rFonts w:ascii="Times New Roman" w:hAnsi="Times New Roman" w:cs="Times New Roman"/>
          <w:sz w:val="24"/>
          <w:szCs w:val="24"/>
        </w:rPr>
        <w:t xml:space="preserve"> to have a high degree of control in operations and know the consumers and competition in the market. However, some of the limitations of this entry strategy are the high-level resources and high degree of commitment required for the company to succeed in the market. </w:t>
      </w:r>
    </w:p>
    <w:p w14:paraId="0D25747E" w14:textId="77777777" w:rsidR="00E37B96" w:rsidRDefault="00E37B96" w:rsidP="00297B9E">
      <w:pPr>
        <w:spacing w:line="480" w:lineRule="auto"/>
        <w:jc w:val="center"/>
        <w:rPr>
          <w:rFonts w:ascii="Times New Roman" w:hAnsi="Times New Roman" w:cs="Times New Roman"/>
          <w:sz w:val="24"/>
          <w:szCs w:val="24"/>
        </w:rPr>
      </w:pPr>
    </w:p>
    <w:p w14:paraId="46E327F7" w14:textId="294F6E38" w:rsidR="00297B9E" w:rsidRPr="00996536" w:rsidRDefault="00297B9E" w:rsidP="00297B9E">
      <w:pPr>
        <w:spacing w:line="480" w:lineRule="auto"/>
        <w:jc w:val="center"/>
        <w:rPr>
          <w:rFonts w:ascii="Times New Roman" w:hAnsi="Times New Roman" w:cs="Times New Roman"/>
          <w:sz w:val="24"/>
          <w:szCs w:val="24"/>
        </w:rPr>
      </w:pPr>
      <w:r>
        <w:rPr>
          <w:rFonts w:ascii="Arial" w:hAnsi="Arial" w:cs="Arial"/>
        </w:rPr>
        <w:t>4)</w:t>
      </w:r>
      <w:r w:rsidRPr="00297B9E">
        <w:rPr>
          <w:rFonts w:ascii="Times New Roman" w:hAnsi="Times New Roman" w:cs="Times New Roman"/>
          <w:sz w:val="24"/>
          <w:szCs w:val="24"/>
        </w:rPr>
        <w:t xml:space="preserve"> </w:t>
      </w:r>
      <w:r w:rsidRPr="00996536">
        <w:rPr>
          <w:rFonts w:ascii="Times New Roman" w:hAnsi="Times New Roman" w:cs="Times New Roman"/>
          <w:sz w:val="24"/>
          <w:szCs w:val="24"/>
        </w:rPr>
        <w:t xml:space="preserve">WTO Move to Cover </w:t>
      </w:r>
      <w:proofErr w:type="gramStart"/>
      <w:r w:rsidRPr="00996536">
        <w:rPr>
          <w:rFonts w:ascii="Times New Roman" w:hAnsi="Times New Roman" w:cs="Times New Roman"/>
          <w:sz w:val="24"/>
          <w:szCs w:val="24"/>
        </w:rPr>
        <w:t>The</w:t>
      </w:r>
      <w:proofErr w:type="gramEnd"/>
      <w:r w:rsidRPr="00996536">
        <w:rPr>
          <w:rFonts w:ascii="Times New Roman" w:hAnsi="Times New Roman" w:cs="Times New Roman"/>
          <w:sz w:val="24"/>
          <w:szCs w:val="24"/>
        </w:rPr>
        <w:t xml:space="preserve"> Effects of Brexit</w:t>
      </w:r>
      <w:r w:rsidR="00E37B96">
        <w:rPr>
          <w:rFonts w:ascii="Times New Roman" w:hAnsi="Times New Roman" w:cs="Times New Roman"/>
          <w:sz w:val="24"/>
          <w:szCs w:val="24"/>
        </w:rPr>
        <w:t xml:space="preserve">  </w:t>
      </w:r>
    </w:p>
    <w:p w14:paraId="13810A5F" w14:textId="77777777" w:rsidR="00297B9E" w:rsidRPr="00996536" w:rsidRDefault="00297B9E" w:rsidP="00297B9E">
      <w:pPr>
        <w:spacing w:line="480" w:lineRule="auto"/>
        <w:ind w:firstLine="720"/>
        <w:rPr>
          <w:rFonts w:ascii="Times New Roman" w:hAnsi="Times New Roman" w:cs="Times New Roman"/>
          <w:sz w:val="24"/>
          <w:szCs w:val="24"/>
        </w:rPr>
      </w:pPr>
      <w:r w:rsidRPr="00996536">
        <w:rPr>
          <w:rFonts w:ascii="Times New Roman" w:hAnsi="Times New Roman" w:cs="Times New Roman"/>
          <w:sz w:val="24"/>
          <w:szCs w:val="24"/>
        </w:rPr>
        <w:t xml:space="preserve">The UK’s exit from the European Union had a significant impact on trade. One such effect is the imposition of EU tariffs on trade (Thomas &amp; Foster, 2021). Although the TCA still allows for tariff-free trading, the rules are </w:t>
      </w:r>
      <w:proofErr w:type="gramStart"/>
      <w:r w:rsidRPr="00996536">
        <w:rPr>
          <w:rFonts w:ascii="Times New Roman" w:hAnsi="Times New Roman" w:cs="Times New Roman"/>
          <w:sz w:val="24"/>
          <w:szCs w:val="24"/>
        </w:rPr>
        <w:t>pretty different</w:t>
      </w:r>
      <w:proofErr w:type="gramEnd"/>
      <w:r w:rsidRPr="00996536">
        <w:rPr>
          <w:rFonts w:ascii="Times New Roman" w:hAnsi="Times New Roman" w:cs="Times New Roman"/>
          <w:sz w:val="24"/>
          <w:szCs w:val="24"/>
        </w:rPr>
        <w:t>, and the goods for export or import have to qualify for tariff-free trading individually. Therefore, an advantage that the WTO may have for UK businesses to continue their trade is allowing tariff-free trade. The WTO currently requires countries out of the EU to pay EU tariffs in alignment with the Most-</w:t>
      </w:r>
      <w:proofErr w:type="spellStart"/>
      <w:r w:rsidRPr="00996536">
        <w:rPr>
          <w:rFonts w:ascii="Times New Roman" w:hAnsi="Times New Roman" w:cs="Times New Roman"/>
          <w:sz w:val="24"/>
          <w:szCs w:val="24"/>
        </w:rPr>
        <w:t>Favored</w:t>
      </w:r>
      <w:proofErr w:type="spellEnd"/>
      <w:r w:rsidRPr="00996536">
        <w:rPr>
          <w:rFonts w:ascii="Times New Roman" w:hAnsi="Times New Roman" w:cs="Times New Roman"/>
          <w:sz w:val="24"/>
          <w:szCs w:val="24"/>
        </w:rPr>
        <w:t>-Nation (MFN) clause. This means that the UK will have to pay equal tariffs as paid by other nations, significantly impacting trade. If the WTO implements tariff-free trade, then the UK can continue enjoying trade benefits as experienced while in the EU.</w:t>
      </w:r>
    </w:p>
    <w:p w14:paraId="5877979B" w14:textId="77777777" w:rsidR="00297B9E" w:rsidRPr="00996536" w:rsidRDefault="00297B9E" w:rsidP="00297B9E">
      <w:pPr>
        <w:spacing w:line="480" w:lineRule="auto"/>
        <w:ind w:firstLine="720"/>
        <w:rPr>
          <w:rFonts w:ascii="Times New Roman" w:hAnsi="Times New Roman" w:cs="Times New Roman"/>
          <w:sz w:val="24"/>
          <w:szCs w:val="24"/>
        </w:rPr>
      </w:pPr>
      <w:r w:rsidRPr="00996536">
        <w:rPr>
          <w:rFonts w:ascii="Times New Roman" w:hAnsi="Times New Roman" w:cs="Times New Roman"/>
          <w:sz w:val="24"/>
          <w:szCs w:val="24"/>
        </w:rPr>
        <w:t xml:space="preserve"> Businesses in the UK will now need to apply for Authorized Economic Operator (AEO) status. This will allow business owners to have AEO numbers which make their customs processes easier. However, the UK’s exit from the EU presents challenges, </w:t>
      </w:r>
      <w:r w:rsidRPr="00996536">
        <w:rPr>
          <w:rFonts w:ascii="Times New Roman" w:hAnsi="Times New Roman" w:cs="Times New Roman"/>
          <w:sz w:val="24"/>
          <w:szCs w:val="24"/>
        </w:rPr>
        <w:lastRenderedPageBreak/>
        <w:t xml:space="preserve">particularly for small businesses that </w:t>
      </w:r>
      <w:proofErr w:type="gramStart"/>
      <w:r w:rsidRPr="00996536">
        <w:rPr>
          <w:rFonts w:ascii="Times New Roman" w:hAnsi="Times New Roman" w:cs="Times New Roman"/>
          <w:sz w:val="24"/>
          <w:szCs w:val="24"/>
        </w:rPr>
        <w:t>have to</w:t>
      </w:r>
      <w:proofErr w:type="gramEnd"/>
      <w:r w:rsidRPr="00996536">
        <w:rPr>
          <w:rFonts w:ascii="Times New Roman" w:hAnsi="Times New Roman" w:cs="Times New Roman"/>
          <w:sz w:val="24"/>
          <w:szCs w:val="24"/>
        </w:rPr>
        <w:t xml:space="preserve"> apply for AEO. The WTO can benefit businesses in the UK by ensuring ease of application for AEO status, whether small or large businesses. </w:t>
      </w:r>
    </w:p>
    <w:p w14:paraId="7EFFFEE1" w14:textId="77777777" w:rsidR="00297B9E" w:rsidRPr="00996536" w:rsidRDefault="00297B9E" w:rsidP="00297B9E">
      <w:pPr>
        <w:spacing w:line="480" w:lineRule="auto"/>
        <w:ind w:firstLine="720"/>
        <w:rPr>
          <w:rFonts w:ascii="Times New Roman" w:hAnsi="Times New Roman" w:cs="Times New Roman"/>
          <w:sz w:val="24"/>
          <w:szCs w:val="24"/>
        </w:rPr>
      </w:pPr>
      <w:r w:rsidRPr="00996536">
        <w:rPr>
          <w:rFonts w:ascii="Times New Roman" w:hAnsi="Times New Roman" w:cs="Times New Roman"/>
          <w:sz w:val="24"/>
          <w:szCs w:val="24"/>
        </w:rPr>
        <w:t>Exiting the EU means that the UK is now subject to trade deals rules of origin (</w:t>
      </w:r>
      <w:proofErr w:type="spellStart"/>
      <w:r w:rsidRPr="00996536">
        <w:rPr>
          <w:rFonts w:ascii="Times New Roman" w:hAnsi="Times New Roman" w:cs="Times New Roman"/>
          <w:sz w:val="24"/>
          <w:szCs w:val="24"/>
        </w:rPr>
        <w:t>Persio</w:t>
      </w:r>
      <w:proofErr w:type="spellEnd"/>
      <w:r w:rsidRPr="00996536">
        <w:rPr>
          <w:rFonts w:ascii="Times New Roman" w:hAnsi="Times New Roman" w:cs="Times New Roman"/>
          <w:sz w:val="24"/>
          <w:szCs w:val="24"/>
        </w:rPr>
        <w:t>, 2021). This means that only goods originating from the UK or EU qualify for the preferential rate of duty. This requirement for the rules of origin presents a trade barrier for UK businesses. Exporting or importing outside the UK or EU may become a challenge because sometimes goods may originate from outside the EU for export to EU or UK regions. The WTO can step in by ensuring UK businesses do not face the trade deals rules of origin. This way, they can enjoy a preferential rate of duty for goods imported or exported anywhere globally.</w:t>
      </w:r>
    </w:p>
    <w:p w14:paraId="3DE1FB52" w14:textId="77777777" w:rsidR="00297B9E" w:rsidRPr="00996536" w:rsidRDefault="00297B9E" w:rsidP="00297B9E">
      <w:pPr>
        <w:spacing w:line="480" w:lineRule="auto"/>
        <w:ind w:firstLine="720"/>
        <w:rPr>
          <w:rFonts w:ascii="Times New Roman" w:hAnsi="Times New Roman" w:cs="Times New Roman"/>
          <w:sz w:val="24"/>
          <w:szCs w:val="24"/>
        </w:rPr>
      </w:pPr>
      <w:r w:rsidRPr="00996536">
        <w:rPr>
          <w:rFonts w:ascii="Times New Roman" w:hAnsi="Times New Roman" w:cs="Times New Roman"/>
          <w:sz w:val="24"/>
          <w:szCs w:val="24"/>
        </w:rPr>
        <w:t>Another difficulty experienced by businesses after Brexit is additional paperwork (Thomas &amp; Foster, 2021). It has become almost impossible to move goods from within the UK to other countries within the EU or Northern Ireland. Exiting the EU now has the implication of additional paperwork required of UK businesses and this sometimes delays delivery of goods to the desired destinations. Business owners in the UK mainly complained of the additional time, paperwork, and costs of exporting their goods, and most of them decided to opt out of trade with the EU. This majorly impacted their profits being that the UE was one of their major trade partners. The WTO can come in by ensuring UK businesses do not face the problem of additional paperwork required for export and import. The organization can ensure they continue to enjoy the benefits of trade with the EU member states without any additional costs.</w:t>
      </w:r>
    </w:p>
    <w:p w14:paraId="7CEB742D" w14:textId="323EBEB4" w:rsidR="00297B9E" w:rsidRDefault="00297B9E">
      <w:pPr>
        <w:rPr>
          <w:rFonts w:ascii="Arial" w:hAnsi="Arial" w:cs="Arial"/>
        </w:rPr>
      </w:pPr>
    </w:p>
    <w:p w14:paraId="2C26C513" w14:textId="666340E4" w:rsidR="00E37B96" w:rsidRDefault="00E37B96">
      <w:pPr>
        <w:rPr>
          <w:rFonts w:ascii="Arial" w:hAnsi="Arial" w:cs="Arial"/>
        </w:rPr>
      </w:pPr>
    </w:p>
    <w:p w14:paraId="08BD669D" w14:textId="65164B35" w:rsidR="00E37B96" w:rsidRDefault="00E37B96">
      <w:pPr>
        <w:rPr>
          <w:rFonts w:ascii="Arial" w:hAnsi="Arial" w:cs="Arial"/>
        </w:rPr>
      </w:pPr>
    </w:p>
    <w:p w14:paraId="4DA996C8" w14:textId="536196DB" w:rsidR="00DC3547" w:rsidRDefault="00DC3547" w:rsidP="00E37B96">
      <w:pPr>
        <w:spacing w:line="480" w:lineRule="auto"/>
        <w:ind w:left="567" w:hanging="567"/>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lastRenderedPageBreak/>
        <w:t xml:space="preserve">References </w:t>
      </w:r>
    </w:p>
    <w:p w14:paraId="6EF81033" w14:textId="77777777" w:rsidR="00DC3547" w:rsidRDefault="00DC3547" w:rsidP="00E37B96">
      <w:pPr>
        <w:spacing w:line="480" w:lineRule="auto"/>
        <w:ind w:left="567" w:hanging="567"/>
        <w:rPr>
          <w:rFonts w:ascii="Times New Roman" w:hAnsi="Times New Roman" w:cs="Times New Roman"/>
          <w:color w:val="222222"/>
          <w:sz w:val="24"/>
          <w:szCs w:val="24"/>
          <w:shd w:val="clear" w:color="auto" w:fill="FFFFFF"/>
        </w:rPr>
      </w:pPr>
    </w:p>
    <w:p w14:paraId="2B60C8CF" w14:textId="7E0A5F54" w:rsidR="00E37B96" w:rsidRPr="00996536" w:rsidRDefault="00E37B96" w:rsidP="00E37B96">
      <w:pPr>
        <w:spacing w:line="480" w:lineRule="auto"/>
        <w:ind w:left="567" w:hanging="567"/>
        <w:rPr>
          <w:rFonts w:ascii="Times New Roman" w:hAnsi="Times New Roman" w:cs="Times New Roman"/>
          <w:color w:val="222222"/>
          <w:sz w:val="24"/>
          <w:szCs w:val="24"/>
          <w:shd w:val="clear" w:color="auto" w:fill="FFFFFF"/>
        </w:rPr>
      </w:pPr>
      <w:r w:rsidRPr="00996536">
        <w:rPr>
          <w:rFonts w:ascii="Times New Roman" w:hAnsi="Times New Roman" w:cs="Times New Roman"/>
          <w:color w:val="222222"/>
          <w:sz w:val="24"/>
          <w:szCs w:val="24"/>
          <w:shd w:val="clear" w:color="auto" w:fill="FFFFFF"/>
        </w:rPr>
        <w:t xml:space="preserve">Buckley, P. J., &amp; Casson, M. C. (1998). </w:t>
      </w:r>
      <w:proofErr w:type="spellStart"/>
      <w:r w:rsidRPr="00996536">
        <w:rPr>
          <w:rFonts w:ascii="Times New Roman" w:hAnsi="Times New Roman" w:cs="Times New Roman"/>
          <w:color w:val="222222"/>
          <w:sz w:val="24"/>
          <w:szCs w:val="24"/>
          <w:shd w:val="clear" w:color="auto" w:fill="FFFFFF"/>
        </w:rPr>
        <w:t>Analyzing</w:t>
      </w:r>
      <w:proofErr w:type="spellEnd"/>
      <w:r w:rsidRPr="00996536">
        <w:rPr>
          <w:rFonts w:ascii="Times New Roman" w:hAnsi="Times New Roman" w:cs="Times New Roman"/>
          <w:color w:val="222222"/>
          <w:sz w:val="24"/>
          <w:szCs w:val="24"/>
          <w:shd w:val="clear" w:color="auto" w:fill="FFFFFF"/>
        </w:rPr>
        <w:t xml:space="preserve"> foreign market entry strategies: Extending the internalization approach. </w:t>
      </w:r>
      <w:r w:rsidRPr="00996536">
        <w:rPr>
          <w:rFonts w:ascii="Times New Roman" w:hAnsi="Times New Roman" w:cs="Times New Roman"/>
          <w:i/>
          <w:iCs/>
          <w:color w:val="222222"/>
          <w:sz w:val="24"/>
          <w:szCs w:val="24"/>
          <w:shd w:val="clear" w:color="auto" w:fill="FFFFFF"/>
        </w:rPr>
        <w:t>Journal of international business studies</w:t>
      </w:r>
      <w:r w:rsidRPr="00996536">
        <w:rPr>
          <w:rFonts w:ascii="Times New Roman" w:hAnsi="Times New Roman" w:cs="Times New Roman"/>
          <w:color w:val="222222"/>
          <w:sz w:val="24"/>
          <w:szCs w:val="24"/>
          <w:shd w:val="clear" w:color="auto" w:fill="FFFFFF"/>
        </w:rPr>
        <w:t>, </w:t>
      </w:r>
      <w:r w:rsidRPr="00996536">
        <w:rPr>
          <w:rFonts w:ascii="Times New Roman" w:hAnsi="Times New Roman" w:cs="Times New Roman"/>
          <w:i/>
          <w:iCs/>
          <w:color w:val="222222"/>
          <w:sz w:val="24"/>
          <w:szCs w:val="24"/>
          <w:shd w:val="clear" w:color="auto" w:fill="FFFFFF"/>
        </w:rPr>
        <w:t>29</w:t>
      </w:r>
      <w:r w:rsidRPr="00996536">
        <w:rPr>
          <w:rFonts w:ascii="Times New Roman" w:hAnsi="Times New Roman" w:cs="Times New Roman"/>
          <w:color w:val="222222"/>
          <w:sz w:val="24"/>
          <w:szCs w:val="24"/>
          <w:shd w:val="clear" w:color="auto" w:fill="FFFFFF"/>
        </w:rPr>
        <w:t>(3), 539-561.</w:t>
      </w:r>
    </w:p>
    <w:p w14:paraId="3B047AAD" w14:textId="77777777" w:rsidR="00E37B96" w:rsidRPr="00996536" w:rsidRDefault="00E37B96" w:rsidP="00E37B96">
      <w:pPr>
        <w:spacing w:line="480" w:lineRule="auto"/>
        <w:ind w:left="567" w:hanging="567"/>
        <w:rPr>
          <w:rFonts w:ascii="Times New Roman" w:hAnsi="Times New Roman" w:cs="Times New Roman"/>
          <w:sz w:val="24"/>
          <w:szCs w:val="24"/>
        </w:rPr>
      </w:pPr>
      <w:r w:rsidRPr="00996536">
        <w:rPr>
          <w:rFonts w:ascii="Times New Roman" w:hAnsi="Times New Roman" w:cs="Times New Roman"/>
          <w:color w:val="222222"/>
          <w:sz w:val="24"/>
          <w:szCs w:val="24"/>
          <w:shd w:val="clear" w:color="auto" w:fill="FFFFFF"/>
        </w:rPr>
        <w:t xml:space="preserve">Goodnow, J. D., &amp; </w:t>
      </w:r>
      <w:proofErr w:type="spellStart"/>
      <w:r w:rsidRPr="00996536">
        <w:rPr>
          <w:rFonts w:ascii="Times New Roman" w:hAnsi="Times New Roman" w:cs="Times New Roman"/>
          <w:color w:val="222222"/>
          <w:sz w:val="24"/>
          <w:szCs w:val="24"/>
          <w:shd w:val="clear" w:color="auto" w:fill="FFFFFF"/>
        </w:rPr>
        <w:t>Hansz</w:t>
      </w:r>
      <w:proofErr w:type="spellEnd"/>
      <w:r w:rsidRPr="00996536">
        <w:rPr>
          <w:rFonts w:ascii="Times New Roman" w:hAnsi="Times New Roman" w:cs="Times New Roman"/>
          <w:color w:val="222222"/>
          <w:sz w:val="24"/>
          <w:szCs w:val="24"/>
          <w:shd w:val="clear" w:color="auto" w:fill="FFFFFF"/>
        </w:rPr>
        <w:t>, J. E. (1972). Environmental determinants of overseas market entry strategies. </w:t>
      </w:r>
      <w:r w:rsidRPr="00996536">
        <w:rPr>
          <w:rFonts w:ascii="Times New Roman" w:hAnsi="Times New Roman" w:cs="Times New Roman"/>
          <w:i/>
          <w:iCs/>
          <w:color w:val="222222"/>
          <w:sz w:val="24"/>
          <w:szCs w:val="24"/>
          <w:shd w:val="clear" w:color="auto" w:fill="FFFFFF"/>
        </w:rPr>
        <w:t>Journal of International Business Studies</w:t>
      </w:r>
      <w:r w:rsidRPr="00996536">
        <w:rPr>
          <w:rFonts w:ascii="Times New Roman" w:hAnsi="Times New Roman" w:cs="Times New Roman"/>
          <w:color w:val="222222"/>
          <w:sz w:val="24"/>
          <w:szCs w:val="24"/>
          <w:shd w:val="clear" w:color="auto" w:fill="FFFFFF"/>
        </w:rPr>
        <w:t>, 33-50.</w:t>
      </w:r>
    </w:p>
    <w:p w14:paraId="6328B5C4" w14:textId="03A99EB2" w:rsidR="00E37B96" w:rsidRPr="00996536" w:rsidRDefault="00E37B96" w:rsidP="00DC3547">
      <w:pPr>
        <w:spacing w:line="480" w:lineRule="auto"/>
        <w:ind w:left="720" w:hanging="720"/>
        <w:rPr>
          <w:rFonts w:ascii="Times New Roman" w:hAnsi="Times New Roman" w:cs="Times New Roman"/>
          <w:sz w:val="24"/>
          <w:szCs w:val="24"/>
        </w:rPr>
      </w:pPr>
      <w:proofErr w:type="spellStart"/>
      <w:r w:rsidRPr="00996536">
        <w:rPr>
          <w:rFonts w:ascii="Times New Roman" w:hAnsi="Times New Roman" w:cs="Times New Roman"/>
          <w:sz w:val="24"/>
          <w:szCs w:val="24"/>
        </w:rPr>
        <w:t>Persio</w:t>
      </w:r>
      <w:proofErr w:type="spellEnd"/>
      <w:r w:rsidRPr="00996536">
        <w:rPr>
          <w:rFonts w:ascii="Times New Roman" w:hAnsi="Times New Roman" w:cs="Times New Roman"/>
          <w:sz w:val="24"/>
          <w:szCs w:val="24"/>
        </w:rPr>
        <w:t xml:space="preserve">, SL 2021, ‘How Brexit is changing Businesses,’ </w:t>
      </w:r>
      <w:r w:rsidRPr="00996536">
        <w:rPr>
          <w:rFonts w:ascii="Times New Roman" w:hAnsi="Times New Roman" w:cs="Times New Roman"/>
          <w:i/>
          <w:iCs/>
          <w:sz w:val="24"/>
          <w:szCs w:val="24"/>
        </w:rPr>
        <w:t>Forbes</w:t>
      </w:r>
      <w:r w:rsidRPr="00996536">
        <w:rPr>
          <w:rFonts w:ascii="Times New Roman" w:hAnsi="Times New Roman" w:cs="Times New Roman"/>
          <w:sz w:val="24"/>
          <w:szCs w:val="24"/>
        </w:rPr>
        <w:t xml:space="preserve">. </w:t>
      </w:r>
      <w:proofErr w:type="spellStart"/>
      <w:r w:rsidRPr="00996536">
        <w:rPr>
          <w:rFonts w:ascii="Times New Roman" w:hAnsi="Times New Roman" w:cs="Times New Roman"/>
          <w:sz w:val="24"/>
          <w:szCs w:val="24"/>
        </w:rPr>
        <w:t>Availabe</w:t>
      </w:r>
      <w:proofErr w:type="spellEnd"/>
      <w:r w:rsidRPr="00996536">
        <w:rPr>
          <w:rFonts w:ascii="Times New Roman" w:hAnsi="Times New Roman" w:cs="Times New Roman"/>
          <w:sz w:val="24"/>
          <w:szCs w:val="24"/>
        </w:rPr>
        <w:t xml:space="preserve"> from: &lt; </w:t>
      </w:r>
      <w:hyperlink r:id="rId5" w:history="1">
        <w:r w:rsidRPr="00996536">
          <w:rPr>
            <w:rStyle w:val="Hyperlink"/>
            <w:rFonts w:ascii="Times New Roman" w:hAnsi="Times New Roman" w:cs="Times New Roman"/>
            <w:sz w:val="24"/>
            <w:szCs w:val="24"/>
          </w:rPr>
          <w:t>https://www.forbes.com/sites/sofialottopersio/2021/01/12/how-brexit-is-changing-business/?sh=4d5db5b07f0d</w:t>
        </w:r>
      </w:hyperlink>
      <w:r w:rsidRPr="00996536">
        <w:rPr>
          <w:rFonts w:ascii="Times New Roman" w:hAnsi="Times New Roman" w:cs="Times New Roman"/>
          <w:sz w:val="24"/>
          <w:szCs w:val="24"/>
        </w:rPr>
        <w:t>&gt;. [27 July 2021].</w:t>
      </w:r>
    </w:p>
    <w:p w14:paraId="2BD1FD57" w14:textId="77777777" w:rsidR="00E37B96" w:rsidRPr="00996536" w:rsidRDefault="00E37B96" w:rsidP="00E37B96">
      <w:pPr>
        <w:spacing w:line="480" w:lineRule="auto"/>
        <w:ind w:left="720" w:hanging="720"/>
        <w:rPr>
          <w:rFonts w:ascii="Times New Roman" w:hAnsi="Times New Roman" w:cs="Times New Roman"/>
          <w:sz w:val="24"/>
          <w:szCs w:val="24"/>
        </w:rPr>
      </w:pPr>
      <w:r w:rsidRPr="00996536">
        <w:rPr>
          <w:rFonts w:ascii="Times New Roman" w:hAnsi="Times New Roman" w:cs="Times New Roman"/>
          <w:sz w:val="24"/>
          <w:szCs w:val="24"/>
        </w:rPr>
        <w:t>Thomas, D &amp; Foster, P 2021, ‘Six months in and UK businesses are still battling with Brexit 2021’</w:t>
      </w:r>
      <w:r w:rsidRPr="00996536">
        <w:rPr>
          <w:rFonts w:ascii="Times New Roman" w:hAnsi="Times New Roman" w:cs="Times New Roman"/>
          <w:i/>
          <w:iCs/>
          <w:sz w:val="24"/>
          <w:szCs w:val="24"/>
        </w:rPr>
        <w:t xml:space="preserve">, Financial Times. </w:t>
      </w:r>
      <w:r w:rsidRPr="00996536">
        <w:rPr>
          <w:rFonts w:ascii="Times New Roman" w:hAnsi="Times New Roman" w:cs="Times New Roman"/>
          <w:sz w:val="24"/>
          <w:szCs w:val="24"/>
        </w:rPr>
        <w:t xml:space="preserve">Available from: &lt; </w:t>
      </w:r>
      <w:hyperlink r:id="rId6" w:history="1">
        <w:r w:rsidRPr="00996536">
          <w:rPr>
            <w:rStyle w:val="Hyperlink"/>
            <w:rFonts w:ascii="Times New Roman" w:hAnsi="Times New Roman" w:cs="Times New Roman"/>
            <w:sz w:val="24"/>
            <w:szCs w:val="24"/>
          </w:rPr>
          <w:t>https://www.ft.com/content/eadc7c23-2125-4381-93ae-a54104e5ccc7</w:t>
        </w:r>
      </w:hyperlink>
      <w:r w:rsidRPr="00996536">
        <w:rPr>
          <w:rFonts w:ascii="Times New Roman" w:hAnsi="Times New Roman" w:cs="Times New Roman"/>
          <w:sz w:val="24"/>
          <w:szCs w:val="24"/>
        </w:rPr>
        <w:t>.&gt;. [27 July 2021].</w:t>
      </w:r>
    </w:p>
    <w:p w14:paraId="31F0C3FB" w14:textId="77777777" w:rsidR="00E37B96" w:rsidRPr="00E37B96" w:rsidRDefault="00E37B96" w:rsidP="00E37B96">
      <w:pPr>
        <w:spacing w:line="480" w:lineRule="auto"/>
        <w:ind w:left="567" w:hanging="567"/>
        <w:rPr>
          <w:rFonts w:ascii="Times New Roman" w:hAnsi="Times New Roman" w:cs="Times New Roman"/>
          <w:color w:val="222222"/>
          <w:sz w:val="24"/>
          <w:szCs w:val="24"/>
          <w:shd w:val="clear" w:color="auto" w:fill="FFFFFF"/>
        </w:rPr>
      </w:pPr>
      <w:r w:rsidRPr="00996536">
        <w:rPr>
          <w:rFonts w:ascii="Times New Roman" w:hAnsi="Times New Roman" w:cs="Times New Roman"/>
          <w:color w:val="222222"/>
          <w:sz w:val="24"/>
          <w:szCs w:val="24"/>
          <w:shd w:val="clear" w:color="auto" w:fill="FFFFFF"/>
        </w:rPr>
        <w:t xml:space="preserve">Watson IV, G. F., </w:t>
      </w:r>
      <w:proofErr w:type="spellStart"/>
      <w:r w:rsidRPr="00996536">
        <w:rPr>
          <w:rFonts w:ascii="Times New Roman" w:hAnsi="Times New Roman" w:cs="Times New Roman"/>
          <w:color w:val="222222"/>
          <w:sz w:val="24"/>
          <w:szCs w:val="24"/>
          <w:shd w:val="clear" w:color="auto" w:fill="FFFFFF"/>
        </w:rPr>
        <w:t>Weaven</w:t>
      </w:r>
      <w:proofErr w:type="spellEnd"/>
      <w:r w:rsidRPr="00996536">
        <w:rPr>
          <w:rFonts w:ascii="Times New Roman" w:hAnsi="Times New Roman" w:cs="Times New Roman"/>
          <w:color w:val="222222"/>
          <w:sz w:val="24"/>
          <w:szCs w:val="24"/>
          <w:shd w:val="clear" w:color="auto" w:fill="FFFFFF"/>
        </w:rPr>
        <w:t xml:space="preserve">, S., Perkins, H., Sardana, D., &amp; </w:t>
      </w:r>
      <w:proofErr w:type="spellStart"/>
      <w:r w:rsidRPr="00996536">
        <w:rPr>
          <w:rFonts w:ascii="Times New Roman" w:hAnsi="Times New Roman" w:cs="Times New Roman"/>
          <w:color w:val="222222"/>
          <w:sz w:val="24"/>
          <w:szCs w:val="24"/>
          <w:shd w:val="clear" w:color="auto" w:fill="FFFFFF"/>
        </w:rPr>
        <w:t>Palmatier</w:t>
      </w:r>
      <w:proofErr w:type="spellEnd"/>
      <w:r w:rsidRPr="00996536">
        <w:rPr>
          <w:rFonts w:ascii="Times New Roman" w:hAnsi="Times New Roman" w:cs="Times New Roman"/>
          <w:color w:val="222222"/>
          <w:sz w:val="24"/>
          <w:szCs w:val="24"/>
          <w:shd w:val="clear" w:color="auto" w:fill="FFFFFF"/>
        </w:rPr>
        <w:t>, R. W. (2018). International market entry strategies: Relational, digital, and hybrid approaches. </w:t>
      </w:r>
      <w:r w:rsidRPr="00996536">
        <w:rPr>
          <w:rFonts w:ascii="Times New Roman" w:hAnsi="Times New Roman" w:cs="Times New Roman"/>
          <w:i/>
          <w:iCs/>
          <w:color w:val="222222"/>
          <w:sz w:val="24"/>
          <w:szCs w:val="24"/>
          <w:shd w:val="clear" w:color="auto" w:fill="FFFFFF"/>
        </w:rPr>
        <w:t>Journal of International Marketing</w:t>
      </w:r>
      <w:r w:rsidRPr="00996536">
        <w:rPr>
          <w:rFonts w:ascii="Times New Roman" w:hAnsi="Times New Roman" w:cs="Times New Roman"/>
          <w:color w:val="222222"/>
          <w:sz w:val="24"/>
          <w:szCs w:val="24"/>
          <w:shd w:val="clear" w:color="auto" w:fill="FFFFFF"/>
        </w:rPr>
        <w:t>, </w:t>
      </w:r>
      <w:r w:rsidRPr="00996536">
        <w:rPr>
          <w:rFonts w:ascii="Times New Roman" w:hAnsi="Times New Roman" w:cs="Times New Roman"/>
          <w:i/>
          <w:iCs/>
          <w:color w:val="222222"/>
          <w:sz w:val="24"/>
          <w:szCs w:val="24"/>
          <w:shd w:val="clear" w:color="auto" w:fill="FFFFFF"/>
        </w:rPr>
        <w:t>26</w:t>
      </w:r>
      <w:r w:rsidRPr="00996536">
        <w:rPr>
          <w:rFonts w:ascii="Times New Roman" w:hAnsi="Times New Roman" w:cs="Times New Roman"/>
          <w:color w:val="222222"/>
          <w:sz w:val="24"/>
          <w:szCs w:val="24"/>
          <w:shd w:val="clear" w:color="auto" w:fill="FFFFFF"/>
        </w:rPr>
        <w:t>(1), 30-60.</w:t>
      </w:r>
    </w:p>
    <w:p w14:paraId="2350169C" w14:textId="77777777" w:rsidR="00E37B96" w:rsidRDefault="00E37B96">
      <w:pPr>
        <w:rPr>
          <w:rFonts w:ascii="Arial" w:hAnsi="Arial" w:cs="Arial"/>
        </w:rPr>
      </w:pPr>
    </w:p>
    <w:p w14:paraId="6658CC74" w14:textId="77777777" w:rsidR="00297B9E" w:rsidRDefault="00297B9E">
      <w:pPr>
        <w:rPr>
          <w:rFonts w:ascii="Arial" w:hAnsi="Arial" w:cs="Arial"/>
        </w:rPr>
      </w:pPr>
    </w:p>
    <w:p w14:paraId="5717D4F8" w14:textId="48520C6E" w:rsidR="00297B9E" w:rsidRDefault="00297B9E">
      <w:pPr>
        <w:rPr>
          <w:rFonts w:ascii="Arial" w:hAnsi="Arial" w:cs="Arial"/>
        </w:rPr>
      </w:pPr>
    </w:p>
    <w:p w14:paraId="0EB3A5BD" w14:textId="1CEA0BF8" w:rsidR="00297B9E" w:rsidRDefault="00297B9E">
      <w:pPr>
        <w:rPr>
          <w:rFonts w:ascii="Arial" w:hAnsi="Arial" w:cs="Arial"/>
        </w:rPr>
      </w:pPr>
    </w:p>
    <w:p w14:paraId="59D9E76F" w14:textId="17906BF6" w:rsidR="00297B9E" w:rsidRDefault="00297B9E">
      <w:pPr>
        <w:rPr>
          <w:rFonts w:ascii="Arial" w:hAnsi="Arial" w:cs="Arial"/>
        </w:rPr>
      </w:pPr>
    </w:p>
    <w:p w14:paraId="1A8A7FA8" w14:textId="4E5007DA" w:rsidR="00297B9E" w:rsidRDefault="00297B9E">
      <w:pPr>
        <w:rPr>
          <w:rFonts w:ascii="Arial" w:hAnsi="Arial" w:cs="Arial"/>
        </w:rPr>
      </w:pPr>
    </w:p>
    <w:p w14:paraId="6F4A1C65" w14:textId="0930459B" w:rsidR="00297B9E" w:rsidRDefault="00297B9E">
      <w:pPr>
        <w:rPr>
          <w:rFonts w:ascii="Arial" w:hAnsi="Arial" w:cs="Arial"/>
        </w:rPr>
      </w:pPr>
    </w:p>
    <w:p w14:paraId="1BEB08FA" w14:textId="77777777" w:rsidR="00297B9E" w:rsidRPr="00F57E5F" w:rsidRDefault="00297B9E">
      <w:pPr>
        <w:rPr>
          <w:rFonts w:ascii="Arial" w:hAnsi="Arial" w:cs="Arial"/>
        </w:rPr>
      </w:pPr>
    </w:p>
    <w:sectPr w:rsidR="00297B9E" w:rsidRPr="00F57E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6782E0D"/>
    <w:multiLevelType w:val="hybridMultilevel"/>
    <w:tmpl w:val="8FD689C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5D6E96"/>
    <w:multiLevelType w:val="hybridMultilevel"/>
    <w:tmpl w:val="8FD689CC"/>
    <w:lvl w:ilvl="0" w:tplc="08090019">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891ECC"/>
    <w:multiLevelType w:val="hybridMultilevel"/>
    <w:tmpl w:val="8FD689CC"/>
    <w:lvl w:ilvl="0" w:tplc="08090019">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E5F"/>
    <w:rsid w:val="00205044"/>
    <w:rsid w:val="00297B9E"/>
    <w:rsid w:val="00DC3547"/>
    <w:rsid w:val="00E37B96"/>
    <w:rsid w:val="00F57E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838A4"/>
  <w15:chartTrackingRefBased/>
  <w15:docId w15:val="{54554659-1AF9-4F66-A471-976A95EA4E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7E5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7B9E"/>
    <w:pPr>
      <w:spacing w:line="480" w:lineRule="auto"/>
      <w:ind w:left="720"/>
      <w:contextualSpacing/>
      <w:jc w:val="center"/>
    </w:pPr>
    <w:rPr>
      <w:rFonts w:ascii="Times New Roman" w:hAnsi="Times New Roman" w:cs="Times New Roman"/>
      <w:sz w:val="24"/>
      <w:szCs w:val="24"/>
      <w:lang w:val="en-US"/>
    </w:rPr>
  </w:style>
  <w:style w:type="character" w:styleId="Hyperlink">
    <w:name w:val="Hyperlink"/>
    <w:basedOn w:val="DefaultParagraphFont"/>
    <w:uiPriority w:val="99"/>
    <w:unhideWhenUsed/>
    <w:rsid w:val="00E37B9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ft.com/content/eadc7c23-2125-4381-93ae-a54104e5ccc7" TargetMode="External"/><Relationship Id="rId5" Type="http://schemas.openxmlformats.org/officeDocument/2006/relationships/hyperlink" Target="https://www.forbes.com/sites/sofialottopersio/2021/01/12/how-brexit-is-changing-business/?sh=4d5db5b07f0d"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1492</Words>
  <Characters>8511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Adelina-Victoria Dumitru (2015292)</dc:creator>
  <cp:keywords/>
  <dc:description/>
  <cp:lastModifiedBy>Adelina-Victoria Dumitru (2015292)</cp:lastModifiedBy>
  <cp:revision>2</cp:revision>
  <dcterms:created xsi:type="dcterms:W3CDTF">2021-07-27T10:27:00Z</dcterms:created>
  <dcterms:modified xsi:type="dcterms:W3CDTF">2021-07-27T10:27:00Z</dcterms:modified>
</cp:coreProperties>
</file>