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0991D" w14:textId="0D3BD229" w:rsidR="007B7BC9" w:rsidRPr="007B7BC9" w:rsidRDefault="007B7BC9" w:rsidP="007B7BC9">
      <w:pPr>
        <w:jc w:val="center"/>
        <w:rPr>
          <w:b/>
          <w:bCs/>
          <w:u w:val="single"/>
        </w:rPr>
      </w:pPr>
      <w:r w:rsidRPr="007B7BC9">
        <w:rPr>
          <w:b/>
          <w:bCs/>
          <w:u w:val="single"/>
        </w:rPr>
        <w:t>Essay One:</w:t>
      </w:r>
    </w:p>
    <w:p w14:paraId="2B7EDA1C" w14:textId="77777777" w:rsidR="007B7BC9" w:rsidRPr="007022FE" w:rsidRDefault="007B7BC9" w:rsidP="007B7BC9">
      <w:pPr>
        <w:rPr>
          <w:i/>
          <w:iCs/>
        </w:rPr>
      </w:pPr>
      <w:r w:rsidRPr="007022FE">
        <w:rPr>
          <w:i/>
          <w:iCs/>
        </w:rPr>
        <w:t xml:space="preserve">How effectively has the </w:t>
      </w:r>
      <w:bookmarkStart w:id="0" w:name="_Hlk162455842"/>
      <w:r w:rsidRPr="007022FE">
        <w:rPr>
          <w:i/>
          <w:iCs/>
        </w:rPr>
        <w:t>police service adapted to accommodate diversity within the UK</w:t>
      </w:r>
      <w:bookmarkEnd w:id="0"/>
      <w:r w:rsidRPr="007022FE">
        <w:rPr>
          <w:i/>
          <w:iCs/>
        </w:rPr>
        <w:t>? Consider the police force itself and/or the way police engage with diverse communities.</w:t>
      </w:r>
    </w:p>
    <w:p w14:paraId="3C821F37" w14:textId="77777777" w:rsidR="007B7BC9" w:rsidRDefault="007B7BC9" w:rsidP="007B7BC9">
      <w:pPr>
        <w:rPr>
          <w:b/>
          <w:bCs/>
        </w:rPr>
      </w:pPr>
      <w:r w:rsidRPr="007022FE">
        <w:rPr>
          <w:b/>
          <w:bCs/>
        </w:rPr>
        <w:t>Word limit: 1000 words.</w:t>
      </w:r>
    </w:p>
    <w:p w14:paraId="66F45FEA" w14:textId="77777777" w:rsidR="007B7BC9" w:rsidRDefault="007B7BC9" w:rsidP="00B71CD8">
      <w:pPr>
        <w:spacing w:line="360" w:lineRule="auto"/>
      </w:pPr>
      <w:r>
        <w:t>Diversity is defined as “the deliberate inclusion in a group or activity of people who are, for example, of different races, genders, and religions”</w:t>
      </w:r>
      <w:sdt>
        <w:sdtPr>
          <w:id w:val="2126113943"/>
          <w:citation/>
        </w:sdtPr>
        <w:sdtContent>
          <w:r>
            <w:fldChar w:fldCharType="begin"/>
          </w:r>
          <w:r>
            <w:instrText xml:space="preserve">CITATION COLLINS \l 2057 </w:instrText>
          </w:r>
          <w:r>
            <w:fldChar w:fldCharType="separate"/>
          </w:r>
          <w:r>
            <w:rPr>
              <w:noProof/>
            </w:rPr>
            <w:t xml:space="preserve"> (Collins Dictionary, 2024)</w:t>
          </w:r>
          <w:r>
            <w:fldChar w:fldCharType="end"/>
          </w:r>
        </w:sdtContent>
      </w:sdt>
      <w:r>
        <w:t xml:space="preserve">. Putting these characteristics at the heart of policing will “attract, recruit, and retain a diverse workforce” </w:t>
      </w:r>
      <w:sdt>
        <w:sdtPr>
          <w:id w:val="-1147669108"/>
          <w:citation/>
        </w:sdtPr>
        <w:sdtContent>
          <w:r>
            <w:fldChar w:fldCharType="begin"/>
          </w:r>
          <w:r>
            <w:instrText xml:space="preserve">CITATION Col24 \t  \l 2057 </w:instrText>
          </w:r>
          <w:r>
            <w:fldChar w:fldCharType="separate"/>
          </w:r>
          <w:r>
            <w:rPr>
              <w:noProof/>
            </w:rPr>
            <w:t>(College of Policing, 2024)</w:t>
          </w:r>
          <w:r>
            <w:fldChar w:fldCharType="end"/>
          </w:r>
        </w:sdtContent>
      </w:sdt>
      <w:r>
        <w:t xml:space="preserve">. If the Police service is to be truly representative of the communities each force serves, then it must take the notion of policing by consent and the nine original policing principles seriously. This will go hand in hand with the need to accommodate diversity within the UK and is “rooted in the belief that for policing to be effective, there must be broad public support for a police service’s actions” </w:t>
      </w:r>
      <w:sdt>
        <w:sdtPr>
          <w:id w:val="-637179763"/>
          <w:citation/>
        </w:sdtPr>
        <w:sdtContent>
          <w:r>
            <w:fldChar w:fldCharType="begin"/>
          </w:r>
          <w:r>
            <w:instrText xml:space="preserve"> CITATION Des20 \l 2057 </w:instrText>
          </w:r>
          <w:r>
            <w:fldChar w:fldCharType="separate"/>
          </w:r>
          <w:r>
            <w:rPr>
              <w:noProof/>
            </w:rPr>
            <w:t>(Desai, 2020)</w:t>
          </w:r>
          <w:r>
            <w:fldChar w:fldCharType="end"/>
          </w:r>
        </w:sdtContent>
      </w:sdt>
      <w:r>
        <w:t>.</w:t>
      </w:r>
    </w:p>
    <w:p w14:paraId="4810732B" w14:textId="100C651C" w:rsidR="007B7BC9" w:rsidRDefault="007B7BC9" w:rsidP="00B71CD8">
      <w:pPr>
        <w:spacing w:line="360" w:lineRule="auto"/>
      </w:pPr>
      <w:r>
        <w:t xml:space="preserve">As communities become more diverse, the Police service must adapt to encompass such change. This change can be measured by comparing the relative population values for ethnic groups in England and Wales versus the ethnicity of serving police officers. For example, in 2021, 81.7% (48.7 million) residents in England and Wales identified themselves as white </w:t>
      </w:r>
      <w:sdt>
        <w:sdtPr>
          <w:id w:val="-879173402"/>
          <w:citation/>
        </w:sdtPr>
        <w:sdtContent>
          <w:r>
            <w:fldChar w:fldCharType="begin"/>
          </w:r>
          <w:r>
            <w:instrText xml:space="preserve">CITATION Off22 \l 2057 </w:instrText>
          </w:r>
          <w:r>
            <w:fldChar w:fldCharType="separate"/>
          </w:r>
          <w:r>
            <w:rPr>
              <w:noProof/>
            </w:rPr>
            <w:t>(ONS, 2022)</w:t>
          </w:r>
          <w:r>
            <w:fldChar w:fldCharType="end"/>
          </w:r>
        </w:sdtContent>
      </w:sdt>
      <w:r>
        <w:t>. On the other hand, the official Police statistics for the same period in England and Wales, show that 91.9% (</w:t>
      </w:r>
      <w:r w:rsidRPr="00DB1C8B">
        <w:t>128</w:t>
      </w:r>
      <w:r>
        <w:t>.</w:t>
      </w:r>
      <w:r w:rsidRPr="00DB1C8B">
        <w:t>92</w:t>
      </w:r>
      <w:r>
        <w:t xml:space="preserve">5) police officers identified as white </w:t>
      </w:r>
      <w:sdt>
        <w:sdtPr>
          <w:id w:val="1747369962"/>
          <w:citation/>
        </w:sdtPr>
        <w:sdtContent>
          <w:r>
            <w:fldChar w:fldCharType="begin"/>
          </w:r>
          <w:r>
            <w:instrText xml:space="preserve">CITATION GOV231 \t  \l 2057 </w:instrText>
          </w:r>
          <w:r>
            <w:fldChar w:fldCharType="separate"/>
          </w:r>
          <w:r>
            <w:rPr>
              <w:noProof/>
            </w:rPr>
            <w:t>(GOV.UK, 2023)</w:t>
          </w:r>
          <w:r>
            <w:fldChar w:fldCharType="end"/>
          </w:r>
        </w:sdtContent>
      </w:sdt>
      <w:r>
        <w:t>. This is an important statistic as it describes</w:t>
      </w:r>
      <w:r>
        <w:rPr>
          <w:rFonts w:ascii="Roboto" w:hAnsi="Roboto"/>
          <w:color w:val="283041"/>
          <w:sz w:val="21"/>
          <w:szCs w:val="21"/>
          <w:shd w:val="clear" w:color="auto" w:fill="FFFFFF"/>
        </w:rPr>
        <w:t xml:space="preserve"> </w:t>
      </w:r>
      <w:r w:rsidRPr="00F639E8">
        <w:rPr>
          <w:shd w:val="clear" w:color="auto" w:fill="FFFFFF"/>
        </w:rPr>
        <w:t xml:space="preserve">the proportion of non-white officers is less than half the proportion of non-white members of the public, leading to the conclusion that the </w:t>
      </w:r>
      <w:r w:rsidR="00411C0E">
        <w:rPr>
          <w:shd w:val="clear" w:color="auto" w:fill="FFFFFF"/>
        </w:rPr>
        <w:t>p</w:t>
      </w:r>
      <w:r w:rsidRPr="00F639E8">
        <w:rPr>
          <w:shd w:val="clear" w:color="auto" w:fill="FFFFFF"/>
        </w:rPr>
        <w:t>olice service cannot yet claim to be fully representative of the community and achieve the necessary consent of the public</w:t>
      </w:r>
      <w:r>
        <w:rPr>
          <w:rFonts w:ascii="Roboto" w:hAnsi="Roboto"/>
          <w:color w:val="283041"/>
          <w:sz w:val="21"/>
          <w:szCs w:val="21"/>
          <w:shd w:val="clear" w:color="auto" w:fill="FFFFFF"/>
        </w:rPr>
        <w:t>.</w:t>
      </w:r>
      <w:r>
        <w:t xml:space="preserve"> The statistics show that the </w:t>
      </w:r>
      <w:r w:rsidR="00E80E3B">
        <w:t>p</w:t>
      </w:r>
      <w:r>
        <w:t xml:space="preserve">olice service must do more to close the gap between white officers and those from other ethnic backgrounds. As Silverstone </w:t>
      </w:r>
      <w:r w:rsidR="00053C6D">
        <w:t>&amp;</w:t>
      </w:r>
      <w:r>
        <w:t xml:space="preserve"> Walker (2020) note, “r</w:t>
      </w:r>
      <w:r w:rsidRPr="004C3B2B">
        <w:t>epresentation alone cannot fix larger societal issues when it comes to racism</w:t>
      </w:r>
      <w:r>
        <w:t>” but when deployed, it can be shown to “</w:t>
      </w:r>
      <w:r w:rsidRPr="004C3B2B">
        <w:t>provide reassurance and support to communities of colour</w:t>
      </w:r>
      <w:r>
        <w:t>”.</w:t>
      </w:r>
    </w:p>
    <w:p w14:paraId="3A1F0653" w14:textId="5C86430D" w:rsidR="007B7BC9" w:rsidRDefault="007B7BC9" w:rsidP="00B71CD8">
      <w:pPr>
        <w:spacing w:line="360" w:lineRule="auto"/>
      </w:pPr>
      <w:r>
        <w:t xml:space="preserve">The Police service is a public sector employer, and a duty exists to comply with the Equality Act, </w:t>
      </w:r>
      <w:r w:rsidR="00411C0E">
        <w:t>(</w:t>
      </w:r>
      <w:r>
        <w:t>2010</w:t>
      </w:r>
      <w:r w:rsidR="00411C0E">
        <w:t>)</w:t>
      </w:r>
      <w:r>
        <w:t xml:space="preserve"> </w:t>
      </w:r>
      <w:sdt>
        <w:sdtPr>
          <w:id w:val="1013565827"/>
          <w:citation/>
        </w:sdtPr>
        <w:sdtContent>
          <w:r>
            <w:fldChar w:fldCharType="begin"/>
          </w:r>
          <w:r>
            <w:instrText xml:space="preserve"> CITATION Leg10 \l 2057 </w:instrText>
          </w:r>
          <w:r>
            <w:fldChar w:fldCharType="separate"/>
          </w:r>
          <w:r>
            <w:rPr>
              <w:noProof/>
            </w:rPr>
            <w:t>(Legislation, 2010)</w:t>
          </w:r>
          <w:r>
            <w:fldChar w:fldCharType="end"/>
          </w:r>
        </w:sdtContent>
      </w:sdt>
      <w:r>
        <w:t xml:space="preserve">, which “legally protects people from discrimination” </w:t>
      </w:r>
      <w:sdt>
        <w:sdtPr>
          <w:id w:val="-1367597409"/>
          <w:citation/>
        </w:sdtPr>
        <w:sdtContent>
          <w:r>
            <w:fldChar w:fldCharType="begin"/>
          </w:r>
          <w:r>
            <w:instrText xml:space="preserve">CITATION GOV10 \t  \l 2057 </w:instrText>
          </w:r>
          <w:r>
            <w:fldChar w:fldCharType="separate"/>
          </w:r>
          <w:r>
            <w:rPr>
              <w:noProof/>
            </w:rPr>
            <w:t>(GOV.UK, 2010)</w:t>
          </w:r>
          <w:r>
            <w:fldChar w:fldCharType="end"/>
          </w:r>
        </w:sdtContent>
      </w:sdt>
      <w:r>
        <w:t>. The Police service has a duty to ensure transparency by publishing information to demonstrate compliance and translate this into working policies. This places a greater emphasis</w:t>
      </w:r>
      <w:r w:rsidR="00676795">
        <w:t xml:space="preserve"> on the police service</w:t>
      </w:r>
      <w:r>
        <w:t xml:space="preserve"> to</w:t>
      </w:r>
      <w:r w:rsidR="00676795">
        <w:t xml:space="preserve"> </w:t>
      </w:r>
      <w:r w:rsidRPr="009B4287">
        <w:t>eliminate discrimination, harassment, victimisatio</w:t>
      </w:r>
      <w:r w:rsidR="00676795">
        <w:t>n and “</w:t>
      </w:r>
      <w:r w:rsidRPr="009B4287">
        <w:t>advance equality of opportunity</w:t>
      </w:r>
      <w:r>
        <w:t>…</w:t>
      </w:r>
      <w:r w:rsidRPr="009B4287">
        <w:t>foster good relations between persons who share a relevant protected characteristic and persons who do not share it</w:t>
      </w:r>
      <w:r>
        <w:t>”</w:t>
      </w:r>
      <w:sdt>
        <w:sdtPr>
          <w:id w:val="342520456"/>
          <w:citation/>
        </w:sdtPr>
        <w:sdtContent>
          <w:r>
            <w:fldChar w:fldCharType="begin"/>
          </w:r>
          <w:r>
            <w:instrText xml:space="preserve">CITATION Leg11 \t  \l 2057 </w:instrText>
          </w:r>
          <w:r>
            <w:fldChar w:fldCharType="separate"/>
          </w:r>
          <w:r>
            <w:rPr>
              <w:noProof/>
            </w:rPr>
            <w:t xml:space="preserve"> (Equality Act, 2010)</w:t>
          </w:r>
          <w:r>
            <w:fldChar w:fldCharType="end"/>
          </w:r>
        </w:sdtContent>
      </w:sdt>
      <w:r>
        <w:t xml:space="preserve">. This act of law and others like it, such as The Human Rights Act (1998), Article 9 - freedom of thought, belief and religion, and Article 14, the protection from discrimination in respect of these rights and freedoms </w:t>
      </w:r>
      <w:sdt>
        <w:sdtPr>
          <w:id w:val="1882137906"/>
          <w:citation/>
        </w:sdtPr>
        <w:sdtContent>
          <w:r>
            <w:fldChar w:fldCharType="begin"/>
          </w:r>
          <w:r>
            <w:instrText xml:space="preserve">CITATION Equ18 \l 2057 </w:instrText>
          </w:r>
          <w:r>
            <w:fldChar w:fldCharType="separate"/>
          </w:r>
          <w:r>
            <w:rPr>
              <w:noProof/>
            </w:rPr>
            <w:t>(Equality and Human Rights Commission, 2018)</w:t>
          </w:r>
          <w:r>
            <w:fldChar w:fldCharType="end"/>
          </w:r>
        </w:sdtContent>
      </w:sdt>
      <w:r w:rsidR="000049BF">
        <w:t xml:space="preserve"> offer greater protection from discrimination</w:t>
      </w:r>
      <w:r>
        <w:t xml:space="preserve">. These changes in legislation have helped to build the foundations of the modern-day police service and demonstrate to the public that the </w:t>
      </w:r>
      <w:r w:rsidR="00411C0E">
        <w:t>p</w:t>
      </w:r>
      <w:r>
        <w:t xml:space="preserve">olice </w:t>
      </w:r>
      <w:r w:rsidR="00411C0E">
        <w:t>s</w:t>
      </w:r>
      <w:r>
        <w:t>ervice is a transparent and professional organisation that adheres to rule of law.</w:t>
      </w:r>
    </w:p>
    <w:p w14:paraId="53425F7D" w14:textId="5D51A062" w:rsidR="007B7BC9" w:rsidRDefault="007B7BC9" w:rsidP="00B71CD8">
      <w:pPr>
        <w:spacing w:line="360" w:lineRule="auto"/>
      </w:pPr>
      <w:r>
        <w:t xml:space="preserve">The public perception of the </w:t>
      </w:r>
      <w:r w:rsidR="00411C0E">
        <w:t>p</w:t>
      </w:r>
      <w:r>
        <w:t xml:space="preserve">olice service is fragile and must be constantly </w:t>
      </w:r>
      <w:r w:rsidR="000E6728">
        <w:t>reviewed</w:t>
      </w:r>
      <w:r>
        <w:t xml:space="preserve">. An extremely important example of how public perception of the police has diminished would be the tragic murder of George Floyd at the hands of police officers in the United States in 2020 and the ‘Black Lives Matter’ movement that followed sparking global protests </w:t>
      </w:r>
      <w:sdt>
        <w:sdtPr>
          <w:id w:val="85812073"/>
          <w:citation/>
        </w:sdtPr>
        <w:sdtContent>
          <w:r>
            <w:fldChar w:fldCharType="begin"/>
          </w:r>
          <w:r>
            <w:instrText xml:space="preserve">CITATION BBC21 \t  \l 2057 </w:instrText>
          </w:r>
          <w:r>
            <w:fldChar w:fldCharType="separate"/>
          </w:r>
          <w:r>
            <w:rPr>
              <w:noProof/>
            </w:rPr>
            <w:t>(BBC, 2021)</w:t>
          </w:r>
          <w:r>
            <w:fldChar w:fldCharType="end"/>
          </w:r>
        </w:sdtContent>
      </w:sdt>
      <w:r>
        <w:t xml:space="preserve">. This has led to increased scrutiny of the </w:t>
      </w:r>
      <w:r w:rsidR="00411C0E">
        <w:t>p</w:t>
      </w:r>
      <w:r>
        <w:t xml:space="preserve">olice service with multiple organisations and political figures calling for reform. One such political figure has described policing by consent as, “the power of the police must derive from the support entrusted into the service by all communities that comprise our society” </w:t>
      </w:r>
      <w:sdt>
        <w:sdtPr>
          <w:id w:val="-2130229496"/>
          <w:citation/>
        </w:sdtPr>
        <w:sdtContent>
          <w:r>
            <w:fldChar w:fldCharType="begin"/>
          </w:r>
          <w:r>
            <w:instrText xml:space="preserve"> CITATION Des20 \l 2057 </w:instrText>
          </w:r>
          <w:r>
            <w:fldChar w:fldCharType="separate"/>
          </w:r>
          <w:r>
            <w:rPr>
              <w:noProof/>
            </w:rPr>
            <w:t>(Desai, 2020)</w:t>
          </w:r>
          <w:r>
            <w:fldChar w:fldCharType="end"/>
          </w:r>
        </w:sdtContent>
      </w:sdt>
      <w:r>
        <w:t xml:space="preserve">. This defines the argument by highlighting the main issues arising from trust and how the </w:t>
      </w:r>
      <w:r w:rsidR="00411C0E">
        <w:t>p</w:t>
      </w:r>
      <w:r>
        <w:t xml:space="preserve">olice service must conduct itself to earn the </w:t>
      </w:r>
      <w:r w:rsidR="00937501">
        <w:t>consent</w:t>
      </w:r>
      <w:r>
        <w:t xml:space="preserve"> of the people. This is exacerbated further when the leading police force in the UK is labelled as “institutionally racist and misogynistic” </w:t>
      </w:r>
      <w:sdt>
        <w:sdtPr>
          <w:id w:val="392399080"/>
          <w:citation/>
        </w:sdtPr>
        <w:sdtContent>
          <w:r>
            <w:fldChar w:fldCharType="begin"/>
          </w:r>
          <w:r>
            <w:instrText xml:space="preserve">CITATION Bar23 \l 2057 </w:instrText>
          </w:r>
          <w:r>
            <w:fldChar w:fldCharType="separate"/>
          </w:r>
          <w:r>
            <w:rPr>
              <w:noProof/>
            </w:rPr>
            <w:t>(Blackstock, 2023)</w:t>
          </w:r>
          <w:r>
            <w:fldChar w:fldCharType="end"/>
          </w:r>
        </w:sdtContent>
      </w:sdt>
      <w:r>
        <w:t xml:space="preserve">, after one of their officers “abducted, raped and murdered Sarah Everard in March 2021” </w:t>
      </w:r>
      <w:sdt>
        <w:sdtPr>
          <w:id w:val="-585071213"/>
          <w:citation/>
        </w:sdtPr>
        <w:sdtContent>
          <w:r>
            <w:fldChar w:fldCharType="begin"/>
          </w:r>
          <w:r>
            <w:instrText xml:space="preserve">CITATION BBC23 \t  \l 2057 </w:instrText>
          </w:r>
          <w:r>
            <w:fldChar w:fldCharType="separate"/>
          </w:r>
          <w:r>
            <w:rPr>
              <w:noProof/>
            </w:rPr>
            <w:t>(BBC, 2023)</w:t>
          </w:r>
          <w:r>
            <w:fldChar w:fldCharType="end"/>
          </w:r>
        </w:sdtContent>
      </w:sdt>
      <w:r>
        <w:t xml:space="preserve">. None of these events enhance public approval and has been shown to be disastrous to the way the </w:t>
      </w:r>
      <w:r w:rsidR="0089324D">
        <w:t>p</w:t>
      </w:r>
      <w:r>
        <w:t>olice service engages with diverse communities.</w:t>
      </w:r>
    </w:p>
    <w:p w14:paraId="3456273C" w14:textId="0B9A91A4" w:rsidR="007B7BC9" w:rsidRDefault="007B7BC9" w:rsidP="00B71CD8">
      <w:pPr>
        <w:spacing w:line="360" w:lineRule="auto"/>
      </w:pPr>
      <w:r>
        <w:t xml:space="preserve">The police service must aim to promote the nine protected characteristics set out under the Equality Act 2010, which includes “Age, Gender, Race, Disability, Religion or belief, Sexual orientation, Gender reassignment, Marriage or civil partnerships, Pregnancy and maternity” </w:t>
      </w:r>
      <w:sdt>
        <w:sdtPr>
          <w:id w:val="-228463971"/>
          <w:citation/>
        </w:sdtPr>
        <w:sdtContent>
          <w:r>
            <w:fldChar w:fldCharType="begin"/>
          </w:r>
          <w:r>
            <w:instrText xml:space="preserve"> CITATION ECH21 \l 2057 </w:instrText>
          </w:r>
          <w:r>
            <w:fldChar w:fldCharType="separate"/>
          </w:r>
          <w:r>
            <w:rPr>
              <w:noProof/>
            </w:rPr>
            <w:t>(ECHR, 2021)</w:t>
          </w:r>
          <w:r>
            <w:fldChar w:fldCharType="end"/>
          </w:r>
        </w:sdtContent>
      </w:sdt>
      <w:r>
        <w:t>. The inclusion of the principles can be found in the framework published by the College of Policing, which provides “r</w:t>
      </w:r>
      <w:r w:rsidRPr="00FB5A3E">
        <w:t>esources to help forces create positive work environments based on equity and respect</w:t>
      </w:r>
      <w:r>
        <w:t xml:space="preserve">” </w:t>
      </w:r>
      <w:sdt>
        <w:sdtPr>
          <w:id w:val="-226068608"/>
          <w:citation/>
        </w:sdtPr>
        <w:sdtContent>
          <w:r>
            <w:fldChar w:fldCharType="begin"/>
          </w:r>
          <w:r>
            <w:instrText xml:space="preserve">CITATION Col231 \t  \l 2057 </w:instrText>
          </w:r>
          <w:r>
            <w:fldChar w:fldCharType="separate"/>
          </w:r>
          <w:r>
            <w:rPr>
              <w:noProof/>
            </w:rPr>
            <w:t>(College of Policing, 2023)</w:t>
          </w:r>
          <w:r>
            <w:fldChar w:fldCharType="end"/>
          </w:r>
        </w:sdtContent>
      </w:sdt>
      <w:r>
        <w:t xml:space="preserve">. These resources include a “police race action plan, flexible working, faith in the workplace, workplace adjustment passports, and positive action recruitments” </w:t>
      </w:r>
      <w:sdt>
        <w:sdtPr>
          <w:id w:val="-1539807594"/>
          <w:citation/>
        </w:sdtPr>
        <w:sdtContent>
          <w:r>
            <w:fldChar w:fldCharType="begin"/>
          </w:r>
          <w:r>
            <w:instrText xml:space="preserve">CITATION Col231 \t  \l 2057 </w:instrText>
          </w:r>
          <w:r>
            <w:fldChar w:fldCharType="separate"/>
          </w:r>
          <w:r>
            <w:rPr>
              <w:noProof/>
            </w:rPr>
            <w:t>(College of Policing, 2023)</w:t>
          </w:r>
          <w:r>
            <w:fldChar w:fldCharType="end"/>
          </w:r>
        </w:sdtContent>
      </w:sdt>
      <w:r>
        <w:t xml:space="preserve">. This serves as evidence of how the </w:t>
      </w:r>
      <w:r w:rsidR="004E6CD7">
        <w:t>p</w:t>
      </w:r>
      <w:r>
        <w:t xml:space="preserve">olice service interacts and engages with those from diverse backgrounds taking into consideration the nine protected characteristics outlined above and making progress towards achieving diversity and inclusion in the workplace whilst simultaneously advancing adherence to the Equality Act and Human Rights Legislation. On the other hand, </w:t>
      </w:r>
      <w:proofErr w:type="spellStart"/>
      <w:r w:rsidRPr="0099789A">
        <w:t>Bhugowandeen</w:t>
      </w:r>
      <w:proofErr w:type="spellEnd"/>
      <w:r>
        <w:t xml:space="preserve"> (2013) states that a “</w:t>
      </w:r>
      <w:r w:rsidRPr="00286171">
        <w:t>lack of role models particularly in the senior ranks</w:t>
      </w:r>
      <w:r>
        <w:t>” from BAME candidates or those from the LGBTQ+ Communities makes minority members less likely to consider a career in the organisation.</w:t>
      </w:r>
    </w:p>
    <w:p w14:paraId="682C070E" w14:textId="01402D92" w:rsidR="007B7BC9" w:rsidRDefault="007B7BC9" w:rsidP="00B71CD8">
      <w:pPr>
        <w:spacing w:line="360" w:lineRule="auto"/>
      </w:pPr>
      <w:r>
        <w:t xml:space="preserve">In summary, the Police service must negotiate an impasse in its history. Communities have changed dramatically since Sir Robert Peel established the basic principles for the MET in 1829. The notion of </w:t>
      </w:r>
      <w:r w:rsidR="00500E79">
        <w:t>p</w:t>
      </w:r>
      <w:r>
        <w:t xml:space="preserve">olicing by consent has been over scrutinised by the media and politicians however the </w:t>
      </w:r>
      <w:r w:rsidR="004E6CD7">
        <w:t>p</w:t>
      </w:r>
      <w:r>
        <w:t xml:space="preserve">olice service, by its very nature, must continue to interact with diverse communities. The Equality Act </w:t>
      </w:r>
      <w:r w:rsidR="004E6CD7">
        <w:t>(</w:t>
      </w:r>
      <w:r>
        <w:t>2010</w:t>
      </w:r>
      <w:r w:rsidR="004E6CD7">
        <w:t>)</w:t>
      </w:r>
      <w:r>
        <w:t xml:space="preserve"> introduced legal protection against discrimination and the College of Policing has introduced </w:t>
      </w:r>
      <w:r w:rsidR="00500E79">
        <w:t>a plethora of</w:t>
      </w:r>
      <w:r>
        <w:t xml:space="preserve"> “resources” to facilitate new working practices to accommodate diversity and inclusion in the </w:t>
      </w:r>
      <w:r w:rsidR="004E6CD7">
        <w:t>p</w:t>
      </w:r>
      <w:r>
        <w:t xml:space="preserve">olice service.  The statistics are important, to advance equality and diversity and close the gap between </w:t>
      </w:r>
      <w:r w:rsidR="00500E79">
        <w:t>minorities</w:t>
      </w:r>
      <w:r>
        <w:t xml:space="preserve">. This in turn would make the service more representative and contribute towards achieving meaningful policing by consent that is proposed by </w:t>
      </w:r>
      <w:r w:rsidR="000A2CBF">
        <w:t>politicians and lawmakers</w:t>
      </w:r>
      <w:r>
        <w:t xml:space="preserve">. Ethnicity is not the only protected characteristic the police service must continue to </w:t>
      </w:r>
      <w:r w:rsidR="00724B50">
        <w:t>engage with</w:t>
      </w:r>
      <w:r w:rsidR="00DE3E17">
        <w:t xml:space="preserve">. The police service must expand on its ability </w:t>
      </w:r>
      <w:r w:rsidR="005B613F">
        <w:t xml:space="preserve">to </w:t>
      </w:r>
      <w:r>
        <w:t>interact with other underrepresented groups in society</w:t>
      </w:r>
      <w:r w:rsidR="006477C7">
        <w:t>, such as LBGTQ</w:t>
      </w:r>
      <w:r w:rsidR="00AF47FD">
        <w:t xml:space="preserve">+ </w:t>
      </w:r>
      <w:r w:rsidR="005B613F">
        <w:t xml:space="preserve">and possibly motivate such </w:t>
      </w:r>
      <w:r w:rsidR="00AF47FD">
        <w:t>persons</w:t>
      </w:r>
      <w:r w:rsidR="005B613F">
        <w:t xml:space="preserve"> to apply for </w:t>
      </w:r>
      <w:r w:rsidR="006477C7">
        <w:t>roles in the service</w:t>
      </w:r>
      <w:r>
        <w:t xml:space="preserve">. This is vital for the </w:t>
      </w:r>
      <w:r w:rsidRPr="00CD7326">
        <w:t>police service to accommodate diversity within the UK</w:t>
      </w:r>
      <w:r>
        <w:t xml:space="preserve"> and achieve the levels of consent necessary to police effectively.</w:t>
      </w:r>
    </w:p>
    <w:p w14:paraId="7C179141" w14:textId="77777777" w:rsidR="007B7BC9" w:rsidRDefault="007B7BC9" w:rsidP="007B7BC9"/>
    <w:p w14:paraId="2F2C5D68" w14:textId="65C8CFC7" w:rsidR="007B7BC9" w:rsidRDefault="007B7BC9" w:rsidP="007B7BC9">
      <w:r w:rsidRPr="000F5137">
        <w:rPr>
          <w:b/>
          <w:bCs/>
        </w:rPr>
        <w:t>Word Count</w:t>
      </w:r>
      <w:r>
        <w:t xml:space="preserve">: </w:t>
      </w:r>
      <w:r>
        <w:rPr>
          <w:i/>
          <w:iCs/>
        </w:rPr>
        <w:t>10</w:t>
      </w:r>
      <w:r w:rsidR="009916B1">
        <w:rPr>
          <w:i/>
          <w:iCs/>
        </w:rPr>
        <w:t>7</w:t>
      </w:r>
      <w:r w:rsidR="00427AF7">
        <w:rPr>
          <w:i/>
          <w:iCs/>
        </w:rPr>
        <w:t>5</w:t>
      </w:r>
    </w:p>
    <w:p w14:paraId="54081CBF" w14:textId="77777777" w:rsidR="007B7BC9" w:rsidRDefault="007B7BC9" w:rsidP="007B7BC9"/>
    <w:p w14:paraId="5643AD8B" w14:textId="77777777" w:rsidR="007B7BC9" w:rsidRDefault="007B7BC9" w:rsidP="007B7BC9"/>
    <w:p w14:paraId="31B6FF68" w14:textId="77777777" w:rsidR="008A57C8" w:rsidRDefault="008A57C8"/>
    <w:p w14:paraId="3ABB0347" w14:textId="77777777" w:rsidR="007B7BC9" w:rsidRDefault="007B7BC9"/>
    <w:p w14:paraId="161ED670" w14:textId="77777777" w:rsidR="00B71CD8" w:rsidRDefault="00B71CD8"/>
    <w:p w14:paraId="5022331B" w14:textId="77777777" w:rsidR="00B71CD8" w:rsidRDefault="00B71CD8"/>
    <w:p w14:paraId="28C259BF" w14:textId="77777777" w:rsidR="00B71CD8" w:rsidRDefault="00B71CD8"/>
    <w:p w14:paraId="030D8865" w14:textId="77777777" w:rsidR="00B71CD8" w:rsidRDefault="00B71CD8"/>
    <w:p w14:paraId="70E7AA33" w14:textId="77777777" w:rsidR="00B71CD8" w:rsidRDefault="00B71CD8"/>
    <w:p w14:paraId="029B5166" w14:textId="77777777" w:rsidR="00B71CD8" w:rsidRDefault="00B71CD8"/>
    <w:p w14:paraId="3E73F19B" w14:textId="77777777" w:rsidR="00B71CD8" w:rsidRDefault="00B71CD8"/>
    <w:p w14:paraId="4473F0F5" w14:textId="77777777" w:rsidR="00B71CD8" w:rsidRDefault="00B71CD8"/>
    <w:p w14:paraId="3F55B524" w14:textId="77777777" w:rsidR="00B71CD8" w:rsidRDefault="00B71CD8"/>
    <w:p w14:paraId="2E89B33B" w14:textId="77777777" w:rsidR="00B71CD8" w:rsidRDefault="00B71CD8"/>
    <w:p w14:paraId="67D9E5C0" w14:textId="77777777" w:rsidR="00B71CD8" w:rsidRDefault="00B71CD8"/>
    <w:p w14:paraId="5905EB02" w14:textId="77777777" w:rsidR="007B7BC9" w:rsidRDefault="007B7BC9"/>
    <w:p w14:paraId="6F08616C" w14:textId="77777777" w:rsidR="007B7BC9" w:rsidRPr="00AF60D6" w:rsidRDefault="007B7BC9" w:rsidP="007B7BC9">
      <w:pPr>
        <w:jc w:val="center"/>
        <w:rPr>
          <w:b/>
          <w:bCs/>
          <w:u w:val="single"/>
        </w:rPr>
      </w:pPr>
      <w:r w:rsidRPr="00AF60D6">
        <w:rPr>
          <w:b/>
          <w:bCs/>
          <w:u w:val="single"/>
        </w:rPr>
        <w:t>Essay two:</w:t>
      </w:r>
    </w:p>
    <w:p w14:paraId="2F8E5E34" w14:textId="77777777" w:rsidR="007B7BC9" w:rsidRPr="00827F9C" w:rsidRDefault="007B7BC9" w:rsidP="007B7BC9">
      <w:r w:rsidRPr="00827F9C">
        <w:t xml:space="preserve">Response policing – Why is it important to manage mental wellbeing in policing? What can be the consequences if mental wellbeing is not managed appropriately? </w:t>
      </w:r>
    </w:p>
    <w:p w14:paraId="03C0AF03" w14:textId="77777777" w:rsidR="007B7BC9" w:rsidRDefault="007B7BC9" w:rsidP="007B7BC9">
      <w:pPr>
        <w:rPr>
          <w:b/>
          <w:bCs/>
        </w:rPr>
      </w:pPr>
      <w:r w:rsidRPr="00AF277D">
        <w:rPr>
          <w:b/>
          <w:bCs/>
        </w:rPr>
        <w:t>Word limit: 1000 words.</w:t>
      </w:r>
    </w:p>
    <w:p w14:paraId="1206A976" w14:textId="77777777" w:rsidR="007B7BC9" w:rsidRDefault="007B7BC9" w:rsidP="00B71CD8">
      <w:pPr>
        <w:spacing w:line="360" w:lineRule="auto"/>
      </w:pPr>
      <w:r>
        <w:t>The World Health Organisation defines mental health as “</w:t>
      </w:r>
      <w:r w:rsidRPr="001B3C2D">
        <w:t>a state of well-being in which an individua</w:t>
      </w:r>
      <w:r>
        <w:t>l…</w:t>
      </w:r>
      <w:r w:rsidRPr="001B3C2D">
        <w:t>can cope with the normal stresses of life, work productively and is able to make a contribution to his or her community</w:t>
      </w:r>
      <w:r>
        <w:t xml:space="preserve">” </w:t>
      </w:r>
      <w:sdt>
        <w:sdtPr>
          <w:id w:val="-1341228396"/>
          <w:citation/>
        </w:sdtPr>
        <w:sdtContent>
          <w:r>
            <w:fldChar w:fldCharType="begin"/>
          </w:r>
          <w:r>
            <w:instrText xml:space="preserve">CITATION Wor18 \l 2057 </w:instrText>
          </w:r>
          <w:r>
            <w:fldChar w:fldCharType="separate"/>
          </w:r>
          <w:r>
            <w:rPr>
              <w:noProof/>
            </w:rPr>
            <w:t>(WHO, 2018)</w:t>
          </w:r>
          <w:r>
            <w:fldChar w:fldCharType="end"/>
          </w:r>
        </w:sdtContent>
      </w:sdt>
      <w:r w:rsidRPr="001B3C2D">
        <w:t>.</w:t>
      </w:r>
      <w:r>
        <w:t xml:space="preserve"> This definition is important when applied to the pressures and hazards of response policing, as mental health is likely to be affected by the events that police officers encounter during a typical tour of duty. This can often be seen as a stark contrast, as the very nature of response policing requires that no tour of duty is ever the same. Police officers are likely to experience traumatic scenes or events in their primary role as first responders where they are expected to respond and resolve intense</w:t>
      </w:r>
      <w:r w:rsidRPr="009A7C6A">
        <w:t xml:space="preserve"> situations </w:t>
      </w:r>
      <w:r>
        <w:t>such as “</w:t>
      </w:r>
      <w:r w:rsidRPr="009A7C6A">
        <w:t>violent criminals, terrorist attacks, domestic violence</w:t>
      </w:r>
      <w:r>
        <w:t xml:space="preserve">” </w:t>
      </w:r>
      <w:r w:rsidRPr="00EA4DFA">
        <w:t>Papazoglou, K., &amp; Tuttle, B. M. (2018)</w:t>
      </w:r>
      <w:r w:rsidRPr="009A7C6A">
        <w:t>.</w:t>
      </w:r>
      <w:r>
        <w:t xml:space="preserve"> This is exacerbated over a typical 30-year career with some academics estimating that Police officers may be exposed to over “900 potentially traumatic incidents over the course of their career” </w:t>
      </w:r>
      <w:proofErr w:type="spellStart"/>
      <w:r w:rsidRPr="00345C1A">
        <w:t>Rudofossi</w:t>
      </w:r>
      <w:proofErr w:type="spellEnd"/>
      <w:r w:rsidRPr="00345C1A">
        <w:t xml:space="preserve"> D. (2009)</w:t>
      </w:r>
      <w:r>
        <w:t>. How this trauma is managed will ultimately affect the resilience of police officers and goes hand in hand with their ability to perform their duties effectively.</w:t>
      </w:r>
    </w:p>
    <w:p w14:paraId="249FBD28" w14:textId="77777777" w:rsidR="007B7BC9" w:rsidRDefault="007B7BC9" w:rsidP="00B71CD8">
      <w:pPr>
        <w:spacing w:line="360" w:lineRule="auto"/>
        <w:rPr>
          <w:color w:val="000000"/>
          <w:shd w:val="clear" w:color="auto" w:fill="FFFFFF"/>
        </w:rPr>
      </w:pPr>
      <w:r>
        <w:t>Policing relies on interacting with members of the public and responding to emergencies. The lack of any predetermined remit exposes response officers t</w:t>
      </w:r>
      <w:r w:rsidRPr="00850D03">
        <w:t>o</w:t>
      </w:r>
      <w:r w:rsidRPr="00850D03">
        <w:rPr>
          <w:rFonts w:ascii="System" w:hAnsi="System"/>
          <w:color w:val="000000"/>
          <w:shd w:val="clear" w:color="auto" w:fill="FFFFF6"/>
        </w:rPr>
        <w:t xml:space="preserve"> </w:t>
      </w:r>
      <w:r w:rsidRPr="00A03155">
        <w:rPr>
          <w:color w:val="000000"/>
          <w:shd w:val="clear" w:color="auto" w:fill="FFFFF6"/>
        </w:rPr>
        <w:t xml:space="preserve">“a wide range of incidents that may include complex and confrontational situations” </w:t>
      </w:r>
      <w:sdt>
        <w:sdtPr>
          <w:rPr>
            <w:color w:val="000000"/>
            <w:shd w:val="clear" w:color="auto" w:fill="FFFFF6"/>
          </w:rPr>
          <w:id w:val="155110730"/>
          <w:citation/>
        </w:sdtPr>
        <w:sdtContent>
          <w:r w:rsidRPr="00A03155">
            <w:rPr>
              <w:color w:val="000000"/>
              <w:shd w:val="clear" w:color="auto" w:fill="FFFFF6"/>
            </w:rPr>
            <w:fldChar w:fldCharType="begin"/>
          </w:r>
          <w:r>
            <w:rPr>
              <w:color w:val="000000"/>
              <w:shd w:val="clear" w:color="auto" w:fill="FFFFF6"/>
            </w:rPr>
            <w:instrText xml:space="preserve">CITATION Col241 \t  \l 2057 </w:instrText>
          </w:r>
          <w:r w:rsidRPr="00A03155">
            <w:rPr>
              <w:color w:val="000000"/>
              <w:shd w:val="clear" w:color="auto" w:fill="FFFFF6"/>
            </w:rPr>
            <w:fldChar w:fldCharType="separate"/>
          </w:r>
          <w:r w:rsidRPr="004004E5">
            <w:rPr>
              <w:noProof/>
              <w:color w:val="000000"/>
              <w:shd w:val="clear" w:color="auto" w:fill="FFFFF6"/>
            </w:rPr>
            <w:t>(College of Policing, 2024)</w:t>
          </w:r>
          <w:r w:rsidRPr="00A03155">
            <w:rPr>
              <w:color w:val="000000"/>
              <w:shd w:val="clear" w:color="auto" w:fill="FFFFF6"/>
            </w:rPr>
            <w:fldChar w:fldCharType="end"/>
          </w:r>
        </w:sdtContent>
      </w:sdt>
      <w:r w:rsidRPr="00A03155">
        <w:rPr>
          <w:color w:val="000000"/>
          <w:shd w:val="clear" w:color="auto" w:fill="FFFFF6"/>
        </w:rPr>
        <w:t xml:space="preserve">. This can have an adverse effect on the mental wellbeing of </w:t>
      </w:r>
      <w:r>
        <w:rPr>
          <w:color w:val="000000"/>
          <w:shd w:val="clear" w:color="auto" w:fill="FFFFF6"/>
        </w:rPr>
        <w:t xml:space="preserve">Police </w:t>
      </w:r>
      <w:r w:rsidRPr="00A03155">
        <w:rPr>
          <w:color w:val="000000"/>
          <w:shd w:val="clear" w:color="auto" w:fill="FFFFF6"/>
        </w:rPr>
        <w:t xml:space="preserve">officers as prolonged exposure to such complex and traumatic incidents </w:t>
      </w:r>
      <w:r>
        <w:rPr>
          <w:color w:val="000000"/>
          <w:shd w:val="clear" w:color="auto" w:fill="FFFFF6"/>
        </w:rPr>
        <w:t>has been shown to lead to</w:t>
      </w:r>
      <w:r w:rsidRPr="00A03155">
        <w:rPr>
          <w:color w:val="000000"/>
          <w:shd w:val="clear" w:color="auto" w:fill="FFFFF6"/>
        </w:rPr>
        <w:t xml:space="preserve"> “</w:t>
      </w:r>
      <w:r>
        <w:rPr>
          <w:color w:val="000000"/>
          <w:shd w:val="clear" w:color="auto" w:fill="FFFFFF"/>
        </w:rPr>
        <w:t xml:space="preserve">increased rates of acute stress disorder, posttraumatic stress disorder (PTSD), major depression, panic disorder, generalized anxiety disorder, and substance use disorder” </w:t>
      </w:r>
      <w:sdt>
        <w:sdtPr>
          <w:rPr>
            <w:color w:val="000000"/>
            <w:shd w:val="clear" w:color="auto" w:fill="FFFFFF"/>
          </w:rPr>
          <w:id w:val="87976722"/>
          <w:citation/>
        </w:sdtPr>
        <w:sdtContent>
          <w:r>
            <w:rPr>
              <w:color w:val="000000"/>
              <w:shd w:val="clear" w:color="auto" w:fill="FFFFFF"/>
            </w:rPr>
            <w:fldChar w:fldCharType="begin"/>
          </w:r>
          <w:r>
            <w:rPr>
              <w:color w:val="000000"/>
              <w:shd w:val="clear" w:color="auto" w:fill="FFFFFF"/>
            </w:rPr>
            <w:instrText xml:space="preserve"> CITATION Kes95 \l 2057 </w:instrText>
          </w:r>
          <w:r>
            <w:rPr>
              <w:color w:val="000000"/>
              <w:shd w:val="clear" w:color="auto" w:fill="FFFFFF"/>
            </w:rPr>
            <w:fldChar w:fldCharType="separate"/>
          </w:r>
          <w:r w:rsidRPr="00D92F2D">
            <w:rPr>
              <w:noProof/>
              <w:color w:val="000000"/>
              <w:shd w:val="clear" w:color="auto" w:fill="FFFFFF"/>
            </w:rPr>
            <w:t>(Kessler, 1995)</w:t>
          </w:r>
          <w:r>
            <w:rPr>
              <w:color w:val="000000"/>
              <w:shd w:val="clear" w:color="auto" w:fill="FFFFFF"/>
            </w:rPr>
            <w:fldChar w:fldCharType="end"/>
          </w:r>
        </w:sdtContent>
      </w:sdt>
      <w:r>
        <w:rPr>
          <w:color w:val="000000"/>
          <w:shd w:val="clear" w:color="auto" w:fill="FFFFFF"/>
        </w:rPr>
        <w:t xml:space="preserve">. This is because Police Officers </w:t>
      </w:r>
      <w:r>
        <w:t xml:space="preserve">“inhabit a world in which their safety and success requires them to be constantly alert”,  </w:t>
      </w:r>
      <w:sdt>
        <w:sdtPr>
          <w:id w:val="-1885094823"/>
          <w:citation/>
        </w:sdtPr>
        <w:sdtContent>
          <w:r>
            <w:fldChar w:fldCharType="begin"/>
          </w:r>
          <w:r>
            <w:instrText xml:space="preserve">CITATION Osc20 \l 2057 </w:instrText>
          </w:r>
          <w:r>
            <w:fldChar w:fldCharType="separate"/>
          </w:r>
          <w:r>
            <w:rPr>
              <w:noProof/>
            </w:rPr>
            <w:t>(Oscar Kilo, 2020)</w:t>
          </w:r>
          <w:r>
            <w:fldChar w:fldCharType="end"/>
          </w:r>
        </w:sdtContent>
      </w:sdt>
      <w:r>
        <w:t xml:space="preserve"> leading to a state of chronic hyperarousal. This is without considering the shift work that forms the backbone of response policing and the distinct lack of sociable hours which may be available in other professions, in which mental wellbeing may be discussed down the local pub over a pint or glass of wine with friends.</w:t>
      </w:r>
      <w:r>
        <w:rPr>
          <w:color w:val="000000"/>
          <w:shd w:val="clear" w:color="auto" w:fill="FFFFFF"/>
        </w:rPr>
        <w:t xml:space="preserve"> Police officers must also possess the “</w:t>
      </w:r>
      <w:r w:rsidRPr="008C4409">
        <w:rPr>
          <w:color w:val="000000"/>
          <w:shd w:val="clear" w:color="auto" w:fill="FFFFFF"/>
        </w:rPr>
        <w:t xml:space="preserve">dexterity to transition </w:t>
      </w:r>
      <w:r>
        <w:rPr>
          <w:color w:val="000000"/>
          <w:shd w:val="clear" w:color="auto" w:fill="FFFFFF"/>
        </w:rPr>
        <w:t xml:space="preserve">between </w:t>
      </w:r>
      <w:r w:rsidRPr="008C4409">
        <w:rPr>
          <w:color w:val="000000"/>
          <w:shd w:val="clear" w:color="auto" w:fill="FFFFFF"/>
        </w:rPr>
        <w:t>roles</w:t>
      </w:r>
      <w:r>
        <w:rPr>
          <w:color w:val="000000"/>
          <w:shd w:val="clear" w:color="auto" w:fill="FFFFFF"/>
        </w:rPr>
        <w:t xml:space="preserve">” </w:t>
      </w:r>
      <w:r w:rsidRPr="00EA4DFA">
        <w:t>Papazoglou, K., &amp; Tuttle, B. M. (2018)</w:t>
      </w:r>
      <w:r>
        <w:t xml:space="preserve"> </w:t>
      </w:r>
      <w:r>
        <w:rPr>
          <w:color w:val="000000"/>
          <w:shd w:val="clear" w:color="auto" w:fill="FFFFFF"/>
        </w:rPr>
        <w:t>such as from professional life to personal life. This can lead to new competing psychological demands such as the ability to switch off and relinquish any trauma that was encountered on-duty to avoid stressing family and friends. It is essential that the Police service implements effective strategies to support those officers who are likely to experience any of the psychological conditions previously mentioned.</w:t>
      </w:r>
    </w:p>
    <w:p w14:paraId="1F285E3B" w14:textId="4FF910A5" w:rsidR="007B7BC9" w:rsidRDefault="007B7BC9" w:rsidP="00B71CD8">
      <w:pPr>
        <w:spacing w:line="360" w:lineRule="auto"/>
        <w:rPr>
          <w:color w:val="000000"/>
          <w:shd w:val="clear" w:color="auto" w:fill="FFFFFF"/>
        </w:rPr>
      </w:pPr>
      <w:r>
        <w:rPr>
          <w:color w:val="000000"/>
          <w:shd w:val="clear" w:color="auto" w:fill="FFFFFF"/>
        </w:rPr>
        <w:t xml:space="preserve">Most Police Forces across the UK have adopted the </w:t>
      </w:r>
      <w:proofErr w:type="spellStart"/>
      <w:r>
        <w:rPr>
          <w:color w:val="000000"/>
          <w:shd w:val="clear" w:color="auto" w:fill="FFFFFF"/>
        </w:rPr>
        <w:t>TRiM</w:t>
      </w:r>
      <w:proofErr w:type="spellEnd"/>
      <w:r>
        <w:rPr>
          <w:color w:val="000000"/>
          <w:shd w:val="clear" w:color="auto" w:fill="FFFFFF"/>
        </w:rPr>
        <w:t xml:space="preserve"> model - </w:t>
      </w:r>
      <w:r w:rsidRPr="00912398">
        <w:rPr>
          <w:color w:val="000000"/>
          <w:shd w:val="clear" w:color="auto" w:fill="FFFFFF"/>
        </w:rPr>
        <w:t>Trauma Risk Management</w:t>
      </w:r>
      <w:r>
        <w:rPr>
          <w:color w:val="000000"/>
          <w:shd w:val="clear" w:color="auto" w:fill="FFFFFF"/>
        </w:rPr>
        <w:t>, in response to the</w:t>
      </w:r>
      <w:r w:rsidRPr="00912398">
        <w:rPr>
          <w:color w:val="000000"/>
          <w:shd w:val="clear" w:color="auto" w:fill="FFFFFF"/>
        </w:rPr>
        <w:t xml:space="preserve"> traumatic events </w:t>
      </w:r>
      <w:r>
        <w:rPr>
          <w:color w:val="000000"/>
          <w:shd w:val="clear" w:color="auto" w:fill="FFFFFF"/>
        </w:rPr>
        <w:t xml:space="preserve">that police officers will encounter </w:t>
      </w:r>
      <w:r w:rsidRPr="00912398">
        <w:rPr>
          <w:color w:val="000000"/>
          <w:shd w:val="clear" w:color="auto" w:fill="FFFFFF"/>
        </w:rPr>
        <w:t>as part of their operational dut</w:t>
      </w:r>
      <w:r>
        <w:rPr>
          <w:color w:val="000000"/>
          <w:shd w:val="clear" w:color="auto" w:fill="FFFFFF"/>
        </w:rPr>
        <w:t>ies. “</w:t>
      </w:r>
      <w:proofErr w:type="spellStart"/>
      <w:r w:rsidRPr="00FC3A15">
        <w:rPr>
          <w:color w:val="000000"/>
          <w:shd w:val="clear" w:color="auto" w:fill="FFFFFF"/>
        </w:rPr>
        <w:t>TRiM</w:t>
      </w:r>
      <w:proofErr w:type="spellEnd"/>
      <w:r w:rsidRPr="00FC3A15">
        <w:rPr>
          <w:color w:val="000000"/>
          <w:shd w:val="clear" w:color="auto" w:fill="FFFFFF"/>
        </w:rPr>
        <w:t xml:space="preserve"> is a peer-support process that aims to support employees following trauma, reduce stigma, and encourage help-seeking</w:t>
      </w:r>
      <w:r>
        <w:rPr>
          <w:color w:val="000000"/>
          <w:shd w:val="clear" w:color="auto" w:fill="FFFFFF"/>
        </w:rPr>
        <w:t xml:space="preserve">” </w:t>
      </w:r>
      <w:sdt>
        <w:sdtPr>
          <w:rPr>
            <w:color w:val="000000"/>
            <w:shd w:val="clear" w:color="auto" w:fill="FFFFFF"/>
          </w:rPr>
          <w:id w:val="-1484002105"/>
          <w:citation/>
        </w:sdtPr>
        <w:sdtContent>
          <w:r>
            <w:rPr>
              <w:color w:val="000000"/>
              <w:shd w:val="clear" w:color="auto" w:fill="FFFFFF"/>
            </w:rPr>
            <w:fldChar w:fldCharType="begin"/>
          </w:r>
          <w:r>
            <w:rPr>
              <w:color w:val="000000"/>
              <w:shd w:val="clear" w:color="auto" w:fill="FFFFFF"/>
            </w:rPr>
            <w:instrText xml:space="preserve"> CITATION Wat18 \l 2057 </w:instrText>
          </w:r>
          <w:r>
            <w:rPr>
              <w:color w:val="000000"/>
              <w:shd w:val="clear" w:color="auto" w:fill="FFFFFF"/>
            </w:rPr>
            <w:fldChar w:fldCharType="separate"/>
          </w:r>
          <w:r w:rsidRPr="00D92F2D">
            <w:rPr>
              <w:noProof/>
              <w:color w:val="000000"/>
              <w:shd w:val="clear" w:color="auto" w:fill="FFFFFF"/>
            </w:rPr>
            <w:t>(Watson, 2018)</w:t>
          </w:r>
          <w:r>
            <w:rPr>
              <w:color w:val="000000"/>
              <w:shd w:val="clear" w:color="auto" w:fill="FFFFFF"/>
            </w:rPr>
            <w:fldChar w:fldCharType="end"/>
          </w:r>
        </w:sdtContent>
      </w:sdt>
      <w:r w:rsidRPr="00FC3A15">
        <w:rPr>
          <w:color w:val="000000"/>
          <w:shd w:val="clear" w:color="auto" w:fill="FFFFFF"/>
        </w:rPr>
        <w:t>. </w:t>
      </w:r>
      <w:proofErr w:type="spellStart"/>
      <w:r>
        <w:rPr>
          <w:color w:val="000000"/>
          <w:shd w:val="clear" w:color="auto" w:fill="FFFFFF"/>
        </w:rPr>
        <w:t>TRiM</w:t>
      </w:r>
      <w:proofErr w:type="spellEnd"/>
      <w:r>
        <w:rPr>
          <w:color w:val="000000"/>
          <w:shd w:val="clear" w:color="auto" w:fill="FFFFFF"/>
        </w:rPr>
        <w:t xml:space="preserve"> is designed to be an in-house post incident service which supports officers, enabling them to access specialists in the field of mental health and, in turn signposting those officers to the most adequate forms of treatment available. Much of the research behind </w:t>
      </w:r>
      <w:proofErr w:type="spellStart"/>
      <w:r>
        <w:rPr>
          <w:color w:val="000000"/>
          <w:shd w:val="clear" w:color="auto" w:fill="FFFFFF"/>
        </w:rPr>
        <w:t>TRiM</w:t>
      </w:r>
      <w:proofErr w:type="spellEnd"/>
      <w:r>
        <w:rPr>
          <w:color w:val="000000"/>
          <w:shd w:val="clear" w:color="auto" w:fill="FFFFFF"/>
        </w:rPr>
        <w:t xml:space="preserve"> is based on</w:t>
      </w:r>
      <w:r w:rsidRPr="00912398">
        <w:rPr>
          <w:color w:val="000000"/>
          <w:shd w:val="clear" w:color="auto" w:fill="FFFFFF"/>
        </w:rPr>
        <w:t xml:space="preserve"> </w:t>
      </w:r>
      <w:r>
        <w:rPr>
          <w:color w:val="000000"/>
          <w:shd w:val="clear" w:color="auto" w:fill="FFFFFF"/>
        </w:rPr>
        <w:t>“</w:t>
      </w:r>
      <w:r w:rsidRPr="00912398">
        <w:rPr>
          <w:color w:val="000000"/>
          <w:shd w:val="clear" w:color="auto" w:fill="FFFFFF"/>
        </w:rPr>
        <w:t>military populations</w:t>
      </w:r>
      <w:r>
        <w:rPr>
          <w:color w:val="000000"/>
          <w:shd w:val="clear" w:color="auto" w:fill="FFFFFF"/>
        </w:rPr>
        <w:t xml:space="preserve">” </w:t>
      </w:r>
      <w:sdt>
        <w:sdtPr>
          <w:rPr>
            <w:color w:val="000000"/>
            <w:shd w:val="clear" w:color="auto" w:fill="FFFFFF"/>
          </w:rPr>
          <w:id w:val="2049868377"/>
          <w:citation/>
        </w:sdtPr>
        <w:sdtContent>
          <w:r>
            <w:rPr>
              <w:color w:val="000000"/>
              <w:shd w:val="clear" w:color="auto" w:fill="FFFFFF"/>
            </w:rPr>
            <w:fldChar w:fldCharType="begin"/>
          </w:r>
          <w:r>
            <w:rPr>
              <w:color w:val="000000"/>
              <w:shd w:val="clear" w:color="auto" w:fill="FFFFFF"/>
            </w:rPr>
            <w:instrText xml:space="preserve"> CITATION Wat18 \l 2057 </w:instrText>
          </w:r>
          <w:r>
            <w:rPr>
              <w:color w:val="000000"/>
              <w:shd w:val="clear" w:color="auto" w:fill="FFFFFF"/>
            </w:rPr>
            <w:fldChar w:fldCharType="separate"/>
          </w:r>
          <w:r w:rsidRPr="00D92F2D">
            <w:rPr>
              <w:noProof/>
              <w:color w:val="000000"/>
              <w:shd w:val="clear" w:color="auto" w:fill="FFFFFF"/>
            </w:rPr>
            <w:t>(Watson, 2018)</w:t>
          </w:r>
          <w:r>
            <w:rPr>
              <w:color w:val="000000"/>
              <w:shd w:val="clear" w:color="auto" w:fill="FFFFFF"/>
            </w:rPr>
            <w:fldChar w:fldCharType="end"/>
          </w:r>
        </w:sdtContent>
      </w:sdt>
      <w:r>
        <w:rPr>
          <w:color w:val="000000"/>
          <w:shd w:val="clear" w:color="auto" w:fill="FFFFFF"/>
        </w:rPr>
        <w:t xml:space="preserve"> and</w:t>
      </w:r>
      <w:r w:rsidRPr="00912398">
        <w:rPr>
          <w:color w:val="000000"/>
          <w:shd w:val="clear" w:color="auto" w:fill="FFFFFF"/>
        </w:rPr>
        <w:t xml:space="preserve"> the beneficial effects</w:t>
      </w:r>
      <w:r>
        <w:rPr>
          <w:color w:val="000000"/>
          <w:shd w:val="clear" w:color="auto" w:fill="FFFFFF"/>
        </w:rPr>
        <w:t xml:space="preserve"> of this method in early identification of PTSD victims. The </w:t>
      </w:r>
      <w:r w:rsidRPr="00B71394">
        <w:rPr>
          <w:color w:val="000000"/>
          <w:shd w:val="clear" w:color="auto" w:fill="FFFFFF"/>
        </w:rPr>
        <w:t>National Institute for Health and Care Excellence (NICE)</w:t>
      </w:r>
      <w:r>
        <w:rPr>
          <w:color w:val="000000"/>
          <w:shd w:val="clear" w:color="auto" w:fill="FFFFFF"/>
        </w:rPr>
        <w:t xml:space="preserve"> which oversees policy decisions for the public sector supports the “active monitoring” </w:t>
      </w:r>
      <w:sdt>
        <w:sdtPr>
          <w:rPr>
            <w:color w:val="000000"/>
            <w:shd w:val="clear" w:color="auto" w:fill="FFFFFF"/>
          </w:rPr>
          <w:id w:val="-563642932"/>
          <w:citation/>
        </w:sdtPr>
        <w:sdtContent>
          <w:r>
            <w:rPr>
              <w:color w:val="000000"/>
              <w:shd w:val="clear" w:color="auto" w:fill="FFFFFF"/>
            </w:rPr>
            <w:fldChar w:fldCharType="begin"/>
          </w:r>
          <w:r>
            <w:rPr>
              <w:color w:val="000000"/>
              <w:shd w:val="clear" w:color="auto" w:fill="FFFFFF"/>
            </w:rPr>
            <w:instrText xml:space="preserve"> CITATION Mar24 \l 2057 </w:instrText>
          </w:r>
          <w:r>
            <w:rPr>
              <w:color w:val="000000"/>
              <w:shd w:val="clear" w:color="auto" w:fill="FFFFFF"/>
            </w:rPr>
            <w:fldChar w:fldCharType="separate"/>
          </w:r>
          <w:r w:rsidRPr="00D92F2D">
            <w:rPr>
              <w:noProof/>
              <w:color w:val="000000"/>
              <w:shd w:val="clear" w:color="auto" w:fill="FFFFFF"/>
            </w:rPr>
            <w:t>(Stress.com, 2024)</w:t>
          </w:r>
          <w:r>
            <w:rPr>
              <w:color w:val="000000"/>
              <w:shd w:val="clear" w:color="auto" w:fill="FFFFFF"/>
            </w:rPr>
            <w:fldChar w:fldCharType="end"/>
          </w:r>
        </w:sdtContent>
      </w:sdt>
      <w:r>
        <w:rPr>
          <w:color w:val="000000"/>
          <w:shd w:val="clear" w:color="auto" w:fill="FFFFFF"/>
        </w:rPr>
        <w:t xml:space="preserve"> of those persons effected by a traumatic incident </w:t>
      </w:r>
      <w:r w:rsidR="00F534D9">
        <w:rPr>
          <w:color w:val="000000"/>
          <w:shd w:val="clear" w:color="auto" w:fill="FFFFFF"/>
        </w:rPr>
        <w:t>at</w:t>
      </w:r>
      <w:r>
        <w:rPr>
          <w:color w:val="000000"/>
          <w:shd w:val="clear" w:color="auto" w:fill="FFFFFF"/>
        </w:rPr>
        <w:t xml:space="preserve"> work. This </w:t>
      </w:r>
      <w:r w:rsidR="00CB059F">
        <w:rPr>
          <w:color w:val="000000"/>
          <w:shd w:val="clear" w:color="auto" w:fill="FFFFFF"/>
        </w:rPr>
        <w:t xml:space="preserve">concept is well </w:t>
      </w:r>
      <w:r w:rsidR="00A045B0">
        <w:rPr>
          <w:color w:val="000000"/>
          <w:shd w:val="clear" w:color="auto" w:fill="FFFFFF"/>
        </w:rPr>
        <w:t>intended</w:t>
      </w:r>
      <w:r>
        <w:rPr>
          <w:color w:val="000000"/>
          <w:shd w:val="clear" w:color="auto" w:fill="FFFFFF"/>
        </w:rPr>
        <w:t xml:space="preserve">, but it relies on Police Officers being receptive to this type of support and ignoring any masculine, tough guy, scepticism, or stigma that is attached to mental health and that is also </w:t>
      </w:r>
      <w:r w:rsidR="00A045B0">
        <w:rPr>
          <w:color w:val="000000"/>
          <w:shd w:val="clear" w:color="auto" w:fill="FFFFFF"/>
        </w:rPr>
        <w:t>prevalent within</w:t>
      </w:r>
      <w:r w:rsidR="00DF28C2">
        <w:rPr>
          <w:color w:val="000000"/>
          <w:shd w:val="clear" w:color="auto" w:fill="FFFFFF"/>
        </w:rPr>
        <w:t xml:space="preserve"> the police service.</w:t>
      </w:r>
      <w:r>
        <w:rPr>
          <w:color w:val="000000"/>
          <w:shd w:val="clear" w:color="auto" w:fill="FFFFFF"/>
        </w:rPr>
        <w:t xml:space="preserve"> As Miller (1995) notes “</w:t>
      </w:r>
      <w:r w:rsidRPr="00BE56D7">
        <w:rPr>
          <w:color w:val="000000"/>
          <w:shd w:val="clear" w:color="auto" w:fill="FFFFFF"/>
        </w:rPr>
        <w:t xml:space="preserve">the idea of needing </w:t>
      </w:r>
      <w:r>
        <w:rPr>
          <w:color w:val="000000"/>
          <w:shd w:val="clear" w:color="auto" w:fill="FFFFFF"/>
        </w:rPr>
        <w:t>‘</w:t>
      </w:r>
      <w:r w:rsidRPr="00BE56D7">
        <w:rPr>
          <w:color w:val="000000"/>
          <w:shd w:val="clear" w:color="auto" w:fill="FFFFFF"/>
        </w:rPr>
        <w:t>mental help</w:t>
      </w:r>
      <w:r>
        <w:rPr>
          <w:color w:val="000000"/>
          <w:shd w:val="clear" w:color="auto" w:fill="FFFFFF"/>
        </w:rPr>
        <w:t xml:space="preserve">’ </w:t>
      </w:r>
      <w:r w:rsidRPr="00BE56D7">
        <w:rPr>
          <w:color w:val="000000"/>
          <w:shd w:val="clear" w:color="auto" w:fill="FFFFFF"/>
        </w:rPr>
        <w:t>implies weakness, cowardice, and lack of ability to do the job</w:t>
      </w:r>
      <w:r>
        <w:rPr>
          <w:color w:val="000000"/>
          <w:shd w:val="clear" w:color="auto" w:fill="FFFFFF"/>
        </w:rPr>
        <w:t>”</w:t>
      </w:r>
      <w:r w:rsidRPr="00BE56D7">
        <w:rPr>
          <w:color w:val="000000"/>
          <w:shd w:val="clear" w:color="auto" w:fill="FFFFFF"/>
        </w:rPr>
        <w:t>.</w:t>
      </w:r>
      <w:r>
        <w:rPr>
          <w:color w:val="000000"/>
          <w:shd w:val="clear" w:color="auto" w:fill="FFFFFF"/>
        </w:rPr>
        <w:t xml:space="preserve"> It is vital that public sector employers, especially the emergency services and armed forces continue to raise awareness of mental wellbeing and “improve the coordination of care and accessibility of services” </w:t>
      </w:r>
      <w:sdt>
        <w:sdtPr>
          <w:rPr>
            <w:color w:val="000000"/>
            <w:shd w:val="clear" w:color="auto" w:fill="FFFFFF"/>
          </w:rPr>
          <w:id w:val="980119791"/>
          <w:citation/>
        </w:sdtPr>
        <w:sdtContent>
          <w:r>
            <w:rPr>
              <w:color w:val="000000"/>
              <w:shd w:val="clear" w:color="auto" w:fill="FFFFFF"/>
            </w:rPr>
            <w:fldChar w:fldCharType="begin"/>
          </w:r>
          <w:r>
            <w:rPr>
              <w:color w:val="000000"/>
              <w:shd w:val="clear" w:color="auto" w:fill="FFFFFF"/>
            </w:rPr>
            <w:instrText xml:space="preserve">CITATION Nat18 \l 2057 </w:instrText>
          </w:r>
          <w:r>
            <w:rPr>
              <w:color w:val="000000"/>
              <w:shd w:val="clear" w:color="auto" w:fill="FFFFFF"/>
            </w:rPr>
            <w:fldChar w:fldCharType="separate"/>
          </w:r>
          <w:r w:rsidRPr="00D92F2D">
            <w:rPr>
              <w:noProof/>
              <w:color w:val="000000"/>
              <w:shd w:val="clear" w:color="auto" w:fill="FFFFFF"/>
            </w:rPr>
            <w:t>(NICE, 2018)</w:t>
          </w:r>
          <w:r>
            <w:rPr>
              <w:color w:val="000000"/>
              <w:shd w:val="clear" w:color="auto" w:fill="FFFFFF"/>
            </w:rPr>
            <w:fldChar w:fldCharType="end"/>
          </w:r>
        </w:sdtContent>
      </w:sdt>
      <w:r>
        <w:rPr>
          <w:color w:val="000000"/>
          <w:shd w:val="clear" w:color="auto" w:fill="FFFFFF"/>
        </w:rPr>
        <w:t>.</w:t>
      </w:r>
    </w:p>
    <w:p w14:paraId="6AB3C7D6" w14:textId="77777777" w:rsidR="007B7BC9" w:rsidRDefault="007B7BC9" w:rsidP="00B71CD8">
      <w:pPr>
        <w:spacing w:line="360" w:lineRule="auto"/>
      </w:pPr>
      <w:r>
        <w:rPr>
          <w:color w:val="000000"/>
          <w:shd w:val="clear" w:color="auto" w:fill="FFFFFF"/>
        </w:rPr>
        <w:t>The effects of not managing mental health have been shown to have catastrophic effects. Between 2011 to 2019, there have been “</w:t>
      </w:r>
      <w:r w:rsidRPr="0055457A">
        <w:rPr>
          <w:color w:val="000000"/>
          <w:shd w:val="clear" w:color="auto" w:fill="FFFFFF"/>
        </w:rPr>
        <w:t>163 police officers’ deaths</w:t>
      </w:r>
      <w:r>
        <w:rPr>
          <w:color w:val="000000"/>
          <w:shd w:val="clear" w:color="auto" w:fill="FFFFFF"/>
        </w:rPr>
        <w:t xml:space="preserve">” </w:t>
      </w:r>
      <w:sdt>
        <w:sdtPr>
          <w:rPr>
            <w:color w:val="000000"/>
            <w:shd w:val="clear" w:color="auto" w:fill="FFFFFF"/>
          </w:rPr>
          <w:id w:val="2143144409"/>
          <w:citation/>
        </w:sdtPr>
        <w:sdtContent>
          <w:r>
            <w:rPr>
              <w:color w:val="000000"/>
              <w:shd w:val="clear" w:color="auto" w:fill="FFFFFF"/>
            </w:rPr>
            <w:fldChar w:fldCharType="begin"/>
          </w:r>
          <w:r>
            <w:rPr>
              <w:color w:val="000000"/>
              <w:shd w:val="clear" w:color="auto" w:fill="FFFFFF"/>
            </w:rPr>
            <w:instrText xml:space="preserve">CITATION Sta21 \t  \l 2057 </w:instrText>
          </w:r>
          <w:r>
            <w:rPr>
              <w:color w:val="000000"/>
              <w:shd w:val="clear" w:color="auto" w:fill="FFFFFF"/>
            </w:rPr>
            <w:fldChar w:fldCharType="separate"/>
          </w:r>
          <w:r w:rsidRPr="004004E5">
            <w:rPr>
              <w:noProof/>
              <w:color w:val="000000"/>
              <w:shd w:val="clear" w:color="auto" w:fill="FFFFFF"/>
            </w:rPr>
            <w:t>(ONS, 2021)</w:t>
          </w:r>
          <w:r>
            <w:rPr>
              <w:color w:val="000000"/>
              <w:shd w:val="clear" w:color="auto" w:fill="FFFFFF"/>
            </w:rPr>
            <w:fldChar w:fldCharType="end"/>
          </w:r>
        </w:sdtContent>
      </w:sdt>
      <w:r>
        <w:rPr>
          <w:color w:val="000000"/>
          <w:shd w:val="clear" w:color="auto" w:fill="FFFFFF"/>
        </w:rPr>
        <w:t xml:space="preserve">  c</w:t>
      </w:r>
      <w:r w:rsidRPr="0055457A">
        <w:rPr>
          <w:color w:val="000000"/>
          <w:shd w:val="clear" w:color="auto" w:fill="FFFFFF"/>
        </w:rPr>
        <w:t xml:space="preserve">lassified as suicide. </w:t>
      </w:r>
      <w:r>
        <w:rPr>
          <w:color w:val="000000"/>
          <w:shd w:val="clear" w:color="auto" w:fill="FFFFFF"/>
        </w:rPr>
        <w:t>“</w:t>
      </w:r>
      <w:r w:rsidRPr="0055457A">
        <w:rPr>
          <w:color w:val="000000"/>
          <w:shd w:val="clear" w:color="auto" w:fill="FFFFFF"/>
        </w:rPr>
        <w:t>Of these, 146 were men and 17 were women</w:t>
      </w:r>
      <w:r>
        <w:rPr>
          <w:color w:val="000000"/>
          <w:shd w:val="clear" w:color="auto" w:fill="FFFFFF"/>
        </w:rPr>
        <w:t xml:space="preserve">” </w:t>
      </w:r>
      <w:sdt>
        <w:sdtPr>
          <w:rPr>
            <w:color w:val="000000"/>
            <w:shd w:val="clear" w:color="auto" w:fill="FFFFFF"/>
          </w:rPr>
          <w:id w:val="-893976697"/>
          <w:citation/>
        </w:sdtPr>
        <w:sdtContent>
          <w:r>
            <w:rPr>
              <w:color w:val="000000"/>
              <w:shd w:val="clear" w:color="auto" w:fill="FFFFFF"/>
            </w:rPr>
            <w:fldChar w:fldCharType="begin"/>
          </w:r>
          <w:r>
            <w:rPr>
              <w:color w:val="000000"/>
              <w:shd w:val="clear" w:color="auto" w:fill="FFFFFF"/>
            </w:rPr>
            <w:instrText xml:space="preserve">CITATION Pol22 \t  \l 2057 </w:instrText>
          </w:r>
          <w:r>
            <w:rPr>
              <w:color w:val="000000"/>
              <w:shd w:val="clear" w:color="auto" w:fill="FFFFFF"/>
            </w:rPr>
            <w:fldChar w:fldCharType="separate"/>
          </w:r>
          <w:r w:rsidRPr="004004E5">
            <w:rPr>
              <w:noProof/>
              <w:color w:val="000000"/>
              <w:shd w:val="clear" w:color="auto" w:fill="FFFFFF"/>
            </w:rPr>
            <w:t>(College of Policing, 2022)</w:t>
          </w:r>
          <w:r>
            <w:rPr>
              <w:color w:val="000000"/>
              <w:shd w:val="clear" w:color="auto" w:fill="FFFFFF"/>
            </w:rPr>
            <w:fldChar w:fldCharType="end"/>
          </w:r>
        </w:sdtContent>
      </w:sdt>
      <w:r>
        <w:rPr>
          <w:color w:val="000000"/>
          <w:shd w:val="clear" w:color="auto" w:fill="FFFFFF"/>
        </w:rPr>
        <w:t xml:space="preserve">. This is the worst-case scenario, and although it is not easy to attribute specific reasons why a person may comprehend suicide, for example, </w:t>
      </w:r>
      <w:r>
        <w:t xml:space="preserve">“suicide results not from one major crisis, but an accumulation of more minor events” </w:t>
      </w:r>
      <w:sdt>
        <w:sdtPr>
          <w:id w:val="-1709866821"/>
          <w:citation/>
        </w:sdtPr>
        <w:sdtContent>
          <w:r>
            <w:fldChar w:fldCharType="begin"/>
          </w:r>
          <w:r>
            <w:instrText xml:space="preserve"> CITATION Vio07 \l 2057 </w:instrText>
          </w:r>
          <w:r>
            <w:fldChar w:fldCharType="separate"/>
          </w:r>
          <w:r>
            <w:rPr>
              <w:noProof/>
            </w:rPr>
            <w:t>(Violanti, 2007)</w:t>
          </w:r>
          <w:r>
            <w:fldChar w:fldCharType="end"/>
          </w:r>
        </w:sdtContent>
      </w:sdt>
      <w:r>
        <w:t xml:space="preserve">, it is important nonetheless that police officers are aware of the inherent risk factors associated with their work and take action to relieve symptoms and develop coping mechanisms. Statistics show that response officers form “the largest group in policing and account for the most sickness absence”. </w:t>
      </w:r>
      <w:sdt>
        <w:sdtPr>
          <w:id w:val="-749267238"/>
          <w:citation/>
        </w:sdtPr>
        <w:sdtContent>
          <w:r>
            <w:fldChar w:fldCharType="begin"/>
          </w:r>
          <w:r>
            <w:instrText xml:space="preserve">CITATION Osc20 \l 2057 </w:instrText>
          </w:r>
          <w:r>
            <w:fldChar w:fldCharType="separate"/>
          </w:r>
          <w:r>
            <w:rPr>
              <w:noProof/>
            </w:rPr>
            <w:t>(Oscar Kilo, 2020)</w:t>
          </w:r>
          <w:r>
            <w:fldChar w:fldCharType="end"/>
          </w:r>
        </w:sdtContent>
      </w:sdt>
      <w:r>
        <w:t xml:space="preserve"> Although dated, in 2017 a police workforce report showed, “2,358 full time officers on long term sick, </w:t>
      </w:r>
      <w:r w:rsidRPr="00046422">
        <w:t>a further 4,426 on recuperative duties and 4,111 in</w:t>
      </w:r>
      <w:r>
        <w:t xml:space="preserve"> </w:t>
      </w:r>
      <w:r w:rsidRPr="00046422">
        <w:t>adjusted/restricted duty posts</w:t>
      </w:r>
      <w:r>
        <w:t xml:space="preserve">” </w:t>
      </w:r>
      <w:sdt>
        <w:sdtPr>
          <w:id w:val="-1613885621"/>
          <w:citation/>
        </w:sdtPr>
        <w:sdtContent>
          <w:r>
            <w:fldChar w:fldCharType="begin"/>
          </w:r>
          <w:r>
            <w:instrText xml:space="preserve">CITATION Har17 \l 2057 </w:instrText>
          </w:r>
          <w:r>
            <w:fldChar w:fldCharType="separate"/>
          </w:r>
          <w:r>
            <w:rPr>
              <w:noProof/>
            </w:rPr>
            <w:t>(Hargreaves, 2017)</w:t>
          </w:r>
          <w:r>
            <w:fldChar w:fldCharType="end"/>
          </w:r>
        </w:sdtContent>
      </w:sdt>
      <w:r>
        <w:t xml:space="preserve">. The National Police Wellbeing Service (NPWS) states that, “In the past, sickness absence was mainly caused by physical conditions…today, however, a high proportion of sickness absence is due to mental health conditions” </w:t>
      </w:r>
      <w:sdt>
        <w:sdtPr>
          <w:id w:val="316699071"/>
          <w:citation/>
        </w:sdtPr>
        <w:sdtContent>
          <w:r>
            <w:fldChar w:fldCharType="begin"/>
          </w:r>
          <w:r>
            <w:instrText xml:space="preserve">CITATION Osc20 \l 2057 </w:instrText>
          </w:r>
          <w:r>
            <w:fldChar w:fldCharType="separate"/>
          </w:r>
          <w:r>
            <w:rPr>
              <w:noProof/>
            </w:rPr>
            <w:t>(Oscar Kilo, 2020)</w:t>
          </w:r>
          <w:r>
            <w:fldChar w:fldCharType="end"/>
          </w:r>
        </w:sdtContent>
      </w:sdt>
      <w:r>
        <w:t>. None of this evidence downplays the importance of mental health and should be used to promote wellbeing in the world of response policing.</w:t>
      </w:r>
    </w:p>
    <w:p w14:paraId="0E0644BF" w14:textId="77777777" w:rsidR="007B7BC9" w:rsidRDefault="007B7BC9" w:rsidP="00B71CD8">
      <w:pPr>
        <w:spacing w:line="360" w:lineRule="auto"/>
      </w:pPr>
      <w:r>
        <w:t xml:space="preserve">This essay has attempted to understand the importance of mental wellbeing and the consequences of when this is not managed effectively. What is clear is that response policing will always incur inherent risks and attract certain stereotypes that wrongly promote potential barriers to access psychological support. How the police service manages these risks remains to be seen, but psychological hazards should be widely explored and addressed as part of the job role, along with the physical hazards that currently take precedence. Early interventions such as </w:t>
      </w:r>
      <w:proofErr w:type="spellStart"/>
      <w:r>
        <w:t>TRiM</w:t>
      </w:r>
      <w:proofErr w:type="spellEnd"/>
      <w:r>
        <w:t xml:space="preserve"> should be widely popularized and sign-posted to form part of the process of early identification of those officers at risk. These methods cannot build resilience alone but can act as a type of psychological first aid that can be administered to victims of trauma allowing for early monitoring and support. A holistic approach to the relative problems discussed here will be key for response policing moving forward.</w:t>
      </w:r>
    </w:p>
    <w:p w14:paraId="21880B5C" w14:textId="1E23808E" w:rsidR="007B7BC9" w:rsidRDefault="007B7BC9" w:rsidP="007B7BC9">
      <w:pPr>
        <w:rPr>
          <w:b/>
          <w:bCs/>
        </w:rPr>
      </w:pPr>
      <w:r w:rsidRPr="00747BF7">
        <w:rPr>
          <w:b/>
          <w:bCs/>
        </w:rPr>
        <w:t xml:space="preserve">WORD COUNT: </w:t>
      </w:r>
      <w:r w:rsidRPr="00383FCD">
        <w:rPr>
          <w:i/>
          <w:iCs/>
        </w:rPr>
        <w:t>106</w:t>
      </w:r>
      <w:r w:rsidR="00427AF7">
        <w:rPr>
          <w:i/>
          <w:iCs/>
        </w:rPr>
        <w:t>7</w:t>
      </w:r>
    </w:p>
    <w:p w14:paraId="7AC8B3E0" w14:textId="77777777" w:rsidR="007B7BC9" w:rsidRDefault="007B7BC9" w:rsidP="007B7BC9">
      <w:pPr>
        <w:rPr>
          <w:b/>
          <w:bCs/>
        </w:rPr>
      </w:pPr>
    </w:p>
    <w:p w14:paraId="06044F72" w14:textId="77777777" w:rsidR="007B7BC9" w:rsidRDefault="007B7BC9" w:rsidP="007B7BC9">
      <w:pPr>
        <w:rPr>
          <w:b/>
          <w:bCs/>
        </w:rPr>
      </w:pPr>
    </w:p>
    <w:p w14:paraId="3701728B" w14:textId="77777777" w:rsidR="007B7BC9" w:rsidRDefault="007B7BC9" w:rsidP="007B7BC9">
      <w:pPr>
        <w:rPr>
          <w:b/>
          <w:bCs/>
        </w:rPr>
      </w:pPr>
    </w:p>
    <w:p w14:paraId="45C6E94B" w14:textId="77777777" w:rsidR="007B7BC9" w:rsidRDefault="007B7BC9" w:rsidP="007B7BC9">
      <w:pPr>
        <w:rPr>
          <w:b/>
          <w:bCs/>
        </w:rPr>
      </w:pPr>
    </w:p>
    <w:p w14:paraId="5703E273" w14:textId="77777777" w:rsidR="00B71CD8" w:rsidRDefault="00B71CD8" w:rsidP="007B7BC9">
      <w:pPr>
        <w:rPr>
          <w:b/>
          <w:bCs/>
        </w:rPr>
      </w:pPr>
    </w:p>
    <w:p w14:paraId="3D9769B9" w14:textId="77777777" w:rsidR="00B71CD8" w:rsidRDefault="00B71CD8" w:rsidP="007B7BC9">
      <w:pPr>
        <w:rPr>
          <w:b/>
          <w:bCs/>
        </w:rPr>
      </w:pPr>
    </w:p>
    <w:p w14:paraId="76FC58F2" w14:textId="77777777" w:rsidR="00B71CD8" w:rsidRDefault="00B71CD8" w:rsidP="007B7BC9">
      <w:pPr>
        <w:rPr>
          <w:b/>
          <w:bCs/>
        </w:rPr>
      </w:pPr>
    </w:p>
    <w:p w14:paraId="2D1C9D2A" w14:textId="77777777" w:rsidR="00B71CD8" w:rsidRDefault="00B71CD8" w:rsidP="007B7BC9">
      <w:pPr>
        <w:rPr>
          <w:b/>
          <w:bCs/>
        </w:rPr>
      </w:pPr>
    </w:p>
    <w:p w14:paraId="74960143" w14:textId="77777777" w:rsidR="00B71CD8" w:rsidRDefault="00B71CD8" w:rsidP="007B7BC9">
      <w:pPr>
        <w:rPr>
          <w:b/>
          <w:bCs/>
        </w:rPr>
      </w:pPr>
    </w:p>
    <w:p w14:paraId="658E7085" w14:textId="77777777" w:rsidR="00B71CD8" w:rsidRDefault="00B71CD8" w:rsidP="007B7BC9">
      <w:pPr>
        <w:rPr>
          <w:b/>
          <w:bCs/>
        </w:rPr>
      </w:pPr>
    </w:p>
    <w:p w14:paraId="4BC96A54" w14:textId="77777777" w:rsidR="00B71CD8" w:rsidRDefault="00B71CD8" w:rsidP="007B7BC9">
      <w:pPr>
        <w:rPr>
          <w:b/>
          <w:bCs/>
        </w:rPr>
      </w:pPr>
    </w:p>
    <w:p w14:paraId="055E3339" w14:textId="77777777" w:rsidR="00B71CD8" w:rsidRDefault="00B71CD8" w:rsidP="007B7BC9">
      <w:pPr>
        <w:rPr>
          <w:b/>
          <w:bCs/>
        </w:rPr>
      </w:pPr>
    </w:p>
    <w:p w14:paraId="6B11F16C" w14:textId="77777777" w:rsidR="00B71CD8" w:rsidRDefault="00B71CD8" w:rsidP="007B7BC9">
      <w:pPr>
        <w:rPr>
          <w:b/>
          <w:bCs/>
        </w:rPr>
      </w:pPr>
    </w:p>
    <w:p w14:paraId="659E69EC" w14:textId="77777777" w:rsidR="00B71CD8" w:rsidRDefault="00B71CD8" w:rsidP="007B7BC9">
      <w:pPr>
        <w:rPr>
          <w:b/>
          <w:bCs/>
        </w:rPr>
      </w:pPr>
    </w:p>
    <w:p w14:paraId="3AC14207" w14:textId="77777777" w:rsidR="00B71CD8" w:rsidRDefault="00B71CD8" w:rsidP="007B7BC9">
      <w:pPr>
        <w:rPr>
          <w:b/>
          <w:bCs/>
        </w:rPr>
      </w:pPr>
    </w:p>
    <w:p w14:paraId="004FAAF6" w14:textId="77777777" w:rsidR="007B7BC9" w:rsidRDefault="007B7BC9" w:rsidP="007B7BC9">
      <w:pPr>
        <w:rPr>
          <w:b/>
          <w:bCs/>
        </w:rPr>
      </w:pPr>
    </w:p>
    <w:p w14:paraId="3CF8F601" w14:textId="77777777" w:rsidR="007B7BC9" w:rsidRDefault="007B7BC9" w:rsidP="007B7BC9">
      <w:pPr>
        <w:rPr>
          <w:b/>
          <w:bCs/>
        </w:rPr>
      </w:pPr>
    </w:p>
    <w:p w14:paraId="13772B78" w14:textId="77777777" w:rsidR="007B7BC9" w:rsidRDefault="007B7BC9" w:rsidP="007B7BC9">
      <w:pPr>
        <w:rPr>
          <w:b/>
          <w:bCs/>
        </w:rPr>
      </w:pPr>
    </w:p>
    <w:p w14:paraId="190EA23B" w14:textId="6B0B2B9C" w:rsidR="007B7BC9" w:rsidRPr="007B7BC9" w:rsidRDefault="007B7BC9" w:rsidP="007B7BC9">
      <w:pPr>
        <w:jc w:val="center"/>
        <w:rPr>
          <w:b/>
          <w:bCs/>
          <w:u w:val="single"/>
        </w:rPr>
      </w:pPr>
      <w:r w:rsidRPr="007B7BC9">
        <w:rPr>
          <w:b/>
          <w:bCs/>
          <w:u w:val="single"/>
        </w:rPr>
        <w:t>Essay four:</w:t>
      </w:r>
    </w:p>
    <w:p w14:paraId="617271F2" w14:textId="77777777" w:rsidR="007B7BC9" w:rsidRPr="006D0CFE" w:rsidRDefault="007B7BC9" w:rsidP="007B7BC9">
      <w:pPr>
        <w:rPr>
          <w:i/>
          <w:iCs/>
        </w:rPr>
      </w:pPr>
      <w:r w:rsidRPr="006D0CFE">
        <w:rPr>
          <w:i/>
          <w:iCs/>
        </w:rPr>
        <w:t>Outline potential links between serious and organised crime and public protection issues. What characteristics make some people more vulnerable to exploitation by serious and organised crime gangs?</w:t>
      </w:r>
    </w:p>
    <w:p w14:paraId="7E8A39CF" w14:textId="77777777" w:rsidR="007B7BC9" w:rsidRDefault="007B7BC9" w:rsidP="007B7BC9">
      <w:pPr>
        <w:rPr>
          <w:b/>
          <w:bCs/>
        </w:rPr>
      </w:pPr>
      <w:r w:rsidRPr="006D0CFE">
        <w:rPr>
          <w:b/>
          <w:bCs/>
        </w:rPr>
        <w:t>Word limit: 1000 words</w:t>
      </w:r>
    </w:p>
    <w:p w14:paraId="17D8C5CB" w14:textId="77777777" w:rsidR="007B7BC9" w:rsidRDefault="007B7BC9" w:rsidP="00B71CD8">
      <w:pPr>
        <w:spacing w:line="360" w:lineRule="auto"/>
      </w:pPr>
      <w:r w:rsidRPr="002D71EB">
        <w:t>Serious and organised crime is “criminal activity that is planned, coordinated and committed by people working individually, in groups, or as part of transnational networks”</w:t>
      </w:r>
      <w:r>
        <w:t xml:space="preserve"> </w:t>
      </w:r>
      <w:sdt>
        <w:sdtPr>
          <w:id w:val="983742326"/>
          <w:citation/>
        </w:sdtPr>
        <w:sdtContent>
          <w:r>
            <w:fldChar w:fldCharType="begin"/>
          </w:r>
          <w:r>
            <w:instrText xml:space="preserve">CITATION Nat19 \l 2057 </w:instrText>
          </w:r>
          <w:r>
            <w:fldChar w:fldCharType="separate"/>
          </w:r>
          <w:r>
            <w:rPr>
              <w:noProof/>
            </w:rPr>
            <w:t>(Home Office, 2019)</w:t>
          </w:r>
          <w:r>
            <w:fldChar w:fldCharType="end"/>
          </w:r>
        </w:sdtContent>
      </w:sdt>
      <w:r>
        <w:t xml:space="preserve">. This type of </w:t>
      </w:r>
      <w:r w:rsidRPr="002D71EB">
        <w:t xml:space="preserve">crime is </w:t>
      </w:r>
      <w:r>
        <w:t xml:space="preserve">orchestrated by </w:t>
      </w:r>
      <w:r w:rsidRPr="002D71EB">
        <w:t>Organised Crime Groups (OCG’s) who</w:t>
      </w:r>
      <w:r>
        <w:t>’s main aim</w:t>
      </w:r>
      <w:r w:rsidRPr="002D71EB">
        <w:t>, according to the United Nations</w:t>
      </w:r>
      <w:r>
        <w:t xml:space="preserve"> is “</w:t>
      </w:r>
      <w:r w:rsidRPr="002D71EB">
        <w:t>committing crimes for financial or material benefit</w:t>
      </w:r>
      <w:r>
        <w:t xml:space="preserve">” </w:t>
      </w:r>
      <w:sdt>
        <w:sdtPr>
          <w:id w:val="215169702"/>
          <w:citation/>
        </w:sdtPr>
        <w:sdtContent>
          <w:r>
            <w:fldChar w:fldCharType="begin"/>
          </w:r>
          <w:r>
            <w:instrText xml:space="preserve"> CITATION Eur24 \l 2057 </w:instrText>
          </w:r>
          <w:r>
            <w:fldChar w:fldCharType="separate"/>
          </w:r>
          <w:r>
            <w:rPr>
              <w:noProof/>
            </w:rPr>
            <w:t>(Europol, 2024)</w:t>
          </w:r>
          <w:r>
            <w:fldChar w:fldCharType="end"/>
          </w:r>
        </w:sdtContent>
      </w:sdt>
      <w:r>
        <w:t xml:space="preserve">. The victims of this type of crime are likely to possess vulnerabilities that criminals can prey upon and manipulate to </w:t>
      </w:r>
      <w:r w:rsidRPr="002D71EB">
        <w:t>acquir</w:t>
      </w:r>
      <w:r>
        <w:t>e</w:t>
      </w:r>
      <w:r w:rsidRPr="002D71EB">
        <w:t xml:space="preserve"> </w:t>
      </w:r>
      <w:r>
        <w:t>“</w:t>
      </w:r>
      <w:r w:rsidRPr="002D71EB">
        <w:t>money, profit, influence and power”</w:t>
      </w:r>
      <w:r>
        <w:t xml:space="preserve"> </w:t>
      </w:r>
      <w:sdt>
        <w:sdtPr>
          <w:id w:val="-1691761536"/>
          <w:citation/>
        </w:sdtPr>
        <w:sdtContent>
          <w:r>
            <w:fldChar w:fldCharType="begin"/>
          </w:r>
          <w:r>
            <w:instrText xml:space="preserve">CITATION NCA19 \t  \l 2057 </w:instrText>
          </w:r>
          <w:r>
            <w:fldChar w:fldCharType="separate"/>
          </w:r>
          <w:r>
            <w:rPr>
              <w:noProof/>
            </w:rPr>
            <w:t>(NCA, 2019)</w:t>
          </w:r>
          <w:r>
            <w:fldChar w:fldCharType="end"/>
          </w:r>
        </w:sdtContent>
      </w:sdt>
      <w:r>
        <w:t>. Serious and Organised Crime can be summarised as such:</w:t>
      </w:r>
    </w:p>
    <w:p w14:paraId="7228BF81" w14:textId="77777777" w:rsidR="007B7BC9" w:rsidRDefault="007B7BC9" w:rsidP="00B71CD8">
      <w:pPr>
        <w:spacing w:line="360" w:lineRule="auto"/>
        <w:ind w:left="720"/>
      </w:pPr>
      <w:r>
        <w:t>“Serious and organised crime does not concern itself with the victims of its processes only the succession of power and profit. Such profit is enormous with an estimated cost to the UK economy of at least “£37 billion every year”</w:t>
      </w:r>
      <w:r>
        <w:tab/>
      </w:r>
      <w:r>
        <w:tab/>
      </w:r>
      <w:r>
        <w:tab/>
        <w:t xml:space="preserve"> </w:t>
      </w:r>
      <w:sdt>
        <w:sdtPr>
          <w:id w:val="-1038658650"/>
          <w:citation/>
        </w:sdtPr>
        <w:sdtContent>
          <w:r>
            <w:fldChar w:fldCharType="begin"/>
          </w:r>
          <w:r>
            <w:instrText xml:space="preserve"> CITATION Owe19 \l 2057 </w:instrText>
          </w:r>
          <w:r>
            <w:fldChar w:fldCharType="separate"/>
          </w:r>
          <w:r>
            <w:rPr>
              <w:noProof/>
            </w:rPr>
            <w:t>(Owens, 2019)</w:t>
          </w:r>
          <w:r>
            <w:fldChar w:fldCharType="end"/>
          </w:r>
        </w:sdtContent>
      </w:sdt>
      <w:r>
        <w:t xml:space="preserve">. </w:t>
      </w:r>
    </w:p>
    <w:p w14:paraId="2047B200" w14:textId="1E318ADB" w:rsidR="007B7BC9" w:rsidRDefault="007B7BC9" w:rsidP="00B71CD8">
      <w:pPr>
        <w:spacing w:line="360" w:lineRule="auto"/>
      </w:pPr>
      <w:r>
        <w:t xml:space="preserve">This essay will briefly outline three specific areas, Child Sexual Abuse and Exploitation, Modern Slavery and Human Trafficking, and Organised Immigration Crime. It is believed that these areas identify the indiscriminate nature of organised crime, highlighting the risks towards the most vulnerable members of society. Public Protection Notifications (PPN’s) will also be discussed as well as a multi-agency response to combat exploitation by serious and organised crime </w:t>
      </w:r>
      <w:r w:rsidR="00413C4C">
        <w:t>groups</w:t>
      </w:r>
      <w:r>
        <w:t>.</w:t>
      </w:r>
    </w:p>
    <w:p w14:paraId="79846078" w14:textId="753851B2" w:rsidR="007B7BC9" w:rsidRPr="00AF4341" w:rsidRDefault="007B7BC9" w:rsidP="00B71CD8">
      <w:pPr>
        <w:spacing w:line="360" w:lineRule="auto"/>
      </w:pPr>
      <w:r>
        <w:t xml:space="preserve">Child Sexual Abuse and Exploitation (CSAE) covers a range of crimes such as “accessing indecent images, online grooming, blackmail, and extortion”  </w:t>
      </w:r>
      <w:sdt>
        <w:sdtPr>
          <w:id w:val="1399015564"/>
          <w:citation/>
        </w:sdtPr>
        <w:sdtContent>
          <w:r>
            <w:fldChar w:fldCharType="begin"/>
          </w:r>
          <w:r>
            <w:instrText xml:space="preserve">CITATION NCA19 \t  \l 2057 </w:instrText>
          </w:r>
          <w:r>
            <w:fldChar w:fldCharType="separate"/>
          </w:r>
          <w:r>
            <w:rPr>
              <w:noProof/>
            </w:rPr>
            <w:t>(NCA, 2019)</w:t>
          </w:r>
          <w:r>
            <w:fldChar w:fldCharType="end"/>
          </w:r>
        </w:sdtContent>
      </w:sdt>
      <w:r>
        <w:t xml:space="preserve"> . Children can be shown to be some of the most vulnerable members of society as this type of abuse often goes unreported and victims may not be aware of the implications of the type of acts perpetrated online or in person. According to Bernado’s (2022) it is important that children are “never to blame for being exploited” and that the reasons why this happens are due to risk factors beyond their control. These can include those children who have experienced previous abuse, homelessness, substance misuse, special educational </w:t>
      </w:r>
      <w:proofErr w:type="gramStart"/>
      <w:r>
        <w:t>needs</w:t>
      </w:r>
      <w:proofErr w:type="gramEnd"/>
      <w:r>
        <w:t xml:space="preserve"> and disabilities </w:t>
      </w:r>
      <w:r w:rsidR="00487F15">
        <w:t xml:space="preserve">(SEND), </w:t>
      </w:r>
      <w:r>
        <w:t>and those who have run away/ missing from home or care (Bernado’s 2022). Criminals concerned with CSAE will use advances in technology such as the internet, the dark web, and social media to communicate and take advantage of victims. This has “a</w:t>
      </w:r>
      <w:r w:rsidRPr="00542E16">
        <w:t>llowed direct access to children at scale</w:t>
      </w:r>
      <w:r>
        <w:t xml:space="preserve">” </w:t>
      </w:r>
      <w:sdt>
        <w:sdtPr>
          <w:id w:val="1570612488"/>
          <w:citation/>
        </w:sdtPr>
        <w:sdtContent>
          <w:r>
            <w:fldChar w:fldCharType="begin"/>
          </w:r>
          <w:r>
            <w:instrText xml:space="preserve">CITATION NCA19 \t  \l 2057 </w:instrText>
          </w:r>
          <w:r>
            <w:fldChar w:fldCharType="separate"/>
          </w:r>
          <w:r>
            <w:rPr>
              <w:noProof/>
            </w:rPr>
            <w:t>(NCA, 2019)</w:t>
          </w:r>
          <w:r>
            <w:fldChar w:fldCharType="end"/>
          </w:r>
        </w:sdtContent>
      </w:sdt>
      <w:r>
        <w:t xml:space="preserve"> and is reflected by the “2.88 million accounts existing globally on the most harmful CSAE dark web sites” </w:t>
      </w:r>
      <w:sdt>
        <w:sdtPr>
          <w:id w:val="1080942555"/>
          <w:citation/>
        </w:sdtPr>
        <w:sdtContent>
          <w:r>
            <w:fldChar w:fldCharType="begin"/>
          </w:r>
          <w:r>
            <w:instrText xml:space="preserve">CITATION NCA19 \t  \l 2057 </w:instrText>
          </w:r>
          <w:r>
            <w:fldChar w:fldCharType="separate"/>
          </w:r>
          <w:r>
            <w:rPr>
              <w:noProof/>
            </w:rPr>
            <w:t>(NCA, 2019)</w:t>
          </w:r>
          <w:r>
            <w:fldChar w:fldCharType="end"/>
          </w:r>
        </w:sdtContent>
      </w:sdt>
      <w:r w:rsidRPr="00542E16">
        <w:t xml:space="preserve">. </w:t>
      </w:r>
      <w:r>
        <w:t xml:space="preserve">CSAE is a serious form of organised crime with perpetrators gaining sexual gratification from such encounters. Children are most vulnerable as they may believe that they are taking part in a worthy exchange for material items such as money or gifts. They may also be “seeking protection or a perceived friendship, </w:t>
      </w:r>
      <w:r w:rsidRPr="009637EE">
        <w:t>a sense of belonging or identity, or affection</w:t>
      </w:r>
      <w:r>
        <w:t xml:space="preserve">” </w:t>
      </w:r>
      <w:sdt>
        <w:sdtPr>
          <w:id w:val="688644873"/>
          <w:citation/>
        </w:sdtPr>
        <w:sdtContent>
          <w:r>
            <w:fldChar w:fldCharType="begin"/>
          </w:r>
          <w:r>
            <w:instrText xml:space="preserve">CITATION GOV232 \t  \l 2057 </w:instrText>
          </w:r>
          <w:r>
            <w:fldChar w:fldCharType="separate"/>
          </w:r>
          <w:r>
            <w:rPr>
              <w:noProof/>
            </w:rPr>
            <w:t>(GOV.UK, 2023)</w:t>
          </w:r>
          <w:r>
            <w:fldChar w:fldCharType="end"/>
          </w:r>
        </w:sdtContent>
      </w:sdt>
      <w:r>
        <w:t>. Perpetrators of this type of crime are aware of the vulnerabilities that children possess and can be seen to exploit their victims because of their perceived weaknesses.</w:t>
      </w:r>
    </w:p>
    <w:p w14:paraId="6675DDD1" w14:textId="0677021D" w:rsidR="007B7BC9" w:rsidRDefault="007B7BC9" w:rsidP="00B71CD8">
      <w:pPr>
        <w:spacing w:line="360" w:lineRule="auto"/>
      </w:pPr>
      <w:r>
        <w:t xml:space="preserve">Modern Slavery and Human Trafficking (MSHT) refers to the offences of “human trafficking, slavery, servitude and forced or compulsory labour” </w:t>
      </w:r>
      <w:sdt>
        <w:sdtPr>
          <w:id w:val="682087548"/>
          <w:citation/>
        </w:sdtPr>
        <w:sdtContent>
          <w:r>
            <w:fldChar w:fldCharType="begin"/>
          </w:r>
          <w:r>
            <w:instrText xml:space="preserve">CITATION NCA19 \t  \l 2057 </w:instrText>
          </w:r>
          <w:r>
            <w:fldChar w:fldCharType="separate"/>
          </w:r>
          <w:r>
            <w:rPr>
              <w:noProof/>
            </w:rPr>
            <w:t>(NCA, 2019)</w:t>
          </w:r>
          <w:r>
            <w:fldChar w:fldCharType="end"/>
          </w:r>
        </w:sdtContent>
      </w:sdt>
      <w:r>
        <w:t xml:space="preserve">. This type of Serious and Organised Crime effects both adults and children. Locations such as car washes, construction and agriculture are all recognised as sectors in which OCG’s have illegitimate control. Victims are forced into labour either through blackmail, physical or psychological abuse </w:t>
      </w:r>
      <w:r w:rsidR="00487F15">
        <w:t>and</w:t>
      </w:r>
      <w:r>
        <w:t xml:space="preserve"> debt bondage. Under the banner of MSHT many victims are exploited by becoming involved in “county lines” drug gangs. Victims can be forced into production such as packaging illegal substances or cannabis cultivation. They can also be used as couriers or encouraged to ‘cuckoo’ vulnerable persons premises. The very nature of ‘cuckooing’ </w:t>
      </w:r>
      <w:r w:rsidRPr="004118E5">
        <w:t xml:space="preserve">takes its name from </w:t>
      </w:r>
      <w:r>
        <w:t>“</w:t>
      </w:r>
      <w:r w:rsidRPr="004118E5">
        <w:t>cuckoos who take over the nests of other birds to lay their eggs</w:t>
      </w:r>
      <w:r>
        <w:t xml:space="preserve">” </w:t>
      </w:r>
      <w:sdt>
        <w:sdtPr>
          <w:id w:val="1157505240"/>
          <w:citation/>
        </w:sdtPr>
        <w:sdtContent>
          <w:r>
            <w:fldChar w:fldCharType="begin"/>
          </w:r>
          <w:r>
            <w:instrText xml:space="preserve"> CITATION Lee22 \l 2057 </w:instrText>
          </w:r>
          <w:r>
            <w:fldChar w:fldCharType="separate"/>
          </w:r>
          <w:r>
            <w:rPr>
              <w:noProof/>
            </w:rPr>
            <w:t>(Lee, 2022)</w:t>
          </w:r>
          <w:r>
            <w:fldChar w:fldCharType="end"/>
          </w:r>
        </w:sdtContent>
      </w:sdt>
      <w:r>
        <w:t>. This describes the parasitic nature of serious and organised crime as it “</w:t>
      </w:r>
      <w:r w:rsidRPr="00F377B3">
        <w:t>habitually relies on or exploits others and gives nothing in return</w:t>
      </w:r>
      <w:r>
        <w:t xml:space="preserve">” </w:t>
      </w:r>
      <w:sdt>
        <w:sdtPr>
          <w:id w:val="1752241352"/>
          <w:citation/>
        </w:sdtPr>
        <w:sdtContent>
          <w:r>
            <w:fldChar w:fldCharType="begin"/>
          </w:r>
          <w:r>
            <w:instrText xml:space="preserve">CITATION Oxf24 \l 2057 </w:instrText>
          </w:r>
          <w:r>
            <w:fldChar w:fldCharType="separate"/>
          </w:r>
          <w:r>
            <w:rPr>
              <w:noProof/>
            </w:rPr>
            <w:t>(Oxford Dictionary, 2024)</w:t>
          </w:r>
          <w:r>
            <w:fldChar w:fldCharType="end"/>
          </w:r>
        </w:sdtContent>
      </w:sdt>
      <w:r>
        <w:t xml:space="preserve">. OCG’s are wise to victims’ vulnerabilities which include a lack of education, general instability, false promises of a better life, lack of economic opportunity, drug addiction or mental health. </w:t>
      </w:r>
    </w:p>
    <w:p w14:paraId="52CB8F70" w14:textId="77777777" w:rsidR="007B7BC9" w:rsidRDefault="007B7BC9" w:rsidP="00B71CD8">
      <w:pPr>
        <w:spacing w:line="360" w:lineRule="auto"/>
      </w:pPr>
      <w:r>
        <w:t xml:space="preserve">MSHT also shares similarities with Organised Immigration Crime which involves the “movement of persons across borders” </w:t>
      </w:r>
      <w:sdt>
        <w:sdtPr>
          <w:id w:val="112801141"/>
          <w:citation/>
        </w:sdtPr>
        <w:sdtContent>
          <w:r>
            <w:fldChar w:fldCharType="begin"/>
          </w:r>
          <w:r>
            <w:instrText xml:space="preserve">CITATION NCA19 \t  \l 2057 </w:instrText>
          </w:r>
          <w:r>
            <w:fldChar w:fldCharType="separate"/>
          </w:r>
          <w:r>
            <w:rPr>
              <w:noProof/>
            </w:rPr>
            <w:t>(NCA, 2019)</w:t>
          </w:r>
          <w:r>
            <w:fldChar w:fldCharType="end"/>
          </w:r>
        </w:sdtContent>
      </w:sdt>
      <w:r>
        <w:t xml:space="preserve">.  OCG’s will look to “exploit migrants’ desperation, offering services that are dangerous or unlikely to succeed” </w:t>
      </w:r>
      <w:sdt>
        <w:sdtPr>
          <w:id w:val="1603229493"/>
          <w:citation/>
        </w:sdtPr>
        <w:sdtContent>
          <w:r>
            <w:fldChar w:fldCharType="begin"/>
          </w:r>
          <w:r>
            <w:instrText xml:space="preserve">CITATION NCA19 \t  \l 2057 </w:instrText>
          </w:r>
          <w:r>
            <w:fldChar w:fldCharType="separate"/>
          </w:r>
          <w:r>
            <w:rPr>
              <w:noProof/>
            </w:rPr>
            <w:t>(NCA, 2019)</w:t>
          </w:r>
          <w:r>
            <w:fldChar w:fldCharType="end"/>
          </w:r>
        </w:sdtContent>
      </w:sdt>
      <w:r>
        <w:t xml:space="preserve">. These methods can involve clandestine entry into Europe. An example is the movement of migrants into the UK in containers, small boats, and recently refrigerated HGVs. Many of these migrants come from further afield such as Vietnam or Iran and are seeking to escape persecution in their home countries. This type of serious and organised crime recently culminated in the deaths of 39 Vietnamese migrants who were discovered in the back of an HGV in Essex during 2019 </w:t>
      </w:r>
      <w:sdt>
        <w:sdtPr>
          <w:id w:val="1873106769"/>
          <w:citation/>
        </w:sdtPr>
        <w:sdtContent>
          <w:r>
            <w:fldChar w:fldCharType="begin"/>
          </w:r>
          <w:r>
            <w:instrText xml:space="preserve">CITATION BBC211 \t  \l 2057 </w:instrText>
          </w:r>
          <w:r>
            <w:fldChar w:fldCharType="separate"/>
          </w:r>
          <w:r>
            <w:rPr>
              <w:noProof/>
            </w:rPr>
            <w:t>(BBC, 2021)</w:t>
          </w:r>
          <w:r>
            <w:fldChar w:fldCharType="end"/>
          </w:r>
        </w:sdtContent>
      </w:sdt>
      <w:r>
        <w:t>. The victims were under the illusion that they were paying for VIP transport and would be able to find work in the UK upon their arrival. Instead, all 39 persons were found to have suffocated inside the back of the trailer, launching a multi-agency investigation between Essex Police, NCA, Border Force, Interpol, and French and Dutch authorities into the deaths. Detective Chief Inspector Dan Stollen of Essex Police went on to state “</w:t>
      </w:r>
      <w:r w:rsidRPr="00524CAA">
        <w:t>They are callous, and they are dangerous, and they are out to exploit these people. We wouldn't transport animals in that way</w:t>
      </w:r>
      <w:r>
        <w:t xml:space="preserve">” </w:t>
      </w:r>
      <w:sdt>
        <w:sdtPr>
          <w:id w:val="1935552218"/>
          <w:citation/>
        </w:sdtPr>
        <w:sdtContent>
          <w:r>
            <w:fldChar w:fldCharType="begin"/>
          </w:r>
          <w:r>
            <w:instrText xml:space="preserve">CITATION BBC20 \t  \l 2057 </w:instrText>
          </w:r>
          <w:r>
            <w:fldChar w:fldCharType="separate"/>
          </w:r>
          <w:r>
            <w:rPr>
              <w:noProof/>
            </w:rPr>
            <w:t>(BBC, 2020)</w:t>
          </w:r>
          <w:r>
            <w:fldChar w:fldCharType="end"/>
          </w:r>
        </w:sdtContent>
      </w:sdt>
      <w:r>
        <w:t>.</w:t>
      </w:r>
    </w:p>
    <w:p w14:paraId="664AA6D5" w14:textId="77777777" w:rsidR="007B7BC9" w:rsidRPr="008A3BE3" w:rsidRDefault="007B7BC9" w:rsidP="00B71CD8">
      <w:pPr>
        <w:spacing w:line="360" w:lineRule="auto"/>
        <w:rPr>
          <w:rStyle w:val="Hyperlink"/>
        </w:rPr>
      </w:pPr>
      <w:r>
        <w:t>The three areas described above are the tip of the iceberg when discussing how serious and organised crime leads to the exploitation of the vulnerable. Public protection is not the sole responsibility of the Police service, however due to the nature of serious and organised crime, the police may be the first agency that responds. This makes the identification of vulnerable persons even more important by police officers, as the resulting information may form the basis of a referral to a multitude of different agencies. This is achieved using a Public Protection Notification (PPN) which is “</w:t>
      </w:r>
      <w:r w:rsidRPr="00E35AEE">
        <w:t>an information-sharing document that records safeguarding concerns</w:t>
      </w:r>
      <w:r>
        <w:t>”</w:t>
      </w:r>
      <w:r w:rsidRPr="00E35AEE">
        <w:t xml:space="preserve"> </w:t>
      </w:r>
      <w:r>
        <w:t>that can then be</w:t>
      </w:r>
      <w:r w:rsidRPr="00E35AEE">
        <w:t xml:space="preserve"> shared with partner agencies to inform a multi-agency response</w:t>
      </w:r>
      <w:r>
        <w:t xml:space="preserve"> </w:t>
      </w:r>
      <w:sdt>
        <w:sdtPr>
          <w:id w:val="1130980160"/>
          <w:citation/>
        </w:sdtPr>
        <w:sdtContent>
          <w:r>
            <w:fldChar w:fldCharType="begin"/>
          </w:r>
          <w:r>
            <w:instrText xml:space="preserve"> CITATION HMI231 \l 2057 </w:instrText>
          </w:r>
          <w:r>
            <w:fldChar w:fldCharType="separate"/>
          </w:r>
          <w:r>
            <w:rPr>
              <w:noProof/>
            </w:rPr>
            <w:t>(HMICFRS, 2023)</w:t>
          </w:r>
          <w:r>
            <w:fldChar w:fldCharType="end"/>
          </w:r>
        </w:sdtContent>
      </w:sdt>
      <w:r w:rsidRPr="00E35AEE">
        <w:t>.</w:t>
      </w:r>
      <w:r>
        <w:t xml:space="preserve"> Indeed, a multi-agency response is exactly what is needed in this instance, as form the figures outlined above, the scope of serious and organised crime cannot be combated by the police service alone.</w:t>
      </w:r>
    </w:p>
    <w:p w14:paraId="58EF2FD7" w14:textId="600ACAD7" w:rsidR="007B7BC9" w:rsidRDefault="007B7BC9" w:rsidP="007B7BC9">
      <w:pPr>
        <w:rPr>
          <w:i/>
          <w:iCs/>
        </w:rPr>
      </w:pPr>
      <w:r w:rsidRPr="00626768">
        <w:rPr>
          <w:b/>
          <w:bCs/>
        </w:rPr>
        <w:t>Word Count:</w:t>
      </w:r>
      <w:r>
        <w:t xml:space="preserve"> </w:t>
      </w:r>
      <w:r w:rsidRPr="00626768">
        <w:rPr>
          <w:i/>
          <w:iCs/>
        </w:rPr>
        <w:t>103</w:t>
      </w:r>
      <w:r w:rsidR="0032500F">
        <w:rPr>
          <w:i/>
          <w:iCs/>
        </w:rPr>
        <w:t>2</w:t>
      </w:r>
    </w:p>
    <w:p w14:paraId="3CE4093A" w14:textId="77777777" w:rsidR="007B7BC9" w:rsidRDefault="007B7BC9" w:rsidP="007B7BC9">
      <w:pPr>
        <w:rPr>
          <w:i/>
          <w:iCs/>
        </w:rPr>
      </w:pPr>
    </w:p>
    <w:p w14:paraId="03BC2001" w14:textId="77777777" w:rsidR="007B7BC9" w:rsidRDefault="007B7BC9" w:rsidP="007B7BC9">
      <w:pPr>
        <w:rPr>
          <w:i/>
          <w:iCs/>
        </w:rPr>
      </w:pPr>
    </w:p>
    <w:p w14:paraId="27D4FEA5" w14:textId="77777777" w:rsidR="00B71CD8" w:rsidRDefault="00B71CD8" w:rsidP="007B7BC9">
      <w:pPr>
        <w:rPr>
          <w:i/>
          <w:iCs/>
        </w:rPr>
      </w:pPr>
    </w:p>
    <w:p w14:paraId="1378BE6D" w14:textId="77777777" w:rsidR="00B71CD8" w:rsidRDefault="00B71CD8" w:rsidP="007B7BC9">
      <w:pPr>
        <w:rPr>
          <w:i/>
          <w:iCs/>
        </w:rPr>
      </w:pPr>
    </w:p>
    <w:p w14:paraId="7560EDEC" w14:textId="77777777" w:rsidR="00B71CD8" w:rsidRDefault="00B71CD8" w:rsidP="007B7BC9">
      <w:pPr>
        <w:rPr>
          <w:i/>
          <w:iCs/>
        </w:rPr>
      </w:pPr>
    </w:p>
    <w:p w14:paraId="349547A8" w14:textId="77777777" w:rsidR="00B71CD8" w:rsidRDefault="00B71CD8" w:rsidP="007B7BC9">
      <w:pPr>
        <w:rPr>
          <w:i/>
          <w:iCs/>
        </w:rPr>
      </w:pPr>
    </w:p>
    <w:p w14:paraId="13DE510F" w14:textId="77777777" w:rsidR="00B71CD8" w:rsidRDefault="00B71CD8" w:rsidP="007B7BC9">
      <w:pPr>
        <w:rPr>
          <w:i/>
          <w:iCs/>
        </w:rPr>
      </w:pPr>
    </w:p>
    <w:p w14:paraId="5288B166" w14:textId="77777777" w:rsidR="00B71CD8" w:rsidRDefault="00B71CD8" w:rsidP="007B7BC9">
      <w:pPr>
        <w:rPr>
          <w:i/>
          <w:iCs/>
        </w:rPr>
      </w:pPr>
    </w:p>
    <w:p w14:paraId="67AD1EC9" w14:textId="77777777" w:rsidR="00B71CD8" w:rsidRDefault="00B71CD8" w:rsidP="007B7BC9">
      <w:pPr>
        <w:rPr>
          <w:i/>
          <w:iCs/>
        </w:rPr>
      </w:pPr>
    </w:p>
    <w:p w14:paraId="74F9B514" w14:textId="77777777" w:rsidR="00B71CD8" w:rsidRDefault="00B71CD8" w:rsidP="007B7BC9">
      <w:pPr>
        <w:rPr>
          <w:i/>
          <w:iCs/>
        </w:rPr>
      </w:pPr>
    </w:p>
    <w:p w14:paraId="0D4A8F6A" w14:textId="77777777" w:rsidR="00B71CD8" w:rsidRDefault="00B71CD8" w:rsidP="007B7BC9">
      <w:pPr>
        <w:rPr>
          <w:i/>
          <w:iCs/>
        </w:rPr>
      </w:pPr>
    </w:p>
    <w:p w14:paraId="5E2C2497" w14:textId="77777777" w:rsidR="00B71CD8" w:rsidRDefault="00B71CD8" w:rsidP="007B7BC9">
      <w:pPr>
        <w:rPr>
          <w:i/>
          <w:iCs/>
        </w:rPr>
      </w:pPr>
    </w:p>
    <w:p w14:paraId="1F06F86E" w14:textId="77777777" w:rsidR="00B71CD8" w:rsidRDefault="00B71CD8" w:rsidP="007B7BC9">
      <w:pPr>
        <w:rPr>
          <w:i/>
          <w:iCs/>
        </w:rPr>
      </w:pPr>
    </w:p>
    <w:p w14:paraId="570839E8" w14:textId="77777777" w:rsidR="00B71CD8" w:rsidRDefault="00B71CD8" w:rsidP="007B7BC9">
      <w:pPr>
        <w:rPr>
          <w:i/>
          <w:iCs/>
        </w:rPr>
      </w:pPr>
    </w:p>
    <w:p w14:paraId="7AC064EA" w14:textId="77777777" w:rsidR="00B71CD8" w:rsidRDefault="00B71CD8" w:rsidP="007B7BC9">
      <w:pPr>
        <w:rPr>
          <w:i/>
          <w:iCs/>
        </w:rPr>
      </w:pPr>
    </w:p>
    <w:p w14:paraId="23BD2855" w14:textId="77777777" w:rsidR="00B71CD8" w:rsidRDefault="00B71CD8" w:rsidP="007B7BC9">
      <w:pPr>
        <w:rPr>
          <w:i/>
          <w:iCs/>
        </w:rPr>
      </w:pPr>
    </w:p>
    <w:p w14:paraId="087FE8FF" w14:textId="77777777" w:rsidR="007B7BC9" w:rsidRDefault="007B7BC9" w:rsidP="007B7BC9">
      <w:pPr>
        <w:rPr>
          <w:i/>
          <w:iCs/>
        </w:rPr>
      </w:pPr>
    </w:p>
    <w:p w14:paraId="40BBD4C8" w14:textId="77777777" w:rsidR="007B7BC9" w:rsidRDefault="007B7BC9" w:rsidP="007B7BC9">
      <w:pPr>
        <w:rPr>
          <w:i/>
          <w:iCs/>
        </w:rPr>
      </w:pPr>
    </w:p>
    <w:p w14:paraId="7F2DFF6F" w14:textId="77777777" w:rsidR="007B7BC9" w:rsidRDefault="007B7BC9" w:rsidP="007B7BC9">
      <w:pPr>
        <w:rPr>
          <w:i/>
          <w:iCs/>
        </w:rPr>
      </w:pPr>
    </w:p>
    <w:p w14:paraId="6E3133A7" w14:textId="77777777" w:rsidR="007B7BC9" w:rsidRDefault="007B7BC9" w:rsidP="007B7BC9">
      <w:pPr>
        <w:rPr>
          <w:i/>
          <w:iCs/>
        </w:rPr>
      </w:pPr>
    </w:p>
    <w:p w14:paraId="4B35A1EF" w14:textId="1740DE69" w:rsidR="007B7BC9" w:rsidRPr="007B7BC9" w:rsidRDefault="007B7BC9" w:rsidP="007B7BC9">
      <w:pPr>
        <w:jc w:val="center"/>
        <w:rPr>
          <w:b/>
          <w:bCs/>
          <w:u w:val="single"/>
        </w:rPr>
      </w:pPr>
      <w:r w:rsidRPr="007B7BC9">
        <w:rPr>
          <w:b/>
          <w:bCs/>
          <w:u w:val="single"/>
        </w:rPr>
        <w:t>Essay five:</w:t>
      </w:r>
    </w:p>
    <w:p w14:paraId="63923B38" w14:textId="77777777" w:rsidR="007B7BC9" w:rsidRPr="00121DA7" w:rsidRDefault="007B7BC9" w:rsidP="007B7BC9">
      <w:pPr>
        <w:rPr>
          <w:i/>
          <w:iCs/>
        </w:rPr>
      </w:pPr>
      <w:r w:rsidRPr="00121DA7">
        <w:rPr>
          <w:i/>
          <w:iCs/>
        </w:rPr>
        <w:t xml:space="preserve">How effective is early intervention an effective means of preventing young people from offending or re-offending? </w:t>
      </w:r>
    </w:p>
    <w:p w14:paraId="7BF6B4AC" w14:textId="77777777" w:rsidR="007B7BC9" w:rsidRPr="00121DA7" w:rsidRDefault="007B7BC9" w:rsidP="007B7BC9">
      <w:pPr>
        <w:rPr>
          <w:i/>
          <w:iCs/>
        </w:rPr>
      </w:pPr>
      <w:r w:rsidRPr="00121DA7">
        <w:rPr>
          <w:i/>
          <w:iCs/>
        </w:rPr>
        <w:t xml:space="preserve">Your answer must be based on academic research, but you may </w:t>
      </w:r>
      <w:proofErr w:type="gramStart"/>
      <w:r w:rsidRPr="00121DA7">
        <w:rPr>
          <w:i/>
          <w:iCs/>
        </w:rPr>
        <w:t>make reference</w:t>
      </w:r>
      <w:proofErr w:type="gramEnd"/>
      <w:r w:rsidRPr="00121DA7">
        <w:rPr>
          <w:i/>
          <w:iCs/>
        </w:rPr>
        <w:t xml:space="preserve"> to relevant case studies. </w:t>
      </w:r>
    </w:p>
    <w:p w14:paraId="427E28D0" w14:textId="77777777" w:rsidR="007B7BC9" w:rsidRDefault="007B7BC9" w:rsidP="007B7BC9">
      <w:pPr>
        <w:rPr>
          <w:b/>
          <w:bCs/>
        </w:rPr>
      </w:pPr>
      <w:r w:rsidRPr="00121DA7">
        <w:rPr>
          <w:b/>
          <w:bCs/>
        </w:rPr>
        <w:t>Word limit: 1000 words</w:t>
      </w:r>
    </w:p>
    <w:p w14:paraId="7CF096FD" w14:textId="44B77B99" w:rsidR="007B7BC9" w:rsidRDefault="007B7BC9" w:rsidP="00B71CD8">
      <w:pPr>
        <w:spacing w:line="360" w:lineRule="auto"/>
      </w:pPr>
      <w:r w:rsidRPr="001B3BA0">
        <w:t>Early intervention to prevent young people from offending or re-offending is a serious and contentious issue, so much</w:t>
      </w:r>
      <w:r>
        <w:t xml:space="preserve"> so</w:t>
      </w:r>
      <w:r w:rsidRPr="001B3BA0">
        <w:t xml:space="preserve"> that the UK Government has created </w:t>
      </w:r>
      <w:r>
        <w:t>“</w:t>
      </w:r>
      <w:r w:rsidR="0085552D">
        <w:t>c</w:t>
      </w:r>
      <w:r w:rsidRPr="001B3BA0">
        <w:t>ollaborative approaches to preventing offending and re-offending by children</w:t>
      </w:r>
      <w:r>
        <w:t>”</w:t>
      </w:r>
      <w:r w:rsidRPr="001B3BA0">
        <w:t xml:space="preserve"> (CAPRICORN) </w:t>
      </w:r>
      <w:sdt>
        <w:sdtPr>
          <w:id w:val="651796007"/>
          <w:citation/>
        </w:sdtPr>
        <w:sdtContent>
          <w:r w:rsidRPr="001B3BA0">
            <w:fldChar w:fldCharType="begin"/>
          </w:r>
          <w:r>
            <w:instrText xml:space="preserve">CITATION Pub19 \l 2057 </w:instrText>
          </w:r>
          <w:r w:rsidRPr="001B3BA0">
            <w:fldChar w:fldCharType="separate"/>
          </w:r>
          <w:r>
            <w:rPr>
              <w:noProof/>
            </w:rPr>
            <w:t>(Public Health England, 2019)</w:t>
          </w:r>
          <w:r w:rsidRPr="001B3BA0">
            <w:fldChar w:fldCharType="end"/>
          </w:r>
        </w:sdtContent>
      </w:sdt>
      <w:r w:rsidRPr="001B3BA0">
        <w:t>. This framework is based on the idea that “</w:t>
      </w:r>
      <w:r>
        <w:t>e</w:t>
      </w:r>
      <w:r w:rsidRPr="001B3BA0">
        <w:t>arly interventions involve taking a multi-agency approach to give extra support and guidance to young offenders</w:t>
      </w:r>
      <w:r>
        <w:t xml:space="preserve">” </w:t>
      </w:r>
      <w:sdt>
        <w:sdtPr>
          <w:id w:val="616647718"/>
          <w:citation/>
        </w:sdtPr>
        <w:sdtContent>
          <w:r>
            <w:fldChar w:fldCharType="begin"/>
          </w:r>
          <w:r>
            <w:instrText xml:space="preserve"> CITATION Kar21 \l 2057 </w:instrText>
          </w:r>
          <w:r>
            <w:fldChar w:fldCharType="separate"/>
          </w:r>
          <w:r>
            <w:rPr>
              <w:noProof/>
            </w:rPr>
            <w:t>(Thompson, 2021)</w:t>
          </w:r>
          <w:r>
            <w:fldChar w:fldCharType="end"/>
          </w:r>
        </w:sdtContent>
      </w:sdt>
      <w:r>
        <w:t xml:space="preserve">. This involves multi-agency partners such as the </w:t>
      </w:r>
      <w:r w:rsidRPr="001B3BA0">
        <w:t xml:space="preserve">police, social services, education, employment, and health services </w:t>
      </w:r>
      <w:r>
        <w:t xml:space="preserve">taking a central role and working </w:t>
      </w:r>
      <w:r w:rsidRPr="001B3BA0">
        <w:t xml:space="preserve">together to offer young people extra support and guidance to </w:t>
      </w:r>
      <w:r>
        <w:t>“</w:t>
      </w:r>
      <w:r w:rsidRPr="001B3BA0">
        <w:t xml:space="preserve">steer’ them away from crime” </w:t>
      </w:r>
      <w:sdt>
        <w:sdtPr>
          <w:id w:val="30851946"/>
          <w:citation/>
        </w:sdtPr>
        <w:sdtContent>
          <w:r w:rsidRPr="001B3BA0">
            <w:fldChar w:fldCharType="begin"/>
          </w:r>
          <w:r w:rsidRPr="001B3BA0">
            <w:instrText xml:space="preserve"> CITATION Kar21 \l 2057 </w:instrText>
          </w:r>
          <w:r w:rsidRPr="001B3BA0">
            <w:fldChar w:fldCharType="separate"/>
          </w:r>
          <w:r>
            <w:rPr>
              <w:noProof/>
            </w:rPr>
            <w:t>(Thompson, 2021)</w:t>
          </w:r>
          <w:r w:rsidRPr="001B3BA0">
            <w:fldChar w:fldCharType="end"/>
          </w:r>
        </w:sdtContent>
      </w:sdt>
      <w:r w:rsidRPr="001B3BA0">
        <w:t>. It is assumed that the preferred methods of preventing young people from offending or re-offending can be found in “</w:t>
      </w:r>
      <w:r>
        <w:t>p</w:t>
      </w:r>
      <w:r w:rsidRPr="001B3BA0">
        <w:t xml:space="preserve">olice-led diversions schemes, using cautions, restorative actions, and referrals to other services to avoid arrest” </w:t>
      </w:r>
      <w:sdt>
        <w:sdtPr>
          <w:id w:val="-1301375423"/>
          <w:citation/>
        </w:sdtPr>
        <w:sdtContent>
          <w:r w:rsidRPr="001B3BA0">
            <w:fldChar w:fldCharType="begin"/>
          </w:r>
          <w:r w:rsidRPr="001B3BA0">
            <w:instrText xml:space="preserve"> CITATION Wil18 \l 2057 </w:instrText>
          </w:r>
          <w:r w:rsidRPr="001B3BA0">
            <w:fldChar w:fldCharType="separate"/>
          </w:r>
          <w:r>
            <w:rPr>
              <w:noProof/>
            </w:rPr>
            <w:t>(Wilson, 2018)</w:t>
          </w:r>
          <w:r w:rsidRPr="001B3BA0">
            <w:fldChar w:fldCharType="end"/>
          </w:r>
        </w:sdtContent>
      </w:sdt>
      <w:r>
        <w:t>. This essay will primarily discuss the above and the mandatory age of criminal responsibility in the UK which will be shown to be “</w:t>
      </w:r>
      <w:r w:rsidRPr="001B3BA0">
        <w:t>criminogenic</w:t>
      </w:r>
      <w:r>
        <w:t>”</w:t>
      </w:r>
      <w:r w:rsidRPr="001B3BA0">
        <w:t xml:space="preserve">, </w:t>
      </w:r>
      <w:r>
        <w:t xml:space="preserve">causing more children to be exposed </w:t>
      </w:r>
      <w:r w:rsidRPr="001B3BA0">
        <w:t>to the Criminal Justice System (CJS) and potentially increasing the risk of reoffending.</w:t>
      </w:r>
    </w:p>
    <w:p w14:paraId="34DD698A" w14:textId="49F58529" w:rsidR="007B7BC9" w:rsidRDefault="007B7BC9" w:rsidP="00B71CD8">
      <w:pPr>
        <w:spacing w:line="360" w:lineRule="auto"/>
      </w:pPr>
      <w:r w:rsidRPr="001B3BA0">
        <w:t xml:space="preserve">The Governments approach is </w:t>
      </w:r>
      <w:r>
        <w:t>firmly established</w:t>
      </w:r>
      <w:r w:rsidRPr="001B3BA0">
        <w:t xml:space="preserve"> in the Crime and Disorder Act </w:t>
      </w:r>
      <w:r w:rsidR="0085552D">
        <w:t>(</w:t>
      </w:r>
      <w:r w:rsidRPr="001B3BA0">
        <w:t>1998</w:t>
      </w:r>
      <w:r w:rsidR="0085552D">
        <w:t>)</w:t>
      </w:r>
      <w:r>
        <w:t>, (Legislation 1998)</w:t>
      </w:r>
      <w:r w:rsidRPr="001B3BA0">
        <w:t xml:space="preserve"> which created non-departmental public bodies such as the Youth Justice Board (YJB) and Youth Offending Teams (YOT). These entities exist with the primary function to reduce the number of young people admitted </w:t>
      </w:r>
      <w:r>
        <w:t>to</w:t>
      </w:r>
      <w:r w:rsidRPr="001B3BA0">
        <w:t xml:space="preserve"> the C</w:t>
      </w:r>
      <w:r>
        <w:t xml:space="preserve">JS and “prevent offending by children and young people” </w:t>
      </w:r>
      <w:sdt>
        <w:sdtPr>
          <w:id w:val="-1158917588"/>
          <w:citation/>
        </w:sdtPr>
        <w:sdtContent>
          <w:r>
            <w:fldChar w:fldCharType="begin"/>
          </w:r>
          <w:r>
            <w:instrText xml:space="preserve">CITATION Boa15 \t  \l 2057 </w:instrText>
          </w:r>
          <w:r>
            <w:fldChar w:fldCharType="separate"/>
          </w:r>
          <w:r>
            <w:rPr>
              <w:noProof/>
            </w:rPr>
            <w:t>(YJB, 2015)</w:t>
          </w:r>
          <w:r>
            <w:fldChar w:fldCharType="end"/>
          </w:r>
        </w:sdtContent>
      </w:sdt>
      <w:r w:rsidRPr="001B3BA0">
        <w:t xml:space="preserve">. </w:t>
      </w:r>
      <w:r>
        <w:t xml:space="preserve">Devolution can be shown to take precedence in a way that power is seen to be transferred from national government to YOT’s, supporting the overarching aim of “multi-agency partnerships that deliver youth justice services locally” </w:t>
      </w:r>
      <w:sdt>
        <w:sdtPr>
          <w:id w:val="-611749559"/>
          <w:citation/>
        </w:sdtPr>
        <w:sdtContent>
          <w:r>
            <w:fldChar w:fldCharType="begin"/>
          </w:r>
          <w:r>
            <w:instrText xml:space="preserve">CITATION Boa15 \t  \l 2057 </w:instrText>
          </w:r>
          <w:r>
            <w:fldChar w:fldCharType="separate"/>
          </w:r>
          <w:r>
            <w:rPr>
              <w:noProof/>
            </w:rPr>
            <w:t>(YJB, 2015)</w:t>
          </w:r>
          <w:r>
            <w:fldChar w:fldCharType="end"/>
          </w:r>
        </w:sdtContent>
      </w:sdt>
      <w:r>
        <w:t xml:space="preserve">. This transfer of power </w:t>
      </w:r>
      <w:r w:rsidR="0085552D">
        <w:t xml:space="preserve">away </w:t>
      </w:r>
      <w:r>
        <w:t xml:space="preserve">from national to local government “ensures that decisions are made closer to the local people, communities and businesses they affect” </w:t>
      </w:r>
      <w:sdt>
        <w:sdtPr>
          <w:id w:val="-106051342"/>
          <w:citation/>
        </w:sdtPr>
        <w:sdtContent>
          <w:r>
            <w:fldChar w:fldCharType="begin"/>
          </w:r>
          <w:r>
            <w:instrText xml:space="preserve"> CITATION LGA24 \l 2057 </w:instrText>
          </w:r>
          <w:r>
            <w:fldChar w:fldCharType="separate"/>
          </w:r>
          <w:r>
            <w:rPr>
              <w:noProof/>
            </w:rPr>
            <w:t>(LGA, 2024)</w:t>
          </w:r>
          <w:r>
            <w:fldChar w:fldCharType="end"/>
          </w:r>
        </w:sdtContent>
      </w:sdt>
      <w:r>
        <w:t xml:space="preserve">. This provides greater flexibility and freedom at a local level, resulting in “better targeted public services, greater growth and stronger partnerships between public, private and community leaders in local areas” </w:t>
      </w:r>
      <w:sdt>
        <w:sdtPr>
          <w:id w:val="-1969877813"/>
          <w:citation/>
        </w:sdtPr>
        <w:sdtContent>
          <w:r>
            <w:fldChar w:fldCharType="begin"/>
          </w:r>
          <w:r>
            <w:instrText xml:space="preserve"> CITATION LGA24 \l 2057 </w:instrText>
          </w:r>
          <w:r>
            <w:fldChar w:fldCharType="separate"/>
          </w:r>
          <w:r>
            <w:rPr>
              <w:noProof/>
            </w:rPr>
            <w:t>(LGA, 2024)</w:t>
          </w:r>
          <w:r>
            <w:fldChar w:fldCharType="end"/>
          </w:r>
        </w:sdtContent>
      </w:sdt>
      <w:r>
        <w:t>. Nonetheless, the public must ensure that the government is accountable for any services it is ultimately entrusted to provide to prevent young people from offending and re-offending.</w:t>
      </w:r>
    </w:p>
    <w:p w14:paraId="2D268FE7" w14:textId="7AF2C483" w:rsidR="007B7BC9" w:rsidRDefault="007B7BC9" w:rsidP="00B71CD8">
      <w:pPr>
        <w:spacing w:line="360" w:lineRule="auto"/>
      </w:pPr>
      <w:r>
        <w:t>A multi-agency approach</w:t>
      </w:r>
      <w:r w:rsidR="00202EC4">
        <w:t>, in the form of</w:t>
      </w:r>
      <w:r w:rsidR="00D65594">
        <w:t xml:space="preserve"> early intervention </w:t>
      </w:r>
      <w:r w:rsidR="00202EC4">
        <w:t>is</w:t>
      </w:r>
      <w:r>
        <w:t xml:space="preserve"> important as several risk factors increase the probability of young people offending and in turn, necessitating an interaction with the criminal justice system. This interaction can </w:t>
      </w:r>
      <w:r w:rsidRPr="001F27BA">
        <w:t xml:space="preserve">lead to </w:t>
      </w:r>
      <w:r>
        <w:t>“</w:t>
      </w:r>
      <w:r w:rsidRPr="001F27BA">
        <w:t>negative cycles of criminality</w:t>
      </w:r>
      <w:r>
        <w:t xml:space="preserve">” </w:t>
      </w:r>
      <w:sdt>
        <w:sdtPr>
          <w:id w:val="-775014055"/>
          <w:citation/>
        </w:sdtPr>
        <w:sdtContent>
          <w:r>
            <w:fldChar w:fldCharType="begin"/>
          </w:r>
          <w:r>
            <w:instrText xml:space="preserve"> CITATION Sta22 \l 2057 </w:instrText>
          </w:r>
          <w:r>
            <w:fldChar w:fldCharType="separate"/>
          </w:r>
          <w:r>
            <w:rPr>
              <w:noProof/>
            </w:rPr>
            <w:t>(Staines, 2022)</w:t>
          </w:r>
          <w:r>
            <w:fldChar w:fldCharType="end"/>
          </w:r>
        </w:sdtContent>
      </w:sdt>
      <w:r w:rsidRPr="001F27BA">
        <w:t xml:space="preserve">. </w:t>
      </w:r>
      <w:r>
        <w:t>Attaching a criminal label to children is not a positive solution and can “</w:t>
      </w:r>
      <w:r w:rsidRPr="001F27BA">
        <w:t>lead to stigma, discrimination and differential treatment</w:t>
      </w:r>
      <w:r>
        <w:t>…</w:t>
      </w:r>
      <w:r w:rsidRPr="001F27BA">
        <w:t>increasing the likelihood of offending again</w:t>
      </w:r>
      <w:r>
        <w:t xml:space="preserve">” </w:t>
      </w:r>
      <w:sdt>
        <w:sdtPr>
          <w:id w:val="-70500307"/>
          <w:citation/>
        </w:sdtPr>
        <w:sdtContent>
          <w:r>
            <w:fldChar w:fldCharType="begin"/>
          </w:r>
          <w:r>
            <w:instrText xml:space="preserve">CITATION HMI21 \l 2057 </w:instrText>
          </w:r>
          <w:r>
            <w:fldChar w:fldCharType="separate"/>
          </w:r>
          <w:r>
            <w:rPr>
              <w:noProof/>
            </w:rPr>
            <w:t>(HM Inspectorate of Probation, 2021)</w:t>
          </w:r>
          <w:r>
            <w:fldChar w:fldCharType="end"/>
          </w:r>
        </w:sdtContent>
      </w:sdt>
      <w:r w:rsidRPr="001F27BA">
        <w:t>.</w:t>
      </w:r>
      <w:r>
        <w:t xml:space="preserve"> This discrimination can be evidenced by wider community issues such as school exclusion which should be viewed as a last resort as those children who are excluded from school has been shown to be a “risk factor that leads to later criminal involvement” </w:t>
      </w:r>
      <w:sdt>
        <w:sdtPr>
          <w:id w:val="-267156324"/>
          <w:citation/>
        </w:sdtPr>
        <w:sdtContent>
          <w:r>
            <w:fldChar w:fldCharType="begin"/>
          </w:r>
          <w:r>
            <w:instrText xml:space="preserve"> CITATION Sta22 \l 2057 </w:instrText>
          </w:r>
          <w:r>
            <w:fldChar w:fldCharType="separate"/>
          </w:r>
          <w:r>
            <w:rPr>
              <w:noProof/>
            </w:rPr>
            <w:t>(Staines, 2022)</w:t>
          </w:r>
          <w:r>
            <w:fldChar w:fldCharType="end"/>
          </w:r>
        </w:sdtContent>
      </w:sdt>
      <w:r>
        <w:t xml:space="preserve">. Other risk factors leading to the increased likelihood of criminality can include individual risk factors, such as behavioural difficulties, family associated risk factors, such as emotional or physical neglect or a history of household offending/violence. Risk factors can also be found further afield such as deprivation, poor housing, high crime rate, unemployment, poor social mobility, and unsafe areas including gang violence. These risk factors can better be summarised by the term ACE, “Adverse Childhood Experiences” </w:t>
      </w:r>
      <w:sdt>
        <w:sdtPr>
          <w:id w:val="1077404521"/>
          <w:citation/>
        </w:sdtPr>
        <w:sdtContent>
          <w:r>
            <w:fldChar w:fldCharType="begin"/>
          </w:r>
          <w:r>
            <w:instrText xml:space="preserve">CITATION DrK20 \t  \l 2057 </w:instrText>
          </w:r>
          <w:r>
            <w:fldChar w:fldCharType="separate"/>
          </w:r>
          <w:r>
            <w:rPr>
              <w:noProof/>
            </w:rPr>
            <w:t>(Scott, 2020)</w:t>
          </w:r>
          <w:r>
            <w:fldChar w:fldCharType="end"/>
          </w:r>
        </w:sdtContent>
      </w:sdt>
      <w:r>
        <w:t xml:space="preserve">. ACEs are prevalent in the UK with studies conducted showing that, “at least 50% of adults in the UK experience one ACE” </w:t>
      </w:r>
      <w:sdt>
        <w:sdtPr>
          <w:id w:val="1036396501"/>
          <w:citation/>
        </w:sdtPr>
        <w:sdtContent>
          <w:r>
            <w:fldChar w:fldCharType="begin"/>
          </w:r>
          <w:r>
            <w:instrText xml:space="preserve"> CITATION DrK20 \l 2057 </w:instrText>
          </w:r>
          <w:r>
            <w:fldChar w:fldCharType="separate"/>
          </w:r>
          <w:r>
            <w:rPr>
              <w:noProof/>
            </w:rPr>
            <w:t>(Scott, 2020)</w:t>
          </w:r>
          <w:r>
            <w:fldChar w:fldCharType="end"/>
          </w:r>
        </w:sdtContent>
      </w:sdt>
      <w:r>
        <w:t xml:space="preserve">. Although living with one ACE is not necessarily problematic and a pre-requisite for interacting with the criminal justice system, evidence exists that those persons living with four or more ACE’s, which equates to 13% of the UK population, the “likelihood of incarceration rises to 20% more than those not suffering from ACE’s” </w:t>
      </w:r>
      <w:sdt>
        <w:sdtPr>
          <w:id w:val="1699504961"/>
          <w:citation/>
        </w:sdtPr>
        <w:sdtContent>
          <w:r>
            <w:fldChar w:fldCharType="begin"/>
          </w:r>
          <w:r>
            <w:instrText xml:space="preserve"> CITATION DiL19 \l 2057 </w:instrText>
          </w:r>
          <w:r>
            <w:fldChar w:fldCharType="separate"/>
          </w:r>
          <w:r>
            <w:rPr>
              <w:noProof/>
            </w:rPr>
            <w:t>(Di Lemma L, 2019)</w:t>
          </w:r>
          <w:r>
            <w:fldChar w:fldCharType="end"/>
          </w:r>
        </w:sdtContent>
      </w:sdt>
      <w:r>
        <w:t>.</w:t>
      </w:r>
    </w:p>
    <w:p w14:paraId="3B6B504F" w14:textId="77777777" w:rsidR="007B7BC9" w:rsidRDefault="007B7BC9" w:rsidP="00B71CD8">
      <w:pPr>
        <w:spacing w:line="360" w:lineRule="auto"/>
      </w:pPr>
      <w:r>
        <w:t>The risk factors described above may go some way to understanding why children and young people are attracted to criminality, as they have been shown to have a considerable disadvantage in their upbring. This is likely to be worsened by entering the CJS which has led some academics to question “</w:t>
      </w:r>
      <w:r w:rsidRPr="002344B3">
        <w:t>whether a criminal response is appropriate for children who are or have been abused</w:t>
      </w:r>
      <w:r>
        <w:t>”</w:t>
      </w:r>
      <w:r w:rsidRPr="002344B3">
        <w:t xml:space="preserve"> </w:t>
      </w:r>
      <w:sdt>
        <w:sdtPr>
          <w:id w:val="646405076"/>
          <w:citation/>
        </w:sdtPr>
        <w:sdtContent>
          <w:r w:rsidRPr="002344B3">
            <w:fldChar w:fldCharType="begin"/>
          </w:r>
          <w:r w:rsidRPr="002344B3">
            <w:instrText xml:space="preserve"> CITATION Sta22 \l 2057 </w:instrText>
          </w:r>
          <w:r w:rsidRPr="002344B3">
            <w:fldChar w:fldCharType="separate"/>
          </w:r>
          <w:r>
            <w:rPr>
              <w:noProof/>
            </w:rPr>
            <w:t>(Staines, 2022)</w:t>
          </w:r>
          <w:r w:rsidRPr="002344B3">
            <w:fldChar w:fldCharType="end"/>
          </w:r>
        </w:sdtContent>
      </w:sdt>
      <w:r>
        <w:t xml:space="preserve">. A failure to recognise the wider reasons why children are becoming involved in criminality will only result in more admissions to the CJS and create a bigger burden on the government and wider society. This will only add to the predicted economic and social costs of reoffending to the UK Government which is currently placed at “£18 billion per year” </w:t>
      </w:r>
      <w:sdt>
        <w:sdtPr>
          <w:id w:val="130221706"/>
          <w:citation/>
        </w:sdtPr>
        <w:sdtContent>
          <w:r>
            <w:fldChar w:fldCharType="begin"/>
          </w:r>
          <w:r>
            <w:instrText xml:space="preserve"> CITATION UKP22 \l 2057 </w:instrText>
          </w:r>
          <w:r>
            <w:fldChar w:fldCharType="separate"/>
          </w:r>
          <w:r>
            <w:rPr>
              <w:noProof/>
            </w:rPr>
            <w:t>(Parliment, 2022)</w:t>
          </w:r>
          <w:r>
            <w:fldChar w:fldCharType="end"/>
          </w:r>
        </w:sdtContent>
      </w:sdt>
      <w:r>
        <w:t xml:space="preserve">. This is why a multi-agency approach combining health, education, social services, local government, and police is essential in recognising those at risk of offending. It is hoped that this will </w:t>
      </w:r>
      <w:r w:rsidRPr="002344B3">
        <w:t xml:space="preserve">address </w:t>
      </w:r>
      <w:r>
        <w:t>the “</w:t>
      </w:r>
      <w:r w:rsidRPr="002344B3">
        <w:t>wider social and economic conditions and inequalities and support the funding and implementation of intervention programmes</w:t>
      </w:r>
      <w:r>
        <w:t xml:space="preserve">” </w:t>
      </w:r>
      <w:sdt>
        <w:sdtPr>
          <w:id w:val="-1463957566"/>
          <w:citation/>
        </w:sdtPr>
        <w:sdtContent>
          <w:r>
            <w:fldChar w:fldCharType="begin"/>
          </w:r>
          <w:r>
            <w:instrText xml:space="preserve"> CITATION DrK20 \l 2057 </w:instrText>
          </w:r>
          <w:r>
            <w:fldChar w:fldCharType="separate"/>
          </w:r>
          <w:r>
            <w:rPr>
              <w:noProof/>
            </w:rPr>
            <w:t>(Scott, 2020)</w:t>
          </w:r>
          <w:r>
            <w:fldChar w:fldCharType="end"/>
          </w:r>
        </w:sdtContent>
      </w:sdt>
      <w:r>
        <w:t>.</w:t>
      </w:r>
    </w:p>
    <w:p w14:paraId="1EF4B3CE" w14:textId="6BD4CC11" w:rsidR="007B7BC9" w:rsidRDefault="007B7BC9" w:rsidP="00B71CD8">
      <w:pPr>
        <w:spacing w:line="360" w:lineRule="auto"/>
      </w:pPr>
      <w:r>
        <w:t xml:space="preserve">One such intervention is the Scared Straight programme. This programme sought to introduce young persons to the prison experience by arranging organised visits to prison facilities, where inmates would share graphic stories about their experience with juveniles in the hope that it would deter them from offending. This case study was </w:t>
      </w:r>
      <w:r w:rsidRPr="00EC7575">
        <w:t xml:space="preserve">based on </w:t>
      </w:r>
      <w:r>
        <w:t>“</w:t>
      </w:r>
      <w:r w:rsidRPr="00EC7575">
        <w:t>deterrence theory</w:t>
      </w:r>
      <w:r>
        <w:t xml:space="preserve">” </w:t>
      </w:r>
      <w:sdt>
        <w:sdtPr>
          <w:id w:val="1754314282"/>
          <w:citation/>
        </w:sdtPr>
        <w:sdtContent>
          <w:r>
            <w:fldChar w:fldCharType="begin"/>
          </w:r>
          <w:r>
            <w:instrText xml:space="preserve"> CITATION Dan19 \l 2057 </w:instrText>
          </w:r>
          <w:r>
            <w:fldChar w:fldCharType="separate"/>
          </w:r>
          <w:r>
            <w:rPr>
              <w:noProof/>
            </w:rPr>
            <w:t>(Nagin, 2019)</w:t>
          </w:r>
          <w:r>
            <w:fldChar w:fldCharType="end"/>
          </w:r>
        </w:sdtContent>
      </w:sdt>
      <w:r>
        <w:t xml:space="preserve"> and followed the hypothesis that exposure to the criminal justice system would give participants “</w:t>
      </w:r>
      <w:r w:rsidRPr="00EC7575">
        <w:t>realistic depictions of life in prison and access to offenders’ experiences</w:t>
      </w:r>
      <w:r>
        <w:t xml:space="preserve">” </w:t>
      </w:r>
      <w:sdt>
        <w:sdtPr>
          <w:id w:val="-302323004"/>
          <w:citation/>
        </w:sdtPr>
        <w:sdtContent>
          <w:r>
            <w:fldChar w:fldCharType="begin"/>
          </w:r>
          <w:r>
            <w:instrText xml:space="preserve">CITATION Col15 \l 2057 </w:instrText>
          </w:r>
          <w:r>
            <w:fldChar w:fldCharType="separate"/>
          </w:r>
          <w:r>
            <w:rPr>
              <w:noProof/>
            </w:rPr>
            <w:t>(College of Policing, 2015)</w:t>
          </w:r>
          <w:r>
            <w:fldChar w:fldCharType="end"/>
          </w:r>
        </w:sdtContent>
      </w:sdt>
      <w:r w:rsidRPr="00EC7575">
        <w:t>.</w:t>
      </w:r>
      <w:r>
        <w:t xml:space="preserve"> This graphic example backfired and instead increased the offending rate of participants and their involvement in crime. One study calculated that the rate of reoffending increased by 68% among participants </w:t>
      </w:r>
      <w:sdt>
        <w:sdtPr>
          <w:id w:val="320464094"/>
          <w:citation/>
        </w:sdtPr>
        <w:sdtContent>
          <w:r>
            <w:fldChar w:fldCharType="begin"/>
          </w:r>
          <w:r>
            <w:instrText xml:space="preserve">CITATION Ant13 \l 2057 </w:instrText>
          </w:r>
          <w:r>
            <w:fldChar w:fldCharType="separate"/>
          </w:r>
          <w:r>
            <w:rPr>
              <w:noProof/>
            </w:rPr>
            <w:t>(A. Petrosino, 2013)</w:t>
          </w:r>
          <w:r>
            <w:fldChar w:fldCharType="end"/>
          </w:r>
        </w:sdtContent>
      </w:sdt>
      <w:r>
        <w:t>. This dramatic case study proved that fear arousal tactics do not have a positive impact in reducing reoffending. This prompted the creation of Youth Offending Teams and put pressure to create a better model of partnership working to dissuade young people from offending and reoffending through early intervention methods.</w:t>
      </w:r>
      <w:bookmarkStart w:id="1" w:name="_Hlk174885277"/>
    </w:p>
    <w:p w14:paraId="2CA295CB" w14:textId="77777777" w:rsidR="007B7BC9" w:rsidRDefault="007B7BC9" w:rsidP="00B71CD8">
      <w:pPr>
        <w:spacing w:line="360" w:lineRule="auto"/>
      </w:pPr>
      <w:r>
        <w:t>In summary, understanding the reasons why children become involved in criminality, whether that be a disproportionate number of ACE’s or other risk factors discussed here, will go some way to understand how Youth Offending Teams and the Government are able to break the cycle. Scaring children or using deterrence theories as to what the worst-case scenario will be if their behaviour continues will clearly not work and may prove counterproductive to the main goal of preventing reoffending. A multi-agency approach based on comparative case studies from different agencies and involving various stakeholders is more likely to ensure that children are protected from external influences or risk factors that attracts criminality.</w:t>
      </w:r>
    </w:p>
    <w:p w14:paraId="745949CF" w14:textId="4C8EE2FA" w:rsidR="007B7BC9" w:rsidRDefault="007B7BC9" w:rsidP="007B7BC9">
      <w:pPr>
        <w:rPr>
          <w:i/>
          <w:iCs/>
        </w:rPr>
      </w:pPr>
      <w:r w:rsidRPr="00EC36DE">
        <w:rPr>
          <w:b/>
          <w:bCs/>
        </w:rPr>
        <w:t>Word Count:</w:t>
      </w:r>
      <w:r w:rsidRPr="00EC36DE">
        <w:rPr>
          <w:b/>
          <w:bCs/>
          <w:i/>
          <w:iCs/>
        </w:rPr>
        <w:t xml:space="preserve"> </w:t>
      </w:r>
      <w:r w:rsidRPr="00383FCD">
        <w:rPr>
          <w:i/>
          <w:iCs/>
        </w:rPr>
        <w:t>109</w:t>
      </w:r>
      <w:r w:rsidR="007604FA">
        <w:rPr>
          <w:i/>
          <w:iCs/>
        </w:rPr>
        <w:t>7</w:t>
      </w:r>
    </w:p>
    <w:p w14:paraId="5F4FC184" w14:textId="77777777" w:rsidR="00B71CD8" w:rsidRDefault="00B71CD8" w:rsidP="007B7BC9">
      <w:pPr>
        <w:rPr>
          <w:i/>
          <w:iCs/>
        </w:rPr>
      </w:pPr>
    </w:p>
    <w:p w14:paraId="1B56934C" w14:textId="77777777" w:rsidR="00B71CD8" w:rsidRDefault="00B71CD8" w:rsidP="007B7BC9">
      <w:pPr>
        <w:rPr>
          <w:i/>
          <w:iCs/>
        </w:rPr>
      </w:pPr>
    </w:p>
    <w:p w14:paraId="0670A6FA" w14:textId="77777777" w:rsidR="00B71CD8" w:rsidRDefault="00B71CD8" w:rsidP="007B7BC9">
      <w:pPr>
        <w:rPr>
          <w:i/>
          <w:iCs/>
        </w:rPr>
      </w:pPr>
    </w:p>
    <w:p w14:paraId="0260C9CF" w14:textId="77777777" w:rsidR="00B71CD8" w:rsidRDefault="00B71CD8" w:rsidP="007B7BC9">
      <w:pPr>
        <w:rPr>
          <w:i/>
          <w:iCs/>
        </w:rPr>
      </w:pPr>
    </w:p>
    <w:p w14:paraId="335CC827" w14:textId="77777777" w:rsidR="00B71CD8" w:rsidRDefault="00B71CD8" w:rsidP="007B7BC9">
      <w:pPr>
        <w:rPr>
          <w:i/>
          <w:iCs/>
        </w:rPr>
      </w:pPr>
    </w:p>
    <w:p w14:paraId="5FAB8677" w14:textId="77777777" w:rsidR="00B71CD8" w:rsidRDefault="00B71CD8" w:rsidP="007B7BC9">
      <w:pPr>
        <w:rPr>
          <w:i/>
          <w:iCs/>
        </w:rPr>
      </w:pPr>
    </w:p>
    <w:p w14:paraId="36BE9E48" w14:textId="77777777" w:rsidR="00B71CD8" w:rsidRDefault="00B71CD8" w:rsidP="007B7BC9">
      <w:pPr>
        <w:rPr>
          <w:i/>
          <w:iCs/>
        </w:rPr>
      </w:pPr>
    </w:p>
    <w:p w14:paraId="3C2F6D3A" w14:textId="77777777" w:rsidR="00B71CD8" w:rsidRPr="00EC36DE" w:rsidRDefault="00B71CD8" w:rsidP="007B7BC9">
      <w:pPr>
        <w:rPr>
          <w:b/>
          <w:bCs/>
        </w:rPr>
      </w:pPr>
    </w:p>
    <w:bookmarkEnd w:id="1" w:displacedByCustomXml="next"/>
    <w:sdt>
      <w:sdtPr>
        <w:rPr>
          <w:rFonts w:asciiTheme="minorHAnsi" w:eastAsiaTheme="minorHAnsi" w:hAnsiTheme="minorHAnsi" w:cstheme="minorBidi"/>
          <w:color w:val="auto"/>
          <w:sz w:val="22"/>
          <w:szCs w:val="22"/>
        </w:rPr>
        <w:id w:val="-345090974"/>
        <w:docPartObj>
          <w:docPartGallery w:val="Bibliographies"/>
          <w:docPartUnique/>
        </w:docPartObj>
      </w:sdtPr>
      <w:sdtContent>
        <w:p w14:paraId="1B0B8ECB" w14:textId="341876E8" w:rsidR="007B7BC9" w:rsidRPr="00A10D3A" w:rsidRDefault="00B45CE1" w:rsidP="00A10D3A">
          <w:pPr>
            <w:pStyle w:val="Heading1"/>
            <w:jc w:val="center"/>
            <w:rPr>
              <w:b/>
              <w:bCs/>
              <w:sz w:val="24"/>
              <w:szCs w:val="24"/>
              <w:u w:val="single"/>
            </w:rPr>
          </w:pPr>
          <w:r w:rsidRPr="00A10D3A">
            <w:rPr>
              <w:rFonts w:asciiTheme="minorHAnsi" w:eastAsiaTheme="minorHAnsi" w:hAnsiTheme="minorHAnsi" w:cstheme="minorBidi"/>
              <w:b/>
              <w:bCs/>
              <w:color w:val="auto"/>
              <w:sz w:val="24"/>
              <w:szCs w:val="24"/>
              <w:u w:val="single"/>
            </w:rPr>
            <w:t xml:space="preserve">Essay One </w:t>
          </w:r>
          <w:r w:rsidR="00A10D3A" w:rsidRPr="00A10D3A">
            <w:rPr>
              <w:rFonts w:asciiTheme="minorHAnsi" w:eastAsiaTheme="minorHAnsi" w:hAnsiTheme="minorHAnsi" w:cstheme="minorBidi"/>
              <w:b/>
              <w:bCs/>
              <w:color w:val="auto"/>
              <w:sz w:val="24"/>
              <w:szCs w:val="24"/>
              <w:u w:val="single"/>
            </w:rPr>
            <w:t>–</w:t>
          </w:r>
          <w:r w:rsidRPr="00A10D3A">
            <w:rPr>
              <w:rFonts w:asciiTheme="minorHAnsi" w:eastAsiaTheme="minorHAnsi" w:hAnsiTheme="minorHAnsi" w:cstheme="minorBidi"/>
              <w:b/>
              <w:bCs/>
              <w:color w:val="auto"/>
              <w:sz w:val="24"/>
              <w:szCs w:val="24"/>
              <w:u w:val="single"/>
            </w:rPr>
            <w:t xml:space="preserve"> Bib</w:t>
          </w:r>
          <w:r w:rsidR="00A10D3A" w:rsidRPr="00A10D3A">
            <w:rPr>
              <w:rFonts w:asciiTheme="minorHAnsi" w:eastAsiaTheme="minorHAnsi" w:hAnsiTheme="minorHAnsi" w:cstheme="minorBidi"/>
              <w:b/>
              <w:bCs/>
              <w:color w:val="auto"/>
              <w:sz w:val="24"/>
              <w:szCs w:val="24"/>
              <w:u w:val="single"/>
            </w:rPr>
            <w:t>liography</w:t>
          </w:r>
        </w:p>
        <w:sdt>
          <w:sdtPr>
            <w:id w:val="1086191660"/>
            <w:bibliography/>
          </w:sdtPr>
          <w:sdtContent>
            <w:p w14:paraId="2571D19F" w14:textId="77777777" w:rsidR="007B7BC9" w:rsidRDefault="007B7BC9" w:rsidP="004D568B">
              <w:pPr>
                <w:pStyle w:val="Bibliography"/>
                <w:numPr>
                  <w:ilvl w:val="0"/>
                  <w:numId w:val="1"/>
                </w:numPr>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(2021, May 24). </w:t>
              </w:r>
              <w:r>
                <w:rPr>
                  <w:i/>
                  <w:iCs/>
                  <w:noProof/>
                  <w:lang w:val="en-US"/>
                </w:rPr>
                <w:t>Who was George Floyd and what happened to Derek Chauvin?</w:t>
              </w:r>
              <w:r>
                <w:rPr>
                  <w:noProof/>
                  <w:lang w:val="en-US"/>
                </w:rPr>
                <w:t xml:space="preserve"> Retrieved from BBC News: https://www.bbc.co.uk/news/world-us-canada-56270334 Accessed on: 20.03.2024</w:t>
              </w:r>
            </w:p>
            <w:p w14:paraId="1A838C5E" w14:textId="77777777" w:rsidR="007B7BC9" w:rsidRDefault="007B7BC9" w:rsidP="004D568B">
              <w:pPr>
                <w:pStyle w:val="Bibliography"/>
                <w:numPr>
                  <w:ilvl w:val="0"/>
                  <w:numId w:val="1"/>
                </w:numPr>
                <w:rPr>
                  <w:noProof/>
                  <w:lang w:val="en-US"/>
                </w:rPr>
              </w:pPr>
              <w:r>
                <w:rPr>
                  <w:noProof/>
                  <w:lang w:val="en-US"/>
                </w:rPr>
                <w:t xml:space="preserve">BBC. (2023, March 21). </w:t>
              </w:r>
              <w:r>
                <w:rPr>
                  <w:i/>
                  <w:iCs/>
                  <w:noProof/>
                  <w:lang w:val="en-US"/>
                </w:rPr>
                <w:t>Met Police institutionally racist, misogynistic and homophobic - report</w:t>
              </w:r>
              <w:r>
                <w:rPr>
                  <w:noProof/>
                  <w:lang w:val="en-US"/>
                </w:rPr>
                <w:t>. Retrieved from BBC News: https://www.bbc.co.uk/news/av/uk-england-london-65031061</w:t>
              </w:r>
              <w:r w:rsidRPr="00FD6CDA">
                <w:rPr>
                  <w:noProof/>
                  <w:lang w:val="en-US"/>
                </w:rPr>
                <w:t xml:space="preserve"> </w:t>
              </w:r>
              <w:r>
                <w:rPr>
                  <w:noProof/>
                  <w:lang w:val="en-US"/>
                </w:rPr>
                <w:t>Accessed on: 21.03.2024</w:t>
              </w:r>
            </w:p>
            <w:p w14:paraId="43ACB030" w14:textId="77777777" w:rsidR="007B7BC9" w:rsidRPr="00A10D3A" w:rsidRDefault="007B7BC9" w:rsidP="004D568B">
              <w:pPr>
                <w:pStyle w:val="ListParagraph"/>
                <w:numPr>
                  <w:ilvl w:val="0"/>
                  <w:numId w:val="1"/>
                </w:numPr>
                <w:rPr>
                  <w:lang w:val="en-US"/>
                </w:rPr>
              </w:pPr>
              <w:proofErr w:type="spellStart"/>
              <w:r w:rsidRPr="0099789A">
                <w:t>Bhugowandeen</w:t>
              </w:r>
              <w:proofErr w:type="spellEnd"/>
              <w:r>
                <w:t xml:space="preserve">, (2013). </w:t>
              </w:r>
              <w:r w:rsidRPr="00A10D3A">
                <w:rPr>
                  <w:i/>
                  <w:iCs/>
                </w:rPr>
                <w:t>Diversity in the British police: adapting to a multicultural society.</w:t>
              </w:r>
              <w:r>
                <w:t xml:space="preserve"> Accessible</w:t>
              </w:r>
              <w:proofErr w:type="gramStart"/>
              <w:r>
                <w:t xml:space="preserve">: </w:t>
              </w:r>
              <w:r w:rsidRPr="00C3324C">
                <w:t>,</w:t>
              </w:r>
              <w:proofErr w:type="gramEnd"/>
              <w:r w:rsidRPr="00C3324C">
                <w:t xml:space="preserve"> </w:t>
              </w:r>
              <w:proofErr w:type="spellStart"/>
              <w:r w:rsidRPr="00C3324C">
                <w:t>Mémoire</w:t>
              </w:r>
              <w:proofErr w:type="spellEnd"/>
              <w:r w:rsidRPr="00C3324C">
                <w:t xml:space="preserve">(s), </w:t>
              </w:r>
              <w:proofErr w:type="spellStart"/>
              <w:r w:rsidRPr="00C3324C">
                <w:t>identité</w:t>
              </w:r>
              <w:proofErr w:type="spellEnd"/>
              <w:r w:rsidRPr="00C3324C">
                <w:t xml:space="preserve">(s), </w:t>
              </w:r>
              <w:proofErr w:type="spellStart"/>
              <w:r w:rsidRPr="00C3324C">
                <w:t>marginalité</w:t>
              </w:r>
              <w:proofErr w:type="spellEnd"/>
              <w:r w:rsidRPr="00C3324C">
                <w:t xml:space="preserve">(s) dans le monde occidental </w:t>
              </w:r>
              <w:proofErr w:type="spellStart"/>
              <w:r w:rsidRPr="00C3324C">
                <w:t>contemporain</w:t>
              </w:r>
              <w:proofErr w:type="spellEnd"/>
              <w:r w:rsidRPr="00C3324C">
                <w:t xml:space="preserve"> [Online], 10 | 2013, URL: http://journals.openedition.org/mimmoc/1340; DOI: https://doi.org/10.4000/mimmoc.1340</w:t>
              </w:r>
              <w:r>
                <w:t xml:space="preserve"> Accessed: 02/09/2024</w:t>
              </w:r>
            </w:p>
            <w:p w14:paraId="52F00A90"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Blackstock, B. C. (2023, March). </w:t>
              </w:r>
              <w:r>
                <w:rPr>
                  <w:i/>
                  <w:iCs/>
                  <w:noProof/>
                  <w:lang w:val="en-US"/>
                </w:rPr>
                <w:t>An independent review into the standards of behaviour and internal culture of the Metropolitan Police Service - Final Report.</w:t>
              </w:r>
              <w:r>
                <w:rPr>
                  <w:noProof/>
                  <w:lang w:val="en-US"/>
                </w:rPr>
                <w:t xml:space="preserve"> Retrieved from Metropolitan Police: https://www.met.police.uk/SysSiteAssets/media/downloads/met/about-us/baroness-casey-review/update-march-2023/baroness-casey-review-march-2023a.pdf Accessed on: 07.07.2024</w:t>
              </w:r>
            </w:p>
            <w:p w14:paraId="5DD20A15"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Collins. (2024). </w:t>
              </w:r>
              <w:r>
                <w:rPr>
                  <w:i/>
                  <w:iCs/>
                  <w:noProof/>
                  <w:lang w:val="en-US"/>
                </w:rPr>
                <w:t>English Dictionary</w:t>
              </w:r>
              <w:r>
                <w:rPr>
                  <w:noProof/>
                  <w:lang w:val="en-US"/>
                </w:rPr>
                <w:t>. Retrieved from Collins: https://www.collinsdictionary.com/dictionary/english/diversity Accessed on: 21.08.2024</w:t>
              </w:r>
            </w:p>
            <w:p w14:paraId="5DD9A450"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Commission, E. a. (2018, November 15). </w:t>
              </w:r>
              <w:r>
                <w:rPr>
                  <w:i/>
                  <w:iCs/>
                  <w:noProof/>
                  <w:lang w:val="en-US"/>
                </w:rPr>
                <w:t>The Human Rights Act</w:t>
              </w:r>
              <w:r>
                <w:rPr>
                  <w:noProof/>
                  <w:lang w:val="en-US"/>
                </w:rPr>
                <w:t>. Retrieved from Equality and Human Rights Commission: https://www.equalityhumanrights.com/human-rights/human-rights-act</w:t>
              </w:r>
              <w:r>
                <w:t xml:space="preserve"> </w:t>
              </w:r>
              <w:r>
                <w:rPr>
                  <w:noProof/>
                  <w:lang w:val="en-US"/>
                </w:rPr>
                <w:t>Accessed on: 05.06.2024</w:t>
              </w:r>
            </w:p>
            <w:p w14:paraId="0181855B"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Desai, U. A. (2020). </w:t>
              </w:r>
              <w:r>
                <w:rPr>
                  <w:i/>
                  <w:iCs/>
                  <w:noProof/>
                  <w:lang w:val="en-US"/>
                </w:rPr>
                <w:t>Policing with Consent.</w:t>
              </w:r>
              <w:r>
                <w:rPr>
                  <w:noProof/>
                  <w:lang w:val="en-US"/>
                </w:rPr>
                <w:t xml:space="preserve"> London: London Assembly Labour. Accessed on: 28/08/2024</w:t>
              </w:r>
            </w:p>
            <w:p w14:paraId="60E5A3F0"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ECHR. (2021, July 6). </w:t>
              </w:r>
              <w:r>
                <w:rPr>
                  <w:i/>
                  <w:iCs/>
                  <w:noProof/>
                  <w:lang w:val="en-US"/>
                </w:rPr>
                <w:t>Protected characteristics</w:t>
              </w:r>
              <w:r>
                <w:rPr>
                  <w:noProof/>
                  <w:lang w:val="en-US"/>
                </w:rPr>
                <w:t>. Retrieved from Equality &amp; Human Rights Commission: https://www.equalityhumanrights.com/equality/equality-act-2010/protected-characteristics Accessed on: 21.08.2024</w:t>
              </w:r>
            </w:p>
            <w:p w14:paraId="64CF0AA6"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GOV.UK. (2012, july 06). </w:t>
              </w:r>
              <w:r>
                <w:rPr>
                  <w:i/>
                  <w:iCs/>
                  <w:noProof/>
                  <w:lang w:val="en-US"/>
                </w:rPr>
                <w:t>Public sector equality duty</w:t>
              </w:r>
              <w:r>
                <w:rPr>
                  <w:noProof/>
                  <w:lang w:val="en-US"/>
                </w:rPr>
                <w:t>. Retrieved from GOV.UK: https://www.gov.uk/government/publications/public-sector-equality-duty Accessed on: 24/08/2024</w:t>
              </w:r>
            </w:p>
            <w:p w14:paraId="75D86D26"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GOV.UK. (2023, May 26). </w:t>
              </w:r>
              <w:r>
                <w:rPr>
                  <w:i/>
                  <w:iCs/>
                  <w:noProof/>
                  <w:lang w:val="en-US"/>
                </w:rPr>
                <w:t>Police workforce</w:t>
              </w:r>
              <w:r>
                <w:rPr>
                  <w:noProof/>
                  <w:lang w:val="en-US"/>
                </w:rPr>
                <w:t>. Retrieved from GOV.UK: https://www.ethnicity-facts-figures.service.gov.uk/workforce-and-business/workforce-diversity/police-workforce/latest/ Accessed on: 24/08/2024</w:t>
              </w:r>
            </w:p>
            <w:p w14:paraId="0AE04BC3" w14:textId="77777777" w:rsidR="007B7BC9" w:rsidRDefault="007B7BC9" w:rsidP="004D568B">
              <w:pPr>
                <w:pStyle w:val="Bibliography"/>
                <w:numPr>
                  <w:ilvl w:val="0"/>
                  <w:numId w:val="1"/>
                </w:numPr>
                <w:rPr>
                  <w:noProof/>
                  <w:kern w:val="0"/>
                  <w:sz w:val="24"/>
                  <w:szCs w:val="24"/>
                  <w:lang w:val="en-US"/>
                  <w14:ligatures w14:val="none"/>
                </w:rPr>
              </w:pPr>
              <w:r>
                <w:rPr>
                  <w:noProof/>
                  <w:lang w:val="en-US"/>
                </w:rPr>
                <w:t xml:space="preserve">Legislation.gov.uk. (2011). </w:t>
              </w:r>
              <w:r>
                <w:rPr>
                  <w:i/>
                  <w:iCs/>
                  <w:noProof/>
                  <w:lang w:val="en-US"/>
                </w:rPr>
                <w:t>legislation.gov.uk</w:t>
              </w:r>
              <w:r>
                <w:rPr>
                  <w:noProof/>
                  <w:lang w:val="en-US"/>
                </w:rPr>
                <w:t>. Retrieved from The Equality Act 2010 Regulations 2011 NO.2260: https://www.legislation.gov.uk/uksi/2011/2260/contents/made Accessed on: 21/03/2024</w:t>
              </w:r>
            </w:p>
            <w:p w14:paraId="59C71C2E" w14:textId="77777777" w:rsidR="007B7BC9" w:rsidRDefault="007B7BC9" w:rsidP="004D568B">
              <w:pPr>
                <w:pStyle w:val="Bibliography"/>
                <w:numPr>
                  <w:ilvl w:val="0"/>
                  <w:numId w:val="1"/>
                </w:numPr>
                <w:rPr>
                  <w:noProof/>
                  <w:lang w:val="en-US"/>
                </w:rPr>
              </w:pPr>
              <w:r>
                <w:rPr>
                  <w:noProof/>
                  <w:lang w:val="en-US"/>
                </w:rPr>
                <w:t xml:space="preserve">Policing, C. o. (2023). </w:t>
              </w:r>
              <w:r>
                <w:rPr>
                  <w:i/>
                  <w:iCs/>
                  <w:noProof/>
                  <w:lang w:val="en-US"/>
                </w:rPr>
                <w:t>Diversity and Inclusion</w:t>
              </w:r>
              <w:r>
                <w:rPr>
                  <w:noProof/>
                  <w:lang w:val="en-US"/>
                </w:rPr>
                <w:t>. Retrieved from College of Policing: https://www.college.police.uk/support-forces/diversity-and-inclusion Accessed on: 28/08/2024</w:t>
              </w:r>
            </w:p>
            <w:p w14:paraId="4690EE39" w14:textId="77777777" w:rsidR="007B7BC9" w:rsidRPr="00A10D3A" w:rsidRDefault="007B7BC9" w:rsidP="004D568B">
              <w:pPr>
                <w:pStyle w:val="ListParagraph"/>
                <w:numPr>
                  <w:ilvl w:val="0"/>
                  <w:numId w:val="1"/>
                </w:numPr>
                <w:rPr>
                  <w:lang w:val="en-US"/>
                </w:rPr>
              </w:pPr>
              <w:r w:rsidRPr="00A10D3A">
                <w:rPr>
                  <w:lang w:val="en-US"/>
                </w:rPr>
                <w:t xml:space="preserve">Silverstone &amp; Walker. (2020). </w:t>
              </w:r>
              <w:r w:rsidRPr="00A10D3A">
                <w:rPr>
                  <w:i/>
                  <w:iCs/>
                  <w:lang w:val="en-US"/>
                </w:rPr>
                <w:t>Police force diversity is improving in the UK – but there’s a long way to go.</w:t>
              </w:r>
              <w:r w:rsidRPr="00A10D3A">
                <w:rPr>
                  <w:lang w:val="en-US"/>
                </w:rPr>
                <w:t xml:space="preserve"> Retrieved from The Conversation. Available at: https://theconversation.com/police-force-diversity-is-improving-in-the-uk-but-theres-a-long-way-to-go-139997. Accessed on: 02/09/2024.</w:t>
              </w:r>
            </w:p>
            <w:p w14:paraId="410FCE8F" w14:textId="77777777" w:rsidR="007B7BC9" w:rsidRDefault="007B7BC9" w:rsidP="004D568B">
              <w:pPr>
                <w:pStyle w:val="Bibliography"/>
                <w:numPr>
                  <w:ilvl w:val="0"/>
                  <w:numId w:val="1"/>
                </w:numPr>
                <w:rPr>
                  <w:noProof/>
                  <w:lang w:val="en-US"/>
                </w:rPr>
              </w:pPr>
              <w:r>
                <w:rPr>
                  <w:noProof/>
                  <w:lang w:val="en-US"/>
                </w:rPr>
                <w:t xml:space="preserve">Statistics, O. f. (2022, November 29). </w:t>
              </w:r>
              <w:r>
                <w:rPr>
                  <w:i/>
                  <w:iCs/>
                  <w:noProof/>
                  <w:lang w:val="en-US"/>
                </w:rPr>
                <w:t>Ethnic group, England and Wales: Census 2021</w:t>
              </w:r>
              <w:r>
                <w:rPr>
                  <w:noProof/>
                  <w:lang w:val="en-US"/>
                </w:rPr>
                <w:t>. Retrieved from Office for National Statistics: https://www.ons.gov.uk/peoplepopulationandcommunity/culturalidentity/ethnicity/bulletins/ethnicgroupenglandandwales/census2021 Accessed on: 21/08/2024</w:t>
              </w:r>
            </w:p>
            <w:p w14:paraId="37B65B7C" w14:textId="77777777" w:rsidR="00103A3D" w:rsidRDefault="00103A3D" w:rsidP="00103A3D">
              <w:pPr>
                <w:rPr>
                  <w:lang w:val="en-US"/>
                </w:rPr>
              </w:pPr>
            </w:p>
            <w:p w14:paraId="1A3763A0" w14:textId="77777777" w:rsidR="00383FCD" w:rsidRDefault="00383FCD" w:rsidP="00103A3D">
              <w:pPr>
                <w:rPr>
                  <w:lang w:val="en-US"/>
                </w:rPr>
              </w:pPr>
            </w:p>
            <w:p w14:paraId="3EDE0372" w14:textId="77777777" w:rsidR="00383FCD" w:rsidRDefault="00383FCD" w:rsidP="00103A3D">
              <w:pPr>
                <w:rPr>
                  <w:lang w:val="en-US"/>
                </w:rPr>
              </w:pPr>
            </w:p>
            <w:p w14:paraId="68D7F332" w14:textId="77777777" w:rsidR="00383FCD" w:rsidRDefault="00383FCD" w:rsidP="00103A3D">
              <w:pPr>
                <w:rPr>
                  <w:lang w:val="en-US"/>
                </w:rPr>
              </w:pPr>
            </w:p>
            <w:p w14:paraId="06F692B0" w14:textId="77777777" w:rsidR="00383FCD" w:rsidRDefault="00383FCD" w:rsidP="00103A3D">
              <w:pPr>
                <w:rPr>
                  <w:lang w:val="en-US"/>
                </w:rPr>
              </w:pPr>
            </w:p>
            <w:p w14:paraId="373ADDE2" w14:textId="77777777" w:rsidR="00383FCD" w:rsidRDefault="00383FCD" w:rsidP="00103A3D">
              <w:pPr>
                <w:rPr>
                  <w:lang w:val="en-US"/>
                </w:rPr>
              </w:pPr>
            </w:p>
            <w:p w14:paraId="1FA86FBE" w14:textId="77777777" w:rsidR="00383FCD" w:rsidRDefault="00383FCD" w:rsidP="00103A3D">
              <w:pPr>
                <w:rPr>
                  <w:lang w:val="en-US"/>
                </w:rPr>
              </w:pPr>
            </w:p>
            <w:p w14:paraId="1E364780" w14:textId="77777777" w:rsidR="00383FCD" w:rsidRDefault="00383FCD" w:rsidP="00103A3D">
              <w:pPr>
                <w:rPr>
                  <w:lang w:val="en-US"/>
                </w:rPr>
              </w:pPr>
            </w:p>
            <w:p w14:paraId="7535C47D" w14:textId="77777777" w:rsidR="00383FCD" w:rsidRDefault="00383FCD" w:rsidP="00103A3D">
              <w:pPr>
                <w:rPr>
                  <w:lang w:val="en-US"/>
                </w:rPr>
              </w:pPr>
            </w:p>
            <w:p w14:paraId="2046EC8F" w14:textId="77777777" w:rsidR="00383FCD" w:rsidRDefault="00383FCD" w:rsidP="00103A3D">
              <w:pPr>
                <w:rPr>
                  <w:lang w:val="en-US"/>
                </w:rPr>
              </w:pPr>
            </w:p>
            <w:p w14:paraId="54031A57" w14:textId="77777777" w:rsidR="00383FCD" w:rsidRDefault="00383FCD" w:rsidP="00103A3D">
              <w:pPr>
                <w:rPr>
                  <w:lang w:val="en-US"/>
                </w:rPr>
              </w:pPr>
            </w:p>
            <w:p w14:paraId="72F55B48" w14:textId="77777777" w:rsidR="00383FCD" w:rsidRDefault="00383FCD" w:rsidP="00103A3D">
              <w:pPr>
                <w:rPr>
                  <w:lang w:val="en-US"/>
                </w:rPr>
              </w:pPr>
            </w:p>
            <w:p w14:paraId="42D6FAE7" w14:textId="77777777" w:rsidR="00383FCD" w:rsidRDefault="00383FCD" w:rsidP="00103A3D">
              <w:pPr>
                <w:rPr>
                  <w:lang w:val="en-US"/>
                </w:rPr>
              </w:pPr>
            </w:p>
            <w:p w14:paraId="3BD0A748" w14:textId="77777777" w:rsidR="00383FCD" w:rsidRDefault="00383FCD" w:rsidP="00103A3D">
              <w:pPr>
                <w:rPr>
                  <w:lang w:val="en-US"/>
                </w:rPr>
              </w:pPr>
            </w:p>
            <w:p w14:paraId="10333D26" w14:textId="77777777" w:rsidR="00383FCD" w:rsidRDefault="00383FCD" w:rsidP="00103A3D">
              <w:pPr>
                <w:rPr>
                  <w:lang w:val="en-US"/>
                </w:rPr>
              </w:pPr>
            </w:p>
            <w:p w14:paraId="3B27D068" w14:textId="77777777" w:rsidR="00383FCD" w:rsidRDefault="00383FCD" w:rsidP="00103A3D">
              <w:pPr>
                <w:rPr>
                  <w:lang w:val="en-US"/>
                </w:rPr>
              </w:pPr>
            </w:p>
            <w:p w14:paraId="32A8B53D" w14:textId="77777777" w:rsidR="00383FCD" w:rsidRDefault="00383FCD" w:rsidP="00103A3D">
              <w:pPr>
                <w:rPr>
                  <w:lang w:val="en-US"/>
                </w:rPr>
              </w:pPr>
            </w:p>
            <w:p w14:paraId="12AA7923" w14:textId="77777777" w:rsidR="00383FCD" w:rsidRDefault="00383FCD" w:rsidP="00103A3D">
              <w:pPr>
                <w:rPr>
                  <w:lang w:val="en-US"/>
                </w:rPr>
              </w:pPr>
            </w:p>
            <w:p w14:paraId="6549FDAE" w14:textId="77777777" w:rsidR="00383FCD" w:rsidRDefault="00383FCD" w:rsidP="00103A3D">
              <w:pPr>
                <w:rPr>
                  <w:lang w:val="en-US"/>
                </w:rPr>
              </w:pPr>
            </w:p>
            <w:p w14:paraId="2E227A2B" w14:textId="77777777" w:rsidR="00383FCD" w:rsidRDefault="00383FCD" w:rsidP="00103A3D">
              <w:pPr>
                <w:rPr>
                  <w:lang w:val="en-US"/>
                </w:rPr>
              </w:pPr>
            </w:p>
            <w:p w14:paraId="7CEE7D02" w14:textId="77777777" w:rsidR="00383FCD" w:rsidRDefault="00383FCD" w:rsidP="00103A3D">
              <w:pPr>
                <w:rPr>
                  <w:lang w:val="en-US"/>
                </w:rPr>
              </w:pPr>
            </w:p>
            <w:p w14:paraId="535ACE47" w14:textId="77777777" w:rsidR="00383FCD" w:rsidRDefault="00383FCD" w:rsidP="00103A3D">
              <w:pPr>
                <w:rPr>
                  <w:lang w:val="en-US"/>
                </w:rPr>
              </w:pPr>
            </w:p>
            <w:p w14:paraId="1F9FC860" w14:textId="77777777" w:rsidR="00383FCD" w:rsidRDefault="00383FCD" w:rsidP="00103A3D">
              <w:pPr>
                <w:rPr>
                  <w:lang w:val="en-US"/>
                </w:rPr>
              </w:pPr>
            </w:p>
            <w:p w14:paraId="00AF8210" w14:textId="77777777" w:rsidR="00383FCD" w:rsidRDefault="00383FCD" w:rsidP="00103A3D">
              <w:pPr>
                <w:rPr>
                  <w:lang w:val="en-US"/>
                </w:rPr>
              </w:pPr>
            </w:p>
            <w:p w14:paraId="4939223C" w14:textId="77777777" w:rsidR="00383FCD" w:rsidRDefault="00383FCD" w:rsidP="00103A3D">
              <w:pPr>
                <w:rPr>
                  <w:lang w:val="en-US"/>
                </w:rPr>
              </w:pPr>
            </w:p>
            <w:sdt>
              <w:sdtPr>
                <w:id w:val="2010241883"/>
                <w:docPartObj>
                  <w:docPartGallery w:val="Bibliographies"/>
                  <w:docPartUnique/>
                </w:docPartObj>
              </w:sdtPr>
              <w:sdtContent>
                <w:p w14:paraId="684323DD" w14:textId="5091AB44" w:rsidR="00103A3D" w:rsidRPr="004D568B" w:rsidRDefault="00103A3D" w:rsidP="004D568B">
                  <w:pPr>
                    <w:pStyle w:val="ListParagraph"/>
                    <w:numPr>
                      <w:ilvl w:val="0"/>
                      <w:numId w:val="1"/>
                    </w:numPr>
                    <w:jc w:val="center"/>
                    <w:rPr>
                      <w:b/>
                      <w:bCs/>
                      <w:sz w:val="24"/>
                      <w:szCs w:val="24"/>
                      <w:u w:val="single"/>
                    </w:rPr>
                  </w:pPr>
                  <w:r w:rsidRPr="004D568B">
                    <w:rPr>
                      <w:b/>
                      <w:bCs/>
                      <w:sz w:val="24"/>
                      <w:szCs w:val="24"/>
                      <w:u w:val="single"/>
                    </w:rPr>
                    <w:t xml:space="preserve">Essay Two - </w:t>
                  </w:r>
                  <w:r w:rsidRPr="004D568B">
                    <w:rPr>
                      <w:b/>
                      <w:bCs/>
                      <w:sz w:val="24"/>
                      <w:szCs w:val="24"/>
                      <w:u w:val="single"/>
                    </w:rPr>
                    <w:t>Bibliography</w:t>
                  </w:r>
                </w:p>
                <w:sdt>
                  <w:sdtPr>
                    <w:id w:val="111145805"/>
                    <w:bibliography/>
                  </w:sdtPr>
                  <w:sdtContent>
                    <w:p w14:paraId="72C3BDA8" w14:textId="77777777" w:rsidR="00103A3D" w:rsidRDefault="00103A3D" w:rsidP="004D568B">
                      <w:pPr>
                        <w:pStyle w:val="Bibliography"/>
                        <w:numPr>
                          <w:ilvl w:val="0"/>
                          <w:numId w:val="1"/>
                        </w:numPr>
                        <w:rPr>
                          <w:noProof/>
                          <w:kern w:val="0"/>
                          <w:sz w:val="24"/>
                          <w:szCs w:val="24"/>
                          <w14:ligatures w14:val="none"/>
                        </w:rPr>
                      </w:pPr>
                      <w:r>
                        <w:fldChar w:fldCharType="begin"/>
                      </w:r>
                      <w:r>
                        <w:instrText xml:space="preserve"> BIBLIOGRAPHY </w:instrText>
                      </w:r>
                      <w:r>
                        <w:fldChar w:fldCharType="separate"/>
                      </w:r>
                      <w:r>
                        <w:rPr>
                          <w:noProof/>
                        </w:rPr>
                        <w:t xml:space="preserve">(WHO), W. H. (2018, January 1). </w:t>
                      </w:r>
                      <w:r>
                        <w:rPr>
                          <w:i/>
                          <w:iCs/>
                          <w:noProof/>
                        </w:rPr>
                        <w:t>Mental Health</w:t>
                      </w:r>
                      <w:r>
                        <w:rPr>
                          <w:noProof/>
                        </w:rPr>
                        <w:t>. Retrieved from World Health Organisation : https://www.who.int/data/gho/data/themes/mental-health Accessed on: 24/08/2024</w:t>
                      </w:r>
                    </w:p>
                    <w:p w14:paraId="5A4FD735" w14:textId="77777777" w:rsidR="00103A3D" w:rsidRDefault="00103A3D" w:rsidP="004D568B">
                      <w:pPr>
                        <w:pStyle w:val="Bibliography"/>
                        <w:numPr>
                          <w:ilvl w:val="0"/>
                          <w:numId w:val="1"/>
                        </w:numPr>
                        <w:rPr>
                          <w:noProof/>
                        </w:rPr>
                      </w:pPr>
                      <w:r>
                        <w:rPr>
                          <w:noProof/>
                        </w:rPr>
                        <w:t xml:space="preserve">Federation, P. (2016, August). </w:t>
                      </w:r>
                      <w:r>
                        <w:rPr>
                          <w:i/>
                          <w:iCs/>
                          <w:noProof/>
                        </w:rPr>
                        <w:t>Professional Behaviour &amp; Ethics</w:t>
                      </w:r>
                      <w:r>
                        <w:rPr>
                          <w:noProof/>
                        </w:rPr>
                        <w:t>. Retrieved from Warwickshire Police Federation: https://www.polfed.org/warks/advice/standards/professional-behaviour-ethics/ Accessed on:22/08/2024</w:t>
                      </w:r>
                    </w:p>
                    <w:p w14:paraId="43FFEBCA" w14:textId="77777777" w:rsidR="00103A3D" w:rsidRDefault="00103A3D" w:rsidP="004D568B">
                      <w:pPr>
                        <w:pStyle w:val="Bibliography"/>
                        <w:numPr>
                          <w:ilvl w:val="0"/>
                          <w:numId w:val="1"/>
                        </w:numPr>
                        <w:rPr>
                          <w:noProof/>
                        </w:rPr>
                      </w:pPr>
                      <w:r>
                        <w:rPr>
                          <w:noProof/>
                        </w:rPr>
                        <w:t xml:space="preserve">Hargreaves, H. a. (2017). </w:t>
                      </w:r>
                      <w:r>
                        <w:rPr>
                          <w:i/>
                          <w:iCs/>
                          <w:noProof/>
                        </w:rPr>
                        <w:t>Police workforce, England and Wales 31 March 2017.</w:t>
                      </w:r>
                      <w:r>
                        <w:rPr>
                          <w:noProof/>
                        </w:rPr>
                        <w:t xml:space="preserve"> London: Home Office Statistical Bulletin 10/17. Accessed on:17/08/2024</w:t>
                      </w:r>
                    </w:p>
                    <w:p w14:paraId="4C056E90" w14:textId="77777777" w:rsidR="00103A3D" w:rsidRDefault="00103A3D" w:rsidP="004D568B">
                      <w:pPr>
                        <w:pStyle w:val="Bibliography"/>
                        <w:numPr>
                          <w:ilvl w:val="0"/>
                          <w:numId w:val="1"/>
                        </w:numPr>
                        <w:rPr>
                          <w:noProof/>
                        </w:rPr>
                      </w:pPr>
                      <w:r>
                        <w:rPr>
                          <w:noProof/>
                        </w:rPr>
                        <w:t xml:space="preserve">HMICFRS. (2023, March 7). </w:t>
                      </w:r>
                      <w:r>
                        <w:rPr>
                          <w:i/>
                          <w:iCs/>
                          <w:noProof/>
                        </w:rPr>
                        <w:t>Policing and Mental Health: Picking Up the Pieces</w:t>
                      </w:r>
                      <w:r>
                        <w:rPr>
                          <w:noProof/>
                        </w:rPr>
                        <w:t>. Retrieved from HMICFRS: https://hmicfrs.justiceinspectorates.gov.uk/publication-html/policing-and-mental-health-picking-up-the-pieces/ Accessed on: 17/08/2024</w:t>
                      </w:r>
                    </w:p>
                    <w:p w14:paraId="076F5D69" w14:textId="77777777" w:rsidR="00103A3D" w:rsidRPr="00491776" w:rsidRDefault="00103A3D" w:rsidP="004D568B">
                      <w:pPr>
                        <w:pStyle w:val="ListParagraph"/>
                        <w:numPr>
                          <w:ilvl w:val="0"/>
                          <w:numId w:val="1"/>
                        </w:numPr>
                      </w:pPr>
                      <w:r w:rsidRPr="00DF04C8">
                        <w:t>Miller L. (1995). Tough guys: Psychotherapeutic strategies with law enforcement and emergency services personnel. Psychotherapy: Theory, Research, Practice, Training, 32, 592-600</w:t>
                      </w:r>
                      <w:r>
                        <w:t>. Accessed 02/09/2024</w:t>
                      </w:r>
                    </w:p>
                    <w:p w14:paraId="565F497A" w14:textId="77777777" w:rsidR="00103A3D" w:rsidRDefault="00103A3D" w:rsidP="004D568B">
                      <w:pPr>
                        <w:pStyle w:val="Bibliography"/>
                        <w:numPr>
                          <w:ilvl w:val="0"/>
                          <w:numId w:val="1"/>
                        </w:numPr>
                        <w:rPr>
                          <w:noProof/>
                        </w:rPr>
                      </w:pPr>
                      <w:r>
                        <w:rPr>
                          <w:noProof/>
                        </w:rPr>
                        <w:t xml:space="preserve">Kessler, R. C. (1995). Posttraumatic stress disorder in the National Comorbidity Survey. </w:t>
                      </w:r>
                      <w:r>
                        <w:rPr>
                          <w:i/>
                          <w:iCs/>
                          <w:noProof/>
                        </w:rPr>
                        <w:t>Archives of general psychiatry</w:t>
                      </w:r>
                      <w:r>
                        <w:rPr>
                          <w:noProof/>
                        </w:rPr>
                        <w:t>, 52(12), 1048–1060. Accessed on: 04/02/2024</w:t>
                      </w:r>
                    </w:p>
                    <w:p w14:paraId="2092C056" w14:textId="77777777" w:rsidR="00103A3D" w:rsidRDefault="00103A3D" w:rsidP="004D568B">
                      <w:pPr>
                        <w:pStyle w:val="Bibliography"/>
                        <w:numPr>
                          <w:ilvl w:val="0"/>
                          <w:numId w:val="1"/>
                        </w:numPr>
                        <w:rPr>
                          <w:noProof/>
                        </w:rPr>
                      </w:pPr>
                      <w:r>
                        <w:rPr>
                          <w:noProof/>
                        </w:rPr>
                        <w:t xml:space="preserve">Kilo, O. (2020). </w:t>
                      </w:r>
                      <w:r>
                        <w:rPr>
                          <w:i/>
                          <w:iCs/>
                          <w:noProof/>
                        </w:rPr>
                        <w:t>Responding to trauma in policing, a practical guide.</w:t>
                      </w:r>
                      <w:r>
                        <w:rPr>
                          <w:noProof/>
                        </w:rPr>
                        <w:t xml:space="preserve"> Retrieved from College of Policing - Oscar Kilo: https://www.oscarkilo.org.uk/media/304/download?inline Accessed on: 22/05/2024</w:t>
                      </w:r>
                    </w:p>
                    <w:p w14:paraId="38E9761D" w14:textId="77777777" w:rsidR="00103A3D" w:rsidRDefault="00103A3D" w:rsidP="004D568B">
                      <w:pPr>
                        <w:pStyle w:val="Bibliography"/>
                        <w:numPr>
                          <w:ilvl w:val="0"/>
                          <w:numId w:val="1"/>
                        </w:numPr>
                        <w:rPr>
                          <w:noProof/>
                        </w:rPr>
                      </w:pPr>
                      <w:r>
                        <w:rPr>
                          <w:noProof/>
                        </w:rPr>
                        <w:t xml:space="preserve">NICE. (2018, December 5). </w:t>
                      </w:r>
                      <w:r>
                        <w:rPr>
                          <w:i/>
                          <w:iCs/>
                          <w:noProof/>
                        </w:rPr>
                        <w:t>Post-traumatic stress disorder</w:t>
                      </w:r>
                      <w:r>
                        <w:rPr>
                          <w:noProof/>
                        </w:rPr>
                        <w:t>. Retrieved from National Insitute for Health and Care Excellence: https://www.nice.org.uk/guidance/ng116 Accessed on: 22/05/2024</w:t>
                      </w:r>
                    </w:p>
                    <w:p w14:paraId="6F650C53" w14:textId="77777777" w:rsidR="00103A3D" w:rsidRPr="00385F6E" w:rsidRDefault="00103A3D" w:rsidP="004D568B">
                      <w:pPr>
                        <w:pStyle w:val="ListParagraph"/>
                        <w:numPr>
                          <w:ilvl w:val="0"/>
                          <w:numId w:val="1"/>
                        </w:numPr>
                      </w:pPr>
                      <w:r w:rsidRPr="00200BFE">
                        <w:t>Papazoglou, K., &amp; Tuttle, B. M. (2018). Fighting Police Trauma: Practical Approaches to Addressing Psychological Needs of Officers. Sage Open, 8(3). https://doi.org/10.1177/2158244018794794</w:t>
                      </w:r>
                      <w:r>
                        <w:t xml:space="preserve"> Accessed on: 02/09/2024.</w:t>
                      </w:r>
                    </w:p>
                    <w:p w14:paraId="1296CB89" w14:textId="77777777" w:rsidR="00103A3D" w:rsidRDefault="00103A3D" w:rsidP="004D568B">
                      <w:pPr>
                        <w:pStyle w:val="Bibliography"/>
                        <w:numPr>
                          <w:ilvl w:val="0"/>
                          <w:numId w:val="1"/>
                        </w:numPr>
                        <w:rPr>
                          <w:noProof/>
                        </w:rPr>
                      </w:pPr>
                      <w:r>
                        <w:rPr>
                          <w:noProof/>
                        </w:rPr>
                        <w:t xml:space="preserve">Policing, C. o. (2022). </w:t>
                      </w:r>
                      <w:r>
                        <w:rPr>
                          <w:i/>
                          <w:iCs/>
                          <w:noProof/>
                        </w:rPr>
                        <w:t>Suicide prevention in Policing. Current landscape.</w:t>
                      </w:r>
                      <w:r>
                        <w:rPr>
                          <w:noProof/>
                        </w:rPr>
                        <w:t xml:space="preserve"> Retrieved from College of Policing: https://assets.production.copweb.aws.college.police.uk/s3fs-public/2022-02/Suicide-prevention-current-landscape.pdf Accessed on:28/08/2024</w:t>
                      </w:r>
                    </w:p>
                    <w:p w14:paraId="3E0AF227" w14:textId="77777777" w:rsidR="00103A3D" w:rsidRDefault="00103A3D" w:rsidP="004D568B">
                      <w:pPr>
                        <w:pStyle w:val="Bibliography"/>
                        <w:numPr>
                          <w:ilvl w:val="0"/>
                          <w:numId w:val="1"/>
                        </w:numPr>
                        <w:rPr>
                          <w:noProof/>
                        </w:rPr>
                      </w:pPr>
                      <w:r>
                        <w:rPr>
                          <w:noProof/>
                        </w:rPr>
                        <w:t xml:space="preserve">Policing, C. o. (2024). </w:t>
                      </w:r>
                      <w:r>
                        <w:rPr>
                          <w:i/>
                          <w:iCs/>
                          <w:noProof/>
                        </w:rPr>
                        <w:t>Response Constable</w:t>
                      </w:r>
                      <w:r>
                        <w:rPr>
                          <w:noProof/>
                        </w:rPr>
                        <w:t>. Retrieved from College of Policing: https://profdev.college.police.uk/professional-profile/test-9/ Accessed on: 28/08/2024</w:t>
                      </w:r>
                    </w:p>
                    <w:p w14:paraId="44F8A287" w14:textId="77777777" w:rsidR="00103A3D" w:rsidRPr="0081631C" w:rsidRDefault="00103A3D" w:rsidP="004D568B">
                      <w:pPr>
                        <w:pStyle w:val="ListParagraph"/>
                        <w:numPr>
                          <w:ilvl w:val="0"/>
                          <w:numId w:val="1"/>
                        </w:numPr>
                      </w:pPr>
                      <w:r w:rsidRPr="0081631C">
                        <w:t>Rudofossi D. (2009). A cop doc’s guide to public safety complex trauma syndrome: Using five police personality styles (death, value, and meaning). Amityville, NY: Baywood Publishing Company.</w:t>
                      </w:r>
                    </w:p>
                    <w:p w14:paraId="117FDF26" w14:textId="77777777" w:rsidR="00103A3D" w:rsidRDefault="00103A3D" w:rsidP="004D568B">
                      <w:pPr>
                        <w:pStyle w:val="Bibliography"/>
                        <w:numPr>
                          <w:ilvl w:val="0"/>
                          <w:numId w:val="1"/>
                        </w:numPr>
                        <w:rPr>
                          <w:noProof/>
                        </w:rPr>
                      </w:pPr>
                      <w:r>
                        <w:rPr>
                          <w:noProof/>
                        </w:rPr>
                        <w:t xml:space="preserve">Statistics, O. f. (2021). </w:t>
                      </w:r>
                      <w:r>
                        <w:rPr>
                          <w:i/>
                          <w:iCs/>
                          <w:noProof/>
                        </w:rPr>
                        <w:t>Suicide by occupation, England and Wales 2011 to 2019 registrations</w:t>
                      </w:r>
                      <w:r>
                        <w:rPr>
                          <w:noProof/>
                        </w:rPr>
                        <w:t>. Retrieved from Office for National Statistics: https://www.ons.gov.uk/peoplepopulationandcommunity/birthsdeathsandmarriages/deaths/adhocs/13674suicidebyoccupationenglandandwales2011to2020registrations Accessed on: 22/05/2024</w:t>
                      </w:r>
                    </w:p>
                    <w:p w14:paraId="71A080EE" w14:textId="77777777" w:rsidR="00103A3D" w:rsidRDefault="00103A3D" w:rsidP="004D568B">
                      <w:pPr>
                        <w:pStyle w:val="Bibliography"/>
                        <w:numPr>
                          <w:ilvl w:val="0"/>
                          <w:numId w:val="1"/>
                        </w:numPr>
                        <w:rPr>
                          <w:noProof/>
                        </w:rPr>
                      </w:pPr>
                      <w:r>
                        <w:rPr>
                          <w:noProof/>
                        </w:rPr>
                        <w:t xml:space="preserve">Statistics, O. f. (2023, March). </w:t>
                      </w:r>
                      <w:r>
                        <w:rPr>
                          <w:i/>
                          <w:iCs/>
                          <w:noProof/>
                        </w:rPr>
                        <w:t>Sociodemographic inequalities in suicides in England and Wales: 2011 to 2021</w:t>
                      </w:r>
                      <w:r>
                        <w:rPr>
                          <w:noProof/>
                        </w:rPr>
                        <w:t>. Retrieved from Office for National Statistics: https://www.ons.gov.uk/peoplepopulationandcommunity/healthandsocialcare/healthinequalities/bulletins/sociodemographicinequalitiesinsuicidesinenglandandwales/2011to2021 Accessed on: 23/05/2024</w:t>
                      </w:r>
                    </w:p>
                    <w:p w14:paraId="357F1948" w14:textId="77777777" w:rsidR="00103A3D" w:rsidRDefault="00103A3D" w:rsidP="004D568B">
                      <w:pPr>
                        <w:pStyle w:val="Bibliography"/>
                        <w:numPr>
                          <w:ilvl w:val="0"/>
                          <w:numId w:val="1"/>
                        </w:numPr>
                        <w:rPr>
                          <w:noProof/>
                        </w:rPr>
                      </w:pPr>
                      <w:r>
                        <w:rPr>
                          <w:noProof/>
                        </w:rPr>
                        <w:t xml:space="preserve">Stress.com, M. o. (2024). </w:t>
                      </w:r>
                      <w:r>
                        <w:rPr>
                          <w:i/>
                          <w:iCs/>
                          <w:noProof/>
                        </w:rPr>
                        <w:t>Trauma Risk Management</w:t>
                      </w:r>
                      <w:r>
                        <w:rPr>
                          <w:noProof/>
                        </w:rPr>
                        <w:t>. Retrieved from March on Stress.com: https://www.marchonstress.com/page/p/trim Accessed on: 28/05/2024</w:t>
                      </w:r>
                    </w:p>
                    <w:p w14:paraId="67F9AB82" w14:textId="77777777" w:rsidR="00103A3D" w:rsidRDefault="00103A3D" w:rsidP="004D568B">
                      <w:pPr>
                        <w:pStyle w:val="Bibliography"/>
                        <w:numPr>
                          <w:ilvl w:val="0"/>
                          <w:numId w:val="1"/>
                        </w:numPr>
                        <w:rPr>
                          <w:noProof/>
                        </w:rPr>
                      </w:pPr>
                      <w:r>
                        <w:rPr>
                          <w:noProof/>
                        </w:rPr>
                        <w:t xml:space="preserve">Tehrani. (2019). Evaluation of a trauma therapy programme within emergency service organizations. </w:t>
                      </w:r>
                      <w:r>
                        <w:rPr>
                          <w:i/>
                          <w:iCs/>
                          <w:noProof/>
                        </w:rPr>
                        <w:t>Occupational Medicine</w:t>
                      </w:r>
                      <w:r>
                        <w:rPr>
                          <w:noProof/>
                        </w:rPr>
                        <w:t>, (69) 559-565. Accessed on: 07/07/2024</w:t>
                      </w:r>
                    </w:p>
                    <w:p w14:paraId="70357796" w14:textId="77777777" w:rsidR="00103A3D" w:rsidRDefault="00103A3D" w:rsidP="004D568B">
                      <w:pPr>
                        <w:pStyle w:val="Bibliography"/>
                        <w:numPr>
                          <w:ilvl w:val="0"/>
                          <w:numId w:val="1"/>
                        </w:numPr>
                        <w:rPr>
                          <w:noProof/>
                        </w:rPr>
                      </w:pPr>
                      <w:r>
                        <w:rPr>
                          <w:noProof/>
                        </w:rPr>
                        <w:t xml:space="preserve">Violanti. (2007). </w:t>
                      </w:r>
                      <w:r>
                        <w:rPr>
                          <w:i/>
                          <w:iCs/>
                          <w:noProof/>
                        </w:rPr>
                        <w:t>Police Suicide: Epidemic in blue.</w:t>
                      </w:r>
                      <w:r>
                        <w:rPr>
                          <w:noProof/>
                        </w:rPr>
                        <w:t xml:space="preserve"> Springfield, IL: Charles C Thomas. Accessed on: 21/06/2024</w:t>
                      </w:r>
                    </w:p>
                    <w:p w14:paraId="4E399BC5" w14:textId="77777777" w:rsidR="00103A3D" w:rsidRDefault="00103A3D" w:rsidP="004D568B">
                      <w:pPr>
                        <w:pStyle w:val="Bibliography"/>
                        <w:numPr>
                          <w:ilvl w:val="0"/>
                          <w:numId w:val="1"/>
                        </w:numPr>
                        <w:rPr>
                          <w:noProof/>
                        </w:rPr>
                      </w:pPr>
                      <w:r>
                        <w:rPr>
                          <w:noProof/>
                        </w:rPr>
                        <w:t xml:space="preserve">Watson, L. &amp;. (2018). The effect of a Trauma Risk Management (TRiM) program on stigma and barriers to help-seeking in the police. </w:t>
                      </w:r>
                      <w:r>
                        <w:rPr>
                          <w:i/>
                          <w:iCs/>
                          <w:noProof/>
                        </w:rPr>
                        <w:t>International Journal of Stress Managemen</w:t>
                      </w:r>
                      <w:r>
                        <w:rPr>
                          <w:noProof/>
                        </w:rPr>
                        <w:t>, 25(4), 348–356. Accessed on: 25/08/2024</w:t>
                      </w:r>
                    </w:p>
                    <w:p w14:paraId="3B3BBD25" w14:textId="77777777" w:rsidR="00383FCD" w:rsidRDefault="00103A3D" w:rsidP="00103A3D">
                      <w:pPr>
                        <w:rPr>
                          <w:color w:val="000000"/>
                          <w:shd w:val="clear" w:color="auto" w:fill="FFFFFF"/>
                        </w:rPr>
                      </w:pPr>
                      <w:r>
                        <w:rPr>
                          <w:b/>
                          <w:bCs/>
                          <w:noProof/>
                        </w:rPr>
                        <w:fldChar w:fldCharType="end"/>
                      </w:r>
                      <w:r w:rsidRPr="00D92F2D">
                        <w:rPr>
                          <w:color w:val="000000"/>
                          <w:shd w:val="clear" w:color="auto" w:fill="FFFFFF"/>
                        </w:rPr>
                        <w:t xml:space="preserve"> </w:t>
                      </w:r>
                    </w:p>
                    <w:p w14:paraId="49B942E6" w14:textId="77777777" w:rsidR="00383FCD" w:rsidRDefault="00383FCD" w:rsidP="00103A3D">
                      <w:pPr>
                        <w:rPr>
                          <w:color w:val="000000"/>
                          <w:shd w:val="clear" w:color="auto" w:fill="FFFFFF"/>
                        </w:rPr>
                      </w:pPr>
                    </w:p>
                    <w:p w14:paraId="687E27FB" w14:textId="77777777" w:rsidR="00383FCD" w:rsidRDefault="00383FCD" w:rsidP="00103A3D">
                      <w:pPr>
                        <w:rPr>
                          <w:color w:val="000000"/>
                          <w:shd w:val="clear" w:color="auto" w:fill="FFFFFF"/>
                        </w:rPr>
                      </w:pPr>
                    </w:p>
                    <w:p w14:paraId="43F82E6B" w14:textId="77777777" w:rsidR="00383FCD" w:rsidRDefault="00383FCD" w:rsidP="00103A3D">
                      <w:pPr>
                        <w:rPr>
                          <w:color w:val="000000"/>
                          <w:shd w:val="clear" w:color="auto" w:fill="FFFFFF"/>
                        </w:rPr>
                      </w:pPr>
                    </w:p>
                    <w:p w14:paraId="2574ED47" w14:textId="77777777" w:rsidR="00383FCD" w:rsidRDefault="00383FCD" w:rsidP="00103A3D">
                      <w:pPr>
                        <w:rPr>
                          <w:color w:val="000000"/>
                          <w:shd w:val="clear" w:color="auto" w:fill="FFFFFF"/>
                        </w:rPr>
                      </w:pPr>
                    </w:p>
                    <w:p w14:paraId="7B05F8EC" w14:textId="77777777" w:rsidR="00383FCD" w:rsidRDefault="00383FCD" w:rsidP="00103A3D">
                      <w:pPr>
                        <w:rPr>
                          <w:color w:val="000000"/>
                          <w:shd w:val="clear" w:color="auto" w:fill="FFFFFF"/>
                        </w:rPr>
                      </w:pPr>
                    </w:p>
                    <w:p w14:paraId="2ED466E8" w14:textId="77777777" w:rsidR="00383FCD" w:rsidRDefault="00383FCD" w:rsidP="00103A3D">
                      <w:pPr>
                        <w:rPr>
                          <w:color w:val="000000"/>
                          <w:shd w:val="clear" w:color="auto" w:fill="FFFFFF"/>
                        </w:rPr>
                      </w:pPr>
                    </w:p>
                    <w:p w14:paraId="367A45C2" w14:textId="77777777" w:rsidR="00383FCD" w:rsidRDefault="00383FCD" w:rsidP="00103A3D">
                      <w:pPr>
                        <w:rPr>
                          <w:color w:val="000000"/>
                          <w:shd w:val="clear" w:color="auto" w:fill="FFFFFF"/>
                        </w:rPr>
                      </w:pPr>
                    </w:p>
                    <w:p w14:paraId="397AB085" w14:textId="77777777" w:rsidR="00383FCD" w:rsidRDefault="00383FCD" w:rsidP="00103A3D">
                      <w:pPr>
                        <w:rPr>
                          <w:color w:val="000000"/>
                          <w:shd w:val="clear" w:color="auto" w:fill="FFFFFF"/>
                        </w:rPr>
                      </w:pPr>
                    </w:p>
                    <w:p w14:paraId="57435B79" w14:textId="77777777" w:rsidR="00383FCD" w:rsidRDefault="00383FCD" w:rsidP="00103A3D">
                      <w:pPr>
                        <w:rPr>
                          <w:color w:val="000000"/>
                          <w:shd w:val="clear" w:color="auto" w:fill="FFFFFF"/>
                        </w:rPr>
                      </w:pPr>
                    </w:p>
                    <w:p w14:paraId="31B7662C" w14:textId="77777777" w:rsidR="00383FCD" w:rsidRDefault="00383FCD" w:rsidP="00103A3D">
                      <w:pPr>
                        <w:rPr>
                          <w:color w:val="000000"/>
                          <w:shd w:val="clear" w:color="auto" w:fill="FFFFFF"/>
                        </w:rPr>
                      </w:pPr>
                    </w:p>
                    <w:p w14:paraId="5958E0FA" w14:textId="77777777" w:rsidR="00383FCD" w:rsidRDefault="00383FCD" w:rsidP="00103A3D">
                      <w:pPr>
                        <w:rPr>
                          <w:color w:val="000000"/>
                          <w:shd w:val="clear" w:color="auto" w:fill="FFFFFF"/>
                        </w:rPr>
                      </w:pPr>
                    </w:p>
                    <w:p w14:paraId="57EDFB25" w14:textId="77777777" w:rsidR="00383FCD" w:rsidRDefault="00383FCD" w:rsidP="00103A3D">
                      <w:pPr>
                        <w:rPr>
                          <w:color w:val="000000"/>
                          <w:shd w:val="clear" w:color="auto" w:fill="FFFFFF"/>
                        </w:rPr>
                      </w:pPr>
                    </w:p>
                    <w:p w14:paraId="2D23FD5F" w14:textId="77777777" w:rsidR="00383FCD" w:rsidRDefault="00383FCD" w:rsidP="00103A3D">
                      <w:pPr>
                        <w:rPr>
                          <w:color w:val="000000"/>
                          <w:shd w:val="clear" w:color="auto" w:fill="FFFFFF"/>
                        </w:rPr>
                      </w:pPr>
                    </w:p>
                    <w:p w14:paraId="3EF254DC" w14:textId="77777777" w:rsidR="00383FCD" w:rsidRDefault="00383FCD" w:rsidP="00103A3D">
                      <w:pPr>
                        <w:rPr>
                          <w:color w:val="000000"/>
                          <w:shd w:val="clear" w:color="auto" w:fill="FFFFFF"/>
                        </w:rPr>
                      </w:pPr>
                    </w:p>
                    <w:p w14:paraId="477912E2" w14:textId="77777777" w:rsidR="00383FCD" w:rsidRDefault="00383FCD" w:rsidP="00103A3D">
                      <w:pPr>
                        <w:rPr>
                          <w:color w:val="000000"/>
                          <w:shd w:val="clear" w:color="auto" w:fill="FFFFFF"/>
                        </w:rPr>
                      </w:pPr>
                    </w:p>
                    <w:p w14:paraId="595344B8" w14:textId="77777777" w:rsidR="00383FCD" w:rsidRDefault="00383FCD" w:rsidP="00103A3D">
                      <w:pPr>
                        <w:rPr>
                          <w:color w:val="000000"/>
                          <w:shd w:val="clear" w:color="auto" w:fill="FFFFFF"/>
                        </w:rPr>
                      </w:pPr>
                    </w:p>
                    <w:p w14:paraId="54CDF911" w14:textId="77777777" w:rsidR="00383FCD" w:rsidRDefault="00383FCD" w:rsidP="00103A3D">
                      <w:pPr>
                        <w:rPr>
                          <w:color w:val="000000"/>
                          <w:shd w:val="clear" w:color="auto" w:fill="FFFFFF"/>
                        </w:rPr>
                      </w:pPr>
                    </w:p>
                    <w:p w14:paraId="281D25B1" w14:textId="77777777" w:rsidR="00383FCD" w:rsidRDefault="00383FCD" w:rsidP="00103A3D">
                      <w:pPr>
                        <w:rPr>
                          <w:color w:val="000000"/>
                          <w:shd w:val="clear" w:color="auto" w:fill="FFFFFF"/>
                        </w:rPr>
                      </w:pPr>
                    </w:p>
                    <w:p w14:paraId="1319AC29" w14:textId="7CD8E6DA" w:rsidR="00103A3D" w:rsidRDefault="00103A3D" w:rsidP="00103A3D">
                      <w:pPr>
                        <w:rPr>
                          <w:color w:val="000000"/>
                          <w:shd w:val="clear" w:color="auto" w:fill="FFFFFF"/>
                        </w:rPr>
                      </w:pPr>
                    </w:p>
                  </w:sdtContent>
                </w:sdt>
              </w:sdtContent>
            </w:sdt>
            <w:p w14:paraId="62C63098" w14:textId="5149D1FC" w:rsidR="00103A3D" w:rsidRPr="004D568B" w:rsidRDefault="001B0185" w:rsidP="004D568B">
              <w:pPr>
                <w:pStyle w:val="ListParagraph"/>
                <w:numPr>
                  <w:ilvl w:val="0"/>
                  <w:numId w:val="1"/>
                </w:numPr>
                <w:jc w:val="center"/>
                <w:rPr>
                  <w:b/>
                  <w:bCs/>
                  <w:sz w:val="24"/>
                  <w:szCs w:val="24"/>
                  <w:u w:val="single"/>
                  <w:lang w:val="en-US"/>
                </w:rPr>
              </w:pPr>
              <w:r w:rsidRPr="004D568B">
                <w:rPr>
                  <w:b/>
                  <w:bCs/>
                  <w:sz w:val="24"/>
                  <w:szCs w:val="24"/>
                  <w:u w:val="single"/>
                  <w:lang w:val="en-US"/>
                </w:rPr>
                <w:t>Essay Four - Bibliography</w:t>
              </w:r>
            </w:p>
            <w:sdt>
              <w:sdtPr>
                <w:id w:val="596676335"/>
                <w:bibliography/>
              </w:sdtPr>
              <w:sdtEndPr>
                <w:rPr>
                  <w:sz w:val="24"/>
                  <w:szCs w:val="24"/>
                  <w:u w:val="single"/>
                </w:rPr>
              </w:sdtEndPr>
              <w:sdtContent>
                <w:p w14:paraId="5D8CAFFB" w14:textId="77777777" w:rsidR="004D568B" w:rsidRDefault="004D568B" w:rsidP="004D568B">
                  <w:pPr>
                    <w:pStyle w:val="Bibliography"/>
                    <w:numPr>
                      <w:ilvl w:val="0"/>
                      <w:numId w:val="1"/>
                    </w:numPr>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(2020, December 21). </w:t>
                  </w:r>
                  <w:r>
                    <w:rPr>
                      <w:i/>
                      <w:iCs/>
                      <w:noProof/>
                      <w:lang w:val="en-US"/>
                    </w:rPr>
                    <w:t>Essex lorry deaths: The supposed 'VIP' journey that killed 39 people</w:t>
                  </w:r>
                  <w:r>
                    <w:rPr>
                      <w:noProof/>
                      <w:lang w:val="en-US"/>
                    </w:rPr>
                    <w:t>. Retrieved from BBC News: https://www.bbc.co.uk/news/uk-england-essex-54294006</w:t>
                  </w:r>
                </w:p>
                <w:p w14:paraId="79480560" w14:textId="77777777" w:rsidR="004D568B" w:rsidRDefault="004D568B" w:rsidP="004D568B">
                  <w:pPr>
                    <w:pStyle w:val="Bibliography"/>
                    <w:numPr>
                      <w:ilvl w:val="0"/>
                      <w:numId w:val="1"/>
                    </w:numPr>
                    <w:rPr>
                      <w:noProof/>
                      <w:lang w:val="en-US"/>
                    </w:rPr>
                  </w:pPr>
                  <w:r>
                    <w:rPr>
                      <w:noProof/>
                      <w:lang w:val="en-US"/>
                    </w:rPr>
                    <w:t xml:space="preserve">BBC. (2021, January 22). </w:t>
                  </w:r>
                  <w:r>
                    <w:rPr>
                      <w:i/>
                      <w:iCs/>
                      <w:noProof/>
                      <w:lang w:val="en-US"/>
                    </w:rPr>
                    <w:t>Essex lorry deaths: Men jailed for killing 39 migrants in trailer</w:t>
                  </w:r>
                  <w:r>
                    <w:rPr>
                      <w:noProof/>
                      <w:lang w:val="en-US"/>
                    </w:rPr>
                    <w:t>. Retrieved from BBC News: https://www.bbc.co.uk/news/uk-england-essex-55765213</w:t>
                  </w:r>
                </w:p>
                <w:p w14:paraId="5B0321DE" w14:textId="77777777" w:rsidR="004D568B" w:rsidRPr="004D568B" w:rsidRDefault="004D568B" w:rsidP="004D568B">
                  <w:pPr>
                    <w:pStyle w:val="ListParagraph"/>
                    <w:numPr>
                      <w:ilvl w:val="0"/>
                      <w:numId w:val="1"/>
                    </w:numPr>
                    <w:rPr>
                      <w:lang w:val="en-US"/>
                    </w:rPr>
                  </w:pPr>
                  <w:r w:rsidRPr="004D568B">
                    <w:rPr>
                      <w:lang w:val="en-US"/>
                    </w:rPr>
                    <w:t>Bernado's, (2022). Criminal exploitation of children. Available from https://www.barnardos.org.uk/get-support/support-for-parents-and-carers/child-abuse-and-harm/criminal-exploitation-children Accessed on 02/09/2024.</w:t>
                  </w:r>
                </w:p>
                <w:p w14:paraId="2237345E" w14:textId="77777777" w:rsidR="004D568B" w:rsidRDefault="004D568B" w:rsidP="004D568B">
                  <w:pPr>
                    <w:pStyle w:val="Bibliography"/>
                    <w:numPr>
                      <w:ilvl w:val="0"/>
                      <w:numId w:val="1"/>
                    </w:numPr>
                    <w:rPr>
                      <w:noProof/>
                      <w:lang w:val="en-US"/>
                    </w:rPr>
                  </w:pPr>
                  <w:r>
                    <w:rPr>
                      <w:noProof/>
                      <w:lang w:val="en-US"/>
                    </w:rPr>
                    <w:t xml:space="preserve">Europol. (2024, April 11). </w:t>
                  </w:r>
                  <w:r>
                    <w:rPr>
                      <w:i/>
                      <w:iCs/>
                      <w:noProof/>
                      <w:lang w:val="en-US"/>
                    </w:rPr>
                    <w:t>Defining serious and organised crime</w:t>
                  </w:r>
                  <w:r>
                    <w:rPr>
                      <w:noProof/>
                      <w:lang w:val="en-US"/>
                    </w:rPr>
                    <w:t>. Retrieved from Europol: https://www.europol.europa.eu/socta/2017/defining-serious-and-organised-crime.html</w:t>
                  </w:r>
                </w:p>
                <w:p w14:paraId="3AE0B125" w14:textId="77777777" w:rsidR="004D568B" w:rsidRDefault="004D568B" w:rsidP="004D568B">
                  <w:pPr>
                    <w:pStyle w:val="Bibliography"/>
                    <w:numPr>
                      <w:ilvl w:val="0"/>
                      <w:numId w:val="1"/>
                    </w:numPr>
                    <w:rPr>
                      <w:noProof/>
                      <w:lang w:val="en-US"/>
                    </w:rPr>
                  </w:pPr>
                  <w:r>
                    <w:rPr>
                      <w:noProof/>
                      <w:lang w:val="en-US"/>
                    </w:rPr>
                    <w:t xml:space="preserve">HMICFRS. (2023, March 29). </w:t>
                  </w:r>
                  <w:r>
                    <w:rPr>
                      <w:i/>
                      <w:iCs/>
                      <w:noProof/>
                      <w:lang w:val="en-US"/>
                    </w:rPr>
                    <w:t>Public Protection Notification</w:t>
                  </w:r>
                  <w:r>
                    <w:rPr>
                      <w:noProof/>
                      <w:lang w:val="en-US"/>
                    </w:rPr>
                    <w:t>. Retrieved from HMICFRS: https://hmicfrs.justiceinspectorates.gov.uk/glossary/public-protection-notice/</w:t>
                  </w:r>
                </w:p>
                <w:p w14:paraId="58F8BEB8" w14:textId="77777777" w:rsidR="004D568B" w:rsidRPr="004D568B" w:rsidRDefault="004D568B" w:rsidP="004D568B">
                  <w:pPr>
                    <w:pStyle w:val="ListParagraph"/>
                    <w:numPr>
                      <w:ilvl w:val="0"/>
                      <w:numId w:val="1"/>
                    </w:numPr>
                    <w:rPr>
                      <w:lang w:val="en-US"/>
                    </w:rPr>
                  </w:pPr>
                  <w:r w:rsidRPr="004D568B">
                    <w:rPr>
                      <w:lang w:val="en-US"/>
                    </w:rPr>
                    <w:t>GOV.UK (2023, October 20). Criminal Exploitation of Children and Vulnerable adults: county lines. Retrieved from GOV.UK: https://www.gov.uk/government/publications/criminal-exploitation-of-children-and-vulnerable-adults-county-lines/criminal-exploitation-of-children-and-vulnerable-adults-county-lines Accessed: 28/08/2024</w:t>
                  </w:r>
                </w:p>
                <w:p w14:paraId="59B9705C" w14:textId="77777777" w:rsidR="004D568B" w:rsidRDefault="004D568B" w:rsidP="004D568B">
                  <w:pPr>
                    <w:pStyle w:val="Bibliography"/>
                    <w:numPr>
                      <w:ilvl w:val="0"/>
                      <w:numId w:val="1"/>
                    </w:numPr>
                    <w:rPr>
                      <w:noProof/>
                      <w:lang w:val="en-US"/>
                    </w:rPr>
                  </w:pPr>
                  <w:r>
                    <w:rPr>
                      <w:noProof/>
                      <w:lang w:val="en-US"/>
                    </w:rPr>
                    <w:t xml:space="preserve">Lee. (2022, August 10). </w:t>
                  </w:r>
                  <w:r>
                    <w:rPr>
                      <w:i/>
                      <w:iCs/>
                      <w:noProof/>
                      <w:lang w:val="en-US"/>
                    </w:rPr>
                    <w:t>What is Cuckooing?</w:t>
                  </w:r>
                  <w:r>
                    <w:rPr>
                      <w:noProof/>
                      <w:lang w:val="en-US"/>
                    </w:rPr>
                    <w:t xml:space="preserve"> Retrieved from CPD Online: https://cpdonline.co.uk/knowledge-base/safeguarding/cuckooing/</w:t>
                  </w:r>
                </w:p>
                <w:p w14:paraId="3A185941" w14:textId="77777777" w:rsidR="004D568B" w:rsidRDefault="004D568B" w:rsidP="004D568B">
                  <w:pPr>
                    <w:pStyle w:val="Bibliography"/>
                    <w:numPr>
                      <w:ilvl w:val="0"/>
                      <w:numId w:val="1"/>
                    </w:numPr>
                    <w:rPr>
                      <w:noProof/>
                      <w:lang w:val="en-US"/>
                    </w:rPr>
                  </w:pPr>
                  <w:r>
                    <w:rPr>
                      <w:noProof/>
                      <w:lang w:val="en-US"/>
                    </w:rPr>
                    <w:t xml:space="preserve">NCA. (2019, May 14). </w:t>
                  </w:r>
                  <w:r>
                    <w:rPr>
                      <w:i/>
                      <w:iCs/>
                      <w:noProof/>
                      <w:lang w:val="en-US"/>
                    </w:rPr>
                    <w:t>181,000 UK offenders fuelling “chronic and corrosive” threat from serious and organised crime</w:t>
                  </w:r>
                  <w:r>
                    <w:rPr>
                      <w:noProof/>
                      <w:lang w:val="en-US"/>
                    </w:rPr>
                    <w:t>. Retrieved from National Crime Agency: https://www.nationalcrimeagency.gov.uk/news/181-000-uk-offenders-fuelling-chronic-and-corrosive-threat-from-serious-and-organised-crime</w:t>
                  </w:r>
                </w:p>
                <w:p w14:paraId="5324F8AA" w14:textId="77777777" w:rsidR="004D568B" w:rsidRDefault="004D568B" w:rsidP="004D568B">
                  <w:pPr>
                    <w:pStyle w:val="Bibliography"/>
                    <w:numPr>
                      <w:ilvl w:val="0"/>
                      <w:numId w:val="1"/>
                    </w:numPr>
                    <w:rPr>
                      <w:noProof/>
                      <w:lang w:val="en-US"/>
                    </w:rPr>
                  </w:pPr>
                  <w:r>
                    <w:rPr>
                      <w:noProof/>
                      <w:lang w:val="en-US"/>
                    </w:rPr>
                    <w:t xml:space="preserve">NCA, N. C. (2019). </w:t>
                  </w:r>
                  <w:r>
                    <w:rPr>
                      <w:i/>
                      <w:iCs/>
                      <w:noProof/>
                      <w:lang w:val="en-US"/>
                    </w:rPr>
                    <w:t>National Strategic Assessment of Serious and Organised Crime.</w:t>
                  </w:r>
                  <w:r>
                    <w:rPr>
                      <w:noProof/>
                      <w:lang w:val="en-US"/>
                    </w:rPr>
                    <w:t xml:space="preserve"> Retrieved from GOV.uk: https://nationalcrimeagency.gov.uk/who-we-are/publications/296-national-strategic-assessment-of-serious-organised-crime-2019/file</w:t>
                  </w:r>
                </w:p>
                <w:p w14:paraId="4C647ABB" w14:textId="77777777" w:rsidR="004D568B" w:rsidRDefault="004D568B" w:rsidP="004D568B">
                  <w:pPr>
                    <w:pStyle w:val="Bibliography"/>
                    <w:numPr>
                      <w:ilvl w:val="0"/>
                      <w:numId w:val="1"/>
                    </w:numPr>
                    <w:rPr>
                      <w:noProof/>
                      <w:lang w:val="en-US"/>
                    </w:rPr>
                  </w:pPr>
                  <w:r>
                    <w:rPr>
                      <w:noProof/>
                      <w:lang w:val="en-US"/>
                    </w:rPr>
                    <w:t xml:space="preserve">NCA, N. C. (2024). </w:t>
                  </w:r>
                  <w:r>
                    <w:rPr>
                      <w:i/>
                      <w:iCs/>
                      <w:noProof/>
                      <w:lang w:val="en-US"/>
                    </w:rPr>
                    <w:t>What we Investigate</w:t>
                  </w:r>
                  <w:r>
                    <w:rPr>
                      <w:noProof/>
                      <w:lang w:val="en-US"/>
                    </w:rPr>
                    <w:t>. Retrieved from National Crime Agency: https://www.nationalcrimeagency.gov.uk/what-we-do/crime-threats</w:t>
                  </w:r>
                </w:p>
                <w:p w14:paraId="45C54421" w14:textId="77777777" w:rsidR="004D568B" w:rsidRDefault="004D568B" w:rsidP="004D568B">
                  <w:pPr>
                    <w:pStyle w:val="Bibliography"/>
                    <w:numPr>
                      <w:ilvl w:val="0"/>
                      <w:numId w:val="1"/>
                    </w:numPr>
                    <w:rPr>
                      <w:noProof/>
                      <w:lang w:val="en-US"/>
                    </w:rPr>
                  </w:pPr>
                  <w:r>
                    <w:rPr>
                      <w:noProof/>
                      <w:lang w:val="en-US"/>
                    </w:rPr>
                    <w:t xml:space="preserve">Office, N. A. (2019, June 28). </w:t>
                  </w:r>
                  <w:r>
                    <w:rPr>
                      <w:i/>
                      <w:iCs/>
                      <w:noProof/>
                      <w:lang w:val="en-US"/>
                    </w:rPr>
                    <w:t>Tackling serious and organised crime</w:t>
                  </w:r>
                  <w:r>
                    <w:rPr>
                      <w:noProof/>
                      <w:lang w:val="en-US"/>
                    </w:rPr>
                    <w:t>. Retrieved from National Audit Office: https://www.nao.org.uk/reports/serious-and-organised-crime/</w:t>
                  </w:r>
                </w:p>
                <w:p w14:paraId="3BD38AEB" w14:textId="77777777" w:rsidR="004D568B" w:rsidRDefault="004D568B" w:rsidP="004D568B">
                  <w:pPr>
                    <w:pStyle w:val="Bibliography"/>
                    <w:numPr>
                      <w:ilvl w:val="0"/>
                      <w:numId w:val="1"/>
                    </w:numPr>
                    <w:rPr>
                      <w:noProof/>
                      <w:lang w:val="en-US"/>
                    </w:rPr>
                  </w:pPr>
                  <w:r>
                    <w:rPr>
                      <w:noProof/>
                      <w:lang w:val="en-US"/>
                    </w:rPr>
                    <w:t xml:space="preserve">Owens, L. (2019). </w:t>
                  </w:r>
                  <w:r>
                    <w:rPr>
                      <w:i/>
                      <w:iCs/>
                      <w:noProof/>
                      <w:lang w:val="en-US"/>
                    </w:rPr>
                    <w:t>National Strategic Assessment of Serious &amp; Organised Crime.</w:t>
                  </w:r>
                  <w:r>
                    <w:rPr>
                      <w:noProof/>
                      <w:lang w:val="en-US"/>
                    </w:rPr>
                    <w:t xml:space="preserve"> London: National Crime Agency.</w:t>
                  </w:r>
                </w:p>
                <w:p w14:paraId="3D85268C" w14:textId="77777777" w:rsidR="004D568B" w:rsidRDefault="004D568B" w:rsidP="004D568B">
                  <w:pPr>
                    <w:pStyle w:val="Bibliography"/>
                    <w:numPr>
                      <w:ilvl w:val="0"/>
                      <w:numId w:val="1"/>
                    </w:numPr>
                    <w:rPr>
                      <w:noProof/>
                      <w:lang w:val="en-US"/>
                    </w:rPr>
                  </w:pPr>
                  <w:r>
                    <w:rPr>
                      <w:noProof/>
                      <w:lang w:val="en-US"/>
                    </w:rPr>
                    <w:t xml:space="preserve">Oxford. (2024, May 28). </w:t>
                  </w:r>
                  <w:r>
                    <w:rPr>
                      <w:i/>
                      <w:iCs/>
                      <w:noProof/>
                      <w:lang w:val="en-US"/>
                    </w:rPr>
                    <w:t>Oxford Languages</w:t>
                  </w:r>
                  <w:r>
                    <w:rPr>
                      <w:noProof/>
                      <w:lang w:val="en-US"/>
                    </w:rPr>
                    <w:t>. Retrieved from Google: https://www.bing.com/search?pglt=41&amp;q=parasite+meaning&amp;cvid=bec494d71fb34a86a293d1d2df69ded0&amp;gs_lcrp=EgZjaHJvbWUqBggCEAAYQDIGCAAQRRg5MgYIARAAGEAyBggCEAAYQDIGCAMQABhAMgYIBBAAGEAyBggFEAAYQDIGCAYQABhAMgYIBxAAGEAyBggIEAAYQDIICAkQ6QcY_FXSAQg0NDcyajBqMagCALACAA</w:t>
                  </w:r>
                </w:p>
                <w:p w14:paraId="6EEA22B6" w14:textId="77777777" w:rsidR="00383FCD" w:rsidRPr="00383FCD" w:rsidRDefault="00383FCD" w:rsidP="00383FCD">
                  <w:pPr>
                    <w:rPr>
                      <w:lang w:val="en-US"/>
                    </w:rPr>
                  </w:pPr>
                </w:p>
                <w:p w14:paraId="3824A625" w14:textId="7D0FE543" w:rsidR="004D568B" w:rsidRPr="004D568B" w:rsidRDefault="004D568B" w:rsidP="004D568B">
                  <w:pPr>
                    <w:jc w:val="center"/>
                    <w:rPr>
                      <w:sz w:val="24"/>
                      <w:szCs w:val="24"/>
                      <w:u w:val="single"/>
                    </w:rPr>
                  </w:pPr>
                  <w:r>
                    <w:rPr>
                      <w:b/>
                      <w:bCs/>
                      <w:noProof/>
                    </w:rPr>
                    <w:fldChar w:fldCharType="end"/>
                  </w:r>
                  <w:r w:rsidRPr="004D568B">
                    <w:rPr>
                      <w:b/>
                      <w:bCs/>
                      <w:noProof/>
                      <w:sz w:val="24"/>
                      <w:szCs w:val="24"/>
                      <w:u w:val="single"/>
                    </w:rPr>
                    <w:t>Essay Five - Bibliography</w:t>
                  </w:r>
                </w:p>
              </w:sdtContent>
            </w:sdt>
            <w:sdt>
              <w:sdtPr>
                <w:id w:val="1250625232"/>
                <w:bibliography/>
              </w:sdtPr>
              <w:sdtContent>
                <w:p w14:paraId="2C019F31" w14:textId="77777777" w:rsidR="002C0903" w:rsidRDefault="002C0903" w:rsidP="002C0903">
                  <w:pPr>
                    <w:pStyle w:val="Bibliography"/>
                    <w:numPr>
                      <w:ilvl w:val="0"/>
                      <w:numId w:val="2"/>
                    </w:numPr>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Anthony Petrosino, C. T.-P.-P. (2013). Scared Straight and Other Juvenile Awareness Programs for Preventing Juvenile Delinquency: A Systematic Review. </w:t>
                  </w:r>
                  <w:r>
                    <w:rPr>
                      <w:i/>
                      <w:iCs/>
                      <w:noProof/>
                      <w:lang w:val="en-US"/>
                    </w:rPr>
                    <w:t>Cochrane Database of Systematic Reviews 2013, Issue 4.</w:t>
                  </w:r>
                  <w:r>
                    <w:rPr>
                      <w:noProof/>
                      <w:lang w:val="en-US"/>
                    </w:rPr>
                    <w:t xml:space="preserve"> Accessed on 15/08/2024</w:t>
                  </w:r>
                </w:p>
                <w:p w14:paraId="5544F085" w14:textId="77777777" w:rsidR="002C0903" w:rsidRDefault="002C0903" w:rsidP="002C0903">
                  <w:pPr>
                    <w:pStyle w:val="Bibliography"/>
                    <w:numPr>
                      <w:ilvl w:val="0"/>
                      <w:numId w:val="2"/>
                    </w:numPr>
                    <w:rPr>
                      <w:noProof/>
                      <w:lang w:val="en-US"/>
                    </w:rPr>
                  </w:pPr>
                  <w:r>
                    <w:rPr>
                      <w:noProof/>
                      <w:lang w:val="en-US"/>
                    </w:rPr>
                    <w:t xml:space="preserve">Di Lemma L, D. A. (2019). </w:t>
                  </w:r>
                  <w:r>
                    <w:rPr>
                      <w:i/>
                      <w:iCs/>
                      <w:noProof/>
                      <w:lang w:val="en-US"/>
                    </w:rPr>
                    <w:t>Responding to adverse childhood experiences.</w:t>
                  </w:r>
                  <w:r>
                    <w:rPr>
                      <w:noProof/>
                      <w:lang w:val="en-US"/>
                    </w:rPr>
                    <w:t xml:space="preserve"> Retrieved from University of Bangor: https://research.bangor.ac.uk/portal/en/researchoutputs/responding-to-adverse-childhood-experiences(302c9332-ce77-4cf5-be5b-11624c987768)/export.html Accessed on 16/08/2024</w:t>
                  </w:r>
                </w:p>
                <w:p w14:paraId="50CBF05D" w14:textId="77777777" w:rsidR="002C0903" w:rsidRDefault="002C0903" w:rsidP="002C0903">
                  <w:pPr>
                    <w:pStyle w:val="Bibliography"/>
                    <w:numPr>
                      <w:ilvl w:val="0"/>
                      <w:numId w:val="2"/>
                    </w:numPr>
                    <w:rPr>
                      <w:noProof/>
                      <w:lang w:val="en-US"/>
                    </w:rPr>
                  </w:pPr>
                  <w:r>
                    <w:rPr>
                      <w:noProof/>
                      <w:lang w:val="en-US"/>
                    </w:rPr>
                    <w:t xml:space="preserve">England, P. H. (2019, August 14). </w:t>
                  </w:r>
                  <w:r>
                    <w:rPr>
                      <w:i/>
                      <w:iCs/>
                      <w:noProof/>
                      <w:lang w:val="en-US"/>
                    </w:rPr>
                    <w:t>Collaborative approaches to preventing offending and re-offending by children (CAPRICORN)</w:t>
                  </w:r>
                  <w:r>
                    <w:rPr>
                      <w:noProof/>
                      <w:lang w:val="en-US"/>
                    </w:rPr>
                    <w:t>. Retrieved from Gov.UK: https://www.gov.uk/government/publications/preventing-offending-and-re-offending-by-children/collaborative-approaches-to-preventing-offending-and-re-offending-by-children-capricorn-summary Accessed on 21/07/2024</w:t>
                  </w:r>
                </w:p>
                <w:p w14:paraId="3AD0F5A7" w14:textId="77777777" w:rsidR="002C0903" w:rsidRDefault="002C0903" w:rsidP="002C0903">
                  <w:pPr>
                    <w:pStyle w:val="Bibliography"/>
                    <w:numPr>
                      <w:ilvl w:val="0"/>
                      <w:numId w:val="2"/>
                    </w:numPr>
                    <w:rPr>
                      <w:noProof/>
                      <w:lang w:val="en-US"/>
                    </w:rPr>
                  </w:pPr>
                  <w:r>
                    <w:rPr>
                      <w:noProof/>
                      <w:lang w:val="en-US"/>
                    </w:rPr>
                    <w:t xml:space="preserve">LGA. (2024). </w:t>
                  </w:r>
                  <w:r>
                    <w:rPr>
                      <w:i/>
                      <w:iCs/>
                      <w:noProof/>
                      <w:lang w:val="en-US"/>
                    </w:rPr>
                    <w:t>Devolution explained</w:t>
                  </w:r>
                  <w:r>
                    <w:rPr>
                      <w:noProof/>
                      <w:lang w:val="en-US"/>
                    </w:rPr>
                    <w:t>. Retrieved from Local Government Association: https://www.local.gov.uk/topics/devolution/devolution-hub/devolution-explained Accessed: 28/08/2024</w:t>
                  </w:r>
                </w:p>
                <w:p w14:paraId="7D6CE7A6" w14:textId="77777777" w:rsidR="002C0903" w:rsidRDefault="002C0903" w:rsidP="002C0903">
                  <w:pPr>
                    <w:pStyle w:val="Bibliography"/>
                    <w:numPr>
                      <w:ilvl w:val="0"/>
                      <w:numId w:val="2"/>
                    </w:numPr>
                    <w:rPr>
                      <w:noProof/>
                      <w:lang w:val="en-US"/>
                    </w:rPr>
                  </w:pPr>
                  <w:r>
                    <w:rPr>
                      <w:noProof/>
                      <w:lang w:val="en-US"/>
                    </w:rPr>
                    <w:t xml:space="preserve">Nagin, D. S. (2019). </w:t>
                  </w:r>
                  <w:r>
                    <w:rPr>
                      <w:i/>
                      <w:iCs/>
                      <w:noProof/>
                      <w:lang w:val="en-US"/>
                    </w:rPr>
                    <w:t>Deterrance in the Twenty-First Century.</w:t>
                  </w:r>
                  <w:r>
                    <w:rPr>
                      <w:noProof/>
                      <w:lang w:val="en-US"/>
                    </w:rPr>
                    <w:t xml:space="preserve"> Retrieved from University of Chicago Press Journals - Volume 42: https://www.journals.uchicago.edu/doi/abs/10.1086/670398 Accessed: 02/09/2024</w:t>
                  </w:r>
                </w:p>
                <w:p w14:paraId="55FFBF4B" w14:textId="77777777" w:rsidR="002C0903" w:rsidRDefault="002C0903" w:rsidP="002C0903">
                  <w:pPr>
                    <w:pStyle w:val="Bibliography"/>
                    <w:numPr>
                      <w:ilvl w:val="0"/>
                      <w:numId w:val="2"/>
                    </w:numPr>
                    <w:rPr>
                      <w:noProof/>
                      <w:lang w:val="en-US"/>
                    </w:rPr>
                  </w:pPr>
                  <w:r>
                    <w:rPr>
                      <w:noProof/>
                      <w:lang w:val="en-US"/>
                    </w:rPr>
                    <w:t xml:space="preserve">Policing, C. o. (2015, February 19). </w:t>
                  </w:r>
                  <w:r>
                    <w:rPr>
                      <w:i/>
                      <w:iCs/>
                      <w:noProof/>
                      <w:lang w:val="en-US"/>
                    </w:rPr>
                    <w:t>Scared Straight programmes</w:t>
                  </w:r>
                  <w:r>
                    <w:rPr>
                      <w:noProof/>
                      <w:lang w:val="en-US"/>
                    </w:rPr>
                    <w:t>. Retrieved from College of Policing: https://www.college.police.uk/research/crime-reduction-toolkit/scared-straight Accessed: 12/08/2024</w:t>
                  </w:r>
                </w:p>
                <w:p w14:paraId="4F5A80FA" w14:textId="77777777" w:rsidR="002C0903" w:rsidRDefault="002C0903" w:rsidP="002C0903">
                  <w:pPr>
                    <w:pStyle w:val="Bibliography"/>
                    <w:numPr>
                      <w:ilvl w:val="0"/>
                      <w:numId w:val="2"/>
                    </w:numPr>
                    <w:rPr>
                      <w:noProof/>
                      <w:lang w:val="en-US"/>
                    </w:rPr>
                  </w:pPr>
                  <w:r>
                    <w:rPr>
                      <w:noProof/>
                      <w:lang w:val="en-US"/>
                    </w:rPr>
                    <w:t xml:space="preserve">Probation, H. I. (2021, October). </w:t>
                  </w:r>
                  <w:r>
                    <w:rPr>
                      <w:i/>
                      <w:iCs/>
                      <w:noProof/>
                      <w:lang w:val="en-US"/>
                    </w:rPr>
                    <w:t>The experiences of black and mixed heritage boys in the youth justice system.</w:t>
                  </w:r>
                  <w:r>
                    <w:rPr>
                      <w:noProof/>
                      <w:lang w:val="en-US"/>
                    </w:rPr>
                    <w:t xml:space="preserve"> Retrieved from HM Inspectorate of Probation: https://www.justiceinspectorates.gov.uk/hmiprobation/wp-content/uploads/sites/5/2021/10/The-experiences-of-black-and-mixed-heritage-boys-in-the-youth-justice-system-thematic-report-v1.0.pdf Accessed on: 22/08/2024</w:t>
                  </w:r>
                </w:p>
                <w:p w14:paraId="5E12E3C4" w14:textId="77777777" w:rsidR="002C0903" w:rsidRDefault="002C0903" w:rsidP="002C0903">
                  <w:pPr>
                    <w:pStyle w:val="Bibliography"/>
                    <w:numPr>
                      <w:ilvl w:val="0"/>
                      <w:numId w:val="2"/>
                    </w:numPr>
                    <w:rPr>
                      <w:noProof/>
                      <w:lang w:val="en-US"/>
                    </w:rPr>
                  </w:pPr>
                  <w:r>
                    <w:rPr>
                      <w:noProof/>
                      <w:lang w:val="en-US"/>
                    </w:rPr>
                    <w:t xml:space="preserve">Scott, D. K. (2020). Adverse childhood experiences. </w:t>
                  </w:r>
                  <w:r>
                    <w:rPr>
                      <w:i/>
                      <w:iCs/>
                      <w:noProof/>
                      <w:lang w:val="en-US"/>
                    </w:rPr>
                    <w:t>Royal College of General Practioners</w:t>
                  </w:r>
                  <w:r>
                    <w:rPr>
                      <w:noProof/>
                      <w:lang w:val="en-US"/>
                    </w:rPr>
                    <w:t>, Volume 14, Issue 1 - https://journals.sagepub.com/doi/full/10.1177/1755738020964498. Accessed on: 02/09/2024</w:t>
                  </w:r>
                </w:p>
                <w:p w14:paraId="15B8B417" w14:textId="77777777" w:rsidR="002C0903" w:rsidRDefault="002C0903" w:rsidP="002C0903">
                  <w:pPr>
                    <w:pStyle w:val="Bibliography"/>
                    <w:numPr>
                      <w:ilvl w:val="0"/>
                      <w:numId w:val="2"/>
                    </w:numPr>
                    <w:rPr>
                      <w:noProof/>
                      <w:lang w:val="en-US"/>
                    </w:rPr>
                  </w:pPr>
                  <w:r>
                    <w:rPr>
                      <w:noProof/>
                      <w:lang w:val="en-US"/>
                    </w:rPr>
                    <w:t xml:space="preserve">Staines, L. &amp;. (2022). </w:t>
                  </w:r>
                  <w:r>
                    <w:rPr>
                      <w:i/>
                      <w:iCs/>
                      <w:noProof/>
                      <w:lang w:val="en-US"/>
                    </w:rPr>
                    <w:t>Supporting the youngest children in the youth justice system: what works to reduce offending and improve outcomes?</w:t>
                  </w:r>
                  <w:r>
                    <w:rPr>
                      <w:noProof/>
                      <w:lang w:val="en-US"/>
                    </w:rPr>
                    <w:t xml:space="preserve"> London: Local Government Association. Accessed on: 22/08/2024</w:t>
                  </w:r>
                </w:p>
                <w:p w14:paraId="69E1A0AF" w14:textId="77777777" w:rsidR="002C0903" w:rsidRDefault="002C0903" w:rsidP="002C0903">
                  <w:pPr>
                    <w:pStyle w:val="Bibliography"/>
                    <w:numPr>
                      <w:ilvl w:val="0"/>
                      <w:numId w:val="2"/>
                    </w:numPr>
                    <w:rPr>
                      <w:noProof/>
                      <w:lang w:val="en-US"/>
                    </w:rPr>
                  </w:pPr>
                  <w:r>
                    <w:rPr>
                      <w:noProof/>
                      <w:lang w:val="en-US"/>
                    </w:rPr>
                    <w:t xml:space="preserve">Thompson, K. (2021, May 26). </w:t>
                  </w:r>
                  <w:r>
                    <w:rPr>
                      <w:i/>
                      <w:iCs/>
                      <w:noProof/>
                      <w:lang w:val="en-US"/>
                    </w:rPr>
                    <w:t>How successful are early interventions in reducing violent crime?</w:t>
                  </w:r>
                  <w:r>
                    <w:rPr>
                      <w:noProof/>
                      <w:lang w:val="en-US"/>
                    </w:rPr>
                    <w:t xml:space="preserve"> Retrieved from Revise Sociology.com: https://revisesociology.com/2021/05/26/how-successful-are-early-interventions-in-reducing-violent-crime/?utm_content=cmp-true Accessed on: 22/08/2024</w:t>
                  </w:r>
                </w:p>
                <w:p w14:paraId="0FDE3A9C" w14:textId="77777777" w:rsidR="002C0903" w:rsidRDefault="002C0903" w:rsidP="002C0903">
                  <w:pPr>
                    <w:pStyle w:val="Bibliography"/>
                    <w:numPr>
                      <w:ilvl w:val="0"/>
                      <w:numId w:val="2"/>
                    </w:numPr>
                    <w:rPr>
                      <w:noProof/>
                      <w:lang w:val="en-US"/>
                    </w:rPr>
                  </w:pPr>
                  <w:r>
                    <w:rPr>
                      <w:noProof/>
                      <w:lang w:val="en-US"/>
                    </w:rPr>
                    <w:t xml:space="preserve">Wilson, D. B. (2018). Police-initiated diversion for youth to prevent future delinquent behavior: a systematic review. </w:t>
                  </w:r>
                  <w:r>
                    <w:rPr>
                      <w:i/>
                      <w:iCs/>
                      <w:noProof/>
                      <w:lang w:val="en-US"/>
                    </w:rPr>
                    <w:t>Campbell Systematic Reviews (14)</w:t>
                  </w:r>
                  <w:r>
                    <w:rPr>
                      <w:noProof/>
                      <w:lang w:val="en-US"/>
                    </w:rPr>
                    <w:t>, https://hull-repository.worktribe.com/output/1243068/police-initiated-diversion-for-youth-to-prevent-future-delinquent-behavior-a-systematic-review. Accessed on: 02/09/2024</w:t>
                  </w:r>
                </w:p>
                <w:p w14:paraId="5B7B2EC3" w14:textId="77777777" w:rsidR="002C0903" w:rsidRDefault="002C0903" w:rsidP="002C0903">
                  <w:pPr>
                    <w:pStyle w:val="Bibliography"/>
                    <w:numPr>
                      <w:ilvl w:val="0"/>
                      <w:numId w:val="2"/>
                    </w:numPr>
                    <w:rPr>
                      <w:noProof/>
                      <w:lang w:val="en-US"/>
                    </w:rPr>
                  </w:pPr>
                  <w:r>
                    <w:rPr>
                      <w:noProof/>
                      <w:lang w:val="en-US"/>
                    </w:rPr>
                    <w:t xml:space="preserve">YJB. (2015). </w:t>
                  </w:r>
                  <w:r>
                    <w:rPr>
                      <w:i/>
                      <w:iCs/>
                      <w:noProof/>
                      <w:lang w:val="en-US"/>
                    </w:rPr>
                    <w:t>Youth offending teams: making the difference for children and young people, victims and communities. Final Report.</w:t>
                  </w:r>
                  <w:r>
                    <w:rPr>
                      <w:noProof/>
                      <w:lang w:val="en-US"/>
                    </w:rPr>
                    <w:t xml:space="preserve"> Retrieved from Youth Justice Board - GOV.UK: https://assets.publishing.service.gov.uk/media/5a7f8dcbed915d74e33f725e/Board_Visits_Final_Report.pdf Accessed on: 31/08/2024</w:t>
                  </w:r>
                </w:p>
                <w:p w14:paraId="1FBDE29B" w14:textId="77777777" w:rsidR="002C0903" w:rsidRDefault="002C0903" w:rsidP="002C0903">
                  <w:pPr>
                    <w:pStyle w:val="Bibliography"/>
                    <w:numPr>
                      <w:ilvl w:val="0"/>
                      <w:numId w:val="2"/>
                    </w:numPr>
                    <w:rPr>
                      <w:noProof/>
                      <w:lang w:val="en-US"/>
                    </w:rPr>
                  </w:pPr>
                  <w:r>
                    <w:rPr>
                      <w:noProof/>
                      <w:lang w:val="en-US"/>
                    </w:rPr>
                    <w:t xml:space="preserve">YJB. (2019/20, January 28). </w:t>
                  </w:r>
                  <w:r>
                    <w:rPr>
                      <w:i/>
                      <w:iCs/>
                      <w:noProof/>
                      <w:lang w:val="en-US"/>
                    </w:rPr>
                    <w:t>Youth Justice Statistics.</w:t>
                  </w:r>
                  <w:r>
                    <w:rPr>
                      <w:noProof/>
                      <w:lang w:val="en-US"/>
                    </w:rPr>
                    <w:t xml:space="preserve"> Retrieved from GOV.UK: https://assets.publishing.service.gov.uk/government/uploads/system/uploads/attachment_data/file/956621/youth-justice-statistics-2019-2020.pdf Accessed on: 31/08/2024</w:t>
                  </w:r>
                </w:p>
                <w:p w14:paraId="52AB2023" w14:textId="77777777" w:rsidR="002C0903" w:rsidRDefault="002C0903" w:rsidP="002C0903">
                  <w:r>
                    <w:rPr>
                      <w:b/>
                      <w:bCs/>
                      <w:noProof/>
                    </w:rPr>
                    <w:fldChar w:fldCharType="end"/>
                  </w:r>
                </w:p>
              </w:sdtContent>
            </w:sdt>
            <w:p w14:paraId="09FCB1AA" w14:textId="77777777" w:rsidR="002C0903" w:rsidRDefault="002C0903" w:rsidP="002C0903"/>
            <w:p w14:paraId="2EDE97EC" w14:textId="77777777" w:rsidR="001B0185" w:rsidRPr="001B0185" w:rsidRDefault="001B0185" w:rsidP="004D568B">
              <w:pPr>
                <w:rPr>
                  <w:b/>
                  <w:bCs/>
                  <w:sz w:val="24"/>
                  <w:szCs w:val="24"/>
                  <w:u w:val="single"/>
                  <w:lang w:val="en-US"/>
                </w:rPr>
              </w:pPr>
            </w:p>
            <w:p w14:paraId="4ABA5EC9" w14:textId="77777777" w:rsidR="001B0185" w:rsidRPr="00103A3D" w:rsidRDefault="001B0185" w:rsidP="00103A3D">
              <w:pPr>
                <w:rPr>
                  <w:lang w:val="en-US"/>
                </w:rPr>
              </w:pPr>
            </w:p>
            <w:p w14:paraId="1674133A" w14:textId="77777777" w:rsidR="007B7BC9" w:rsidRDefault="007B7BC9" w:rsidP="007B7BC9">
              <w:pPr>
                <w:pStyle w:val="Bibliography"/>
                <w:ind w:left="720" w:hanging="720"/>
                <w:rPr>
                  <w:noProof/>
                  <w:lang w:val="en-US"/>
                </w:rPr>
              </w:pPr>
            </w:p>
            <w:p w14:paraId="7E125249" w14:textId="77777777" w:rsidR="007B7BC9" w:rsidRPr="00312A7A" w:rsidRDefault="007B7BC9" w:rsidP="007B7BC9">
              <w:r>
                <w:rPr>
                  <w:b/>
                  <w:bCs/>
                  <w:noProof/>
                </w:rPr>
                <w:fldChar w:fldCharType="end"/>
              </w:r>
            </w:p>
          </w:sdtContent>
        </w:sdt>
      </w:sdtContent>
    </w:sdt>
    <w:p w14:paraId="014A146A" w14:textId="77777777" w:rsidR="007B7BC9" w:rsidRDefault="007B7BC9" w:rsidP="007B7BC9">
      <w:pPr>
        <w:rPr>
          <w:b/>
          <w:bCs/>
        </w:rPr>
      </w:pPr>
    </w:p>
    <w:p w14:paraId="5B95D92D" w14:textId="77777777" w:rsidR="007B7BC9" w:rsidRDefault="007B7BC9" w:rsidP="007B7BC9">
      <w:pPr>
        <w:rPr>
          <w:b/>
          <w:bCs/>
        </w:rPr>
      </w:pPr>
    </w:p>
    <w:p w14:paraId="7BCE9C0D" w14:textId="77777777" w:rsidR="007B7BC9" w:rsidRDefault="007B7BC9"/>
    <w:sectPr w:rsidR="007B7BC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1A791" w14:textId="77777777" w:rsidR="00A03326" w:rsidRDefault="00A03326" w:rsidP="007B7BC9">
      <w:pPr>
        <w:spacing w:after="0" w:line="240" w:lineRule="auto"/>
      </w:pPr>
      <w:r>
        <w:separator/>
      </w:r>
    </w:p>
  </w:endnote>
  <w:endnote w:type="continuationSeparator" w:id="0">
    <w:p w14:paraId="37394AE8" w14:textId="77777777" w:rsidR="00A03326" w:rsidRDefault="00A03326" w:rsidP="007B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System">
    <w:altName w:val="Calibri"/>
    <w:panose1 w:val="00000000000000000000"/>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213048"/>
      <w:docPartObj>
        <w:docPartGallery w:val="Page Numbers (Bottom of Page)"/>
        <w:docPartUnique/>
      </w:docPartObj>
    </w:sdtPr>
    <w:sdtEndPr>
      <w:rPr>
        <w:noProof/>
      </w:rPr>
    </w:sdtEndPr>
    <w:sdtContent>
      <w:p w14:paraId="2C98E3EE" w14:textId="4C318C63" w:rsidR="009E1426" w:rsidRDefault="009E14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FEF3C8" w14:textId="77777777" w:rsidR="009E1426" w:rsidRDefault="009E1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574AF" w14:textId="77777777" w:rsidR="00A03326" w:rsidRDefault="00A03326" w:rsidP="007B7BC9">
      <w:pPr>
        <w:spacing w:after="0" w:line="240" w:lineRule="auto"/>
      </w:pPr>
      <w:r>
        <w:separator/>
      </w:r>
    </w:p>
  </w:footnote>
  <w:footnote w:type="continuationSeparator" w:id="0">
    <w:p w14:paraId="51E42486" w14:textId="77777777" w:rsidR="00A03326" w:rsidRDefault="00A03326" w:rsidP="007B7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AA70C" w14:textId="55700DA7" w:rsidR="007B7BC9" w:rsidRDefault="007B7BC9">
    <w:pPr>
      <w:pStyle w:val="Header"/>
    </w:pPr>
    <w:r>
      <w:t>2236205</w:t>
    </w:r>
    <w:r>
      <w:tab/>
    </w:r>
    <w:r>
      <w:tab/>
      <w:t>Academic Assignments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73C57"/>
    <w:multiLevelType w:val="hybridMultilevel"/>
    <w:tmpl w:val="6784B6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433C37"/>
    <w:multiLevelType w:val="hybridMultilevel"/>
    <w:tmpl w:val="A20AF2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083898">
    <w:abstractNumId w:val="0"/>
  </w:num>
  <w:num w:numId="2" w16cid:durableId="1975787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7BC9"/>
    <w:rsid w:val="000049BF"/>
    <w:rsid w:val="00053C6D"/>
    <w:rsid w:val="000A2CBF"/>
    <w:rsid w:val="000D42FD"/>
    <w:rsid w:val="000E2B4E"/>
    <w:rsid w:val="000E6728"/>
    <w:rsid w:val="00103A3D"/>
    <w:rsid w:val="001B0185"/>
    <w:rsid w:val="001D5F40"/>
    <w:rsid w:val="00202EC4"/>
    <w:rsid w:val="002C0903"/>
    <w:rsid w:val="0032500F"/>
    <w:rsid w:val="00383FCD"/>
    <w:rsid w:val="00411C0E"/>
    <w:rsid w:val="00413C4C"/>
    <w:rsid w:val="00427AF7"/>
    <w:rsid w:val="00487F15"/>
    <w:rsid w:val="004D568B"/>
    <w:rsid w:val="004E6CD7"/>
    <w:rsid w:val="00500E79"/>
    <w:rsid w:val="005A5224"/>
    <w:rsid w:val="005B613F"/>
    <w:rsid w:val="006477C7"/>
    <w:rsid w:val="00676795"/>
    <w:rsid w:val="00724B50"/>
    <w:rsid w:val="007604FA"/>
    <w:rsid w:val="007B7BC9"/>
    <w:rsid w:val="00816A29"/>
    <w:rsid w:val="0085552D"/>
    <w:rsid w:val="0089324D"/>
    <w:rsid w:val="008A57C8"/>
    <w:rsid w:val="008E7ABF"/>
    <w:rsid w:val="009028A7"/>
    <w:rsid w:val="009238E3"/>
    <w:rsid w:val="00937501"/>
    <w:rsid w:val="009916B1"/>
    <w:rsid w:val="009E1426"/>
    <w:rsid w:val="00A03326"/>
    <w:rsid w:val="00A045B0"/>
    <w:rsid w:val="00A10D3A"/>
    <w:rsid w:val="00AF47FD"/>
    <w:rsid w:val="00B45CE1"/>
    <w:rsid w:val="00B71CD8"/>
    <w:rsid w:val="00C155D4"/>
    <w:rsid w:val="00CB059F"/>
    <w:rsid w:val="00CD7868"/>
    <w:rsid w:val="00D52E31"/>
    <w:rsid w:val="00D65594"/>
    <w:rsid w:val="00DE3E17"/>
    <w:rsid w:val="00DF28C2"/>
    <w:rsid w:val="00E80E3B"/>
    <w:rsid w:val="00F41913"/>
    <w:rsid w:val="00F534D9"/>
    <w:rsid w:val="00F63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779CE"/>
  <w15:chartTrackingRefBased/>
  <w15:docId w15:val="{81741171-BFE4-4CE3-9BD3-48E7BD833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C9"/>
  </w:style>
  <w:style w:type="paragraph" w:styleId="Heading1">
    <w:name w:val="heading 1"/>
    <w:basedOn w:val="Normal"/>
    <w:next w:val="Normal"/>
    <w:link w:val="Heading1Char"/>
    <w:uiPriority w:val="9"/>
    <w:qFormat/>
    <w:rsid w:val="007B7B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B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B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B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B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B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B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B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B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B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B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B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B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B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B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B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B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BC9"/>
    <w:rPr>
      <w:rFonts w:eastAsiaTheme="majorEastAsia" w:cstheme="majorBidi"/>
      <w:color w:val="272727" w:themeColor="text1" w:themeTint="D8"/>
    </w:rPr>
  </w:style>
  <w:style w:type="paragraph" w:styleId="Title">
    <w:name w:val="Title"/>
    <w:basedOn w:val="Normal"/>
    <w:next w:val="Normal"/>
    <w:link w:val="TitleChar"/>
    <w:uiPriority w:val="10"/>
    <w:qFormat/>
    <w:rsid w:val="007B7B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B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B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B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BC9"/>
    <w:pPr>
      <w:spacing w:before="160"/>
      <w:jc w:val="center"/>
    </w:pPr>
    <w:rPr>
      <w:i/>
      <w:iCs/>
      <w:color w:val="404040" w:themeColor="text1" w:themeTint="BF"/>
    </w:rPr>
  </w:style>
  <w:style w:type="character" w:customStyle="1" w:styleId="QuoteChar">
    <w:name w:val="Quote Char"/>
    <w:basedOn w:val="DefaultParagraphFont"/>
    <w:link w:val="Quote"/>
    <w:uiPriority w:val="29"/>
    <w:rsid w:val="007B7BC9"/>
    <w:rPr>
      <w:i/>
      <w:iCs/>
      <w:color w:val="404040" w:themeColor="text1" w:themeTint="BF"/>
    </w:rPr>
  </w:style>
  <w:style w:type="paragraph" w:styleId="ListParagraph">
    <w:name w:val="List Paragraph"/>
    <w:basedOn w:val="Normal"/>
    <w:uiPriority w:val="34"/>
    <w:qFormat/>
    <w:rsid w:val="007B7BC9"/>
    <w:pPr>
      <w:ind w:left="720"/>
      <w:contextualSpacing/>
    </w:pPr>
  </w:style>
  <w:style w:type="character" w:styleId="IntenseEmphasis">
    <w:name w:val="Intense Emphasis"/>
    <w:basedOn w:val="DefaultParagraphFont"/>
    <w:uiPriority w:val="21"/>
    <w:qFormat/>
    <w:rsid w:val="007B7BC9"/>
    <w:rPr>
      <w:i/>
      <w:iCs/>
      <w:color w:val="0F4761" w:themeColor="accent1" w:themeShade="BF"/>
    </w:rPr>
  </w:style>
  <w:style w:type="paragraph" w:styleId="IntenseQuote">
    <w:name w:val="Intense Quote"/>
    <w:basedOn w:val="Normal"/>
    <w:next w:val="Normal"/>
    <w:link w:val="IntenseQuoteChar"/>
    <w:uiPriority w:val="30"/>
    <w:qFormat/>
    <w:rsid w:val="007B7B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BC9"/>
    <w:rPr>
      <w:i/>
      <w:iCs/>
      <w:color w:val="0F4761" w:themeColor="accent1" w:themeShade="BF"/>
    </w:rPr>
  </w:style>
  <w:style w:type="character" w:styleId="IntenseReference">
    <w:name w:val="Intense Reference"/>
    <w:basedOn w:val="DefaultParagraphFont"/>
    <w:uiPriority w:val="32"/>
    <w:qFormat/>
    <w:rsid w:val="007B7BC9"/>
    <w:rPr>
      <w:b/>
      <w:bCs/>
      <w:smallCaps/>
      <w:color w:val="0F4761" w:themeColor="accent1" w:themeShade="BF"/>
      <w:spacing w:val="5"/>
    </w:rPr>
  </w:style>
  <w:style w:type="paragraph" w:styleId="Header">
    <w:name w:val="header"/>
    <w:basedOn w:val="Normal"/>
    <w:link w:val="HeaderChar"/>
    <w:uiPriority w:val="99"/>
    <w:unhideWhenUsed/>
    <w:rsid w:val="007B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BC9"/>
  </w:style>
  <w:style w:type="paragraph" w:styleId="Footer">
    <w:name w:val="footer"/>
    <w:basedOn w:val="Normal"/>
    <w:link w:val="FooterChar"/>
    <w:uiPriority w:val="99"/>
    <w:unhideWhenUsed/>
    <w:rsid w:val="007B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BC9"/>
  </w:style>
  <w:style w:type="character" w:styleId="Hyperlink">
    <w:name w:val="Hyperlink"/>
    <w:basedOn w:val="DefaultParagraphFont"/>
    <w:uiPriority w:val="99"/>
    <w:unhideWhenUsed/>
    <w:rsid w:val="007B7BC9"/>
    <w:rPr>
      <w:color w:val="0000FF"/>
      <w:u w:val="single"/>
    </w:rPr>
  </w:style>
  <w:style w:type="paragraph" w:styleId="Bibliography">
    <w:name w:val="Bibliography"/>
    <w:basedOn w:val="Normal"/>
    <w:next w:val="Normal"/>
    <w:uiPriority w:val="37"/>
    <w:unhideWhenUsed/>
    <w:rsid w:val="007B7B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COLLINS</b:Tag>
    <b:SourceType>InternetSite</b:SourceType>
    <b:Guid>{FCAF1066-BF08-4C36-8028-F1DAA71E6AE0}</b:Guid>
    <b:Title>English Dictionary</b:Title>
    <b:Year>2024</b:Year>
    <b:Author>
      <b:Author>
        <b:Corporate>Collins Dictionary</b:Corporate>
      </b:Author>
    </b:Author>
    <b:InternetSiteTitle>Collins</b:InternetSiteTitle>
    <b:URL>https://www.collinsdictionary.com/dictionary/english/diversity</b:URL>
    <b:RefOrder>1</b:RefOrder>
  </b:Source>
  <b:Source>
    <b:Tag>Col24</b:Tag>
    <b:SourceType>InternetSite</b:SourceType>
    <b:Guid>{AF6EEDD1-2BA4-4D33-8EAD-4F3B91CACF7F}</b:Guid>
    <b:Author>
      <b:Author>
        <b:Corporate>College of Policing</b:Corporate>
      </b:Author>
    </b:Author>
    <b:Title>Diversity and Inclusion</b:Title>
    <b:InternetSiteTitle>College of Policing</b:InternetSiteTitle>
    <b:Year>2024</b:Year>
    <b:URL>https://www.college.police.uk/support-forces/diversity-and-inclusion</b:URL>
    <b:RefOrder>2</b:RefOrder>
  </b:Source>
  <b:Source>
    <b:Tag>Des20</b:Tag>
    <b:SourceType>Report</b:SourceType>
    <b:Guid>{02EB66C9-D076-4E59-A3C2-F8A4571C4B8E}</b:Guid>
    <b:Author>
      <b:Author>
        <b:NameList>
          <b:Person>
            <b:Last>Desai</b:Last>
            <b:First>Unmesh</b:First>
            <b:Middle>AM</b:Middle>
          </b:Person>
        </b:NameList>
      </b:Author>
    </b:Author>
    <b:Title>Policing with Consent</b:Title>
    <b:Year>2020</b:Year>
    <b:Publisher>London Assembly Labour</b:Publisher>
    <b:City>London</b:City>
    <b:RefOrder>3</b:RefOrder>
  </b:Source>
  <b:Source>
    <b:Tag>Off22</b:Tag>
    <b:SourceType>InternetSite</b:SourceType>
    <b:Guid>{54F1D916-1DC6-4C3E-8A06-71112CAAE3FE}</b:Guid>
    <b:Title>Ethnic group, England and Wales: Census 2021</b:Title>
    <b:Year>2022</b:Year>
    <b:Author>
      <b:Author>
        <b:NameList>
          <b:Person>
            <b:Last>ONS</b:Last>
          </b:Person>
        </b:NameList>
      </b:Author>
    </b:Author>
    <b:InternetSiteTitle>Office for National Statistics</b:InternetSiteTitle>
    <b:Month>November</b:Month>
    <b:Day>29</b:Day>
    <b:URL>https://www.ons.gov.uk/peoplepopulationandcommunity/culturalidentity/ethnicity/bulletins/ethnicgroupenglandandwales/census2021</b:URL>
    <b:RefOrder>4</b:RefOrder>
  </b:Source>
  <b:Source>
    <b:Tag>GOV231</b:Tag>
    <b:SourceType>InternetSite</b:SourceType>
    <b:Guid>{3ED44F69-CA37-4A84-BB4C-8832787238BE}</b:Guid>
    <b:Author>
      <b:Author>
        <b:NameList>
          <b:Person>
            <b:Last>GOV.UK</b:Last>
          </b:Person>
        </b:NameList>
      </b:Author>
    </b:Author>
    <b:Title>Police workforce</b:Title>
    <b:InternetSiteTitle>GOV.UK</b:InternetSiteTitle>
    <b:Year>2023</b:Year>
    <b:Month>May</b:Month>
    <b:Day>26</b:Day>
    <b:URL>https://www.ethnicity-facts-figures.service.gov.uk/workforce-and-business/workforce-diversity/police-workforce/latest/</b:URL>
    <b:RefOrder>5</b:RefOrder>
  </b:Source>
  <b:Source>
    <b:Tag>Leg10</b:Tag>
    <b:SourceType>InternetSite</b:SourceType>
    <b:Guid>{97E2E04E-A28F-495C-8872-F3606A62B3DE}</b:Guid>
    <b:Author>
      <b:Author>
        <b:NameList>
          <b:Person>
            <b:Last>Legislation</b:Last>
          </b:Person>
        </b:NameList>
      </b:Author>
    </b:Author>
    <b:Title>Eqaulity Act 2010</b:Title>
    <b:InternetSiteTitle>Legislation.gov.uk</b:InternetSiteTitle>
    <b:Year>2010</b:Year>
    <b:URL>https://www.legislation.gov.uk/ukpga/2010/15/contents</b:URL>
    <b:RefOrder>6</b:RefOrder>
  </b:Source>
  <b:Source>
    <b:Tag>GOV10</b:Tag>
    <b:SourceType>InternetSite</b:SourceType>
    <b:Guid>{286D2162-31BF-402A-9510-53E214271165}</b:Guid>
    <b:Author>
      <b:Author>
        <b:NameList>
          <b:Person>
            <b:Last>GOV.UK</b:Last>
          </b:Person>
        </b:NameList>
      </b:Author>
    </b:Author>
    <b:Title>Equality Act 2010 Guidance</b:Title>
    <b:InternetSiteTitle>GOV.UK</b:InternetSiteTitle>
    <b:Year>2010</b:Year>
    <b:URL>https://www.gov.uk/guidance/equality-act-2010-guidance</b:URL>
    <b:RefOrder>7</b:RefOrder>
  </b:Source>
  <b:Source>
    <b:Tag>Leg11</b:Tag>
    <b:SourceType>InternetSite</b:SourceType>
    <b:Guid>{26EA0D85-2F73-4E3F-B16F-26777B60FA65}</b:Guid>
    <b:Author>
      <b:Author>
        <b:Corporate>Equality Act</b:Corporate>
      </b:Author>
    </b:Author>
    <b:Title>legislation.gov.uk</b:Title>
    <b:InternetSiteTitle>The Equality Act 2010 Regulations 2011 NO.2260</b:InternetSiteTitle>
    <b:Year>2010</b:Year>
    <b:URL>https://www.legislation.gov.uk/uksi/2011/2260/contents/made</b:URL>
    <b:RefOrder>8</b:RefOrder>
  </b:Source>
  <b:Source>
    <b:Tag>Equ18</b:Tag>
    <b:SourceType>InternetSite</b:SourceType>
    <b:Guid>{DFC18555-3EB3-4D93-8932-CA32807FB6F8}</b:Guid>
    <b:Author>
      <b:Author>
        <b:Corporate>Equality and Human Rights Commission</b:Corporate>
      </b:Author>
    </b:Author>
    <b:Title>The Human Rights Act</b:Title>
    <b:InternetSiteTitle>Equality and Human Rights Commission</b:InternetSiteTitle>
    <b:Year>2018</b:Year>
    <b:Month>November</b:Month>
    <b:Day>15</b:Day>
    <b:URL>https://www.equalityhumanrights.com/human-rights/human-rights-act</b:URL>
    <b:RefOrder>9</b:RefOrder>
  </b:Source>
  <b:Source>
    <b:Tag>BBC21</b:Tag>
    <b:SourceType>InternetSite</b:SourceType>
    <b:Guid>{BE545A78-D05C-4289-8B28-E08D9A3E3150}</b:Guid>
    <b:Author>
      <b:Author>
        <b:NameList>
          <b:Person>
            <b:Last>BBC</b:Last>
          </b:Person>
        </b:NameList>
      </b:Author>
    </b:Author>
    <b:Title>Who was George Floyd and what happened to Derek Chauvin?</b:Title>
    <b:InternetSiteTitle>BBC News</b:InternetSiteTitle>
    <b:Year>2021</b:Year>
    <b:Month>May</b:Month>
    <b:Day>24</b:Day>
    <b:URL>https://www.bbc.co.uk/news/world-us-canada-56270334</b:URL>
    <b:RefOrder>10</b:RefOrder>
  </b:Source>
  <b:Source>
    <b:Tag>Bar23</b:Tag>
    <b:SourceType>DocumentFromInternetSite</b:SourceType>
    <b:Guid>{1FDA8B63-013B-4776-9C20-8FB2596498BE}</b:Guid>
    <b:Title>An independent review into the standards of behaviour and internal culture of the Metropolitan Police Service - Final Report</b:Title>
    <b:InternetSiteTitle>Metropolitan Police</b:InternetSiteTitle>
    <b:Year>2023</b:Year>
    <b:Month>March</b:Month>
    <b:URL>https://www.met.police.uk/SysSiteAssets/media/downloads/met/about-us/baroness-casey-review/update-march-2023/baroness-casey-review-march-2023a.pdf</b:URL>
    <b:Author>
      <b:Author>
        <b:NameList>
          <b:Person>
            <b:Last>Blackstock</b:Last>
            <b:First>Baroness</b:First>
            <b:Middle>Casey of</b:Middle>
          </b:Person>
        </b:NameList>
      </b:Author>
    </b:Author>
    <b:RefOrder>11</b:RefOrder>
  </b:Source>
  <b:Source>
    <b:Tag>BBC23</b:Tag>
    <b:SourceType>InternetSite</b:SourceType>
    <b:Guid>{EA1F1F70-84A8-4329-9A3F-16F4F757F900}</b:Guid>
    <b:Title>Met Police institutionally racist, misogynistic and homophobic - report</b:Title>
    <b:InternetSiteTitle>BBC News</b:InternetSiteTitle>
    <b:Year>2023</b:Year>
    <b:Month>March</b:Month>
    <b:Day>21</b:Day>
    <b:URL>https://www.bbc.co.uk/news/av/uk-england-london-65031061</b:URL>
    <b:Author>
      <b:Author>
        <b:NameList>
          <b:Person>
            <b:Last>BBC</b:Last>
          </b:Person>
        </b:NameList>
      </b:Author>
    </b:Author>
    <b:RefOrder>12</b:RefOrder>
  </b:Source>
  <b:Source>
    <b:Tag>ECH21</b:Tag>
    <b:SourceType>InternetSite</b:SourceType>
    <b:Guid>{73EB0970-293F-4D73-B7C3-0178F918B9C2}</b:Guid>
    <b:Author>
      <b:Author>
        <b:NameList>
          <b:Person>
            <b:Last>ECHR</b:Last>
          </b:Person>
        </b:NameList>
      </b:Author>
    </b:Author>
    <b:Title>Protected characteristics</b:Title>
    <b:Year>2021</b:Year>
    <b:InternetSiteTitle>Equality &amp; Human Rights Commission</b:InternetSiteTitle>
    <b:Month>July</b:Month>
    <b:Day>6</b:Day>
    <b:URL>https://www.equalityhumanrights.com/equality/equality-act-2010/protected-characteristics</b:URL>
    <b:RefOrder>13</b:RefOrder>
  </b:Source>
  <b:Source>
    <b:Tag>Col231</b:Tag>
    <b:SourceType>InternetSite</b:SourceType>
    <b:Guid>{F4E5C8D1-3B06-40EF-9F2F-BBB9013CC5A9}</b:Guid>
    <b:Author>
      <b:Author>
        <b:Corporate>College of Policing</b:Corporate>
      </b:Author>
    </b:Author>
    <b:Title>Diversity and Inclusion</b:Title>
    <b:InternetSiteTitle>College of Policing</b:InternetSiteTitle>
    <b:Year>2023</b:Year>
    <b:URL>https://www.college.police.uk/support-forces/diversity-and-inclusion</b:URL>
    <b:RefOrder>14</b:RefOrder>
  </b:Source>
  <b:Source>
    <b:Tag>Wor18</b:Tag>
    <b:SourceType>InternetSite</b:SourceType>
    <b:Guid>{2592E3CE-8656-4A5E-927F-66457F3B2A78}</b:Guid>
    <b:Title>Mental Health</b:Title>
    <b:InternetSiteTitle>World Health Organisation</b:InternetSiteTitle>
    <b:Year>2018</b:Year>
    <b:Month>January</b:Month>
    <b:Day>1</b:Day>
    <b:URL>https://www.who.int/data/gho/data/themes/mental-health</b:URL>
    <b:Author>
      <b:Author>
        <b:NameList>
          <b:Person>
            <b:Last>WHO</b:Last>
            <b:First>World</b:First>
            <b:Middle>Health Organisation</b:Middle>
          </b:Person>
        </b:NameList>
      </b:Author>
    </b:Author>
    <b:RefOrder>1</b:RefOrder>
  </b:Source>
  <b:Source>
    <b:Tag>Col241</b:Tag>
    <b:SourceType>InternetSite</b:SourceType>
    <b:Guid>{F20FDA16-DE66-4EAF-AD19-FDD877D0A2BB}</b:Guid>
    <b:Author>
      <b:Author>
        <b:Corporate>College of Policing</b:Corporate>
      </b:Author>
    </b:Author>
    <b:Title>Response Constable</b:Title>
    <b:InternetSiteTitle>College of Policing</b:InternetSiteTitle>
    <b:Year>2024</b:Year>
    <b:URL>https://profdev.college.police.uk/professional-profile/test-9/</b:URL>
    <b:RefOrder>3</b:RefOrder>
  </b:Source>
  <b:Source>
    <b:Tag>Kes95</b:Tag>
    <b:SourceType>JournalArticle</b:SourceType>
    <b:Guid>{2E7072C8-4C90-42F3-97C7-C0892DED313C}</b:Guid>
    <b:Author>
      <b:Author>
        <b:NameList>
          <b:Person>
            <b:Last>Kessler</b:Last>
            <b:First>R.</b:First>
            <b:Middle>C., Sonnega, A., Bromet, E., Hughes, M., &amp; Nelson, C. B.</b:Middle>
          </b:Person>
        </b:NameList>
      </b:Author>
    </b:Author>
    <b:Title>Posttraumatic stress disorder in the National Comorbidity Survey</b:Title>
    <b:Year>1995</b:Year>
    <b:JournalName>Archives of general psychiatry</b:JournalName>
    <b:Pages>52(12), 1048–1060</b:Pages>
    <b:RefOrder>4</b:RefOrder>
  </b:Source>
  <b:Source>
    <b:Tag>Osc20</b:Tag>
    <b:SourceType>DocumentFromInternetSite</b:SourceType>
    <b:Guid>{848FD35D-7352-4E2B-875D-8D402E837A05}</b:Guid>
    <b:Title>Responding to trauma in policing, a practical guide.</b:Title>
    <b:InternetSiteTitle>College of Policing - Oscar Kilo</b:InternetSiteTitle>
    <b:Year>2020</b:Year>
    <b:URL>https://www.oscarkilo.org.uk/media/304/download?inline</b:URL>
    <b:Author>
      <b:Author>
        <b:Corporate>Oscar Kilo</b:Corporate>
      </b:Author>
    </b:Author>
    <b:RefOrder>2</b:RefOrder>
  </b:Source>
  <b:Source>
    <b:Tag>Wat18</b:Tag>
    <b:SourceType>JournalArticle</b:SourceType>
    <b:Guid>{AD966425-BACE-4BFE-A0EB-36FA3BF09994}</b:Guid>
    <b:Author>
      <b:Author>
        <b:NameList>
          <b:Person>
            <b:Last>Watson</b:Last>
            <b:First>L.,</b:First>
            <b:Middle>&amp; Andrews, L</b:Middle>
          </b:Person>
        </b:NameList>
      </b:Author>
    </b:Author>
    <b:Title>The effect of a Trauma Risk Management (TRiM) program on stigma and barriers to help-seeking in the police</b:Title>
    <b:JournalName>International Journal of Stress Managemen</b:JournalName>
    <b:Year>2018</b:Year>
    <b:Pages>25(4), 348–356</b:Pages>
    <b:RefOrder>5</b:RefOrder>
  </b:Source>
  <b:Source>
    <b:Tag>Mar24</b:Tag>
    <b:SourceType>InternetSite</b:SourceType>
    <b:Guid>{41EA92EA-C561-4A6D-8813-900D5DF7D969}</b:Guid>
    <b:Author>
      <b:Author>
        <b:NameList>
          <b:Person>
            <b:Last>Stress.com</b:Last>
            <b:First>March</b:First>
            <b:Middle>on</b:Middle>
          </b:Person>
        </b:NameList>
      </b:Author>
    </b:Author>
    <b:Title>Trauma Risk Management</b:Title>
    <b:InternetSiteTitle>March on Stress.com</b:InternetSiteTitle>
    <b:Year>2024</b:Year>
    <b:URL>https://www.marchonstress.com/page/p/trim</b:URL>
    <b:RefOrder>6</b:RefOrder>
  </b:Source>
  <b:Source>
    <b:Tag>Nat18</b:Tag>
    <b:SourceType>InternetSite</b:SourceType>
    <b:Guid>{6F2E4A3E-4E0F-43E2-940B-CE9A5FF421A6}</b:Guid>
    <b:Title>Post-traumatic stress disorder</b:Title>
    <b:Year>2018</b:Year>
    <b:Author>
      <b:Author>
        <b:NameList>
          <b:Person>
            <b:Last>NICE</b:Last>
          </b:Person>
        </b:NameList>
      </b:Author>
    </b:Author>
    <b:InternetSiteTitle>National Insitute for Health and Care Excellence</b:InternetSiteTitle>
    <b:Month>December</b:Month>
    <b:Day>5</b:Day>
    <b:URL>https://www.nice.org.uk/guidance/ng116</b:URL>
    <b:RefOrder>8</b:RefOrder>
  </b:Source>
  <b:Source>
    <b:Tag>Sta21</b:Tag>
    <b:SourceType>InternetSite</b:SourceType>
    <b:Guid>{3D8B286C-C4C3-4C5B-8484-ED37AD856B2A}</b:Guid>
    <b:Title>Suicide by occupation, England and Wales 2011 to 2019 registrations</b:Title>
    <b:InternetSiteTitle>Office for National Statistics</b:InternetSiteTitle>
    <b:Year>2021</b:Year>
    <b:URL>https://www.ons.gov.uk/peoplepopulationandcommunity/birthsdeathsandmarriages/deaths/adhocs/13674suicidebyoccupationenglandandwales2011to2020registrations</b:URL>
    <b:Author>
      <b:Author>
        <b:NameList>
          <b:Person>
            <b:Last>ONS</b:Last>
          </b:Person>
        </b:NameList>
      </b:Author>
    </b:Author>
    <b:Publisher>Office for National Statistics</b:Publisher>
    <b:RefOrder>9</b:RefOrder>
  </b:Source>
  <b:Source>
    <b:Tag>Pol22</b:Tag>
    <b:SourceType>DocumentFromInternetSite</b:SourceType>
    <b:Guid>{6D8DBECD-ED35-48FF-8379-983A9920E79E}</b:Guid>
    <b:Author>
      <b:Author>
        <b:Corporate>College of Policing</b:Corporate>
      </b:Author>
    </b:Author>
    <b:Title>Suicide prevention in Policing. Current landscape.</b:Title>
    <b:InternetSiteTitle>College of Policing</b:InternetSiteTitle>
    <b:Year>2022</b:Year>
    <b:URL>https://assets.production.copweb.aws.college.police.uk/s3fs-public/2022-02/Suicide-prevention-current-landscape.pdf</b:URL>
    <b:RefOrder>10</b:RefOrder>
  </b:Source>
  <b:Source>
    <b:Tag>Vio07</b:Tag>
    <b:SourceType>Book</b:SourceType>
    <b:Guid>{BD8A1189-DAA4-4E22-818D-9668A0D57000}</b:Guid>
    <b:Author>
      <b:Author>
        <b:NameList>
          <b:Person>
            <b:Last>Violanti</b:Last>
          </b:Person>
        </b:NameList>
      </b:Author>
    </b:Author>
    <b:Title>Police Suicide: Epidemic in blue</b:Title>
    <b:Year>2007</b:Year>
    <b:City>Springfield, IL</b:City>
    <b:Publisher>Charles C Thomas</b:Publisher>
    <b:RefOrder>11</b:RefOrder>
  </b:Source>
  <b:Source>
    <b:Tag>Har17</b:Tag>
    <b:SourceType>Report</b:SourceType>
    <b:Guid>{7BACE981-1472-429A-A474-7B6A55A4943F}</b:Guid>
    <b:Title>Police workforce, England and Wales 31 March 2017</b:Title>
    <b:Year>2017</b:Year>
    <b:City>London</b:City>
    <b:Publisher>Home Office Statistical Bulletin 10/17</b:Publisher>
    <b:Author>
      <b:Author>
        <b:NameList>
          <b:Person>
            <b:Last>Hargreaves</b:Last>
            <b:First>Husband,</b:First>
            <b:Middle>and Linehan</b:Middle>
          </b:Person>
        </b:NameList>
      </b:Author>
    </b:Author>
    <b:RefOrder>12</b:RefOrder>
  </b:Source>
  <b:Source>
    <b:Tag>Nat19</b:Tag>
    <b:SourceType>InternetSite</b:SourceType>
    <b:Guid>{347533C0-147D-416F-B97F-188EF77C872F}</b:Guid>
    <b:Author>
      <b:Author>
        <b:Corporate>Home Office</b:Corporate>
      </b:Author>
    </b:Author>
    <b:Title>Tackling serious and organised crime</b:Title>
    <b:InternetSiteTitle>National Audit Office</b:InternetSiteTitle>
    <b:Year>2019</b:Year>
    <b:Month>June</b:Month>
    <b:Day>28</b:Day>
    <b:URL>https://www.nao.org.uk/reports/serious-and-organised-crime/</b:URL>
    <b:RefOrder>1</b:RefOrder>
  </b:Source>
  <b:Source>
    <b:Tag>Eur24</b:Tag>
    <b:SourceType>InternetSite</b:SourceType>
    <b:Guid>{2F09A933-C883-42BB-BB49-AC5523628A84}</b:Guid>
    <b:Author>
      <b:Author>
        <b:NameList>
          <b:Person>
            <b:Last>Europol</b:Last>
          </b:Person>
        </b:NameList>
      </b:Author>
    </b:Author>
    <b:Title>Defining serious and organised crime</b:Title>
    <b:Year>2024</b:Year>
    <b:InternetSiteTitle>Europol</b:InternetSiteTitle>
    <b:Month>April</b:Month>
    <b:Day>11</b:Day>
    <b:URL>https://www.europol.europa.eu/socta/2017/defining-serious-and-organised-crime.html</b:URL>
    <b:RefOrder>2</b:RefOrder>
  </b:Source>
  <b:Source>
    <b:Tag>NCA19</b:Tag>
    <b:SourceType>DocumentFromInternetSite</b:SourceType>
    <b:Guid>{AE7D9E56-52A9-4FD6-8D1A-878756B8E17D}</b:Guid>
    <b:Author>
      <b:Author>
        <b:Corporate>NCA</b:Corporate>
      </b:Author>
    </b:Author>
    <b:Title>National Strategic Assessment of Serious and Organised Crime</b:Title>
    <b:InternetSiteTitle>GOV.uk</b:InternetSiteTitle>
    <b:Year>2019</b:Year>
    <b:URL>https://nationalcrimeagency.gov.uk/who-we-are/publications/296-national-strategic-assessment-of-serious-organised-crime-2019/file</b:URL>
    <b:RefOrder>3</b:RefOrder>
  </b:Source>
  <b:Source>
    <b:Tag>Owe19</b:Tag>
    <b:SourceType>Report</b:SourceType>
    <b:Guid>{19EB00F1-B932-462A-AEDE-DD9BA6613AB7}</b:Guid>
    <b:Title>National Strategic Assessment of Serious &amp; Organised Crime</b:Title>
    <b:Year>2019</b:Year>
    <b:Author>
      <b:Author>
        <b:NameList>
          <b:Person>
            <b:Last>Owens</b:Last>
            <b:First>Lynne</b:First>
          </b:Person>
        </b:NameList>
      </b:Author>
    </b:Author>
    <b:Publisher>National Crime Agency</b:Publisher>
    <b:City>London</b:City>
    <b:RefOrder>4</b:RefOrder>
  </b:Source>
  <b:Source>
    <b:Tag>GOV232</b:Tag>
    <b:SourceType>InternetSite</b:SourceType>
    <b:Guid>{F801300D-EC99-40BF-8F90-72C8EE3D98CF}</b:Guid>
    <b:Author>
      <b:Author>
        <b:NameList>
          <b:Person>
            <b:Last>GOV.UK</b:Last>
          </b:Person>
        </b:NameList>
      </b:Author>
    </b:Author>
    <b:Title>Criminal exploitation of children and vulnerable adults: county lines</b:Title>
    <b:InternetSiteTitle>GOV.UK</b:InternetSiteTitle>
    <b:Year>2023</b:Year>
    <b:Month>October</b:Month>
    <b:Day>20</b:Day>
    <b:URL>https://www.gov.uk/government/publications/criminal-exploitation-of-children-and-vulnerable-adults-county-lines/criminal-exploitation-of-children-and-vulnerable-adults-county-lines</b:URL>
    <b:RefOrder>5</b:RefOrder>
  </b:Source>
  <b:Source>
    <b:Tag>Lee22</b:Tag>
    <b:SourceType>InternetSite</b:SourceType>
    <b:Guid>{0E38D38C-1103-4DDC-A036-DBF193AC1315}</b:Guid>
    <b:Title>What is Cuckooing?</b:Title>
    <b:Year>2022</b:Year>
    <b:Author>
      <b:Author>
        <b:NameList>
          <b:Person>
            <b:Last>Lee</b:Last>
          </b:Person>
        </b:NameList>
      </b:Author>
    </b:Author>
    <b:InternetSiteTitle>CPD Online</b:InternetSiteTitle>
    <b:Month>August</b:Month>
    <b:Day>10</b:Day>
    <b:URL>https://cpdonline.co.uk/knowledge-base/safeguarding/cuckooing/</b:URL>
    <b:RefOrder>6</b:RefOrder>
  </b:Source>
  <b:Source>
    <b:Tag>Oxf24</b:Tag>
    <b:SourceType>InternetSite</b:SourceType>
    <b:Guid>{2414EC25-E533-475D-AEFC-C86AB24FE068}</b:Guid>
    <b:Author>
      <b:Author>
        <b:Corporate>Oxford Dictionary</b:Corporate>
      </b:Author>
    </b:Author>
    <b:Title>Oxford Languages</b:Title>
    <b:InternetSiteTitle>Google</b:InternetSiteTitle>
    <b:Year>2024</b:Year>
    <b:Month>May</b:Month>
    <b:Day>28</b:Day>
    <b:URL>https://www.bing.com/search?pglt=41&amp;q=parasite+meaning&amp;cvid=bec494d71fb34a86a293d1d2df69ded0&amp;gs_lcrp=EgZjaHJvbWUqBggCEAAYQDIGCAAQRRg5MgYIARAAGEAyBggCEAAYQDIGCAMQABhAMgYIBBAAGEAyBggFEAAYQDIGCAYQABhAMgYIBxAAGEAyBggIEAAYQDIICAkQ6QcY_FXSAQg0NDcyajBqMagCALACAA</b:URL>
    <b:RefOrder>7</b:RefOrder>
  </b:Source>
  <b:Source>
    <b:Tag>BBC211</b:Tag>
    <b:SourceType>InternetSite</b:SourceType>
    <b:Guid>{AC73D635-78E4-4F7A-9537-53E929AD8F81}</b:Guid>
    <b:Author>
      <b:Author>
        <b:NameList>
          <b:Person>
            <b:Last>BBC</b:Last>
          </b:Person>
        </b:NameList>
      </b:Author>
    </b:Author>
    <b:Title>Essex lorry deaths: Men jailed for killing 39 migrants in trailer</b:Title>
    <b:InternetSiteTitle>BBC News</b:InternetSiteTitle>
    <b:Year>2021</b:Year>
    <b:Month>January</b:Month>
    <b:Day>22</b:Day>
    <b:URL>https://www.bbc.co.uk/news/uk-england-essex-55765213</b:URL>
    <b:RefOrder>8</b:RefOrder>
  </b:Source>
  <b:Source>
    <b:Tag>BBC20</b:Tag>
    <b:SourceType>InternetSite</b:SourceType>
    <b:Guid>{55DB7096-3D0A-4A41-90D4-05845478BC1C}</b:Guid>
    <b:Title>Essex lorry deaths: The supposed 'VIP' journey that killed 39 people</b:Title>
    <b:Year>2020</b:Year>
    <b:Author>
      <b:Author>
        <b:NameList>
          <b:Person>
            <b:Last>BBC</b:Last>
          </b:Person>
        </b:NameList>
      </b:Author>
    </b:Author>
    <b:InternetSiteTitle>BBC News</b:InternetSiteTitle>
    <b:Month>December</b:Month>
    <b:Day>21</b:Day>
    <b:URL>https://www.bbc.co.uk/news/uk-england-essex-54294006</b:URL>
    <b:RefOrder>9</b:RefOrder>
  </b:Source>
  <b:Source>
    <b:Tag>HMI231</b:Tag>
    <b:SourceType>InternetSite</b:SourceType>
    <b:Guid>{D6CB2310-A846-4A19-AB65-AAFF781D5705}</b:Guid>
    <b:Author>
      <b:Author>
        <b:NameList>
          <b:Person>
            <b:Last>HMICFRS</b:Last>
          </b:Person>
        </b:NameList>
      </b:Author>
    </b:Author>
    <b:Title>Public Protection Notification</b:Title>
    <b:InternetSiteTitle>HMICFRS</b:InternetSiteTitle>
    <b:Year>2023</b:Year>
    <b:Month>March</b:Month>
    <b:Day>29</b:Day>
    <b:URL>https://hmicfrs.justiceinspectorates.gov.uk/glossary/public-protection-notice/</b:URL>
    <b:RefOrder>10</b:RefOrder>
  </b:Source>
  <b:Source>
    <b:Tag>Pub19</b:Tag>
    <b:SourceType>InternetSite</b:SourceType>
    <b:Guid>{F8C2DB1A-AF54-4CD5-8D56-8C1A76D59E01}</b:Guid>
    <b:Title>Collaborative approaches to preventing offending and re-offending by children (CAPRICORN)</b:Title>
    <b:Year>2019</b:Year>
    <b:Author>
      <b:Author>
        <b:Corporate>Public Health England</b:Corporate>
      </b:Author>
    </b:Author>
    <b:InternetSiteTitle>Gov.UK</b:InternetSiteTitle>
    <b:Month>August</b:Month>
    <b:Day>14</b:Day>
    <b:URL>https://www.gov.uk/government/publications/preventing-offending-and-re-offending-by-children/collaborative-approaches-to-preventing-offending-and-re-offending-by-children-capricorn-summary</b:URL>
    <b:RefOrder>1</b:RefOrder>
  </b:Source>
  <b:Source>
    <b:Tag>Kar21</b:Tag>
    <b:SourceType>InternetSite</b:SourceType>
    <b:Guid>{20BEBAD0-7201-47A5-9F0E-C8DC6CDECB20}</b:Guid>
    <b:Author>
      <b:Author>
        <b:NameList>
          <b:Person>
            <b:Last>Thompson</b:Last>
            <b:First>Karl</b:First>
          </b:Person>
        </b:NameList>
      </b:Author>
    </b:Author>
    <b:Title>How successful are early interventions in reducing violent crime?</b:Title>
    <b:InternetSiteTitle>Revise Sociology.com</b:InternetSiteTitle>
    <b:Year>2021</b:Year>
    <b:Month>May</b:Month>
    <b:Day>26</b:Day>
    <b:URL>https://revisesociology.com/2021/05/26/how-successful-are-early-interventions-in-reducing-violent-crime/?utm_content=cmp-true</b:URL>
    <b:RefOrder>2</b:RefOrder>
  </b:Source>
  <b:Source>
    <b:Tag>Wil18</b:Tag>
    <b:SourceType>JournalArticle</b:SourceType>
    <b:Guid>{4A6A5BE9-3EBD-4037-8CEE-C6EAF1C6FE7B}</b:Guid>
    <b:Title>Police-initiated diversion for youth to prevent future delinquent behavior: a systematic review</b:Title>
    <b:Year>2018</b:Year>
    <b:Author>
      <b:Author>
        <b:NameList>
          <b:Person>
            <b:Last>Wilson</b:Last>
            <b:First>D.</b:First>
            <b:Middle>B., Brennan, I., &amp; Olaghere, A.</b:Middle>
          </b:Person>
        </b:NameList>
      </b:Author>
    </b:Author>
    <b:JournalName>Campbell Systematic Reviews (14)</b:JournalName>
    <b:Pages>https://hull-repository.worktribe.com/output/1243068/police-initiated-diversion-for-youth-to-prevent-future-delinquent-behavior-a-systematic-review</b:Pages>
    <b:RefOrder>3</b:RefOrder>
  </b:Source>
  <b:Source>
    <b:Tag>Boa15</b:Tag>
    <b:SourceType>DocumentFromInternetSite</b:SourceType>
    <b:Guid>{5B674F0A-5FCF-4A1D-887A-EB758A4EF3D2}</b:Guid>
    <b:Author>
      <b:Author>
        <b:NameList>
          <b:Person>
            <b:Last>YJB</b:Last>
          </b:Person>
        </b:NameList>
      </b:Author>
    </b:Author>
    <b:Title>Youth offending teams: making the difference for children and young people, victims and communities. Final Report</b:Title>
    <b:InternetSiteTitle>Youth Justice Board - GOV.UK</b:InternetSiteTitle>
    <b:Year>2015</b:Year>
    <b:URL>https://assets.publishing.service.gov.uk/media/5a7f8dcbed915d74e33f725e/Board_Visits_Final_Report.pdf</b:URL>
    <b:RefOrder>4</b:RefOrder>
  </b:Source>
  <b:Source>
    <b:Tag>LGA24</b:Tag>
    <b:SourceType>InternetSite</b:SourceType>
    <b:Guid>{11E221AD-E64A-4CB1-B833-767314CAE6BC}</b:Guid>
    <b:Author>
      <b:Author>
        <b:NameList>
          <b:Person>
            <b:Last>LGA</b:Last>
          </b:Person>
        </b:NameList>
      </b:Author>
    </b:Author>
    <b:Title>Devolution explained</b:Title>
    <b:InternetSiteTitle>Local Government Association</b:InternetSiteTitle>
    <b:Year>2024</b:Year>
    <b:URL>https://www.local.gov.uk/topics/devolution/devolution-hub/devolution-explained</b:URL>
    <b:RefOrder>5</b:RefOrder>
  </b:Source>
  <b:Source>
    <b:Tag>Sta22</b:Tag>
    <b:SourceType>Report</b:SourceType>
    <b:Guid>{2249A6E0-BCF3-4E3D-936B-DB4170B70106}</b:Guid>
    <b:Author>
      <b:Author>
        <b:NameList>
          <b:Person>
            <b:Last>Staines</b:Last>
            <b:First>Lucas</b:First>
            <b:Middle>&amp;</b:Middle>
          </b:Person>
        </b:NameList>
      </b:Author>
    </b:Author>
    <b:Title>Supporting the youngest children in the youth justice system: what works to reduce offending and improve outcomes?</b:Title>
    <b:Year>2022</b:Year>
    <b:Publisher>Local Government Association</b:Publisher>
    <b:City>London</b:City>
    <b:RefOrder>6</b:RefOrder>
  </b:Source>
  <b:Source>
    <b:Tag>HMI21</b:Tag>
    <b:SourceType>DocumentFromInternetSite</b:SourceType>
    <b:Guid>{3A4C0B75-69CF-414E-857F-FC258FD21144}</b:Guid>
    <b:Author>
      <b:Author>
        <b:Corporate>HM Inspectorate of Probation</b:Corporate>
      </b:Author>
    </b:Author>
    <b:Title>The experiences of black and mixed heritage boys in the youth justice system</b:Title>
    <b:InternetSiteTitle>HM Inspectorate of Probation</b:InternetSiteTitle>
    <b:Year>2021</b:Year>
    <b:Month>October</b:Month>
    <b:URL>https://www.justiceinspectorates.gov.uk/hmiprobation/wp-content/uploads/sites/5/2021/10/The-experiences-of-black-and-mixed-heritage-boys-in-the-youth-justice-system-thematic-report-v1.0.pdf</b:URL>
    <b:RefOrder>7</b:RefOrder>
  </b:Source>
  <b:Source>
    <b:Tag>DrK20</b:Tag>
    <b:SourceType>JournalArticle</b:SourceType>
    <b:Guid>{F6FAF9C7-0EBC-4D2D-B70F-EF5FA47554DA}</b:Guid>
    <b:Title>Adverse childhood experiences</b:Title>
    <b:Year>2020</b:Year>
    <b:Author>
      <b:Author>
        <b:NameList>
          <b:Person>
            <b:Last>Scott</b:Last>
            <b:First>Dr</b:First>
            <b:Middle>Katie</b:Middle>
          </b:Person>
        </b:NameList>
      </b:Author>
    </b:Author>
    <b:JournalName>Royal College of General Practioners</b:JournalName>
    <b:Pages>Volume 14, Issue 1 - https://journals.sagepub.com/doi/full/10.1177/1755738020964498</b:Pages>
    <b:RefOrder>8</b:RefOrder>
  </b:Source>
  <b:Source>
    <b:Tag>DiL19</b:Tag>
    <b:SourceType>DocumentFromInternetSite</b:SourceType>
    <b:Guid>{B26BC066-33F6-4EB0-A647-E3D7AAB60023}</b:Guid>
    <b:Author>
      <b:Author>
        <b:NameList>
          <b:Person>
            <b:Last>Di Lemma L</b:Last>
            <b:First>Davies</b:First>
            <b:Middle>A, Ford K, et al</b:Middle>
          </b:Person>
        </b:NameList>
      </b:Author>
    </b:Author>
    <b:Title>Responding to adverse childhood experiences</b:Title>
    <b:Year>2019</b:Year>
    <b:InternetSiteTitle>University of Bangor</b:InternetSiteTitle>
    <b:URL>https://research.bangor.ac.uk/portal/en/researchoutputs/responding-to-adverse-childhood-experiences(302c9332-ce77-4cf5-be5b-11624c987768)/export.html</b:URL>
    <b:RefOrder>9</b:RefOrder>
  </b:Source>
  <b:Source>
    <b:Tag>UKP22</b:Tag>
    <b:SourceType>InternetSite</b:SourceType>
    <b:Guid>{8AB7136B-E51B-4FBF-9EDB-AE4B9D3156FB}</b:Guid>
    <b:Title>Reoffending Costs - Question for Ministry for Justice</b:Title>
    <b:Year>2022</b:Year>
    <b:Author>
      <b:Author>
        <b:NameList>
          <b:Person>
            <b:Last>Parliment</b:Last>
            <b:First>UK</b:First>
          </b:Person>
        </b:NameList>
      </b:Author>
    </b:Author>
    <b:InternetSiteTitle>UK Parliment</b:InternetSiteTitle>
    <b:Month>March</b:Month>
    <b:Day>9</b:Day>
    <b:URL>https://questions-statements.parliament.uk/written-questions/detail/2022-03-09/137323</b:URL>
    <b:RefOrder>10</b:RefOrder>
  </b:Source>
  <b:Source>
    <b:Tag>Dan19</b:Tag>
    <b:SourceType>DocumentFromInternetSite</b:SourceType>
    <b:Guid>{9EA76BAB-2941-4219-B1CB-91316A71E09A}</b:Guid>
    <b:Author>
      <b:Author>
        <b:NameList>
          <b:Person>
            <b:Last>Nagin</b:Last>
            <b:First>Daniel</b:First>
            <b:Middle>S.</b:Middle>
          </b:Person>
        </b:NameList>
      </b:Author>
    </b:Author>
    <b:Title>Deterrance in the Twenty-First Century</b:Title>
    <b:InternetSiteTitle>University of Chicago Press Journals - Volume 42</b:InternetSiteTitle>
    <b:Year>2019</b:Year>
    <b:URL>https://www.journals.uchicago.edu/doi/abs/10.1086/670398</b:URL>
    <b:RefOrder>11</b:RefOrder>
  </b:Source>
  <b:Source>
    <b:Tag>Col15</b:Tag>
    <b:SourceType>InternetSite</b:SourceType>
    <b:Guid>{829EA1F9-26D0-4629-AD59-7EA1F5E70BD6}</b:Guid>
    <b:Title>Scared Straight programmes</b:Title>
    <b:InternetSiteTitle>College of Policing</b:InternetSiteTitle>
    <b:Year>2015</b:Year>
    <b:Month>February</b:Month>
    <b:Day>19</b:Day>
    <b:URL>https://www.college.police.uk/research/crime-reduction-toolkit/scared-straight</b:URL>
    <b:Author>
      <b:Author>
        <b:Corporate>College of Policing</b:Corporate>
      </b:Author>
    </b:Author>
    <b:RefOrder>12</b:RefOrder>
  </b:Source>
  <b:Source>
    <b:Tag>Ant13</b:Tag>
    <b:SourceType>JournalArticle</b:SourceType>
    <b:Guid>{37828D13-9159-4134-B0D2-D639527E1E5A}</b:Guid>
    <b:Title>Scared Straight and Other Juvenile Awareness Programs for Preventing Juvenile Delinquency: A Systematic Review</b:Title>
    <b:Year>2013</b:Year>
    <b:Author>
      <b:Author>
        <b:NameList>
          <b:Person>
            <b:Last>A. Petrosino</b:Last>
            <b:First>C.</b:First>
            <b:Middle>Turpin-Petrosino, M. E. Hollis-Peel, J. G. Lavenberg</b:Middle>
          </b:Person>
        </b:NameList>
      </b:Author>
    </b:Author>
    <b:JournalName>Cochrane Database of Systematic Reviews 2013, Issue 4.</b:JournalName>
    <b:RefOrder>13</b:RefOrder>
  </b:Source>
  <b:Source>
    <b:Tag>GOV12</b:Tag>
    <b:SourceType>InternetSite</b:SourceType>
    <b:Guid>{90DCBD12-DA38-4EF8-8209-B9C5CC5CD8F8}</b:Guid>
    <b:Author>
      <b:Author>
        <b:NameList>
          <b:Person>
            <b:Last>GOV.UK</b:Last>
          </b:Person>
        </b:NameList>
      </b:Author>
    </b:Author>
    <b:Title>Public sector equality duty</b:Title>
    <b:InternetSiteTitle>GOV.UK</b:InternetSiteTitle>
    <b:Year>2012</b:Year>
    <b:Month>july</b:Month>
    <b:Day>06</b:Day>
    <b:URL>https://www.gov.uk/government/publications/public-sector-equality-duty</b:URL>
    <b:RefOrder>15</b:RefOrder>
  </b:Source>
  <b:Source>
    <b:Tag>Placeholder1</b:Tag>
    <b:SourceType>DocumentFromInternetSite</b:SourceType>
    <b:Guid>{E9701357-709A-4569-9C88-34B3677AF383}</b:Guid>
    <b:Title>Responding to trauma in policing, a practical guide.</b:Title>
    <b:InternetSiteTitle>College of Policing - Oscar Kilo</b:InternetSiteTitle>
    <b:Year>2020</b:Year>
    <b:URL>https://www.oscarkilo.org.uk/media/304/download?inline</b:URL>
    <b:Author>
      <b:Author>
        <b:NameList>
          <b:Person>
            <b:Last>Kilo</b:Last>
            <b:First>Oscar</b:First>
          </b:Person>
        </b:NameList>
      </b:Author>
    </b:Author>
    <b:RefOrder>16</b:RefOrder>
  </b:Source>
  <b:Source>
    <b:Tag>Placeholder2</b:Tag>
    <b:SourceType>InternetSite</b:SourceType>
    <b:Guid>{F27559F8-A262-4F95-98FD-80877EFC666D}</b:Guid>
    <b:Author>
      <b:Author>
        <b:NameList>
          <b:Person>
            <b:Last>Policing</b:Last>
            <b:First>College</b:First>
            <b:Middle>of</b:Middle>
          </b:Person>
        </b:NameList>
      </b:Author>
    </b:Author>
    <b:Title>Response Constable</b:Title>
    <b:InternetSiteTitle>College of Policing</b:InternetSiteTitle>
    <b:Year>2024</b:Year>
    <b:URL>https://profdev.college.police.uk/professional-profile/test-9/</b:URL>
    <b:RefOrder>17</b:RefOrder>
  </b:Source>
  <b:Source>
    <b:Tag>Teh19</b:Tag>
    <b:SourceType>JournalArticle</b:SourceType>
    <b:Guid>{14585636-C43D-49CB-9B8D-19B4A98605AB}</b:Guid>
    <b:Title>Evaluation of a trauma therapy programme within emergency service organizations</b:Title>
    <b:Year>2019</b:Year>
    <b:Author>
      <b:Author>
        <b:NameList>
          <b:Person>
            <b:Last>Tehrani</b:Last>
          </b:Person>
        </b:NameList>
      </b:Author>
    </b:Author>
    <b:JournalName>Occupational Medicine</b:JournalName>
    <b:Pages>(69) 559-565</b:Pages>
    <b:RefOrder>21</b:RefOrder>
  </b:Source>
  <b:Source>
    <b:Tag>Placeholder3</b:Tag>
    <b:SourceType>InternetSite</b:SourceType>
    <b:Guid>{01AEBE5F-B16C-48EC-8A6D-863BCF9757CA}</b:Guid>
    <b:Title>Suicide by occupation, England and Wales 2011 to 2019 registrations</b:Title>
    <b:InternetSiteTitle>Office for National Statistics</b:InternetSiteTitle>
    <b:Year>2021</b:Year>
    <b:URL>https://www.ons.gov.uk/peoplepopulationandcommunity/birthsdeathsandmarriages/deaths/adhocs/13674suicidebyoccupationenglandandwales2011to2020registrations</b:URL>
    <b:Author>
      <b:Author>
        <b:NameList>
          <b:Person>
            <b:Last>Statistics</b:Last>
            <b:First>Office</b:First>
            <b:Middle>for National</b:Middle>
          </b:Person>
        </b:NameList>
      </b:Author>
    </b:Author>
    <b:Publisher>Office for National Statistics</b:Publisher>
    <b:RefOrder>23</b:RefOrder>
  </b:Source>
  <b:Source>
    <b:Tag>Placeholder4</b:Tag>
    <b:SourceType>DocumentFromInternetSite</b:SourceType>
    <b:Guid>{DD8735EA-79F8-4FBA-A491-1773723BCD67}</b:Guid>
    <b:Author>
      <b:Author>
        <b:NameList>
          <b:Person>
            <b:Last>Policing</b:Last>
            <b:First>College</b:First>
            <b:Middle>of</b:Middle>
          </b:Person>
        </b:NameList>
      </b:Author>
    </b:Author>
    <b:Title>Suicide prevention in Policing. Current landscape.</b:Title>
    <b:InternetSiteTitle>College of Policing</b:InternetSiteTitle>
    <b:Year>2022</b:Year>
    <b:URL>https://assets.production.copweb.aws.college.police.uk/s3fs-public/2022-02/Suicide-prevention-current-landscape.pdf</b:URL>
    <b:RefOrder>24</b:RefOrder>
  </b:Source>
  <b:Source>
    <b:Tag>Off23</b:Tag>
    <b:SourceType>InternetSite</b:SourceType>
    <b:Guid>{1B3E4304-AA5E-42AE-9A93-9DEF6DAB7D2A}</b:Guid>
    <b:Author>
      <b:Author>
        <b:NameList>
          <b:Person>
            <b:Last>Statistics</b:Last>
            <b:First>Office</b:First>
            <b:Middle>for National</b:Middle>
          </b:Person>
        </b:NameList>
      </b:Author>
    </b:Author>
    <b:Title>Sociodemographic inequalities in suicides in England and Wales: 2011 to 2021</b:Title>
    <b:InternetSiteTitle>Office for National Statistics</b:InternetSiteTitle>
    <b:Year>2023</b:Year>
    <b:Month>March</b:Month>
    <b:URL>https://www.ons.gov.uk/peoplepopulationandcommunity/healthandsocialcare/healthinequalities/bulletins/sociodemographicinequalitiesinsuicidesinenglandandwales/2011to2021</b:URL>
    <b:RefOrder>27</b:RefOrder>
  </b:Source>
  <b:Source>
    <b:Tag>HMI23</b:Tag>
    <b:SourceType>InternetSite</b:SourceType>
    <b:Guid>{FBAC6521-D3DA-41AF-A8E8-0E9217EF5A68}</b:Guid>
    <b:Author>
      <b:Author>
        <b:NameList>
          <b:Person>
            <b:Last>HMICFRS</b:Last>
          </b:Person>
        </b:NameList>
      </b:Author>
    </b:Author>
    <b:Title>Policing and Mental Health: Picking Up the Pieces</b:Title>
    <b:InternetSiteTitle>HMICFRS</b:InternetSiteTitle>
    <b:Year>2023</b:Year>
    <b:Month>March</b:Month>
    <b:Day>7</b:Day>
    <b:URL>https://hmicfrs.justiceinspectorates.gov.uk/publication-html/policing-and-mental-health-picking-up-the-pieces/</b:URL>
    <b:RefOrder>28</b:RefOrder>
  </b:Source>
  <b:Source>
    <b:Tag>Pol16</b:Tag>
    <b:SourceType>InternetSite</b:SourceType>
    <b:Guid>{C8A0CE0E-89E6-420B-A3F8-256B918709FA}</b:Guid>
    <b:Author>
      <b:Author>
        <b:NameList>
          <b:Person>
            <b:Last>Federation</b:Last>
            <b:First>Police</b:First>
          </b:Person>
        </b:NameList>
      </b:Author>
    </b:Author>
    <b:Title>Professional Behaviour &amp; Ethics</b:Title>
    <b:InternetSiteTitle>Warwickshire Police Federation</b:InternetSiteTitle>
    <b:Year>2016</b:Year>
    <b:Month>August</b:Month>
    <b:URL>https://www.polfed.org/warks/advice/standards/professional-behaviour-ethics/</b:URL>
    <b:RefOrder>29</b:RefOrder>
  </b:Source>
  <b:Source>
    <b:Tag>Placeholder5</b:Tag>
    <b:SourceType>InternetSite</b:SourceType>
    <b:Guid>{51B1DAE0-000A-4391-8C52-BF992AB549FB}</b:Guid>
    <b:Author>
      <b:Author>
        <b:NameList>
          <b:Person>
            <b:Last>Office</b:Last>
            <b:First>National</b:First>
            <b:Middle>Audit</b:Middle>
          </b:Person>
        </b:NameList>
      </b:Author>
    </b:Author>
    <b:Title>Tackling serious and organised crime</b:Title>
    <b:InternetSiteTitle>National Audit Office</b:InternetSiteTitle>
    <b:Year>2019</b:Year>
    <b:Month>June</b:Month>
    <b:Day>28</b:Day>
    <b:URL>https://www.nao.org.uk/reports/serious-and-organised-crime/</b:URL>
    <b:RefOrder>30</b:RefOrder>
  </b:Source>
  <b:Source>
    <b:Tag>Placeholder6</b:Tag>
    <b:SourceType>DocumentFromInternetSite</b:SourceType>
    <b:Guid>{893392C3-56A7-46BB-8461-D03CBE154A38}</b:Guid>
    <b:Author>
      <b:Author>
        <b:NameList>
          <b:Person>
            <b:Last>NCA</b:Last>
            <b:First>National</b:First>
            <b:Middle>Crime Agency</b:Middle>
          </b:Person>
        </b:NameList>
      </b:Author>
    </b:Author>
    <b:Title>National Strategic Assessment of Serious and Organised Crime</b:Title>
    <b:InternetSiteTitle>GOV.uk</b:InternetSiteTitle>
    <b:Year>2019</b:Year>
    <b:URL>https://nationalcrimeagency.gov.uk/who-we-are/publications/296-national-strategic-assessment-of-serious-organised-crime-2019/file</b:URL>
    <b:RefOrder>32</b:RefOrder>
  </b:Source>
  <b:Source>
    <b:Tag>NCA191</b:Tag>
    <b:SourceType>InternetSite</b:SourceType>
    <b:Guid>{F5C23FF8-B2B8-4458-B53E-EAABDAA71998}</b:Guid>
    <b:Author>
      <b:Author>
        <b:NameList>
          <b:Person>
            <b:Last>NCA</b:Last>
          </b:Person>
        </b:NameList>
      </b:Author>
    </b:Author>
    <b:Title>181,000 UK offenders fuelling “chronic and corrosive” threat from serious and organised crime</b:Title>
    <b:InternetSiteTitle>National Crime Agency</b:InternetSiteTitle>
    <b:Year>2019</b:Year>
    <b:Month>May</b:Month>
    <b:Day>14</b:Day>
    <b:URL>https://www.nationalcrimeagency.gov.uk/news/181-000-uk-offenders-fuelling-chronic-and-corrosive-threat-from-serious-and-organised-crime</b:URL>
    <b:RefOrder>33</b:RefOrder>
  </b:Source>
  <b:Source>
    <b:Tag>Placeholder7</b:Tag>
    <b:SourceType>InternetSite</b:SourceType>
    <b:Guid>{8B56F196-FF0A-4F42-8C2E-EF4F67DBF103}</b:Guid>
    <b:Author>
      <b:Author>
        <b:NameList>
          <b:Person>
            <b:Last>Oxford</b:Last>
          </b:Person>
        </b:NameList>
      </b:Author>
    </b:Author>
    <b:Title>Oxford Languages</b:Title>
    <b:InternetSiteTitle>Google</b:InternetSiteTitle>
    <b:Year>2024</b:Year>
    <b:Month>May</b:Month>
    <b:Day>28</b:Day>
    <b:URL>https://www.bing.com/search?pglt=41&amp;q=parasite+meaning&amp;cvid=bec494d71fb34a86a293d1d2df69ded0&amp;gs_lcrp=EgZjaHJvbWUqBggCEAAYQDIGCAAQRRg5MgYIARAAGEAyBggCEAAYQDIGCAMQABhAMgYIBBAAGEAyBggFEAAYQDIGCAYQABhAMgYIBxAAGEAyBggIEAAYQDIICAkQ6QcY_FXSAQg0NDcyajBqMagCALACAA</b:URL>
    <b:RefOrder>36</b:RefOrder>
  </b:Source>
  <b:Source>
    <b:Tag>NCA24</b:Tag>
    <b:SourceType>InternetSite</b:SourceType>
    <b:Guid>{FEE765AE-7185-4B1C-9E1A-FD863520AF82}</b:Guid>
    <b:Title>What we Investigate</b:Title>
    <b:InternetSiteTitle>National Crime Agency</b:InternetSiteTitle>
    <b:Year>2024</b:Year>
    <b:URL>https://www.nationalcrimeagency.gov.uk/what-we-do/crime-threats</b:URL>
    <b:Author>
      <b:Author>
        <b:NameList>
          <b:Person>
            <b:Last>NCA</b:Last>
            <b:First>National</b:First>
            <b:Middle>Crime Agency</b:Middle>
          </b:Person>
        </b:NameList>
      </b:Author>
    </b:Author>
    <b:RefOrder>40</b:RefOrder>
  </b:Source>
  <b:Source>
    <b:Tag>Placeholder8</b:Tag>
    <b:SourceType>InternetSite</b:SourceType>
    <b:Guid>{EB9E6F91-58D7-4AC8-8F3D-128EB780DFBA}</b:Guid>
    <b:Title>Collaborative approaches to preventing offending and re-offending by children (CAPRICORN)</b:Title>
    <b:Year>2019</b:Year>
    <b:Author>
      <b:Author>
        <b:NameList>
          <b:Person>
            <b:Last>England</b:Last>
            <b:First>Public</b:First>
            <b:Middle>Health</b:Middle>
          </b:Person>
        </b:NameList>
      </b:Author>
    </b:Author>
    <b:InternetSiteTitle>Gov.UK</b:InternetSiteTitle>
    <b:Month>August</b:Month>
    <b:Day>14</b:Day>
    <b:URL>https://www.gov.uk/government/publications/preventing-offending-and-re-offending-by-children/collaborative-approaches-to-preventing-offending-and-re-offending-by-children-capricorn-summary</b:URL>
    <b:RefOrder>41</b:RefOrder>
  </b:Source>
  <b:Source>
    <b:Tag>Placeholder9</b:Tag>
    <b:SourceType>DocumentFromInternetSite</b:SourceType>
    <b:Guid>{9AFD0D83-5E70-455C-9F96-659865A42DD6}</b:Guid>
    <b:Author>
      <b:Author>
        <b:NameList>
          <b:Person>
            <b:Last>Probation</b:Last>
            <b:First>HM</b:First>
            <b:Middle>Inspectorate of</b:Middle>
          </b:Person>
        </b:NameList>
      </b:Author>
    </b:Author>
    <b:Title>The experiences of black and mixed heritage boys in the youth justice system</b:Title>
    <b:InternetSiteTitle>HM Inspectorate of Probation</b:InternetSiteTitle>
    <b:Year>2021</b:Year>
    <b:Month>October</b:Month>
    <b:URL>https://www.justiceinspectorates.gov.uk/hmiprobation/wp-content/uploads/sites/5/2021/10/The-experiences-of-black-and-mixed-heritage-boys-in-the-youth-justice-system-thematic-report-v1.0.pdf</b:URL>
    <b:RefOrder>47</b:RefOrder>
  </b:Source>
  <b:Source>
    <b:Tag>Placeholder10</b:Tag>
    <b:SourceType>InternetSite</b:SourceType>
    <b:Guid>{D14C7B4B-A706-4C34-8B56-5BEB8A5C50A7}</b:Guid>
    <b:Title>Scared Straight programmes</b:Title>
    <b:InternetSiteTitle>College of Policing</b:InternetSiteTitle>
    <b:Year>2015</b:Year>
    <b:Month>February</b:Month>
    <b:Day>19</b:Day>
    <b:URL>https://www.college.police.uk/research/crime-reduction-toolkit/scared-straight</b:URL>
    <b:Author>
      <b:Author>
        <b:NameList>
          <b:Person>
            <b:Last>Policing</b:Last>
            <b:First>College</b:First>
            <b:Middle>of</b:Middle>
          </b:Person>
        </b:NameList>
      </b:Author>
    </b:Author>
    <b:RefOrder>52</b:RefOrder>
  </b:Source>
  <b:Source>
    <b:Tag>YJB20</b:Tag>
    <b:SourceType>DocumentFromInternetSite</b:SourceType>
    <b:Guid>{BDD8FC98-6004-4DFE-A0F7-2D3A7C5F32C7}</b:Guid>
    <b:Author>
      <b:Author>
        <b:NameList>
          <b:Person>
            <b:Last>YJB</b:Last>
          </b:Person>
        </b:NameList>
      </b:Author>
    </b:Author>
    <b:Title>Youth Justice Statistics</b:Title>
    <b:Year>2019/20</b:Year>
    <b:Publisher>Ministry of Justice</b:Publisher>
    <b:City>London</b:City>
    <b:InternetSiteTitle>GOV.UK</b:InternetSiteTitle>
    <b:Month>January</b:Month>
    <b:Day>28</b:Day>
    <b:URL>https://assets.publishing.service.gov.uk/government/uploads/system/uploads/attachment_data/file/956621/youth-justice-statistics-2019-2020.pdf</b:URL>
    <b:RefOrder>54</b:RefOrder>
  </b:Source>
  <b:Source>
    <b:Tag>Placeholder11</b:Tag>
    <b:SourceType>InternetSite</b:SourceType>
    <b:Guid>{28F1B145-F903-4066-836E-CA8124245192}</b:Guid>
    <b:Title>English Dictionary</b:Title>
    <b:Year>2024</b:Year>
    <b:Author>
      <b:Author>
        <b:NameList>
          <b:Person>
            <b:Last>Collins</b:Last>
          </b:Person>
        </b:NameList>
      </b:Author>
    </b:Author>
    <b:InternetSiteTitle>Collins</b:InternetSiteTitle>
    <b:URL>https://www.collinsdictionary.com/dictionary/english/diversity</b:URL>
    <b:RefOrder>13</b:RefOrder>
  </b:Source>
  <b:Source>
    <b:Tag>Placeholder12</b:Tag>
    <b:SourceType>InternetSite</b:SourceType>
    <b:Guid>{8ED873EC-12B8-4E98-A0A2-5366F7CB0D5B}</b:Guid>
    <b:Author>
      <b:Author>
        <b:NameList>
          <b:Person>
            <b:Last>Policing</b:Last>
            <b:First>College</b:First>
            <b:Middle>of</b:Middle>
          </b:Person>
        </b:NameList>
      </b:Author>
    </b:Author>
    <b:Title>Diversity and Inclusion</b:Title>
    <b:InternetSiteTitle>College of Policing</b:InternetSiteTitle>
    <b:Year>2024</b:Year>
    <b:URL>https://www.college.police.uk/support-forces/diversity-and-inclusion</b:URL>
    <b:RefOrder>14</b:RefOrder>
  </b:Source>
  <b:Source>
    <b:Tag>Placeholder13</b:Tag>
    <b:SourceType>InternetSite</b:SourceType>
    <b:Guid>{51BC199E-227C-4BED-8208-417BFA122BFB}</b:Guid>
    <b:Title>Ethnic group, England and Wales: Census 2021</b:Title>
    <b:Year>2022</b:Year>
    <b:Author>
      <b:Author>
        <b:NameList>
          <b:Person>
            <b:Last>Statistics</b:Last>
            <b:First>Office</b:First>
            <b:Middle>for National</b:Middle>
          </b:Person>
        </b:NameList>
      </b:Author>
    </b:Author>
    <b:InternetSiteTitle>Office for National Statistics</b:InternetSiteTitle>
    <b:Month>November</b:Month>
    <b:Day>29</b:Day>
    <b:URL>https://www.ons.gov.uk/peoplepopulationandcommunity/culturalidentity/ethnicity/bulletins/ethnicgroupenglandandwales/census2021</b:URL>
    <b:RefOrder>16</b:RefOrder>
  </b:Source>
  <b:Source>
    <b:Tag>Placeholder14</b:Tag>
    <b:SourceType>InternetSite</b:SourceType>
    <b:Guid>{8D82FFC2-E27F-44FF-99A3-A55A9F294567}</b:Guid>
    <b:Author>
      <b:Author>
        <b:NameList>
          <b:Person>
            <b:Last>Legislation.gov.uk</b:Last>
          </b:Person>
        </b:NameList>
      </b:Author>
    </b:Author>
    <b:Title>legislation.gov.uk</b:Title>
    <b:InternetSiteTitle>The Equality Act 2010 Regulations 2011 NO.2260</b:InternetSiteTitle>
    <b:Year>2011</b:Year>
    <b:URL>https://www.legislation.gov.uk/uksi/2011/2260/contents/made</b:URL>
    <b:RefOrder>19</b:RefOrder>
  </b:Source>
  <b:Source>
    <b:Tag>Placeholder15</b:Tag>
    <b:SourceType>InternetSite</b:SourceType>
    <b:Guid>{EA0B0539-507E-45B7-9C4E-E62F2EDEEE48}</b:Guid>
    <b:Author>
      <b:Author>
        <b:NameList>
          <b:Person>
            <b:Last>Commission</b:Last>
            <b:First>Equality</b:First>
            <b:Middle>and Human Rights</b:Middle>
          </b:Person>
        </b:NameList>
      </b:Author>
    </b:Author>
    <b:Title>The Human Rights Act</b:Title>
    <b:InternetSiteTitle>Equality and Human Rights Commission</b:InternetSiteTitle>
    <b:Year>2018</b:Year>
    <b:Month>November</b:Month>
    <b:Day>15</b:Day>
    <b:URL>https://www.equalityhumanrights.com/human-rights/human-rights-act</b:URL>
    <b:RefOrder>20</b:RefOrder>
  </b:Source>
  <b:Source>
    <b:Tag>Placeholder16</b:Tag>
    <b:SourceType>InternetSite</b:SourceType>
    <b:Guid>{366FC40D-A46C-4B21-BBD9-5D885598E25A}</b:Guid>
    <b:Author>
      <b:Author>
        <b:NameList>
          <b:Person>
            <b:Last>Policing</b:Last>
            <b:First>College</b:First>
            <b:Middle>of</b:Middle>
          </b:Person>
        </b:NameList>
      </b:Author>
    </b:Author>
    <b:Title>Diversity and Inclusion</b:Title>
    <b:InternetSiteTitle>College of Policing</b:InternetSiteTitle>
    <b:Year>2023</b:Year>
    <b:URL>https://www.college.police.uk/support-forces/diversity-and-inclusion</b:URL>
    <b:RefOrder>25</b:RefOrder>
  </b:Source>
</b:Sources>
</file>

<file path=customXml/itemProps1.xml><?xml version="1.0" encoding="utf-8"?>
<ds:datastoreItem xmlns:ds="http://schemas.openxmlformats.org/officeDocument/2006/customXml" ds:itemID="{5CACA987-3294-4204-9D33-9CA5B6D68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6497</Words>
  <Characters>37038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Parry,Elliot swp8529</dc:creator>
  <cp:keywords/>
  <dc:description/>
  <cp:lastModifiedBy>Parry,Elliot swp8529</cp:lastModifiedBy>
  <cp:revision>48</cp:revision>
  <dcterms:created xsi:type="dcterms:W3CDTF">2024-09-02T15:28:00Z</dcterms:created>
  <dcterms:modified xsi:type="dcterms:W3CDTF">2024-09-02T17:21:00Z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2024-09-02T15:40:14Z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276c6664-ecfb-4ae6-944f-21a994a62ef3</vt:lpwstr>
  </property>
  <property fmtid="{D5CDD505-2E9C-101B-9397-08002B2CF9AE}" pid="8" name="MSIP_Label_66cf8fe5-b7b7-4df7-b38d-1c61ac2f6639_ContentBits">
    <vt:lpwstr>0</vt:lpwstr>
  </property>
</Properties>
</file>