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1B69BE"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E3D63A6" w:rsidR="00CD33A8" w:rsidRPr="001142FA" w:rsidRDefault="00CD33A8" w:rsidP="00CD33A8">
      <w:pPr>
        <w:tabs>
          <w:tab w:val="left" w:pos="6540"/>
        </w:tabs>
        <w:spacing w:line="360" w:lineRule="auto"/>
        <w:rPr>
          <w:rFonts w:ascii="Arial" w:hAnsi="Arial" w:cs="Arial"/>
          <w:sz w:val="28"/>
          <w:szCs w:val="28"/>
        </w:rPr>
      </w:pPr>
      <w:r w:rsidRPr="001142FA">
        <w:rPr>
          <w:rFonts w:ascii="Arial" w:hAnsi="Arial" w:cs="Arial"/>
          <w:b/>
          <w:bCs/>
          <w:sz w:val="28"/>
          <w:szCs w:val="28"/>
        </w:rPr>
        <w:t>Module name</w:t>
      </w:r>
      <w:r w:rsidRPr="001142FA">
        <w:rPr>
          <w:rFonts w:ascii="Arial" w:hAnsi="Arial" w:cs="Arial"/>
          <w:sz w:val="28"/>
          <w:szCs w:val="28"/>
        </w:rPr>
        <w:t xml:space="preserve">: </w:t>
      </w:r>
      <w:r w:rsidR="00471651">
        <w:rPr>
          <w:rFonts w:ascii="Arial" w:hAnsi="Arial" w:cs="Arial"/>
          <w:sz w:val="28"/>
          <w:szCs w:val="28"/>
        </w:rPr>
        <w:t>Introduction to public health</w:t>
      </w:r>
    </w:p>
    <w:p w14:paraId="537571AF" w14:textId="15A0BB34"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471651">
        <w:rPr>
          <w:rFonts w:ascii="Arial" w:hAnsi="Arial" w:cs="Arial"/>
          <w:sz w:val="28"/>
          <w:szCs w:val="28"/>
        </w:rPr>
        <w:t xml:space="preserve"> </w:t>
      </w:r>
      <w:r w:rsidR="00A039C0" w:rsidRPr="00A039C0">
        <w:rPr>
          <w:rFonts w:ascii="Arial" w:hAnsi="Arial" w:cs="Arial"/>
          <w:sz w:val="28"/>
          <w:szCs w:val="28"/>
        </w:rPr>
        <w:t>LCHS4008</w:t>
      </w:r>
    </w:p>
    <w:p w14:paraId="529D7354" w14:textId="77777777" w:rsidR="00CD33A8" w:rsidRPr="001142FA" w:rsidRDefault="00CD33A8" w:rsidP="00CD33A8">
      <w:pPr>
        <w:tabs>
          <w:tab w:val="left" w:pos="6540"/>
        </w:tabs>
        <w:spacing w:line="360" w:lineRule="auto"/>
        <w:rPr>
          <w:rFonts w:ascii="Arial" w:hAnsi="Arial" w:cs="Arial"/>
          <w:b/>
          <w:bCs/>
          <w:sz w:val="28"/>
          <w:szCs w:val="28"/>
        </w:rPr>
      </w:pPr>
    </w:p>
    <w:p w14:paraId="0A48766D" w14:textId="2A218723" w:rsidR="00074402" w:rsidRPr="00A039C0" w:rsidRDefault="00074402" w:rsidP="00CD33A8">
      <w:pPr>
        <w:tabs>
          <w:tab w:val="left" w:pos="6540"/>
        </w:tabs>
        <w:spacing w:line="360" w:lineRule="auto"/>
        <w:rPr>
          <w:rFonts w:ascii="Arial" w:hAnsi="Arial" w:cs="Arial"/>
          <w:sz w:val="28"/>
          <w:szCs w:val="28"/>
        </w:rPr>
      </w:pPr>
      <w:r w:rsidRPr="00A039C0">
        <w:rPr>
          <w:rFonts w:ascii="Arial" w:hAnsi="Arial" w:cs="Arial"/>
          <w:b/>
          <w:bCs/>
          <w:sz w:val="28"/>
          <w:szCs w:val="28"/>
        </w:rPr>
        <w:t>Student name</w:t>
      </w:r>
      <w:r w:rsidRPr="00A039C0">
        <w:rPr>
          <w:rFonts w:ascii="Arial" w:hAnsi="Arial" w:cs="Arial"/>
          <w:sz w:val="28"/>
          <w:szCs w:val="28"/>
        </w:rPr>
        <w:t>:</w:t>
      </w:r>
      <w:r w:rsidR="00471651" w:rsidRPr="00A039C0">
        <w:rPr>
          <w:rFonts w:ascii="Arial" w:hAnsi="Arial" w:cs="Arial"/>
          <w:sz w:val="28"/>
          <w:szCs w:val="28"/>
        </w:rPr>
        <w:t xml:space="preserve"> Kayleigh Hickling</w:t>
      </w:r>
    </w:p>
    <w:p w14:paraId="39AA4413" w14:textId="215547AF" w:rsidR="00074402" w:rsidRPr="00A039C0" w:rsidRDefault="00074402" w:rsidP="00CD33A8">
      <w:pPr>
        <w:tabs>
          <w:tab w:val="left" w:pos="6540"/>
        </w:tabs>
        <w:spacing w:line="360" w:lineRule="auto"/>
        <w:rPr>
          <w:rFonts w:ascii="Arial" w:hAnsi="Arial" w:cs="Arial"/>
          <w:sz w:val="28"/>
          <w:szCs w:val="28"/>
        </w:rPr>
      </w:pPr>
      <w:r w:rsidRPr="00A039C0">
        <w:rPr>
          <w:rFonts w:ascii="Arial" w:hAnsi="Arial" w:cs="Arial"/>
          <w:b/>
          <w:bCs/>
          <w:sz w:val="28"/>
          <w:szCs w:val="28"/>
        </w:rPr>
        <w:t>Student ID</w:t>
      </w:r>
      <w:r w:rsidRPr="00A039C0">
        <w:rPr>
          <w:rFonts w:ascii="Arial" w:hAnsi="Arial" w:cs="Arial"/>
          <w:sz w:val="28"/>
          <w:szCs w:val="28"/>
        </w:rPr>
        <w:t>:</w:t>
      </w:r>
      <w:r w:rsidR="00A039C0" w:rsidRPr="00A039C0">
        <w:rPr>
          <w:rFonts w:ascii="Arial" w:hAnsi="Arial" w:cs="Arial"/>
          <w:sz w:val="28"/>
          <w:szCs w:val="28"/>
        </w:rPr>
        <w:t xml:space="preserve"> 2524181</w:t>
      </w:r>
    </w:p>
    <w:p w14:paraId="5E81F6AD" w14:textId="77777777" w:rsidR="00074402" w:rsidRPr="00A039C0" w:rsidRDefault="00074402" w:rsidP="00CD33A8">
      <w:pPr>
        <w:tabs>
          <w:tab w:val="left" w:pos="6540"/>
        </w:tabs>
        <w:spacing w:line="360" w:lineRule="auto"/>
        <w:rPr>
          <w:rFonts w:ascii="Arial" w:hAnsi="Arial" w:cs="Arial"/>
          <w:sz w:val="28"/>
          <w:szCs w:val="28"/>
        </w:rPr>
      </w:pPr>
    </w:p>
    <w:p w14:paraId="1A0B2D2B" w14:textId="71518350" w:rsidR="00074402"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A039C0">
        <w:rPr>
          <w:rFonts w:ascii="Arial" w:hAnsi="Arial" w:cs="Arial"/>
          <w:sz w:val="28"/>
          <w:szCs w:val="28"/>
        </w:rPr>
        <w:t xml:space="preserve"> Christiana </w:t>
      </w:r>
      <w:proofErr w:type="spellStart"/>
      <w:r w:rsidR="00A039C0">
        <w:rPr>
          <w:rFonts w:ascii="Arial" w:hAnsi="Arial" w:cs="Arial"/>
          <w:sz w:val="28"/>
          <w:szCs w:val="28"/>
        </w:rPr>
        <w:t>Melam</w:t>
      </w:r>
      <w:proofErr w:type="spellEnd"/>
    </w:p>
    <w:p w14:paraId="199C20C2" w14:textId="77777777" w:rsidR="00A039C0" w:rsidRDefault="00A039C0" w:rsidP="00CD33A8">
      <w:pPr>
        <w:tabs>
          <w:tab w:val="left" w:pos="6540"/>
        </w:tabs>
        <w:spacing w:line="360" w:lineRule="auto"/>
        <w:rPr>
          <w:rFonts w:ascii="Arial" w:hAnsi="Arial" w:cs="Arial"/>
          <w:sz w:val="28"/>
          <w:szCs w:val="28"/>
        </w:rPr>
      </w:pPr>
    </w:p>
    <w:p w14:paraId="6C6F2C32" w14:textId="3E1E49A7" w:rsidR="00A039C0" w:rsidRPr="00CD33A8" w:rsidRDefault="00A039C0" w:rsidP="00CD33A8">
      <w:pPr>
        <w:tabs>
          <w:tab w:val="left" w:pos="6540"/>
        </w:tabs>
        <w:spacing w:line="360" w:lineRule="auto"/>
        <w:rPr>
          <w:rFonts w:ascii="Arial" w:hAnsi="Arial" w:cs="Arial"/>
          <w:sz w:val="28"/>
          <w:szCs w:val="28"/>
        </w:rPr>
      </w:pPr>
      <w:r>
        <w:rPr>
          <w:rFonts w:ascii="Arial" w:hAnsi="Arial" w:cs="Arial"/>
          <w:sz w:val="28"/>
          <w:szCs w:val="28"/>
        </w:rPr>
        <w:t>Written report for Diabetes Type 1</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E901AB">
      <w:pPr>
        <w:pStyle w:val="Heading1"/>
      </w:pPr>
      <w:r w:rsidRPr="00CD33A8">
        <w:lastRenderedPageBreak/>
        <w:t>Table of contents</w:t>
      </w:r>
    </w:p>
    <w:p w14:paraId="11FBEA1F" w14:textId="16C66864" w:rsidR="00DD7A31" w:rsidRDefault="00DD7A31" w:rsidP="00DD7A31">
      <w:pPr>
        <w:pStyle w:val="ListParagraph"/>
        <w:numPr>
          <w:ilvl w:val="0"/>
          <w:numId w:val="2"/>
        </w:numPr>
      </w:pPr>
      <w:r>
        <w:t>Introduction</w:t>
      </w:r>
    </w:p>
    <w:p w14:paraId="06CC341B" w14:textId="338F1A64" w:rsidR="00DD7A31" w:rsidRDefault="00D36EDA" w:rsidP="00DD7A31">
      <w:pPr>
        <w:pStyle w:val="ListParagraph"/>
        <w:numPr>
          <w:ilvl w:val="0"/>
          <w:numId w:val="2"/>
        </w:numPr>
      </w:pPr>
      <w:r>
        <w:t>Main Body</w:t>
      </w:r>
    </w:p>
    <w:p w14:paraId="197990BA" w14:textId="57581729" w:rsidR="00D36EDA" w:rsidRDefault="00D36EDA" w:rsidP="00DD7A31">
      <w:pPr>
        <w:pStyle w:val="ListParagraph"/>
        <w:numPr>
          <w:ilvl w:val="0"/>
          <w:numId w:val="2"/>
        </w:numPr>
      </w:pPr>
      <w:r>
        <w:t>How Type 1 Diabetes is Controlled</w:t>
      </w:r>
    </w:p>
    <w:p w14:paraId="09D9C81C" w14:textId="26E710E1" w:rsidR="00D36EDA" w:rsidRPr="00D36EDA" w:rsidRDefault="00D36EDA" w:rsidP="00DD7A31">
      <w:pPr>
        <w:pStyle w:val="ListParagraph"/>
        <w:numPr>
          <w:ilvl w:val="0"/>
          <w:numId w:val="2"/>
        </w:numPr>
      </w:pPr>
      <w:r>
        <w:rPr>
          <w:rFonts w:ascii="Arial" w:hAnsi="Arial" w:cs="Arial"/>
          <w:sz w:val="22"/>
        </w:rPr>
        <w:t>C</w:t>
      </w:r>
      <w:r w:rsidRPr="0058089A">
        <w:rPr>
          <w:rFonts w:ascii="Arial" w:hAnsi="Arial" w:cs="Arial"/>
          <w:sz w:val="22"/>
        </w:rPr>
        <w:t>onsequences of Type 1 Diabetes on People in the Community</w:t>
      </w:r>
    </w:p>
    <w:p w14:paraId="72F268EC" w14:textId="7C924A65" w:rsidR="00D36EDA" w:rsidRPr="00D36EDA" w:rsidRDefault="00D36EDA" w:rsidP="00DD7A31">
      <w:pPr>
        <w:pStyle w:val="ListParagraph"/>
        <w:numPr>
          <w:ilvl w:val="0"/>
          <w:numId w:val="2"/>
        </w:numPr>
      </w:pPr>
      <w:r>
        <w:rPr>
          <w:rFonts w:ascii="Arial" w:hAnsi="Arial" w:cs="Arial"/>
          <w:sz w:val="22"/>
        </w:rPr>
        <w:t>Conclusion</w:t>
      </w:r>
    </w:p>
    <w:p w14:paraId="277E7087" w14:textId="0B4BE449" w:rsidR="00D36EDA" w:rsidRPr="00DD7A31" w:rsidRDefault="00D36EDA" w:rsidP="00DD7A31">
      <w:pPr>
        <w:pStyle w:val="ListParagraph"/>
        <w:numPr>
          <w:ilvl w:val="0"/>
          <w:numId w:val="2"/>
        </w:numPr>
      </w:pPr>
      <w:r>
        <w:rPr>
          <w:rFonts w:ascii="Arial" w:hAnsi="Arial" w:cs="Arial"/>
          <w:sz w:val="22"/>
        </w:rPr>
        <w:t>References</w:t>
      </w:r>
    </w:p>
    <w:p w14:paraId="14118240" w14:textId="77777777" w:rsidR="00471651" w:rsidRDefault="00471651" w:rsidP="00471651"/>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58089A" w:rsidRDefault="00B87E75" w:rsidP="00E901AB">
      <w:pPr>
        <w:pStyle w:val="Heading1"/>
        <w:rPr>
          <w:rFonts w:cs="Arial"/>
        </w:rPr>
      </w:pPr>
      <w:r w:rsidRPr="0058089A">
        <w:rPr>
          <w:rFonts w:cs="Arial"/>
        </w:rPr>
        <w:lastRenderedPageBreak/>
        <w:t>1. Introduction</w:t>
      </w:r>
    </w:p>
    <w:p w14:paraId="51B7B9B3" w14:textId="690D6754" w:rsidR="00127598" w:rsidRPr="00ED3E05" w:rsidRDefault="001142FA" w:rsidP="005A1C08">
      <w:pPr>
        <w:rPr>
          <w:rFonts w:ascii="Arial" w:hAnsi="Arial" w:cs="Arial"/>
          <w:sz w:val="22"/>
        </w:rPr>
      </w:pPr>
      <w:r w:rsidRPr="00ED3E05">
        <w:rPr>
          <w:rFonts w:ascii="Arial" w:hAnsi="Arial" w:cs="Arial"/>
          <w:sz w:val="22"/>
        </w:rPr>
        <w:t>Type 1 diabetes is a</w:t>
      </w:r>
      <w:r w:rsidR="00BF358B" w:rsidRPr="00ED3E05">
        <w:rPr>
          <w:rFonts w:ascii="Arial" w:hAnsi="Arial" w:cs="Arial"/>
          <w:sz w:val="22"/>
        </w:rPr>
        <w:t>n</w:t>
      </w:r>
      <w:r w:rsidRPr="00ED3E05">
        <w:rPr>
          <w:rFonts w:ascii="Arial" w:hAnsi="Arial" w:cs="Arial"/>
          <w:sz w:val="22"/>
        </w:rPr>
        <w:t xml:space="preserve"> autoimmune condition </w:t>
      </w:r>
      <w:r w:rsidR="009B2719" w:rsidRPr="00ED3E05">
        <w:rPr>
          <w:rFonts w:ascii="Arial" w:hAnsi="Arial" w:cs="Arial"/>
          <w:sz w:val="22"/>
        </w:rPr>
        <w:t xml:space="preserve">that occurs when the </w:t>
      </w:r>
      <w:r w:rsidR="00ED3E05" w:rsidRPr="00ED3E05">
        <w:rPr>
          <w:rFonts w:ascii="Arial" w:hAnsi="Arial" w:cs="Arial"/>
          <w:sz w:val="22"/>
        </w:rPr>
        <w:t>body’s</w:t>
      </w:r>
      <w:r w:rsidR="009B2719" w:rsidRPr="00ED3E05">
        <w:rPr>
          <w:rFonts w:ascii="Arial" w:hAnsi="Arial" w:cs="Arial"/>
          <w:sz w:val="22"/>
        </w:rPr>
        <w:t xml:space="preserve"> </w:t>
      </w:r>
      <w:r w:rsidR="00ED3E05" w:rsidRPr="00ED3E05">
        <w:rPr>
          <w:rFonts w:ascii="Arial" w:hAnsi="Arial" w:cs="Arial"/>
          <w:sz w:val="22"/>
        </w:rPr>
        <w:t>immune</w:t>
      </w:r>
      <w:r w:rsidR="009B2719" w:rsidRPr="00ED3E05">
        <w:rPr>
          <w:rFonts w:ascii="Arial" w:hAnsi="Arial" w:cs="Arial"/>
          <w:sz w:val="22"/>
        </w:rPr>
        <w:t xml:space="preserve"> system </w:t>
      </w:r>
      <w:r w:rsidR="00CA0689" w:rsidRPr="00ED3E05">
        <w:rPr>
          <w:rFonts w:ascii="Arial" w:hAnsi="Arial" w:cs="Arial"/>
          <w:sz w:val="22"/>
        </w:rPr>
        <w:t xml:space="preserve">attacks and destroys the insulin-producing beta cells within the </w:t>
      </w:r>
      <w:r w:rsidR="00ED3E05" w:rsidRPr="00ED3E05">
        <w:rPr>
          <w:rFonts w:ascii="Arial" w:hAnsi="Arial" w:cs="Arial"/>
          <w:sz w:val="22"/>
        </w:rPr>
        <w:t>pancreas. As</w:t>
      </w:r>
      <w:r w:rsidR="00265717" w:rsidRPr="00ED3E05">
        <w:rPr>
          <w:rFonts w:ascii="Arial" w:hAnsi="Arial" w:cs="Arial"/>
          <w:sz w:val="22"/>
        </w:rPr>
        <w:t xml:space="preserve"> a </w:t>
      </w:r>
      <w:r w:rsidR="00ED3E05" w:rsidRPr="00ED3E05">
        <w:rPr>
          <w:rFonts w:ascii="Arial" w:hAnsi="Arial" w:cs="Arial"/>
          <w:sz w:val="22"/>
        </w:rPr>
        <w:t>result,</w:t>
      </w:r>
      <w:r w:rsidR="00265717" w:rsidRPr="00ED3E05">
        <w:rPr>
          <w:rFonts w:ascii="Arial" w:hAnsi="Arial" w:cs="Arial"/>
          <w:sz w:val="22"/>
        </w:rPr>
        <w:t xml:space="preserve"> the body is unable </w:t>
      </w:r>
      <w:r w:rsidR="00E822EC" w:rsidRPr="00ED3E05">
        <w:rPr>
          <w:rFonts w:ascii="Arial" w:hAnsi="Arial" w:cs="Arial"/>
          <w:sz w:val="22"/>
        </w:rPr>
        <w:t xml:space="preserve">to produce sufficient </w:t>
      </w:r>
      <w:r w:rsidRPr="00ED3E05">
        <w:rPr>
          <w:rFonts w:ascii="Arial" w:hAnsi="Arial" w:cs="Arial"/>
          <w:sz w:val="22"/>
        </w:rPr>
        <w:t>Insulin</w:t>
      </w:r>
      <w:r w:rsidR="00E822EC" w:rsidRPr="00ED3E05">
        <w:rPr>
          <w:rFonts w:ascii="Arial" w:hAnsi="Arial" w:cs="Arial"/>
          <w:sz w:val="22"/>
        </w:rPr>
        <w:t xml:space="preserve"> to regulate</w:t>
      </w:r>
      <w:r w:rsidR="00142AEF" w:rsidRPr="00ED3E05">
        <w:rPr>
          <w:rFonts w:ascii="Arial" w:hAnsi="Arial" w:cs="Arial"/>
          <w:sz w:val="22"/>
        </w:rPr>
        <w:t xml:space="preserve"> blood glucose levels, meaning that people with the condition</w:t>
      </w:r>
      <w:r w:rsidR="00962B3E" w:rsidRPr="00ED3E05">
        <w:rPr>
          <w:rFonts w:ascii="Arial" w:hAnsi="Arial" w:cs="Arial"/>
          <w:sz w:val="22"/>
        </w:rPr>
        <w:t xml:space="preserve"> require </w:t>
      </w:r>
      <w:r w:rsidR="00ED3E05" w:rsidRPr="00ED3E05">
        <w:rPr>
          <w:rFonts w:ascii="Arial" w:hAnsi="Arial" w:cs="Arial"/>
          <w:sz w:val="22"/>
        </w:rPr>
        <w:t>insulin replacement</w:t>
      </w:r>
      <w:r w:rsidR="00962B3E" w:rsidRPr="00ED3E05">
        <w:rPr>
          <w:rFonts w:ascii="Arial" w:hAnsi="Arial" w:cs="Arial"/>
          <w:sz w:val="22"/>
        </w:rPr>
        <w:t xml:space="preserve"> to remain </w:t>
      </w:r>
      <w:r w:rsidR="005A0EFF" w:rsidRPr="00ED3E05">
        <w:rPr>
          <w:rFonts w:ascii="Arial" w:hAnsi="Arial" w:cs="Arial"/>
          <w:sz w:val="22"/>
        </w:rPr>
        <w:t>healthy. (</w:t>
      </w:r>
      <w:r w:rsidR="002E55A8" w:rsidRPr="00ED3E05">
        <w:rPr>
          <w:rFonts w:ascii="Arial" w:hAnsi="Arial" w:cs="Arial"/>
          <w:sz w:val="22"/>
        </w:rPr>
        <w:t>NHS,2024).</w:t>
      </w:r>
      <w:r w:rsidRPr="00ED3E05">
        <w:rPr>
          <w:rFonts w:ascii="Arial" w:hAnsi="Arial" w:cs="Arial"/>
          <w:sz w:val="22"/>
        </w:rPr>
        <w:t xml:space="preserve"> </w:t>
      </w:r>
      <w:r w:rsidR="00127598" w:rsidRPr="00ED3E05">
        <w:rPr>
          <w:rFonts w:ascii="Arial" w:hAnsi="Arial" w:cs="Arial"/>
          <w:sz w:val="22"/>
        </w:rPr>
        <w:t>Although Type 1 diabetes is most frequently diagnosed during childhood or the teenage years, increasing numbers of adults are now developing the condition later in life (Diabetes UK, 2023). Early indicators often include intense thirst, frequent urination, unexpected weight loss, tiredness, and changes in vision. If blood glucose becomes dangerously high and remains untreated, individuals may develop diabetic ketoacidosis (DKA), a severe and potentially fatal complication that requires urgent medical intervention (WHO, 2023).</w:t>
      </w:r>
    </w:p>
    <w:p w14:paraId="4FB10B4C" w14:textId="77777777" w:rsidR="001142FA" w:rsidRPr="0058089A" w:rsidRDefault="001142FA" w:rsidP="001142FA">
      <w:pPr>
        <w:tabs>
          <w:tab w:val="left" w:pos="6540"/>
        </w:tabs>
        <w:spacing w:line="360" w:lineRule="auto"/>
        <w:rPr>
          <w:rFonts w:ascii="Arial" w:hAnsi="Arial" w:cs="Arial"/>
          <w:sz w:val="22"/>
        </w:rPr>
      </w:pPr>
      <w:r w:rsidRPr="0058089A">
        <w:rPr>
          <w:rFonts w:ascii="Arial" w:hAnsi="Arial" w:cs="Arial"/>
          <w:sz w:val="22"/>
        </w:rPr>
        <w:t>Individuals living with Type 1 diabetes require coordinated health and social care support. This includes regular monitoring by GPs, endocrinologists, diabetes specialist nurses, dietitians, and mental health practitioners (NICE, 2022). Social care services may support children in school, adults in employment, and families managing daily routines. Education on insulin administration, carbohydrate counting, glucose monitoring, and emergency management is essential to promote independence and long</w:t>
      </w:r>
      <w:r w:rsidRPr="0058089A">
        <w:rPr>
          <w:rFonts w:ascii="Arial" w:hAnsi="Arial" w:cs="Arial"/>
          <w:sz w:val="22"/>
        </w:rPr>
        <w:noBreakHyphen/>
        <w:t>term wellbeing.</w:t>
      </w:r>
    </w:p>
    <w:p w14:paraId="68C53673" w14:textId="77777777" w:rsidR="008E3943" w:rsidRPr="0058089A" w:rsidRDefault="008E3943" w:rsidP="008E3943">
      <w:pPr>
        <w:tabs>
          <w:tab w:val="left" w:pos="6540"/>
        </w:tabs>
        <w:spacing w:line="360" w:lineRule="auto"/>
        <w:rPr>
          <w:rFonts w:ascii="Arial" w:hAnsi="Arial" w:cs="Arial"/>
          <w:sz w:val="22"/>
        </w:rPr>
      </w:pPr>
    </w:p>
    <w:p w14:paraId="52010A5E" w14:textId="77777777" w:rsidR="0026393A" w:rsidRPr="0058089A" w:rsidRDefault="0026393A" w:rsidP="00CD33A8">
      <w:pPr>
        <w:tabs>
          <w:tab w:val="left" w:pos="6540"/>
        </w:tabs>
        <w:spacing w:line="360" w:lineRule="auto"/>
        <w:rPr>
          <w:rFonts w:ascii="Arial" w:hAnsi="Arial" w:cs="Arial"/>
          <w:sz w:val="22"/>
        </w:rPr>
      </w:pPr>
    </w:p>
    <w:p w14:paraId="73B07562" w14:textId="49D3CB9D" w:rsidR="008E3943" w:rsidRPr="0058089A" w:rsidRDefault="0026393A" w:rsidP="00E901AB">
      <w:pPr>
        <w:pStyle w:val="Heading1"/>
        <w:rPr>
          <w:rFonts w:cs="Arial"/>
        </w:rPr>
      </w:pPr>
      <w:r w:rsidRPr="0058089A">
        <w:rPr>
          <w:rFonts w:cs="Arial"/>
        </w:rPr>
        <w:t>2.</w:t>
      </w:r>
      <w:r w:rsidR="001142FA" w:rsidRPr="0058089A">
        <w:rPr>
          <w:rFonts w:cs="Arial"/>
        </w:rPr>
        <w:t xml:space="preserve"> Main Body</w:t>
      </w:r>
    </w:p>
    <w:p w14:paraId="25388B0D" w14:textId="77777777" w:rsidR="001142FA" w:rsidRPr="0058089A" w:rsidRDefault="001142FA" w:rsidP="001142FA">
      <w:pPr>
        <w:rPr>
          <w:rFonts w:ascii="Arial" w:hAnsi="Arial" w:cs="Arial"/>
          <w:b/>
          <w:bCs/>
          <w:sz w:val="22"/>
        </w:rPr>
      </w:pPr>
      <w:r w:rsidRPr="0058089A">
        <w:rPr>
          <w:rFonts w:ascii="Arial" w:hAnsi="Arial" w:cs="Arial"/>
          <w:b/>
          <w:bCs/>
          <w:sz w:val="22"/>
        </w:rPr>
        <w:t>Approaches Used to Measure and Monitor Type 1 Diabetes</w:t>
      </w:r>
    </w:p>
    <w:p w14:paraId="053B451F" w14:textId="22154724" w:rsidR="001142FA" w:rsidRPr="0058089A" w:rsidRDefault="001142FA" w:rsidP="001142FA">
      <w:pPr>
        <w:rPr>
          <w:rFonts w:ascii="Arial" w:hAnsi="Arial" w:cs="Arial"/>
          <w:sz w:val="22"/>
        </w:rPr>
      </w:pPr>
      <w:r w:rsidRPr="0058089A">
        <w:rPr>
          <w:rFonts w:ascii="Arial" w:hAnsi="Arial" w:cs="Arial"/>
          <w:sz w:val="22"/>
        </w:rPr>
        <w:t>Monitoring Type 1 diabetes is essential for preventing complications, maintaining metabolic stability, and supporting individuals to live healthy, independent lives</w:t>
      </w:r>
      <w:r w:rsidR="00E901AB" w:rsidRPr="0058089A">
        <w:rPr>
          <w:rFonts w:ascii="Arial" w:hAnsi="Arial" w:cs="Arial"/>
          <w:sz w:val="22"/>
        </w:rPr>
        <w:t xml:space="preserve"> (NICE, 2022)</w:t>
      </w:r>
      <w:r w:rsidRPr="0058089A">
        <w:rPr>
          <w:rFonts w:ascii="Arial" w:hAnsi="Arial" w:cs="Arial"/>
          <w:sz w:val="22"/>
        </w:rPr>
        <w:t>. Several clinical and technological approaches are used to measure and monitor the condition.</w:t>
      </w:r>
    </w:p>
    <w:p w14:paraId="24B23E5D" w14:textId="0F87D92A" w:rsidR="001142FA" w:rsidRPr="0058089A" w:rsidRDefault="001142FA" w:rsidP="001142FA">
      <w:pPr>
        <w:rPr>
          <w:rFonts w:ascii="Arial" w:hAnsi="Arial" w:cs="Arial"/>
          <w:sz w:val="22"/>
        </w:rPr>
      </w:pPr>
      <w:r w:rsidRPr="0058089A">
        <w:rPr>
          <w:rFonts w:ascii="Arial" w:hAnsi="Arial" w:cs="Arial"/>
          <w:b/>
          <w:bCs/>
          <w:sz w:val="22"/>
        </w:rPr>
        <w:t>Blood Glucose Monitoring (BGM)</w:t>
      </w:r>
      <w:r w:rsidRPr="0058089A">
        <w:rPr>
          <w:rFonts w:ascii="Arial" w:hAnsi="Arial" w:cs="Arial"/>
          <w:sz w:val="22"/>
        </w:rPr>
        <w:t xml:space="preserve"> </w:t>
      </w:r>
      <w:r w:rsidR="0058089A" w:rsidRPr="0058089A">
        <w:rPr>
          <w:rFonts w:ascii="Arial" w:hAnsi="Arial" w:cs="Arial"/>
          <w:sz w:val="22"/>
        </w:rPr>
        <w:t>-</w:t>
      </w:r>
      <w:r w:rsidRPr="0058089A">
        <w:rPr>
          <w:rFonts w:ascii="Arial" w:hAnsi="Arial" w:cs="Arial"/>
          <w:sz w:val="22"/>
        </w:rPr>
        <w:t>Traditional blood glucose monitoring involves using a finger</w:t>
      </w:r>
      <w:r w:rsidRPr="0058089A">
        <w:rPr>
          <w:rFonts w:ascii="Arial" w:hAnsi="Arial" w:cs="Arial"/>
          <w:sz w:val="22"/>
        </w:rPr>
        <w:noBreakHyphen/>
        <w:t>prick test to measure capillary blood glucose levels</w:t>
      </w:r>
      <w:r w:rsidR="00E901AB" w:rsidRPr="0058089A">
        <w:rPr>
          <w:rFonts w:ascii="Arial" w:hAnsi="Arial" w:cs="Arial"/>
          <w:sz w:val="22"/>
        </w:rPr>
        <w:t xml:space="preserve"> (NHS, 2024)</w:t>
      </w:r>
      <w:r w:rsidRPr="0058089A">
        <w:rPr>
          <w:rFonts w:ascii="Arial" w:hAnsi="Arial" w:cs="Arial"/>
          <w:sz w:val="22"/>
        </w:rPr>
        <w:t>. Individuals typically check their glucose multiple times per day, especially before meals, before bed, and during illness or physical activity. BGM provides immediate readings that guide insulin dosing and dietary decisions. Although effective, it offers only “snapshot” data, meaning fluctuations between tests may go unnoticed.</w:t>
      </w:r>
      <w:r w:rsidR="00E901AB" w:rsidRPr="0058089A">
        <w:rPr>
          <w:rFonts w:ascii="Arial" w:hAnsi="Arial" w:cs="Arial"/>
          <w:sz w:val="22"/>
        </w:rPr>
        <w:t xml:space="preserve"> (DCCT Research Group, 1993).</w:t>
      </w:r>
    </w:p>
    <w:p w14:paraId="394FBB08" w14:textId="46E9B9C0" w:rsidR="001142FA" w:rsidRPr="0058089A" w:rsidRDefault="001142FA" w:rsidP="001142FA">
      <w:pPr>
        <w:rPr>
          <w:rFonts w:ascii="Arial" w:hAnsi="Arial" w:cs="Arial"/>
          <w:sz w:val="22"/>
        </w:rPr>
      </w:pPr>
      <w:r w:rsidRPr="0058089A">
        <w:rPr>
          <w:rFonts w:ascii="Arial" w:hAnsi="Arial" w:cs="Arial"/>
          <w:b/>
          <w:bCs/>
          <w:sz w:val="22"/>
        </w:rPr>
        <w:t>Continuous Glucose Monitoring (CGM)</w:t>
      </w:r>
      <w:r w:rsidRPr="0058089A">
        <w:rPr>
          <w:rFonts w:ascii="Arial" w:hAnsi="Arial" w:cs="Arial"/>
          <w:sz w:val="22"/>
        </w:rPr>
        <w:t xml:space="preserve"> </w:t>
      </w:r>
      <w:r w:rsidR="0058089A" w:rsidRPr="0058089A">
        <w:rPr>
          <w:rFonts w:ascii="Arial" w:hAnsi="Arial" w:cs="Arial"/>
          <w:sz w:val="22"/>
        </w:rPr>
        <w:t xml:space="preserve">- </w:t>
      </w:r>
      <w:r w:rsidRPr="0058089A">
        <w:rPr>
          <w:rFonts w:ascii="Arial" w:hAnsi="Arial" w:cs="Arial"/>
          <w:sz w:val="22"/>
        </w:rPr>
        <w:t xml:space="preserve">CGM systems use a small sensor inserted under the skin to measure interstitial glucose levels </w:t>
      </w:r>
      <w:r w:rsidR="00E901AB" w:rsidRPr="0058089A">
        <w:rPr>
          <w:rFonts w:ascii="Arial" w:hAnsi="Arial" w:cs="Arial"/>
          <w:sz w:val="22"/>
        </w:rPr>
        <w:t>continuously (</w:t>
      </w:r>
      <w:proofErr w:type="spellStart"/>
      <w:r w:rsidR="00E901AB" w:rsidRPr="0058089A">
        <w:rPr>
          <w:rFonts w:ascii="Arial" w:hAnsi="Arial" w:cs="Arial"/>
          <w:sz w:val="22"/>
        </w:rPr>
        <w:t>Battelino</w:t>
      </w:r>
      <w:proofErr w:type="spellEnd"/>
      <w:r w:rsidR="00E901AB" w:rsidRPr="0058089A">
        <w:rPr>
          <w:rFonts w:ascii="Arial" w:hAnsi="Arial" w:cs="Arial"/>
          <w:sz w:val="22"/>
        </w:rPr>
        <w:t xml:space="preserve"> et al., 2019).</w:t>
      </w:r>
      <w:r w:rsidRPr="0058089A">
        <w:rPr>
          <w:rFonts w:ascii="Arial" w:hAnsi="Arial" w:cs="Arial"/>
          <w:sz w:val="22"/>
        </w:rPr>
        <w:t xml:space="preserve"> Devices such as the Dexcom G6 or Freestyle Libre provide real</w:t>
      </w:r>
      <w:r w:rsidRPr="0058089A">
        <w:rPr>
          <w:rFonts w:ascii="Arial" w:hAnsi="Arial" w:cs="Arial"/>
          <w:sz w:val="22"/>
        </w:rPr>
        <w:noBreakHyphen/>
        <w:t>time glucose readings, trend arrows, and alerts for high or low glucose levels. CGM significantly improves safety by reducing episodes of hypoglycaemia and hyperglycaemia. It also supports long</w:t>
      </w:r>
      <w:r w:rsidRPr="0058089A">
        <w:rPr>
          <w:rFonts w:ascii="Arial" w:hAnsi="Arial" w:cs="Arial"/>
          <w:sz w:val="22"/>
        </w:rPr>
        <w:noBreakHyphen/>
        <w:t>term management by providing detailed data that clinicians can analyse to adjust treatment plans.</w:t>
      </w:r>
    </w:p>
    <w:p w14:paraId="48A35B9E" w14:textId="77777777" w:rsidR="001D3B35" w:rsidRPr="0058089A" w:rsidRDefault="001D3B35" w:rsidP="001142FA">
      <w:pPr>
        <w:rPr>
          <w:rFonts w:ascii="Arial" w:hAnsi="Arial" w:cs="Arial"/>
          <w:sz w:val="22"/>
        </w:rPr>
      </w:pPr>
      <w:r w:rsidRPr="0058089A">
        <w:rPr>
          <w:rFonts w:ascii="Arial" w:hAnsi="Arial" w:cs="Arial"/>
          <w:sz w:val="22"/>
        </w:rPr>
        <w:t>HbA1c testing is used to assess long</w:t>
      </w:r>
      <w:r w:rsidRPr="0058089A">
        <w:rPr>
          <w:rFonts w:ascii="Arial" w:hAnsi="Arial" w:cs="Arial"/>
          <w:sz w:val="22"/>
        </w:rPr>
        <w:noBreakHyphen/>
        <w:t xml:space="preserve">term blood glucose control by analysing the proportion of glycated haemoglobin in the blood, reflecting average glucose levels over roughly the past two to three months (NICE, 2022). It is considered one of the most reliable indicators of how well Type 1 diabetes is being managed over time. For many individuals, maintaining an HbA1c reading below 48 mmol/mol (6.5%) is associated with reduced risk of complications, although recommended targets may differ depending on factors such as age, lifestyle, and </w:t>
      </w:r>
      <w:r w:rsidRPr="0058089A">
        <w:rPr>
          <w:rFonts w:ascii="Arial" w:hAnsi="Arial" w:cs="Arial"/>
          <w:sz w:val="22"/>
        </w:rPr>
        <w:lastRenderedPageBreak/>
        <w:t>co</w:t>
      </w:r>
      <w:r w:rsidRPr="0058089A">
        <w:rPr>
          <w:rFonts w:ascii="Arial" w:hAnsi="Arial" w:cs="Arial"/>
          <w:sz w:val="22"/>
        </w:rPr>
        <w:noBreakHyphen/>
        <w:t>existing health conditions. Health professionals typically carry out HbA1c tests every three to six months in both primary and specialist care settings to monitor trends and adjust treatment plans where necessary. Evidence from long</w:t>
      </w:r>
      <w:r w:rsidRPr="0058089A">
        <w:rPr>
          <w:rFonts w:ascii="Arial" w:hAnsi="Arial" w:cs="Arial"/>
          <w:sz w:val="22"/>
        </w:rPr>
        <w:noBreakHyphen/>
        <w:t>term clinical studies highlights the strong link between HbA1c levels and the development of diabetes</w:t>
      </w:r>
      <w:r w:rsidRPr="0058089A">
        <w:rPr>
          <w:rFonts w:ascii="Arial" w:hAnsi="Arial" w:cs="Arial"/>
          <w:sz w:val="22"/>
        </w:rPr>
        <w:noBreakHyphen/>
        <w:t>related complications, reinforcing its importance in routine monitoring (DCCT Research Group, 1993).</w:t>
      </w:r>
    </w:p>
    <w:p w14:paraId="76C26B72" w14:textId="59CB059C" w:rsidR="001142FA" w:rsidRPr="0058089A" w:rsidRDefault="001142FA" w:rsidP="001142FA">
      <w:pPr>
        <w:rPr>
          <w:rFonts w:ascii="Arial" w:hAnsi="Arial" w:cs="Arial"/>
          <w:sz w:val="22"/>
        </w:rPr>
      </w:pPr>
      <w:r w:rsidRPr="0058089A">
        <w:rPr>
          <w:rFonts w:ascii="Arial" w:hAnsi="Arial" w:cs="Arial"/>
          <w:b/>
          <w:bCs/>
          <w:sz w:val="22"/>
        </w:rPr>
        <w:t>Ketone Monitoring</w:t>
      </w:r>
      <w:r w:rsidR="0058089A" w:rsidRPr="0058089A">
        <w:rPr>
          <w:rFonts w:ascii="Arial" w:hAnsi="Arial" w:cs="Arial"/>
          <w:b/>
          <w:bCs/>
          <w:sz w:val="22"/>
        </w:rPr>
        <w:t xml:space="preserve"> </w:t>
      </w:r>
      <w:r w:rsidR="00C650DF" w:rsidRPr="0058089A">
        <w:rPr>
          <w:rFonts w:ascii="Arial" w:hAnsi="Arial" w:cs="Arial"/>
          <w:b/>
          <w:bCs/>
          <w:sz w:val="22"/>
        </w:rPr>
        <w:t xml:space="preserve">- </w:t>
      </w:r>
      <w:r w:rsidR="00C650DF" w:rsidRPr="0058089A">
        <w:rPr>
          <w:rFonts w:ascii="Arial" w:hAnsi="Arial" w:cs="Arial"/>
          <w:sz w:val="22"/>
        </w:rPr>
        <w:t>Ketone</w:t>
      </w:r>
      <w:r w:rsidRPr="0058089A">
        <w:rPr>
          <w:rFonts w:ascii="Arial" w:hAnsi="Arial" w:cs="Arial"/>
          <w:sz w:val="22"/>
        </w:rPr>
        <w:t xml:space="preserve"> testing is essential for preventing diabetic ketoacidosis (DKA). Individuals may test ketones during illness, persistent high glucose readings, or symptoms such as nausea or abdominal pain.</w:t>
      </w:r>
      <w:r w:rsidR="00E901AB" w:rsidRPr="0058089A">
        <w:rPr>
          <w:rFonts w:ascii="Arial" w:hAnsi="Arial" w:cs="Arial"/>
          <w:sz w:val="22"/>
        </w:rPr>
        <w:t xml:space="preserve"> (NHS, 2024).</w:t>
      </w:r>
      <w:r w:rsidRPr="0058089A">
        <w:rPr>
          <w:rFonts w:ascii="Arial" w:hAnsi="Arial" w:cs="Arial"/>
          <w:sz w:val="22"/>
        </w:rPr>
        <w:t xml:space="preserve"> Ketones can be measured using urine strips or blood ketone meters. Early detection allows for rapid intervention, reducing hospital admissions and preventing life</w:t>
      </w:r>
      <w:r w:rsidRPr="0058089A">
        <w:rPr>
          <w:rFonts w:ascii="Arial" w:hAnsi="Arial" w:cs="Arial"/>
          <w:sz w:val="22"/>
        </w:rPr>
        <w:noBreakHyphen/>
        <w:t>threatening complications.</w:t>
      </w:r>
    </w:p>
    <w:p w14:paraId="3398AF2B" w14:textId="50A5695F" w:rsidR="008E3943" w:rsidRPr="0058089A" w:rsidRDefault="001142FA" w:rsidP="00E901AB">
      <w:pPr>
        <w:rPr>
          <w:rFonts w:ascii="Arial" w:hAnsi="Arial" w:cs="Arial"/>
          <w:sz w:val="22"/>
        </w:rPr>
      </w:pPr>
      <w:r w:rsidRPr="0058089A">
        <w:rPr>
          <w:rFonts w:ascii="Arial" w:hAnsi="Arial" w:cs="Arial"/>
          <w:b/>
          <w:bCs/>
          <w:sz w:val="22"/>
        </w:rPr>
        <w:t>Insulin Pump and Hybrid Closed</w:t>
      </w:r>
      <w:r w:rsidRPr="0058089A">
        <w:rPr>
          <w:rFonts w:ascii="Arial" w:hAnsi="Arial" w:cs="Arial"/>
          <w:b/>
          <w:bCs/>
          <w:sz w:val="22"/>
        </w:rPr>
        <w:noBreakHyphen/>
        <w:t>Loop System Monitoring</w:t>
      </w:r>
      <w:r w:rsidRPr="0058089A">
        <w:rPr>
          <w:rFonts w:ascii="Arial" w:hAnsi="Arial" w:cs="Arial"/>
          <w:sz w:val="22"/>
        </w:rPr>
        <w:t xml:space="preserve"> </w:t>
      </w:r>
      <w:r w:rsidR="0058089A" w:rsidRPr="0058089A">
        <w:rPr>
          <w:rFonts w:ascii="Arial" w:hAnsi="Arial" w:cs="Arial"/>
          <w:sz w:val="22"/>
        </w:rPr>
        <w:t xml:space="preserve">- </w:t>
      </w:r>
      <w:r w:rsidRPr="0058089A">
        <w:rPr>
          <w:rFonts w:ascii="Arial" w:hAnsi="Arial" w:cs="Arial"/>
          <w:sz w:val="22"/>
        </w:rPr>
        <w:t>Insulin pumps deliver insulin continuously and can be paired with CGM systems to create hybrid closed</w:t>
      </w:r>
      <w:r w:rsidRPr="0058089A">
        <w:rPr>
          <w:rFonts w:ascii="Arial" w:hAnsi="Arial" w:cs="Arial"/>
          <w:sz w:val="22"/>
        </w:rPr>
        <w:noBreakHyphen/>
        <w:t xml:space="preserve">loop systems (also known as “artificial pancreas” </w:t>
      </w:r>
      <w:r w:rsidR="00E901AB" w:rsidRPr="0058089A">
        <w:rPr>
          <w:rFonts w:ascii="Arial" w:hAnsi="Arial" w:cs="Arial"/>
          <w:sz w:val="22"/>
        </w:rPr>
        <w:t>technology (</w:t>
      </w:r>
      <w:proofErr w:type="spellStart"/>
      <w:r w:rsidR="00E901AB" w:rsidRPr="0058089A">
        <w:rPr>
          <w:rFonts w:ascii="Arial" w:hAnsi="Arial" w:cs="Arial"/>
          <w:sz w:val="22"/>
        </w:rPr>
        <w:t>Bekiari</w:t>
      </w:r>
      <w:proofErr w:type="spellEnd"/>
      <w:r w:rsidR="00E901AB" w:rsidRPr="0058089A">
        <w:rPr>
          <w:rFonts w:ascii="Arial" w:hAnsi="Arial" w:cs="Arial"/>
          <w:sz w:val="22"/>
        </w:rPr>
        <w:t xml:space="preserve"> et al., 2018).</w:t>
      </w:r>
      <w:r w:rsidRPr="0058089A">
        <w:rPr>
          <w:rFonts w:ascii="Arial" w:hAnsi="Arial" w:cs="Arial"/>
          <w:sz w:val="22"/>
        </w:rPr>
        <w:t>). These systems automatically adjust insulin delivery based on glucose readings. Monitoring involves reviewing pump data, insulin dosing patterns, and sensor accuracy. This approach significantly reduces the burden of self</w:t>
      </w:r>
      <w:r w:rsidRPr="0058089A">
        <w:rPr>
          <w:rFonts w:ascii="Arial" w:hAnsi="Arial" w:cs="Arial"/>
          <w:sz w:val="22"/>
        </w:rPr>
        <w:noBreakHyphen/>
        <w:t>management and improves glycaemic stability.</w:t>
      </w:r>
    </w:p>
    <w:p w14:paraId="4E22E9B3" w14:textId="77777777" w:rsidR="00E901AB" w:rsidRPr="0058089A" w:rsidRDefault="00E901AB" w:rsidP="00E901AB">
      <w:pPr>
        <w:pStyle w:val="Heading1"/>
        <w:rPr>
          <w:rFonts w:cs="Arial"/>
        </w:rPr>
      </w:pPr>
    </w:p>
    <w:p w14:paraId="51936E92" w14:textId="77777777" w:rsidR="00E901AB" w:rsidRPr="0058089A" w:rsidRDefault="00E901AB" w:rsidP="00E901AB">
      <w:pPr>
        <w:pStyle w:val="Heading1"/>
        <w:rPr>
          <w:rFonts w:cs="Arial"/>
        </w:rPr>
      </w:pPr>
    </w:p>
    <w:p w14:paraId="60B2CDC3" w14:textId="174B034C" w:rsidR="00B87E75" w:rsidRPr="0058089A" w:rsidRDefault="0026393A" w:rsidP="00E901AB">
      <w:pPr>
        <w:pStyle w:val="Heading1"/>
        <w:rPr>
          <w:rFonts w:cs="Arial"/>
        </w:rPr>
      </w:pPr>
      <w:r w:rsidRPr="0058089A">
        <w:rPr>
          <w:rFonts w:cs="Arial"/>
        </w:rPr>
        <w:t>3</w:t>
      </w:r>
      <w:r w:rsidR="00B87E75" w:rsidRPr="0058089A">
        <w:rPr>
          <w:rFonts w:cs="Arial"/>
        </w:rPr>
        <w:t>.</w:t>
      </w:r>
      <w:r w:rsidR="001142FA" w:rsidRPr="0058089A">
        <w:rPr>
          <w:rFonts w:cs="Arial"/>
        </w:rPr>
        <w:t>How Type 1 diabetes is controlled</w:t>
      </w:r>
    </w:p>
    <w:p w14:paraId="04AD4944" w14:textId="77777777" w:rsidR="00BD79A9" w:rsidRPr="0058089A" w:rsidRDefault="000F5D3F" w:rsidP="001142FA">
      <w:pPr>
        <w:rPr>
          <w:rFonts w:ascii="Arial" w:hAnsi="Arial" w:cs="Arial"/>
          <w:sz w:val="22"/>
        </w:rPr>
      </w:pPr>
      <w:r w:rsidRPr="0058089A">
        <w:rPr>
          <w:rFonts w:ascii="Arial" w:hAnsi="Arial" w:cs="Arial"/>
          <w:sz w:val="22"/>
        </w:rPr>
        <w:t>Type 1 diabetes has no cure, but the condition can be managed successfully through ongoing medical treatment, informed lifestyle choices, structured education, and consistent support from community</w:t>
      </w:r>
      <w:r w:rsidRPr="0058089A">
        <w:rPr>
          <w:rFonts w:ascii="Arial" w:hAnsi="Arial" w:cs="Arial"/>
          <w:sz w:val="22"/>
        </w:rPr>
        <w:noBreakHyphen/>
        <w:t>based services (NICE, 2022)</w:t>
      </w:r>
    </w:p>
    <w:p w14:paraId="10F8ECBA" w14:textId="1D9F55DA" w:rsidR="001142FA" w:rsidRPr="0058089A" w:rsidRDefault="001142FA" w:rsidP="001142FA">
      <w:pPr>
        <w:rPr>
          <w:rFonts w:ascii="Arial" w:hAnsi="Arial" w:cs="Arial"/>
          <w:sz w:val="22"/>
        </w:rPr>
      </w:pPr>
      <w:r w:rsidRPr="0058089A">
        <w:rPr>
          <w:rFonts w:ascii="Arial" w:hAnsi="Arial" w:cs="Arial"/>
          <w:sz w:val="22"/>
        </w:rPr>
        <w:t>Insulin Therapy Insulin therapy is the cornerstone of Type 1 diabetes management. Individuals may use multiple daily injections (MDI) or insulin pumps. MDI typically involves a basal insulin (long</w:t>
      </w:r>
      <w:r w:rsidRPr="0058089A">
        <w:rPr>
          <w:rFonts w:ascii="Arial" w:hAnsi="Arial" w:cs="Arial"/>
          <w:sz w:val="22"/>
        </w:rPr>
        <w:noBreakHyphen/>
        <w:t>acting) and bolus insulin (rapid</w:t>
      </w:r>
      <w:r w:rsidRPr="0058089A">
        <w:rPr>
          <w:rFonts w:ascii="Arial" w:hAnsi="Arial" w:cs="Arial"/>
          <w:sz w:val="22"/>
        </w:rPr>
        <w:noBreakHyphen/>
        <w:t>acting) taken before meals. Insulin pumps provide continuous insulin delivery and allow for precise adjustments.</w:t>
      </w:r>
      <w:r w:rsidR="00471651" w:rsidRPr="0058089A">
        <w:rPr>
          <w:rFonts w:ascii="Arial" w:hAnsi="Arial" w:cs="Arial"/>
          <w:sz w:val="22"/>
        </w:rPr>
        <w:t xml:space="preserve"> (NHS, 2024).</w:t>
      </w:r>
      <w:r w:rsidRPr="0058089A">
        <w:rPr>
          <w:rFonts w:ascii="Arial" w:hAnsi="Arial" w:cs="Arial"/>
          <w:sz w:val="22"/>
        </w:rPr>
        <w:t xml:space="preserve"> Effective insulin therapy requires careful carbohydrate counting, awareness of physical activity, and understanding of illness</w:t>
      </w:r>
      <w:r w:rsidRPr="0058089A">
        <w:rPr>
          <w:rFonts w:ascii="Arial" w:hAnsi="Arial" w:cs="Arial"/>
          <w:sz w:val="22"/>
        </w:rPr>
        <w:noBreakHyphen/>
        <w:t>related glucose changes.</w:t>
      </w:r>
    </w:p>
    <w:p w14:paraId="1ABF5B2C" w14:textId="3310DF0A" w:rsidR="001142FA" w:rsidRPr="0058089A" w:rsidRDefault="001142FA" w:rsidP="001142FA">
      <w:pPr>
        <w:rPr>
          <w:rFonts w:ascii="Arial" w:hAnsi="Arial" w:cs="Arial"/>
          <w:sz w:val="22"/>
        </w:rPr>
      </w:pPr>
      <w:r w:rsidRPr="0058089A">
        <w:rPr>
          <w:rFonts w:ascii="Arial" w:hAnsi="Arial" w:cs="Arial"/>
          <w:sz w:val="22"/>
        </w:rPr>
        <w:t>Diet and Nutrition Dietary management focuses on balancing carbohydrate intake with insulin dosing. Dietitians provide education on carbohydrate counting, glycaemic index, portion control, and healthy eating patterns.</w:t>
      </w:r>
      <w:r w:rsidR="00471651" w:rsidRPr="0058089A">
        <w:rPr>
          <w:rFonts w:ascii="Arial" w:hAnsi="Arial" w:cs="Arial"/>
          <w:sz w:val="22"/>
        </w:rPr>
        <w:t xml:space="preserve"> (Diabetes UK, 2023).</w:t>
      </w:r>
      <w:r w:rsidRPr="0058089A">
        <w:rPr>
          <w:rFonts w:ascii="Arial" w:hAnsi="Arial" w:cs="Arial"/>
          <w:sz w:val="22"/>
        </w:rPr>
        <w:t xml:space="preserve"> Consistent meal timing and balanced nutrition help stabilise glucose levels and reduce complications.</w:t>
      </w:r>
    </w:p>
    <w:p w14:paraId="4F715C8B" w14:textId="73B7D352" w:rsidR="001142FA" w:rsidRPr="0058089A" w:rsidRDefault="001142FA" w:rsidP="001142FA">
      <w:pPr>
        <w:rPr>
          <w:rFonts w:ascii="Arial" w:hAnsi="Arial" w:cs="Arial"/>
          <w:sz w:val="22"/>
        </w:rPr>
      </w:pPr>
      <w:r w:rsidRPr="0058089A">
        <w:rPr>
          <w:rFonts w:ascii="Arial" w:hAnsi="Arial" w:cs="Arial"/>
          <w:sz w:val="22"/>
        </w:rPr>
        <w:t>Physical Activity Exercise improves insulin sensitivity and overall health. However, it can cause unpredictable glucose fluctuations. Individuals are taught to adjust insulin doses and carbohydrate intake before, during, and after physical activity. Community sports programmes, school staff, and employers may support safe participation.</w:t>
      </w:r>
      <w:r w:rsidR="00471651" w:rsidRPr="0058089A">
        <w:rPr>
          <w:rFonts w:ascii="Arial" w:hAnsi="Arial" w:cs="Arial"/>
          <w:sz w:val="22"/>
        </w:rPr>
        <w:t xml:space="preserve"> (NHS, 2024).</w:t>
      </w:r>
    </w:p>
    <w:p w14:paraId="362DBD1E" w14:textId="745A85E2" w:rsidR="001142FA" w:rsidRPr="0058089A" w:rsidRDefault="001142FA" w:rsidP="001142FA">
      <w:pPr>
        <w:rPr>
          <w:rFonts w:ascii="Arial" w:hAnsi="Arial" w:cs="Arial"/>
          <w:sz w:val="22"/>
        </w:rPr>
      </w:pPr>
      <w:r w:rsidRPr="0058089A">
        <w:rPr>
          <w:rFonts w:ascii="Arial" w:hAnsi="Arial" w:cs="Arial"/>
          <w:sz w:val="22"/>
        </w:rPr>
        <w:t>Education and Self</w:t>
      </w:r>
      <w:r w:rsidRPr="0058089A">
        <w:rPr>
          <w:rFonts w:ascii="Arial" w:hAnsi="Arial" w:cs="Arial"/>
          <w:sz w:val="22"/>
        </w:rPr>
        <w:noBreakHyphen/>
        <w:t>Management</w:t>
      </w:r>
      <w:r w:rsidRPr="0058089A">
        <w:rPr>
          <w:rFonts w:ascii="Arial" w:hAnsi="Arial" w:cs="Arial"/>
          <w:b/>
          <w:bCs/>
          <w:sz w:val="22"/>
        </w:rPr>
        <w:t xml:space="preserve"> </w:t>
      </w:r>
      <w:r w:rsidRPr="0058089A">
        <w:rPr>
          <w:rFonts w:ascii="Arial" w:hAnsi="Arial" w:cs="Arial"/>
          <w:sz w:val="22"/>
        </w:rPr>
        <w:t>Training Structured education programmes such as DAFNE (Dose Adjustment for Normal Eating) teach individuals how to manage insulin, diet, exercise, and illness.</w:t>
      </w:r>
      <w:r w:rsidR="00471651" w:rsidRPr="0058089A">
        <w:rPr>
          <w:rFonts w:ascii="Arial" w:hAnsi="Arial" w:cs="Arial"/>
          <w:sz w:val="22"/>
        </w:rPr>
        <w:t xml:space="preserve"> (DAFNE Study Group, 2002)</w:t>
      </w:r>
      <w:r w:rsidRPr="0058089A">
        <w:rPr>
          <w:rFonts w:ascii="Arial" w:hAnsi="Arial" w:cs="Arial"/>
          <w:sz w:val="22"/>
        </w:rPr>
        <w:t xml:space="preserve"> Education empowers individuals to make informed decisions, reducing reliance on emergency services and improving long</w:t>
      </w:r>
      <w:r w:rsidRPr="0058089A">
        <w:rPr>
          <w:rFonts w:ascii="Arial" w:hAnsi="Arial" w:cs="Arial"/>
          <w:sz w:val="22"/>
        </w:rPr>
        <w:noBreakHyphen/>
        <w:t>term outcomes.</w:t>
      </w:r>
    </w:p>
    <w:p w14:paraId="47DC989D" w14:textId="13837EF4" w:rsidR="001142FA" w:rsidRPr="0058089A" w:rsidRDefault="001142FA" w:rsidP="001142FA">
      <w:pPr>
        <w:rPr>
          <w:rFonts w:ascii="Arial" w:hAnsi="Arial" w:cs="Arial"/>
          <w:sz w:val="22"/>
        </w:rPr>
      </w:pPr>
      <w:r w:rsidRPr="0058089A">
        <w:rPr>
          <w:rFonts w:ascii="Arial" w:hAnsi="Arial" w:cs="Arial"/>
          <w:sz w:val="22"/>
        </w:rPr>
        <w:t>Psychological Support Living with Type 1 diabetes can be emotionally demanding. Anxiety, burnout, and fear of hypoglycaemia are common.</w:t>
      </w:r>
      <w:r w:rsidR="00471651" w:rsidRPr="0058089A">
        <w:rPr>
          <w:rFonts w:ascii="Arial" w:hAnsi="Arial" w:cs="Arial"/>
          <w:sz w:val="22"/>
        </w:rPr>
        <w:t xml:space="preserve"> (Young</w:t>
      </w:r>
      <w:r w:rsidR="00471651" w:rsidRPr="0058089A">
        <w:rPr>
          <w:rFonts w:ascii="Arial" w:hAnsi="Arial" w:cs="Arial"/>
          <w:sz w:val="22"/>
        </w:rPr>
        <w:noBreakHyphen/>
        <w:t>Hyman et al., 2016)</w:t>
      </w:r>
      <w:r w:rsidRPr="0058089A">
        <w:rPr>
          <w:rFonts w:ascii="Arial" w:hAnsi="Arial" w:cs="Arial"/>
          <w:sz w:val="22"/>
        </w:rPr>
        <w:t xml:space="preserve"> Mental health </w:t>
      </w:r>
      <w:r w:rsidRPr="0058089A">
        <w:rPr>
          <w:rFonts w:ascii="Arial" w:hAnsi="Arial" w:cs="Arial"/>
          <w:sz w:val="22"/>
        </w:rPr>
        <w:lastRenderedPageBreak/>
        <w:t>professionals, counsellors, and peer support groups help individuals cope with the psychological impact. This is particularly important for children, adolescents, and families adjusting to lifelong management.</w:t>
      </w:r>
    </w:p>
    <w:p w14:paraId="3D3A9C74" w14:textId="40597E22" w:rsidR="001142FA" w:rsidRPr="0058089A" w:rsidRDefault="001142FA" w:rsidP="001142FA">
      <w:pPr>
        <w:rPr>
          <w:rFonts w:ascii="Arial" w:hAnsi="Arial" w:cs="Arial"/>
          <w:sz w:val="22"/>
        </w:rPr>
      </w:pPr>
      <w:r w:rsidRPr="0058089A">
        <w:rPr>
          <w:rFonts w:ascii="Arial" w:hAnsi="Arial" w:cs="Arial"/>
          <w:sz w:val="22"/>
        </w:rPr>
        <w:t xml:space="preserve">Community and Social Care Support Schools, workplaces, and community organisations play a vital role in supporting individuals with Type 1 diabetes. This may include care plans, emergency procedures, flexible working arrangements, and support with daily routines. </w:t>
      </w:r>
      <w:r w:rsidR="00471651" w:rsidRPr="0058089A">
        <w:rPr>
          <w:rFonts w:ascii="Arial" w:hAnsi="Arial" w:cs="Arial"/>
          <w:sz w:val="22"/>
        </w:rPr>
        <w:t xml:space="preserve">(NICE, 2022). </w:t>
      </w:r>
      <w:r w:rsidRPr="0058089A">
        <w:rPr>
          <w:rFonts w:ascii="Arial" w:hAnsi="Arial" w:cs="Arial"/>
          <w:sz w:val="22"/>
        </w:rPr>
        <w:t>Social workers may assist families facing financial or emotional challenges related to the condition.</w:t>
      </w:r>
    </w:p>
    <w:p w14:paraId="7E09E27F" w14:textId="6B0E387A" w:rsidR="001142FA" w:rsidRPr="0058089A" w:rsidRDefault="004A736E" w:rsidP="00E901AB">
      <w:pPr>
        <w:pStyle w:val="Heading1"/>
        <w:rPr>
          <w:rFonts w:cs="Arial"/>
        </w:rPr>
      </w:pPr>
      <w:r w:rsidRPr="0058089A">
        <w:rPr>
          <w:rFonts w:cs="Arial"/>
        </w:rPr>
        <w:lastRenderedPageBreak/>
        <w:t>4</w:t>
      </w:r>
      <w:r w:rsidR="00B87E75" w:rsidRPr="0058089A">
        <w:rPr>
          <w:rFonts w:cs="Arial"/>
        </w:rPr>
        <w:t xml:space="preserve">. </w:t>
      </w:r>
      <w:r w:rsidR="001142FA" w:rsidRPr="0058089A">
        <w:rPr>
          <w:rFonts w:cs="Arial"/>
        </w:rPr>
        <w:t>consequences of Type 1 Diabetes on People in the Community</w:t>
      </w:r>
    </w:p>
    <w:p w14:paraId="5C431899" w14:textId="6D414E98" w:rsidR="001142FA" w:rsidRPr="0058089A" w:rsidRDefault="001142FA" w:rsidP="00E901AB">
      <w:pPr>
        <w:pStyle w:val="Heading1"/>
        <w:rPr>
          <w:rFonts w:cs="Arial"/>
        </w:rPr>
      </w:pPr>
      <w:r w:rsidRPr="0058089A">
        <w:rPr>
          <w:rFonts w:cs="Arial"/>
        </w:rPr>
        <w:t>Type 1 diabetes affects individuals physically, emotionally, socially, and economically.</w:t>
      </w:r>
      <w:r w:rsidR="00471651" w:rsidRPr="0058089A">
        <w:rPr>
          <w:rFonts w:eastAsiaTheme="minorHAnsi" w:cs="Arial"/>
        </w:rPr>
        <w:t xml:space="preserve"> </w:t>
      </w:r>
      <w:r w:rsidR="00471651" w:rsidRPr="0058089A">
        <w:rPr>
          <w:rFonts w:cs="Arial"/>
        </w:rPr>
        <w:t xml:space="preserve">(WHO, 2023). </w:t>
      </w:r>
      <w:r w:rsidRPr="0058089A">
        <w:rPr>
          <w:rFonts w:cs="Arial"/>
        </w:rPr>
        <w:t xml:space="preserve"> Its consequences extend beyond the individual to families, schools, workplaces, and wider community systems.</w:t>
      </w:r>
    </w:p>
    <w:p w14:paraId="1513862B" w14:textId="0E556310" w:rsidR="001142FA" w:rsidRPr="0058089A" w:rsidRDefault="001142FA" w:rsidP="00E901AB">
      <w:pPr>
        <w:pStyle w:val="Heading1"/>
        <w:rPr>
          <w:rFonts w:cs="Arial"/>
        </w:rPr>
      </w:pPr>
      <w:r w:rsidRPr="0058089A">
        <w:rPr>
          <w:rFonts w:cs="Arial"/>
        </w:rPr>
        <w:t xml:space="preserve"> Physical Consequences Poorly controlled diabetes can lead to complications such as neuropathy, retinopathy, kidney disease, cardiovascular disease, and increased risk of infections.</w:t>
      </w:r>
      <w:r w:rsidR="00471651" w:rsidRPr="0058089A">
        <w:rPr>
          <w:rFonts w:eastAsiaTheme="minorHAnsi" w:cs="Arial"/>
        </w:rPr>
        <w:t xml:space="preserve"> </w:t>
      </w:r>
      <w:r w:rsidR="00471651" w:rsidRPr="0058089A">
        <w:rPr>
          <w:rFonts w:cs="Arial"/>
        </w:rPr>
        <w:t xml:space="preserve">(WHO, 2023). </w:t>
      </w:r>
      <w:r w:rsidRPr="0058089A">
        <w:rPr>
          <w:rFonts w:cs="Arial"/>
        </w:rPr>
        <w:t xml:space="preserve"> Hypoglycaemia can cause confusion, seizures, or loss of consciousness, while hyperglycaemia can lead to DKA. These complications may require hospitalisation, long</w:t>
      </w:r>
      <w:r w:rsidRPr="0058089A">
        <w:rPr>
          <w:rFonts w:cs="Arial"/>
        </w:rPr>
        <w:noBreakHyphen/>
        <w:t>term treatment, or lifestyle adjustments.</w:t>
      </w:r>
    </w:p>
    <w:p w14:paraId="290ED845" w14:textId="6EB277ED" w:rsidR="001142FA" w:rsidRPr="0058089A" w:rsidRDefault="001142FA" w:rsidP="00E901AB">
      <w:pPr>
        <w:pStyle w:val="Heading1"/>
        <w:rPr>
          <w:rFonts w:cs="Arial"/>
        </w:rPr>
      </w:pPr>
      <w:r w:rsidRPr="0058089A">
        <w:rPr>
          <w:rFonts w:cs="Arial"/>
        </w:rPr>
        <w:t xml:space="preserve"> Emotional and Psychological Consequences The constant need for monitoring, decision</w:t>
      </w:r>
      <w:r w:rsidRPr="0058089A">
        <w:rPr>
          <w:rFonts w:cs="Arial"/>
        </w:rPr>
        <w:noBreakHyphen/>
        <w:t xml:space="preserve">making, and vigilance can lead to stress, anxiety, and diabetes burnout. </w:t>
      </w:r>
      <w:r w:rsidR="00471651" w:rsidRPr="0058089A">
        <w:rPr>
          <w:rFonts w:cs="Arial"/>
        </w:rPr>
        <w:t xml:space="preserve">(WHO, 2023). </w:t>
      </w:r>
      <w:r w:rsidRPr="0058089A">
        <w:rPr>
          <w:rFonts w:cs="Arial"/>
        </w:rPr>
        <w:t>Children may feel different from peers, while adults may struggle with the pressure of managing a demanding condition. Families often experience emotional strain, especially when supporting young children or adolescents.</w:t>
      </w:r>
    </w:p>
    <w:p w14:paraId="398B8ED5" w14:textId="7D3D7169" w:rsidR="001142FA" w:rsidRPr="0058089A" w:rsidRDefault="001142FA" w:rsidP="00E901AB">
      <w:pPr>
        <w:pStyle w:val="Heading1"/>
        <w:rPr>
          <w:rFonts w:cs="Arial"/>
        </w:rPr>
      </w:pPr>
      <w:r w:rsidRPr="0058089A">
        <w:rPr>
          <w:rFonts w:cs="Arial"/>
        </w:rPr>
        <w:t xml:space="preserve"> Social Consequences Individuals may face challenges participating in social activities due to concerns about glucose fluctuations or the need to carry equipment. Misunderstandings or stigma may occur, particularly in school or workplace settings. Community education helps reduce stigma and promotes inclusion.</w:t>
      </w:r>
      <w:r w:rsidR="00471651" w:rsidRPr="0058089A">
        <w:rPr>
          <w:rFonts w:eastAsiaTheme="minorHAnsi" w:cs="Arial"/>
        </w:rPr>
        <w:t xml:space="preserve"> </w:t>
      </w:r>
      <w:r w:rsidR="00471651" w:rsidRPr="0058089A">
        <w:rPr>
          <w:rFonts w:cs="Arial"/>
        </w:rPr>
        <w:t>(WHO, 2023).</w:t>
      </w:r>
    </w:p>
    <w:p w14:paraId="39F34AF6" w14:textId="43CC99FB" w:rsidR="001142FA" w:rsidRPr="0058089A" w:rsidRDefault="001142FA" w:rsidP="00E901AB">
      <w:pPr>
        <w:pStyle w:val="Heading1"/>
        <w:rPr>
          <w:rFonts w:cs="Arial"/>
        </w:rPr>
      </w:pPr>
      <w:r w:rsidRPr="0058089A">
        <w:rPr>
          <w:rFonts w:cs="Arial"/>
        </w:rPr>
        <w:t>Educational and Employment Consequences Children with Type 1 diabetes may require support from teachers, school nurses, and pastoral staff. Care plans ensure safe participation in lessons, sports, and trips. Adults may need flexible working hours, breaks for glucose monitoring, or adjustments during illness. Employers must comply with equality legislation to support individuals effectively.</w:t>
      </w:r>
      <w:r w:rsidR="00471651" w:rsidRPr="0058089A">
        <w:rPr>
          <w:rFonts w:eastAsiaTheme="minorHAnsi" w:cs="Arial"/>
        </w:rPr>
        <w:t xml:space="preserve"> </w:t>
      </w:r>
      <w:r w:rsidR="00471651" w:rsidRPr="0058089A">
        <w:rPr>
          <w:rFonts w:cs="Arial"/>
        </w:rPr>
        <w:t>(Equality Act, 2010).</w:t>
      </w:r>
    </w:p>
    <w:p w14:paraId="13289C63" w14:textId="5B75E9C2" w:rsidR="001142FA" w:rsidRPr="0058089A" w:rsidRDefault="001142FA" w:rsidP="00E901AB">
      <w:pPr>
        <w:pStyle w:val="Heading1"/>
        <w:rPr>
          <w:rFonts w:cs="Arial"/>
        </w:rPr>
      </w:pPr>
      <w:r w:rsidRPr="0058089A">
        <w:rPr>
          <w:rFonts w:cs="Arial"/>
        </w:rPr>
        <w:t>Economic Consequences Type 1 diabetes can create financial pressures due to medical appointments, travel costs, specialist equipment, and time off work.</w:t>
      </w:r>
      <w:r w:rsidR="00471651" w:rsidRPr="0058089A">
        <w:rPr>
          <w:rFonts w:eastAsiaTheme="minorHAnsi" w:cs="Arial"/>
        </w:rPr>
        <w:t xml:space="preserve"> </w:t>
      </w:r>
      <w:r w:rsidR="00471651" w:rsidRPr="0058089A">
        <w:rPr>
          <w:rFonts w:cs="Arial"/>
        </w:rPr>
        <w:t>(Diabetes UK, 2023)</w:t>
      </w:r>
      <w:r w:rsidRPr="0058089A">
        <w:rPr>
          <w:rFonts w:cs="Arial"/>
        </w:rPr>
        <w:t xml:space="preserve"> Although the NHS covers insulin and essential supplies, indirect costs may still affect families. At a community level, diabetes contributes to healthcare expenditure, emergency admissions, and long</w:t>
      </w:r>
      <w:r w:rsidRPr="0058089A">
        <w:rPr>
          <w:rFonts w:cs="Arial"/>
        </w:rPr>
        <w:noBreakHyphen/>
        <w:t>term treatment costs.</w:t>
      </w:r>
    </w:p>
    <w:p w14:paraId="2D57C192" w14:textId="20ED192D" w:rsidR="001142FA" w:rsidRPr="0058089A" w:rsidRDefault="001142FA" w:rsidP="00E901AB">
      <w:pPr>
        <w:pStyle w:val="Heading1"/>
        <w:rPr>
          <w:rFonts w:cs="Arial"/>
        </w:rPr>
      </w:pPr>
      <w:r w:rsidRPr="0058089A">
        <w:rPr>
          <w:rFonts w:cs="Arial"/>
        </w:rPr>
        <w:lastRenderedPageBreak/>
        <w:t xml:space="preserve"> Community Health and Service Demand High prevalence of Type 1 diabetes increases demand for GPs, specialist nurses, dietitians, mental health services, and social care.</w:t>
      </w:r>
      <w:r w:rsidR="00471651" w:rsidRPr="0058089A">
        <w:rPr>
          <w:rFonts w:eastAsiaTheme="minorHAnsi" w:cs="Arial"/>
        </w:rPr>
        <w:t xml:space="preserve"> </w:t>
      </w:r>
      <w:r w:rsidR="00471651" w:rsidRPr="0058089A">
        <w:rPr>
          <w:rFonts w:cs="Arial"/>
        </w:rPr>
        <w:t>(NICE, 2022)</w:t>
      </w:r>
      <w:r w:rsidRPr="0058089A">
        <w:rPr>
          <w:rFonts w:cs="Arial"/>
        </w:rPr>
        <w:t xml:space="preserve"> Community services must adapt to provide accessible education, emergency support, and long</w:t>
      </w:r>
      <w:r w:rsidRPr="0058089A">
        <w:rPr>
          <w:rFonts w:cs="Arial"/>
        </w:rPr>
        <w:noBreakHyphen/>
        <w:t>term monitoring. Effective community</w:t>
      </w:r>
      <w:r w:rsidRPr="0058089A">
        <w:rPr>
          <w:rFonts w:cs="Arial"/>
        </w:rPr>
        <w:noBreakHyphen/>
        <w:t>based care reduces hospital admissions and improves quality of life.</w:t>
      </w:r>
    </w:p>
    <w:p w14:paraId="581C99BF" w14:textId="1AA9C7B2" w:rsidR="00B87E75" w:rsidRPr="0058089A" w:rsidRDefault="00B87E75" w:rsidP="00E901AB">
      <w:pPr>
        <w:pStyle w:val="Heading1"/>
        <w:rPr>
          <w:rFonts w:cs="Arial"/>
        </w:rPr>
      </w:pPr>
    </w:p>
    <w:p w14:paraId="682D1769" w14:textId="77777777" w:rsidR="003E4ECF" w:rsidRPr="0058089A" w:rsidRDefault="003E4ECF" w:rsidP="00CD33A8">
      <w:pPr>
        <w:tabs>
          <w:tab w:val="left" w:pos="6540"/>
        </w:tabs>
        <w:spacing w:line="360" w:lineRule="auto"/>
        <w:rPr>
          <w:rFonts w:ascii="Arial" w:hAnsi="Arial" w:cs="Arial"/>
          <w:sz w:val="22"/>
        </w:rPr>
      </w:pPr>
    </w:p>
    <w:p w14:paraId="15C25996" w14:textId="77777777" w:rsidR="008E3943" w:rsidRPr="0058089A" w:rsidRDefault="008E3943" w:rsidP="00CD33A8">
      <w:pPr>
        <w:tabs>
          <w:tab w:val="left" w:pos="6540"/>
        </w:tabs>
        <w:spacing w:line="360" w:lineRule="auto"/>
        <w:rPr>
          <w:rFonts w:ascii="Arial" w:hAnsi="Arial" w:cs="Arial"/>
          <w:sz w:val="22"/>
        </w:rPr>
      </w:pPr>
    </w:p>
    <w:p w14:paraId="3A742EE2" w14:textId="77777777" w:rsidR="008E3943" w:rsidRPr="0058089A" w:rsidRDefault="008E3943" w:rsidP="00CD33A8">
      <w:pPr>
        <w:tabs>
          <w:tab w:val="left" w:pos="6540"/>
        </w:tabs>
        <w:spacing w:line="360" w:lineRule="auto"/>
        <w:rPr>
          <w:rFonts w:ascii="Arial" w:hAnsi="Arial" w:cs="Arial"/>
          <w:sz w:val="22"/>
        </w:rPr>
      </w:pPr>
    </w:p>
    <w:p w14:paraId="16FAF0EA" w14:textId="2F93A55A" w:rsidR="00B87E75" w:rsidRPr="0058089A" w:rsidRDefault="008E3943" w:rsidP="00E901AB">
      <w:pPr>
        <w:pStyle w:val="Heading1"/>
        <w:rPr>
          <w:rFonts w:cs="Arial"/>
        </w:rPr>
      </w:pPr>
      <w:r w:rsidRPr="0058089A">
        <w:rPr>
          <w:rFonts w:cs="Arial"/>
        </w:rPr>
        <w:t>5</w:t>
      </w:r>
      <w:r w:rsidR="00B87E75" w:rsidRPr="0058089A">
        <w:rPr>
          <w:rFonts w:cs="Arial"/>
        </w:rPr>
        <w:t>. Conclusion</w:t>
      </w:r>
      <w:r w:rsidR="00CD33A8" w:rsidRPr="0058089A">
        <w:rPr>
          <w:rFonts w:cs="Arial"/>
        </w:rPr>
        <w:t xml:space="preserve"> </w:t>
      </w:r>
    </w:p>
    <w:p w14:paraId="5618FC23" w14:textId="77777777" w:rsidR="00E901AB" w:rsidRPr="0058089A" w:rsidRDefault="00E901AB" w:rsidP="00E901AB">
      <w:pPr>
        <w:tabs>
          <w:tab w:val="left" w:pos="6540"/>
        </w:tabs>
        <w:spacing w:line="360" w:lineRule="auto"/>
        <w:rPr>
          <w:rFonts w:ascii="Arial" w:hAnsi="Arial" w:cs="Arial"/>
          <w:sz w:val="22"/>
        </w:rPr>
      </w:pPr>
      <w:r w:rsidRPr="0058089A">
        <w:rPr>
          <w:rFonts w:ascii="Arial" w:hAnsi="Arial" w:cs="Arial"/>
          <w:sz w:val="22"/>
        </w:rPr>
        <w:t>Type 1 diabetes remains a significant global and national health issue. Worldwide, approximately 8.7 million people are living with Type 1 diabetes, and incidence continues to rise, particularly among children. Each year, around 149,000 new cases are diagnosed globally. In the UK, more than 400,000 people live with Type 1 diabetes, including over</w:t>
      </w:r>
      <w:r w:rsidRPr="0058089A">
        <w:rPr>
          <w:rFonts w:ascii="Arial" w:hAnsi="Arial" w:cs="Arial"/>
          <w:b/>
          <w:bCs/>
          <w:sz w:val="22"/>
        </w:rPr>
        <w:t xml:space="preserve"> </w:t>
      </w:r>
      <w:r w:rsidRPr="0058089A">
        <w:rPr>
          <w:rFonts w:ascii="Arial" w:hAnsi="Arial" w:cs="Arial"/>
          <w:sz w:val="22"/>
        </w:rPr>
        <w:t>29,000 children, making it one of the most common chronic conditions affecting young people. The UK sees approximately 4,000 new childhood cases annually, with incidence increasing by around 3–4% per year.</w:t>
      </w:r>
    </w:p>
    <w:p w14:paraId="178DADCF" w14:textId="12B1C391" w:rsidR="00E901AB" w:rsidRPr="0058089A" w:rsidRDefault="00E901AB" w:rsidP="00E901AB">
      <w:pPr>
        <w:tabs>
          <w:tab w:val="left" w:pos="6540"/>
        </w:tabs>
        <w:spacing w:line="360" w:lineRule="auto"/>
        <w:rPr>
          <w:rFonts w:ascii="Arial" w:hAnsi="Arial" w:cs="Arial"/>
          <w:sz w:val="22"/>
        </w:rPr>
      </w:pPr>
      <w:r w:rsidRPr="0058089A">
        <w:rPr>
          <w:rFonts w:ascii="Arial" w:hAnsi="Arial" w:cs="Arial"/>
          <w:sz w:val="22"/>
        </w:rPr>
        <w:t>These statistics highlight the severity of the condition and the importance of effective monitoring, education, and community</w:t>
      </w:r>
      <w:r w:rsidRPr="0058089A">
        <w:rPr>
          <w:rFonts w:ascii="Arial" w:hAnsi="Arial" w:cs="Arial"/>
          <w:sz w:val="22"/>
        </w:rPr>
        <w:noBreakHyphen/>
        <w:t>based support. Type 1 diabetes requires lifelong management, and without appropriate care, individuals face significant physical, emotional, and social consequences. Strengthening health and social care services, improving access to technology, and promoting inclusive community environments are essential to improving outcomes and reducing the long</w:t>
      </w:r>
      <w:r w:rsidRPr="0058089A">
        <w:rPr>
          <w:rFonts w:ascii="Arial" w:hAnsi="Arial" w:cs="Arial"/>
          <w:sz w:val="22"/>
        </w:rPr>
        <w:noBreakHyphen/>
        <w:t>term burden of the disease.</w:t>
      </w:r>
      <w:r w:rsidR="00471651" w:rsidRPr="0058089A">
        <w:rPr>
          <w:rFonts w:ascii="Arial" w:hAnsi="Arial" w:cs="Arial"/>
          <w:sz w:val="22"/>
        </w:rPr>
        <w:t xml:space="preserve"> (NICE, 2022).</w:t>
      </w: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E901AB">
      <w:pPr>
        <w:pStyle w:val="Heading1"/>
      </w:pPr>
      <w:r w:rsidRPr="00CD33A8">
        <w:lastRenderedPageBreak/>
        <w:t>References</w:t>
      </w:r>
    </w:p>
    <w:p w14:paraId="62309CE3" w14:textId="77777777" w:rsidR="00471651" w:rsidRPr="00471651" w:rsidRDefault="00471651" w:rsidP="00471651">
      <w:pPr>
        <w:tabs>
          <w:tab w:val="left" w:pos="6540"/>
        </w:tabs>
        <w:spacing w:line="360" w:lineRule="auto"/>
        <w:rPr>
          <w:rFonts w:asciiTheme="minorBidi" w:hAnsiTheme="minorBidi"/>
          <w:sz w:val="22"/>
        </w:rPr>
      </w:pPr>
      <w:proofErr w:type="spellStart"/>
      <w:r w:rsidRPr="00471651">
        <w:rPr>
          <w:rFonts w:asciiTheme="minorBidi" w:hAnsiTheme="minorBidi"/>
          <w:sz w:val="22"/>
        </w:rPr>
        <w:t>Battelino</w:t>
      </w:r>
      <w:proofErr w:type="spellEnd"/>
      <w:r w:rsidRPr="00471651">
        <w:rPr>
          <w:rFonts w:asciiTheme="minorBidi" w:hAnsiTheme="minorBidi"/>
          <w:sz w:val="22"/>
        </w:rPr>
        <w:t xml:space="preserve">, T. et al. (2019) </w:t>
      </w:r>
      <w:r w:rsidRPr="00471651">
        <w:rPr>
          <w:rFonts w:asciiTheme="minorBidi" w:hAnsiTheme="minorBidi"/>
          <w:i/>
          <w:iCs/>
          <w:sz w:val="22"/>
        </w:rPr>
        <w:t>Continuous glucose monitoring and metrics for clinical use</w:t>
      </w:r>
      <w:r w:rsidRPr="00471651">
        <w:rPr>
          <w:rFonts w:asciiTheme="minorBidi" w:hAnsiTheme="minorBidi"/>
          <w:sz w:val="22"/>
        </w:rPr>
        <w:t>. Diabetes Care, 42(8), pp. 1593–1603.</w:t>
      </w:r>
    </w:p>
    <w:p w14:paraId="7DFF9910" w14:textId="77777777" w:rsidR="00471651" w:rsidRPr="00471651" w:rsidRDefault="00471651" w:rsidP="00471651">
      <w:pPr>
        <w:tabs>
          <w:tab w:val="left" w:pos="6540"/>
        </w:tabs>
        <w:spacing w:line="360" w:lineRule="auto"/>
        <w:rPr>
          <w:rFonts w:asciiTheme="minorBidi" w:hAnsiTheme="minorBidi"/>
          <w:sz w:val="22"/>
        </w:rPr>
      </w:pPr>
      <w:proofErr w:type="spellStart"/>
      <w:r w:rsidRPr="00471651">
        <w:rPr>
          <w:rFonts w:asciiTheme="minorBidi" w:hAnsiTheme="minorBidi"/>
          <w:sz w:val="22"/>
        </w:rPr>
        <w:t>Bekiari</w:t>
      </w:r>
      <w:proofErr w:type="spellEnd"/>
      <w:r w:rsidRPr="00471651">
        <w:rPr>
          <w:rFonts w:asciiTheme="minorBidi" w:hAnsiTheme="minorBidi"/>
          <w:sz w:val="22"/>
        </w:rPr>
        <w:t xml:space="preserve">, E. et al. (2018) </w:t>
      </w:r>
      <w:r w:rsidRPr="00471651">
        <w:rPr>
          <w:rFonts w:asciiTheme="minorBidi" w:hAnsiTheme="minorBidi"/>
          <w:i/>
          <w:iCs/>
          <w:sz w:val="22"/>
        </w:rPr>
        <w:t>Artificial pancreas treatment for outpatients with type 1 diabetes</w:t>
      </w:r>
      <w:r w:rsidRPr="00471651">
        <w:rPr>
          <w:rFonts w:asciiTheme="minorBidi" w:hAnsiTheme="minorBidi"/>
          <w:sz w:val="22"/>
        </w:rPr>
        <w:t>. BMJ, 361, k1310.</w:t>
      </w:r>
    </w:p>
    <w:p w14:paraId="519FEA88"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DAFNE Study Group (2002) </w:t>
      </w:r>
      <w:r w:rsidRPr="00471651">
        <w:rPr>
          <w:rFonts w:asciiTheme="minorBidi" w:hAnsiTheme="minorBidi"/>
          <w:i/>
          <w:iCs/>
          <w:sz w:val="22"/>
        </w:rPr>
        <w:t>Training in flexible, intensive insulin management to enable dietary freedom in people with type 1 diabetes</w:t>
      </w:r>
      <w:r w:rsidRPr="00471651">
        <w:rPr>
          <w:rFonts w:asciiTheme="minorBidi" w:hAnsiTheme="minorBidi"/>
          <w:sz w:val="22"/>
        </w:rPr>
        <w:t xml:space="preserve">. </w:t>
      </w:r>
      <w:proofErr w:type="spellStart"/>
      <w:r w:rsidRPr="00471651">
        <w:rPr>
          <w:rFonts w:asciiTheme="minorBidi" w:hAnsiTheme="minorBidi"/>
          <w:sz w:val="22"/>
        </w:rPr>
        <w:t>Diabetologia</w:t>
      </w:r>
      <w:proofErr w:type="spellEnd"/>
      <w:r w:rsidRPr="00471651">
        <w:rPr>
          <w:rFonts w:asciiTheme="minorBidi" w:hAnsiTheme="minorBidi"/>
          <w:sz w:val="22"/>
        </w:rPr>
        <w:t>, 45(7), pp. 823–830.</w:t>
      </w:r>
    </w:p>
    <w:p w14:paraId="7EF536A6"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DCCT Research Group (1993) </w:t>
      </w:r>
      <w:r w:rsidRPr="00471651">
        <w:rPr>
          <w:rFonts w:asciiTheme="minorBidi" w:hAnsiTheme="minorBidi"/>
          <w:i/>
          <w:iCs/>
          <w:sz w:val="22"/>
        </w:rPr>
        <w:t>The effect of intensive treatment of diabetes on the development and progression of long</w:t>
      </w:r>
      <w:r w:rsidRPr="00471651">
        <w:rPr>
          <w:rFonts w:asciiTheme="minorBidi" w:hAnsiTheme="minorBidi"/>
          <w:i/>
          <w:iCs/>
          <w:sz w:val="22"/>
        </w:rPr>
        <w:noBreakHyphen/>
        <w:t>term complications</w:t>
      </w:r>
      <w:r w:rsidRPr="00471651">
        <w:rPr>
          <w:rFonts w:asciiTheme="minorBidi" w:hAnsiTheme="minorBidi"/>
          <w:sz w:val="22"/>
        </w:rPr>
        <w:t>. NEJM, 329(14), pp. 977–986.</w:t>
      </w:r>
    </w:p>
    <w:p w14:paraId="203E76F1"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Diabetes UK (2023) </w:t>
      </w:r>
      <w:r w:rsidRPr="00471651">
        <w:rPr>
          <w:rFonts w:asciiTheme="minorBidi" w:hAnsiTheme="minorBidi"/>
          <w:i/>
          <w:iCs/>
          <w:sz w:val="22"/>
        </w:rPr>
        <w:t>Type 1 diabetes statistics</w:t>
      </w:r>
      <w:r w:rsidRPr="00471651">
        <w:rPr>
          <w:rFonts w:asciiTheme="minorBidi" w:hAnsiTheme="minorBidi"/>
          <w:sz w:val="22"/>
        </w:rPr>
        <w:t xml:space="preserve">. Available at: </w:t>
      </w:r>
      <w:hyperlink r:id="rId9" w:tgtFrame="_blank" w:tooltip="www.diabetes.org.uk" w:history="1">
        <w:r w:rsidRPr="00471651">
          <w:rPr>
            <w:rStyle w:val="Hyperlink"/>
            <w:rFonts w:asciiTheme="minorBidi" w:hAnsiTheme="minorBidi"/>
            <w:sz w:val="22"/>
          </w:rPr>
          <w:t>https://www.diabetes.org.uk</w:t>
        </w:r>
      </w:hyperlink>
    </w:p>
    <w:p w14:paraId="1765C01D"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Equality Act (2010) </w:t>
      </w:r>
      <w:r w:rsidRPr="00471651">
        <w:rPr>
          <w:rFonts w:asciiTheme="minorBidi" w:hAnsiTheme="minorBidi"/>
          <w:i/>
          <w:iCs/>
          <w:sz w:val="22"/>
        </w:rPr>
        <w:t>UK Government Legislation</w:t>
      </w:r>
      <w:r w:rsidRPr="00471651">
        <w:rPr>
          <w:rFonts w:asciiTheme="minorBidi" w:hAnsiTheme="minorBidi"/>
          <w:sz w:val="22"/>
        </w:rPr>
        <w:t xml:space="preserve">. Available at: https://www.legislation.gov.uk </w:t>
      </w:r>
      <w:hyperlink r:id="rId10" w:tgtFrame="_blank" w:tooltip="www.bing.com" w:history="1">
        <w:r w:rsidRPr="00471651">
          <w:rPr>
            <w:rStyle w:val="Hyperlink"/>
            <w:rFonts w:asciiTheme="minorBidi" w:hAnsiTheme="minorBidi"/>
            <w:sz w:val="22"/>
          </w:rPr>
          <w:t>(legislation.gov.uk in Bing)</w:t>
        </w:r>
      </w:hyperlink>
    </w:p>
    <w:p w14:paraId="3587D3BB"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International Diabetes Federation (2023) </w:t>
      </w:r>
      <w:r w:rsidRPr="00471651">
        <w:rPr>
          <w:rFonts w:asciiTheme="minorBidi" w:hAnsiTheme="minorBidi"/>
          <w:i/>
          <w:iCs/>
          <w:sz w:val="22"/>
        </w:rPr>
        <w:t>IDF Diabetes Atlas</w:t>
      </w:r>
      <w:r w:rsidRPr="00471651">
        <w:rPr>
          <w:rFonts w:asciiTheme="minorBidi" w:hAnsiTheme="minorBidi"/>
          <w:sz w:val="22"/>
        </w:rPr>
        <w:t xml:space="preserve">. Available at: </w:t>
      </w:r>
      <w:hyperlink r:id="rId11" w:tgtFrame="_blank" w:tooltip="idf.org" w:history="1">
        <w:r w:rsidRPr="00471651">
          <w:rPr>
            <w:rStyle w:val="Hyperlink"/>
            <w:rFonts w:asciiTheme="minorBidi" w:hAnsiTheme="minorBidi"/>
            <w:sz w:val="22"/>
          </w:rPr>
          <w:t>https://idf.org</w:t>
        </w:r>
      </w:hyperlink>
    </w:p>
    <w:p w14:paraId="36D27371"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NHS (2024) </w:t>
      </w:r>
      <w:r w:rsidRPr="00471651">
        <w:rPr>
          <w:rFonts w:asciiTheme="minorBidi" w:hAnsiTheme="minorBidi"/>
          <w:i/>
          <w:iCs/>
          <w:sz w:val="22"/>
        </w:rPr>
        <w:t>Type 1 diabetes overview</w:t>
      </w:r>
      <w:r w:rsidRPr="00471651">
        <w:rPr>
          <w:rFonts w:asciiTheme="minorBidi" w:hAnsiTheme="minorBidi"/>
          <w:sz w:val="22"/>
        </w:rPr>
        <w:t xml:space="preserve">. Available at: </w:t>
      </w:r>
      <w:hyperlink r:id="rId12" w:tgtFrame="_blank" w:tooltip="www.nhs.uk" w:history="1">
        <w:r w:rsidRPr="00471651">
          <w:rPr>
            <w:rStyle w:val="Hyperlink"/>
            <w:rFonts w:asciiTheme="minorBidi" w:hAnsiTheme="minorBidi"/>
            <w:sz w:val="22"/>
          </w:rPr>
          <w:t>https://www.nhs.uk</w:t>
        </w:r>
      </w:hyperlink>
    </w:p>
    <w:p w14:paraId="42A38CF8"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NICE (2022) </w:t>
      </w:r>
      <w:r w:rsidRPr="00471651">
        <w:rPr>
          <w:rFonts w:asciiTheme="minorBidi" w:hAnsiTheme="minorBidi"/>
          <w:i/>
          <w:iCs/>
          <w:sz w:val="22"/>
        </w:rPr>
        <w:t>Type 1 diabetes in adults: diagnosis and management</w:t>
      </w:r>
      <w:r w:rsidRPr="00471651">
        <w:rPr>
          <w:rFonts w:asciiTheme="minorBidi" w:hAnsiTheme="minorBidi"/>
          <w:sz w:val="22"/>
        </w:rPr>
        <w:t xml:space="preserve">. Available at: </w:t>
      </w:r>
      <w:hyperlink r:id="rId13" w:tgtFrame="_blank" w:tooltip="www.nice.org.uk" w:history="1">
        <w:r w:rsidRPr="00471651">
          <w:rPr>
            <w:rStyle w:val="Hyperlink"/>
            <w:rFonts w:asciiTheme="minorBidi" w:hAnsiTheme="minorBidi"/>
            <w:sz w:val="22"/>
          </w:rPr>
          <w:t>https://www.nice.org.uk</w:t>
        </w:r>
      </w:hyperlink>
    </w:p>
    <w:p w14:paraId="1763D48C"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rPr>
        <w:t xml:space="preserve">WHO (2023) </w:t>
      </w:r>
      <w:r w:rsidRPr="00471651">
        <w:rPr>
          <w:rFonts w:asciiTheme="minorBidi" w:hAnsiTheme="minorBidi"/>
          <w:i/>
          <w:iCs/>
          <w:sz w:val="22"/>
        </w:rPr>
        <w:t>Diabetes fact sheet</w:t>
      </w:r>
      <w:r w:rsidRPr="00471651">
        <w:rPr>
          <w:rFonts w:asciiTheme="minorBidi" w:hAnsiTheme="minorBidi"/>
          <w:sz w:val="22"/>
        </w:rPr>
        <w:t xml:space="preserve">. Available at: </w:t>
      </w:r>
      <w:hyperlink r:id="rId14" w:tgtFrame="_blank" w:tooltip="www.who.int" w:history="1">
        <w:r w:rsidRPr="00471651">
          <w:rPr>
            <w:rStyle w:val="Hyperlink"/>
            <w:rFonts w:asciiTheme="minorBidi" w:hAnsiTheme="minorBidi"/>
            <w:sz w:val="22"/>
          </w:rPr>
          <w:t>https://www.who.int</w:t>
        </w:r>
      </w:hyperlink>
    </w:p>
    <w:p w14:paraId="6BDDB927" w14:textId="77777777" w:rsidR="00471651" w:rsidRPr="00471651" w:rsidRDefault="00471651" w:rsidP="00471651">
      <w:pPr>
        <w:tabs>
          <w:tab w:val="left" w:pos="6540"/>
        </w:tabs>
        <w:spacing w:line="360" w:lineRule="auto"/>
        <w:rPr>
          <w:rFonts w:asciiTheme="minorBidi" w:hAnsiTheme="minorBidi"/>
          <w:sz w:val="22"/>
        </w:rPr>
      </w:pPr>
      <w:r w:rsidRPr="00471651">
        <w:rPr>
          <w:rFonts w:asciiTheme="minorBidi" w:hAnsiTheme="minorBidi"/>
          <w:sz w:val="22"/>
          <w:lang w:val="nl-NL"/>
        </w:rPr>
        <w:t>Young</w:t>
      </w:r>
      <w:r w:rsidRPr="00471651">
        <w:rPr>
          <w:rFonts w:asciiTheme="minorBidi" w:hAnsiTheme="minorBidi"/>
          <w:sz w:val="22"/>
          <w:lang w:val="nl-NL"/>
        </w:rPr>
        <w:noBreakHyphen/>
        <w:t xml:space="preserve">Hyman, D. et al. </w:t>
      </w:r>
      <w:r w:rsidRPr="00471651">
        <w:rPr>
          <w:rFonts w:asciiTheme="minorBidi" w:hAnsiTheme="minorBidi"/>
          <w:sz w:val="22"/>
        </w:rPr>
        <w:t xml:space="preserve">(2016) </w:t>
      </w:r>
      <w:r w:rsidRPr="00471651">
        <w:rPr>
          <w:rFonts w:asciiTheme="minorBidi" w:hAnsiTheme="minorBidi"/>
          <w:i/>
          <w:iCs/>
          <w:sz w:val="22"/>
        </w:rPr>
        <w:t>Psychosocial care for people with diabetes</w:t>
      </w:r>
      <w:r w:rsidRPr="00471651">
        <w:rPr>
          <w:rFonts w:asciiTheme="minorBidi" w:hAnsiTheme="minorBidi"/>
          <w:sz w:val="22"/>
        </w:rPr>
        <w:t>. Diabetes Care, 39(12), pp. 2126–2140.</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90658" w14:textId="77777777" w:rsidR="001A1F0E" w:rsidRDefault="001A1F0E" w:rsidP="003E4ECF">
      <w:pPr>
        <w:spacing w:after="0" w:line="240" w:lineRule="auto"/>
      </w:pPr>
      <w:r>
        <w:separator/>
      </w:r>
    </w:p>
  </w:endnote>
  <w:endnote w:type="continuationSeparator" w:id="0">
    <w:p w14:paraId="2D928321" w14:textId="77777777" w:rsidR="001A1F0E" w:rsidRDefault="001A1F0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8CB80" w14:textId="77777777" w:rsidR="001A1F0E" w:rsidRDefault="001A1F0E" w:rsidP="003E4ECF">
      <w:pPr>
        <w:spacing w:after="0" w:line="240" w:lineRule="auto"/>
      </w:pPr>
      <w:r>
        <w:separator/>
      </w:r>
    </w:p>
  </w:footnote>
  <w:footnote w:type="continuationSeparator" w:id="0">
    <w:p w14:paraId="3963AEF6" w14:textId="77777777" w:rsidR="001A1F0E" w:rsidRDefault="001A1F0E"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31D22"/>
    <w:multiLevelType w:val="hybridMultilevel"/>
    <w:tmpl w:val="AECE8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0E4EF2"/>
    <w:multiLevelType w:val="hybridMultilevel"/>
    <w:tmpl w:val="9BE4F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3188412">
    <w:abstractNumId w:val="0"/>
  </w:num>
  <w:num w:numId="2" w16cid:durableId="336034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F5D3F"/>
    <w:rsid w:val="001142FA"/>
    <w:rsid w:val="00127598"/>
    <w:rsid w:val="00142AEF"/>
    <w:rsid w:val="0015179A"/>
    <w:rsid w:val="00184507"/>
    <w:rsid w:val="001A1F0E"/>
    <w:rsid w:val="001B69BE"/>
    <w:rsid w:val="001D3B35"/>
    <w:rsid w:val="001D7C03"/>
    <w:rsid w:val="00216C85"/>
    <w:rsid w:val="0026393A"/>
    <w:rsid w:val="00265717"/>
    <w:rsid w:val="00273EDD"/>
    <w:rsid w:val="002C3965"/>
    <w:rsid w:val="002E55A8"/>
    <w:rsid w:val="00321C4C"/>
    <w:rsid w:val="00392BBC"/>
    <w:rsid w:val="003E4ECF"/>
    <w:rsid w:val="00471651"/>
    <w:rsid w:val="004A736E"/>
    <w:rsid w:val="0058089A"/>
    <w:rsid w:val="005A0EFF"/>
    <w:rsid w:val="005A1C08"/>
    <w:rsid w:val="005D5501"/>
    <w:rsid w:val="006925AA"/>
    <w:rsid w:val="00725177"/>
    <w:rsid w:val="007963E5"/>
    <w:rsid w:val="007A1B8D"/>
    <w:rsid w:val="00814A9E"/>
    <w:rsid w:val="008E3943"/>
    <w:rsid w:val="0090040D"/>
    <w:rsid w:val="00962B3E"/>
    <w:rsid w:val="009B2719"/>
    <w:rsid w:val="009D052C"/>
    <w:rsid w:val="009D1D1E"/>
    <w:rsid w:val="00A035FD"/>
    <w:rsid w:val="00A039C0"/>
    <w:rsid w:val="00AD23A0"/>
    <w:rsid w:val="00AF7BEF"/>
    <w:rsid w:val="00B50CEB"/>
    <w:rsid w:val="00B87E75"/>
    <w:rsid w:val="00BD79A9"/>
    <w:rsid w:val="00BF358B"/>
    <w:rsid w:val="00C650DF"/>
    <w:rsid w:val="00CA0689"/>
    <w:rsid w:val="00CD33A8"/>
    <w:rsid w:val="00D17E87"/>
    <w:rsid w:val="00D36EDA"/>
    <w:rsid w:val="00DD7A31"/>
    <w:rsid w:val="00E569FD"/>
    <w:rsid w:val="00E620E7"/>
    <w:rsid w:val="00E822EC"/>
    <w:rsid w:val="00E901AB"/>
    <w:rsid w:val="00ED3E05"/>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901AB"/>
    <w:pPr>
      <w:keepNext/>
      <w:keepLines/>
      <w:spacing w:before="240" w:after="0" w:line="360" w:lineRule="auto"/>
      <w:outlineLvl w:val="0"/>
    </w:pPr>
    <w:rPr>
      <w:rFonts w:ascii="Arial" w:eastAsiaTheme="majorEastAsia" w:hAnsi="Arial"/>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1AB"/>
    <w:rPr>
      <w:rFonts w:ascii="Arial" w:eastAsiaTheme="majorEastAsia" w:hAnsi="Arial"/>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471651"/>
    <w:rPr>
      <w:color w:val="0563C1" w:themeColor="hyperlink"/>
      <w:u w:val="single"/>
    </w:rPr>
  </w:style>
  <w:style w:type="character" w:styleId="UnresolvedMention">
    <w:name w:val="Unresolved Mention"/>
    <w:basedOn w:val="DefaultParagraphFont"/>
    <w:uiPriority w:val="99"/>
    <w:semiHidden/>
    <w:unhideWhenUsed/>
    <w:rsid w:val="00471651"/>
    <w:rPr>
      <w:color w:val="605E5C"/>
      <w:shd w:val="clear" w:color="auto" w:fill="E1DFDD"/>
    </w:rPr>
  </w:style>
  <w:style w:type="paragraph" w:styleId="ListParagraph">
    <w:name w:val="List Paragraph"/>
    <w:basedOn w:val="Normal"/>
    <w:uiPriority w:val="34"/>
    <w:qFormat/>
    <w:rsid w:val="00471651"/>
    <w:pPr>
      <w:ind w:left="720"/>
      <w:contextualSpacing/>
    </w:pPr>
  </w:style>
  <w:style w:type="paragraph" w:styleId="NormalWeb">
    <w:name w:val="Normal (Web)"/>
    <w:basedOn w:val="Normal"/>
    <w:uiPriority w:val="99"/>
    <w:semiHidden/>
    <w:unhideWhenUsed/>
    <w:rsid w:val="00127598"/>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ice.org.uk/?utm_source=copilo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utm_source=copilo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df.org/?utm_source=copilo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ing.com/search?q=%22https%3A%2F%2Fwww.legislation.gov.uk%2F%22&amp;utm_source=copilot.com" TargetMode="External"/><Relationship Id="rId4" Type="http://schemas.openxmlformats.org/officeDocument/2006/relationships/webSettings" Target="webSettings.xml"/><Relationship Id="rId9" Type="http://schemas.openxmlformats.org/officeDocument/2006/relationships/hyperlink" Target="https://www.diabetes.org.uk/?utm_source=copilot.com" TargetMode="External"/><Relationship Id="rId14" Type="http://schemas.openxmlformats.org/officeDocument/2006/relationships/hyperlink" Target="https://www.who.int/?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Izzie-louise Hickling</cp:lastModifiedBy>
  <cp:revision>24</cp:revision>
  <dcterms:created xsi:type="dcterms:W3CDTF">2026-08-08T17:03:00Z</dcterms:created>
  <dcterms:modified xsi:type="dcterms:W3CDTF">2026-08-09T17:53:00Z</dcterms:modified>
</cp:coreProperties>
</file>