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BA52CE3" w14:textId="240113BE" w:rsidR="00981FE6" w:rsidRPr="00CD33A8" w:rsidRDefault="00074402" w:rsidP="00CD33A8">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CD33A8" w:rsidRDefault="00074402" w:rsidP="00CD33A8">
      <w:pPr>
        <w:spacing w:line="360" w:lineRule="auto"/>
        <w:rPr>
          <w:rFonts w:asciiTheme="minorBidi" w:hAnsiTheme="minorBidi"/>
          <w:sz w:val="22"/>
        </w:rPr>
      </w:pPr>
    </w:p>
    <w:p w14:paraId="4E267F2C" w14:textId="35E99859" w:rsidR="00074402" w:rsidRPr="00CD33A8" w:rsidRDefault="00074402" w:rsidP="00CD33A8">
      <w:pPr>
        <w:spacing w:line="360" w:lineRule="auto"/>
        <w:rPr>
          <w:rFonts w:asciiTheme="minorBidi" w:hAnsiTheme="minorBidi"/>
          <w:sz w:val="22"/>
        </w:rPr>
      </w:pPr>
    </w:p>
    <w:p w14:paraId="5D864E3F" w14:textId="04749E68" w:rsidR="00074402" w:rsidRPr="00CD33A8" w:rsidRDefault="00074402" w:rsidP="00CD33A8">
      <w:pPr>
        <w:spacing w:line="360" w:lineRule="auto"/>
        <w:rPr>
          <w:rFonts w:asciiTheme="minorBidi" w:hAnsiTheme="minorBidi"/>
          <w:sz w:val="22"/>
        </w:rPr>
      </w:pPr>
    </w:p>
    <w:p w14:paraId="22F2817A" w14:textId="77777777" w:rsidR="00074402" w:rsidRPr="00CD33A8" w:rsidRDefault="00074402" w:rsidP="00CD33A8">
      <w:pPr>
        <w:tabs>
          <w:tab w:val="left" w:pos="6540"/>
        </w:tabs>
        <w:spacing w:line="360" w:lineRule="auto"/>
        <w:rPr>
          <w:rFonts w:asciiTheme="minorBidi" w:hAnsiTheme="minorBidi"/>
          <w:sz w:val="22"/>
        </w:rPr>
      </w:pPr>
    </w:p>
    <w:p w14:paraId="7D557BA5" w14:textId="62716022" w:rsidR="00CD33A8" w:rsidRPr="00CD33A8" w:rsidRDefault="00CD33A8"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Module name</w:t>
      </w:r>
      <w:r w:rsidRPr="00CD33A8">
        <w:rPr>
          <w:rFonts w:ascii="Arial" w:hAnsi="Arial" w:cs="Arial"/>
          <w:sz w:val="28"/>
          <w:szCs w:val="28"/>
          <w:lang w:val="nl-NL"/>
        </w:rPr>
        <w:t xml:space="preserve">: </w:t>
      </w:r>
      <w:r w:rsidR="00B22DA1" w:rsidRPr="00B22DA1">
        <w:rPr>
          <w:rFonts w:ascii="Arial" w:hAnsi="Arial" w:cs="Arial"/>
          <w:sz w:val="28"/>
          <w:szCs w:val="28"/>
          <w:lang w:val="nl-NL"/>
        </w:rPr>
        <w:t>Introduction to Independent Research Skills</w:t>
      </w:r>
    </w:p>
    <w:p w14:paraId="529D7354" w14:textId="4F1A917D" w:rsidR="00CD33A8" w:rsidRPr="00AE200A" w:rsidRDefault="00CD33A8" w:rsidP="00CD33A8">
      <w:pPr>
        <w:tabs>
          <w:tab w:val="left" w:pos="6540"/>
        </w:tabs>
        <w:spacing w:line="360" w:lineRule="auto"/>
        <w:rPr>
          <w:rFonts w:ascii="Arial" w:hAnsi="Arial" w:cs="Arial"/>
          <w:sz w:val="28"/>
          <w:szCs w:val="28"/>
        </w:rPr>
      </w:pPr>
      <w:r w:rsidRPr="00CD33A8">
        <w:rPr>
          <w:rFonts w:ascii="Arial" w:hAnsi="Arial" w:cs="Arial"/>
          <w:b/>
          <w:bCs/>
          <w:sz w:val="28"/>
          <w:szCs w:val="28"/>
        </w:rPr>
        <w:t>Module code</w:t>
      </w:r>
      <w:r w:rsidRPr="00CD33A8">
        <w:rPr>
          <w:rFonts w:ascii="Arial" w:hAnsi="Arial" w:cs="Arial"/>
          <w:sz w:val="28"/>
          <w:szCs w:val="28"/>
        </w:rPr>
        <w:t>:</w:t>
      </w:r>
      <w:r w:rsidR="00B22DA1" w:rsidRPr="00B22DA1">
        <w:t xml:space="preserve"> </w:t>
      </w:r>
      <w:r w:rsidR="00B22DA1" w:rsidRPr="00B22DA1">
        <w:rPr>
          <w:rFonts w:ascii="Arial" w:hAnsi="Arial" w:cs="Arial"/>
          <w:sz w:val="28"/>
          <w:szCs w:val="28"/>
        </w:rPr>
        <w:t>BMHP5019</w:t>
      </w:r>
    </w:p>
    <w:p w14:paraId="0A48766D" w14:textId="0E22F0B3"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name</w:t>
      </w:r>
      <w:r w:rsidRPr="00CD33A8">
        <w:rPr>
          <w:rFonts w:ascii="Arial" w:hAnsi="Arial" w:cs="Arial"/>
          <w:sz w:val="28"/>
          <w:szCs w:val="28"/>
          <w:lang w:val="nl-NL"/>
        </w:rPr>
        <w:t>:</w:t>
      </w:r>
      <w:r w:rsidR="00B22DA1">
        <w:rPr>
          <w:rFonts w:ascii="Arial" w:hAnsi="Arial" w:cs="Arial"/>
          <w:sz w:val="28"/>
          <w:szCs w:val="28"/>
          <w:lang w:val="nl-NL"/>
        </w:rPr>
        <w:t>Juliet Asiedu-Boateng</w:t>
      </w:r>
    </w:p>
    <w:p w14:paraId="39AA4413" w14:textId="5FB9F41A"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ID</w:t>
      </w:r>
      <w:r w:rsidRPr="00CD33A8">
        <w:rPr>
          <w:rFonts w:ascii="Arial" w:hAnsi="Arial" w:cs="Arial"/>
          <w:sz w:val="28"/>
          <w:szCs w:val="28"/>
          <w:lang w:val="nl-NL"/>
        </w:rPr>
        <w:t>:</w:t>
      </w:r>
      <w:r w:rsidR="00B22DA1">
        <w:rPr>
          <w:rFonts w:ascii="Arial" w:hAnsi="Arial" w:cs="Arial"/>
          <w:sz w:val="28"/>
          <w:szCs w:val="28"/>
          <w:lang w:val="nl-NL"/>
        </w:rPr>
        <w:t>2335599</w:t>
      </w:r>
    </w:p>
    <w:p w14:paraId="1A0B2D2B" w14:textId="4D19E82E" w:rsidR="00074402" w:rsidRPr="00CD33A8" w:rsidRDefault="00B8304B" w:rsidP="00CD33A8">
      <w:pPr>
        <w:tabs>
          <w:tab w:val="left" w:pos="6540"/>
        </w:tabs>
        <w:spacing w:line="360" w:lineRule="auto"/>
        <w:rPr>
          <w:rFonts w:ascii="Arial" w:hAnsi="Arial" w:cs="Arial"/>
          <w:sz w:val="28"/>
          <w:szCs w:val="28"/>
        </w:rPr>
      </w:pPr>
      <w:r>
        <w:rPr>
          <w:rFonts w:ascii="Arial" w:hAnsi="Arial" w:cs="Arial"/>
          <w:b/>
          <w:bCs/>
          <w:sz w:val="28"/>
          <w:szCs w:val="28"/>
        </w:rPr>
        <w:t>Lecturer’s name</w:t>
      </w:r>
      <w:r w:rsidR="00074402" w:rsidRPr="00CD33A8">
        <w:rPr>
          <w:rFonts w:ascii="Arial" w:hAnsi="Arial" w:cs="Arial"/>
          <w:sz w:val="28"/>
          <w:szCs w:val="28"/>
        </w:rPr>
        <w:t>:</w:t>
      </w:r>
      <w:r w:rsidR="00B22DA1" w:rsidRPr="00B22DA1">
        <w:t xml:space="preserve"> </w:t>
      </w:r>
      <w:r w:rsidR="00B22DA1" w:rsidRPr="00B22DA1">
        <w:rPr>
          <w:rFonts w:ascii="Arial" w:hAnsi="Arial" w:cs="Arial"/>
          <w:sz w:val="28"/>
          <w:szCs w:val="28"/>
        </w:rPr>
        <w:t>Muhammed Khan</w:t>
      </w:r>
    </w:p>
    <w:p w14:paraId="39D08584" w14:textId="77777777" w:rsidR="00074402" w:rsidRPr="00CD33A8" w:rsidRDefault="00074402" w:rsidP="00CD33A8">
      <w:pPr>
        <w:tabs>
          <w:tab w:val="left" w:pos="6540"/>
        </w:tabs>
        <w:spacing w:line="360" w:lineRule="auto"/>
        <w:rPr>
          <w:rFonts w:asciiTheme="minorBidi" w:hAnsiTheme="minorBidi"/>
          <w:sz w:val="22"/>
        </w:rPr>
      </w:pPr>
    </w:p>
    <w:p w14:paraId="5B66D125" w14:textId="77777777" w:rsidR="00074402" w:rsidRPr="00CD33A8" w:rsidRDefault="00074402" w:rsidP="00CD33A8">
      <w:pPr>
        <w:tabs>
          <w:tab w:val="left" w:pos="6540"/>
        </w:tabs>
        <w:spacing w:line="360" w:lineRule="auto"/>
        <w:rPr>
          <w:rFonts w:asciiTheme="minorBidi" w:hAnsiTheme="minorBidi"/>
          <w:sz w:val="22"/>
        </w:rPr>
      </w:pPr>
    </w:p>
    <w:p w14:paraId="291524A2" w14:textId="2CBFF360" w:rsidR="00074402" w:rsidRPr="00CD33A8" w:rsidRDefault="00074402" w:rsidP="00CD33A8">
      <w:pPr>
        <w:tabs>
          <w:tab w:val="left" w:pos="6540"/>
        </w:tabs>
        <w:spacing w:line="360" w:lineRule="auto"/>
        <w:rPr>
          <w:rFonts w:asciiTheme="minorBidi" w:hAnsiTheme="minorBidi"/>
          <w:sz w:val="22"/>
        </w:rPr>
      </w:pPr>
    </w:p>
    <w:p w14:paraId="5AE88297" w14:textId="24E6B718" w:rsidR="00B87E75" w:rsidRPr="00CD33A8" w:rsidRDefault="00B87E75" w:rsidP="00CD33A8">
      <w:pPr>
        <w:tabs>
          <w:tab w:val="left" w:pos="6540"/>
        </w:tabs>
        <w:spacing w:line="360" w:lineRule="auto"/>
        <w:rPr>
          <w:rFonts w:asciiTheme="minorBidi" w:hAnsiTheme="minorBidi"/>
          <w:sz w:val="22"/>
        </w:rPr>
      </w:pPr>
    </w:p>
    <w:p w14:paraId="420ADE33" w14:textId="35FB1322"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05AB2C84" w14:textId="4D2C1F1C" w:rsidR="00B87E75" w:rsidRPr="00CD33A8" w:rsidRDefault="00B87E75" w:rsidP="00361403">
      <w:pPr>
        <w:pStyle w:val="Heading1"/>
      </w:pPr>
      <w:r w:rsidRPr="00CD33A8">
        <w:lastRenderedPageBreak/>
        <w:t>Table of contents</w:t>
      </w:r>
    </w:p>
    <w:p w14:paraId="13E00080" w14:textId="137FF22A" w:rsidR="00B87E75" w:rsidRPr="00CD33A8" w:rsidRDefault="00B87E75" w:rsidP="00CD33A8">
      <w:pPr>
        <w:spacing w:line="360" w:lineRule="auto"/>
        <w:rPr>
          <w:rFonts w:asciiTheme="minorBidi" w:hAnsiTheme="minorBidi"/>
          <w:sz w:val="22"/>
        </w:rPr>
      </w:pPr>
    </w:p>
    <w:p w14:paraId="2E79F7ED" w14:textId="182913C0" w:rsidR="00B87E75" w:rsidRPr="00CD33A8" w:rsidRDefault="00B87E75" w:rsidP="00CD33A8">
      <w:pPr>
        <w:spacing w:line="360" w:lineRule="auto"/>
        <w:rPr>
          <w:rFonts w:asciiTheme="minorBidi" w:hAnsiTheme="minorBidi"/>
          <w:sz w:val="22"/>
        </w:rPr>
      </w:pPr>
    </w:p>
    <w:p w14:paraId="7AE771D5" w14:textId="1C06E45A" w:rsidR="00B87E75" w:rsidRPr="00CD33A8" w:rsidRDefault="00B87E75" w:rsidP="00CD33A8">
      <w:pPr>
        <w:spacing w:line="360" w:lineRule="auto"/>
        <w:rPr>
          <w:rFonts w:asciiTheme="minorBidi" w:hAnsiTheme="minorBidi"/>
          <w:sz w:val="22"/>
        </w:rPr>
      </w:pPr>
    </w:p>
    <w:p w14:paraId="4F7320CB" w14:textId="000D21B8"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2CF27283" w14:textId="506FC38A" w:rsidR="00B8304B" w:rsidRDefault="00B8304B" w:rsidP="00361403">
      <w:pPr>
        <w:pStyle w:val="Heading1"/>
      </w:pPr>
      <w:r>
        <w:lastRenderedPageBreak/>
        <w:t xml:space="preserve">Topic: </w:t>
      </w:r>
    </w:p>
    <w:p w14:paraId="313ED97C" w14:textId="430B33F9" w:rsidR="00CD33A8" w:rsidRPr="00713C6B" w:rsidRDefault="00CD33A8" w:rsidP="00361403">
      <w:pPr>
        <w:pStyle w:val="Heading1"/>
      </w:pPr>
      <w:r>
        <w:t>Abstract</w:t>
      </w:r>
    </w:p>
    <w:p w14:paraId="075C464C" w14:textId="77777777" w:rsidR="00850B3A" w:rsidRDefault="000E0EF8" w:rsidP="004A2BAA">
      <w:pPr>
        <w:spacing w:line="360" w:lineRule="auto"/>
        <w:jc w:val="both"/>
        <w:rPr>
          <w:rFonts w:ascii="Arial" w:hAnsi="Arial" w:cs="Arial"/>
          <w:sz w:val="22"/>
        </w:rPr>
      </w:pPr>
      <w:r w:rsidRPr="000E0EF8">
        <w:rPr>
          <w:rFonts w:ascii="Arial" w:hAnsi="Arial" w:cs="Arial"/>
          <w:sz w:val="22"/>
        </w:rPr>
        <w:t xml:space="preserve">This scoping review </w:t>
      </w:r>
      <w:r w:rsidR="00850B3A">
        <w:rPr>
          <w:rFonts w:ascii="Arial" w:hAnsi="Arial" w:cs="Arial"/>
          <w:sz w:val="22"/>
        </w:rPr>
        <w:t>on</w:t>
      </w:r>
      <w:r w:rsidRPr="000E0EF8">
        <w:rPr>
          <w:rFonts w:ascii="Arial" w:hAnsi="Arial" w:cs="Arial"/>
          <w:sz w:val="22"/>
        </w:rPr>
        <w:t xml:space="preserve"> access </w:t>
      </w:r>
      <w:r w:rsidR="00850B3A">
        <w:rPr>
          <w:rFonts w:ascii="Arial" w:hAnsi="Arial" w:cs="Arial"/>
          <w:sz w:val="22"/>
        </w:rPr>
        <w:t xml:space="preserve">and </w:t>
      </w:r>
      <w:r w:rsidRPr="000E0EF8">
        <w:rPr>
          <w:rFonts w:ascii="Arial" w:hAnsi="Arial" w:cs="Arial"/>
          <w:sz w:val="22"/>
        </w:rPr>
        <w:t>inequalities related to GP services in the United Kingdom</w:t>
      </w:r>
      <w:r w:rsidR="00850B3A">
        <w:rPr>
          <w:rFonts w:ascii="Arial" w:hAnsi="Arial" w:cs="Arial"/>
          <w:sz w:val="22"/>
        </w:rPr>
        <w:t xml:space="preserve"> attempts to identify</w:t>
      </w:r>
      <w:r w:rsidRPr="000E0EF8">
        <w:rPr>
          <w:rFonts w:ascii="Arial" w:hAnsi="Arial" w:cs="Arial"/>
          <w:sz w:val="22"/>
        </w:rPr>
        <w:t xml:space="preserve"> growing problem</w:t>
      </w:r>
      <w:r w:rsidR="00850B3A">
        <w:rPr>
          <w:rFonts w:ascii="Arial" w:hAnsi="Arial" w:cs="Arial"/>
          <w:sz w:val="22"/>
        </w:rPr>
        <w:t>s</w:t>
      </w:r>
      <w:r w:rsidRPr="000E0EF8">
        <w:rPr>
          <w:rFonts w:ascii="Arial" w:hAnsi="Arial" w:cs="Arial"/>
          <w:sz w:val="22"/>
        </w:rPr>
        <w:t xml:space="preserve"> in the NHS owing to high demand, digitali</w:t>
      </w:r>
      <w:r w:rsidR="00850B3A">
        <w:rPr>
          <w:rFonts w:ascii="Arial" w:hAnsi="Arial" w:cs="Arial"/>
          <w:sz w:val="22"/>
        </w:rPr>
        <w:t>s</w:t>
      </w:r>
      <w:r w:rsidRPr="000E0EF8">
        <w:rPr>
          <w:rFonts w:ascii="Arial" w:hAnsi="Arial" w:cs="Arial"/>
          <w:sz w:val="22"/>
        </w:rPr>
        <w:t xml:space="preserve">ation and existing health inequalities. </w:t>
      </w:r>
    </w:p>
    <w:p w14:paraId="18928D84" w14:textId="77777777" w:rsidR="001F718C" w:rsidRDefault="001F718C" w:rsidP="004A2BAA">
      <w:pPr>
        <w:spacing w:line="360" w:lineRule="auto"/>
        <w:jc w:val="both"/>
        <w:rPr>
          <w:rFonts w:ascii="Arial" w:hAnsi="Arial" w:cs="Arial"/>
          <w:sz w:val="22"/>
        </w:rPr>
      </w:pPr>
      <w:r w:rsidRPr="001F718C">
        <w:rPr>
          <w:rFonts w:ascii="Arial" w:hAnsi="Arial" w:cs="Arial"/>
          <w:sz w:val="22"/>
        </w:rPr>
        <w:t>This scoping review explores access and inequalities in GP services in the United Kingdom, highlighting growing NHS pressures linked to high demand, digitalisation and existing health disparities. Using Arksey and O’Malley’s model, five peer</w:t>
      </w:r>
      <w:r w:rsidRPr="001F718C">
        <w:rPr>
          <w:rFonts w:ascii="Cambria Math" w:hAnsi="Cambria Math" w:cs="Cambria Math"/>
          <w:sz w:val="22"/>
        </w:rPr>
        <w:t>‑</w:t>
      </w:r>
      <w:r w:rsidRPr="001F718C">
        <w:rPr>
          <w:rFonts w:ascii="Arial" w:hAnsi="Arial" w:cs="Arial"/>
          <w:sz w:val="22"/>
        </w:rPr>
        <w:t xml:space="preserve">reviewed UK studies published between 2021 and 2026 were identified through MEDLINE, PubMed, CINAHL and Google Scholar. Thematic analysis produced four themes: socioeconomic deprivation, ethnic inequalities, digital exclusion and structural barriers. </w:t>
      </w:r>
    </w:p>
    <w:p w14:paraId="7BE208C3" w14:textId="77777777" w:rsidR="001F718C" w:rsidRDefault="001F718C" w:rsidP="004A2BAA">
      <w:pPr>
        <w:spacing w:line="360" w:lineRule="auto"/>
        <w:jc w:val="both"/>
        <w:rPr>
          <w:rFonts w:ascii="Arial" w:hAnsi="Arial" w:cs="Arial"/>
          <w:sz w:val="22"/>
        </w:rPr>
      </w:pPr>
      <w:r w:rsidRPr="001F718C">
        <w:rPr>
          <w:rFonts w:ascii="Arial" w:hAnsi="Arial" w:cs="Arial"/>
          <w:sz w:val="22"/>
        </w:rPr>
        <w:t xml:space="preserve">Findings show that deprived communities face longer waiting times, poor continuity of care and difficulties navigating complex booking systems. Ethnic minorities experience language barriers, cultural differences and discrimination, reducing satisfaction with GP care. Digital exclusion affects older adults, disabled people and deprived groups who struggle with online booking and telemedicine. </w:t>
      </w:r>
    </w:p>
    <w:p w14:paraId="62F70E2D" w14:textId="494BCC1B" w:rsidR="00713C6B" w:rsidRDefault="001F718C" w:rsidP="004A2BAA">
      <w:pPr>
        <w:spacing w:line="360" w:lineRule="auto"/>
        <w:jc w:val="both"/>
        <w:rPr>
          <w:rFonts w:ascii="Arial" w:hAnsi="Arial" w:cs="Arial"/>
          <w:sz w:val="22"/>
        </w:rPr>
      </w:pPr>
      <w:r w:rsidRPr="001F718C">
        <w:rPr>
          <w:rFonts w:ascii="Arial" w:hAnsi="Arial" w:cs="Arial"/>
          <w:sz w:val="22"/>
        </w:rPr>
        <w:t>The review highlights the need for interventions such as digital literacy support, culturally sensitive care, simplified booking processes and financial incentives to improve GP access among vulnerable populations and reduce inequalities in primary care.</w:t>
      </w:r>
    </w:p>
    <w:p w14:paraId="6A143F6E" w14:textId="77777777" w:rsidR="00713C6B" w:rsidRDefault="00713C6B" w:rsidP="004A2BAA">
      <w:pPr>
        <w:spacing w:line="360" w:lineRule="auto"/>
        <w:jc w:val="both"/>
        <w:rPr>
          <w:rFonts w:ascii="Arial" w:hAnsi="Arial" w:cs="Arial"/>
          <w:sz w:val="22"/>
        </w:rPr>
      </w:pPr>
    </w:p>
    <w:p w14:paraId="0D4CDCFA" w14:textId="77777777" w:rsidR="00713C6B" w:rsidRDefault="00713C6B" w:rsidP="004A2BAA">
      <w:pPr>
        <w:spacing w:line="360" w:lineRule="auto"/>
        <w:jc w:val="both"/>
        <w:rPr>
          <w:rFonts w:ascii="Arial" w:hAnsi="Arial" w:cs="Arial"/>
          <w:sz w:val="22"/>
        </w:rPr>
      </w:pPr>
    </w:p>
    <w:p w14:paraId="408C07B7" w14:textId="77777777" w:rsidR="00713C6B" w:rsidRDefault="00713C6B" w:rsidP="004A2BAA">
      <w:pPr>
        <w:spacing w:line="360" w:lineRule="auto"/>
        <w:jc w:val="both"/>
        <w:rPr>
          <w:rFonts w:ascii="Arial" w:hAnsi="Arial" w:cs="Arial"/>
          <w:sz w:val="22"/>
        </w:rPr>
      </w:pPr>
    </w:p>
    <w:p w14:paraId="3B018B0C" w14:textId="77777777" w:rsidR="00713C6B" w:rsidRDefault="00713C6B" w:rsidP="004A2BAA">
      <w:pPr>
        <w:spacing w:line="360" w:lineRule="auto"/>
        <w:jc w:val="both"/>
        <w:rPr>
          <w:rFonts w:ascii="Arial" w:hAnsi="Arial" w:cs="Arial"/>
          <w:sz w:val="22"/>
        </w:rPr>
      </w:pPr>
    </w:p>
    <w:p w14:paraId="49A91E25" w14:textId="77777777" w:rsidR="00713C6B" w:rsidRDefault="00713C6B" w:rsidP="004A2BAA">
      <w:pPr>
        <w:spacing w:line="360" w:lineRule="auto"/>
        <w:jc w:val="both"/>
        <w:rPr>
          <w:rFonts w:ascii="Arial" w:hAnsi="Arial" w:cs="Arial"/>
          <w:sz w:val="22"/>
        </w:rPr>
      </w:pPr>
    </w:p>
    <w:p w14:paraId="4164BBCA" w14:textId="77777777" w:rsidR="00713C6B" w:rsidRDefault="00713C6B" w:rsidP="004A2BAA">
      <w:pPr>
        <w:spacing w:line="360" w:lineRule="auto"/>
        <w:jc w:val="both"/>
        <w:rPr>
          <w:rFonts w:ascii="Arial" w:hAnsi="Arial" w:cs="Arial"/>
          <w:sz w:val="22"/>
        </w:rPr>
      </w:pPr>
    </w:p>
    <w:p w14:paraId="1CB5E46A" w14:textId="77777777" w:rsidR="00713C6B" w:rsidRDefault="00713C6B" w:rsidP="004A2BAA">
      <w:pPr>
        <w:spacing w:line="360" w:lineRule="auto"/>
        <w:jc w:val="both"/>
        <w:rPr>
          <w:rFonts w:ascii="Arial" w:hAnsi="Arial" w:cs="Arial"/>
          <w:sz w:val="22"/>
        </w:rPr>
      </w:pPr>
    </w:p>
    <w:p w14:paraId="250FE09D" w14:textId="77777777" w:rsidR="00713C6B" w:rsidRDefault="00713C6B" w:rsidP="004A2BAA">
      <w:pPr>
        <w:spacing w:line="360" w:lineRule="auto"/>
        <w:jc w:val="both"/>
        <w:rPr>
          <w:rFonts w:ascii="Arial" w:hAnsi="Arial" w:cs="Arial"/>
          <w:sz w:val="22"/>
        </w:rPr>
      </w:pPr>
    </w:p>
    <w:p w14:paraId="5A7AB1E5" w14:textId="77777777" w:rsidR="001F718C" w:rsidRPr="00CD33A8" w:rsidRDefault="001F718C" w:rsidP="004A2BAA">
      <w:pPr>
        <w:spacing w:line="360" w:lineRule="auto"/>
        <w:jc w:val="both"/>
        <w:rPr>
          <w:rFonts w:ascii="Arial" w:hAnsi="Arial" w:cs="Arial"/>
          <w:sz w:val="22"/>
        </w:rPr>
      </w:pPr>
    </w:p>
    <w:p w14:paraId="12D76753" w14:textId="41B79D49" w:rsidR="00B87E75" w:rsidRPr="009B4744" w:rsidRDefault="00B87E75" w:rsidP="00361403">
      <w:pPr>
        <w:pStyle w:val="Heading1"/>
      </w:pPr>
      <w:r w:rsidRPr="009B4744">
        <w:lastRenderedPageBreak/>
        <w:t>Introduction</w:t>
      </w:r>
    </w:p>
    <w:p w14:paraId="21663352" w14:textId="77777777" w:rsidR="00F268D5" w:rsidRDefault="00F268D5" w:rsidP="00195A7D">
      <w:pPr>
        <w:tabs>
          <w:tab w:val="left" w:pos="6540"/>
        </w:tabs>
        <w:spacing w:line="360" w:lineRule="auto"/>
        <w:rPr>
          <w:rFonts w:ascii="Arial" w:hAnsi="Arial" w:cs="Arial"/>
          <w:color w:val="FF0000"/>
          <w:sz w:val="22"/>
        </w:rPr>
      </w:pPr>
    </w:p>
    <w:p w14:paraId="600DBE58" w14:textId="77777777" w:rsidR="00736CA9" w:rsidRDefault="00736CA9" w:rsidP="00195A7D">
      <w:pPr>
        <w:tabs>
          <w:tab w:val="left" w:pos="6540"/>
        </w:tabs>
        <w:spacing w:line="360" w:lineRule="auto"/>
        <w:rPr>
          <w:rFonts w:ascii="Arial" w:hAnsi="Arial" w:cs="Arial"/>
          <w:sz w:val="22"/>
        </w:rPr>
      </w:pPr>
      <w:r w:rsidRPr="00736CA9">
        <w:rPr>
          <w:rFonts w:ascii="Arial" w:hAnsi="Arial" w:cs="Arial"/>
          <w:sz w:val="22"/>
        </w:rPr>
        <w:t>Access to general practice denotes the ability of a person to get timely and appropriate primary care, which may take place in three forms, namely face</w:t>
      </w:r>
      <w:r w:rsidRPr="00736CA9">
        <w:rPr>
          <w:rFonts w:ascii="Cambria Math" w:hAnsi="Cambria Math" w:cs="Cambria Math"/>
          <w:sz w:val="22"/>
        </w:rPr>
        <w:t>‑</w:t>
      </w:r>
      <w:r w:rsidRPr="00736CA9">
        <w:rPr>
          <w:rFonts w:ascii="Arial" w:hAnsi="Arial" w:cs="Arial"/>
          <w:sz w:val="22"/>
        </w:rPr>
        <w:t>to</w:t>
      </w:r>
      <w:r w:rsidRPr="00736CA9">
        <w:rPr>
          <w:rFonts w:ascii="Cambria Math" w:hAnsi="Cambria Math" w:cs="Cambria Math"/>
          <w:sz w:val="22"/>
        </w:rPr>
        <w:t>‑</w:t>
      </w:r>
      <w:r w:rsidRPr="00736CA9">
        <w:rPr>
          <w:rFonts w:ascii="Arial" w:hAnsi="Arial" w:cs="Arial"/>
          <w:sz w:val="22"/>
        </w:rPr>
        <w:t>face, phone and web consultation(s) (NHS England, 2023). Access inequalities denote the disparities in the availability, quality, or experience of the services provided by general practice among different population groups (The King’s Fund, 2022). The inequalities are usually informed by factors such as deprivation, ethnicity, disability, age and even digital competence (Health Foundation, 2023).</w:t>
      </w:r>
    </w:p>
    <w:p w14:paraId="695B4606" w14:textId="77777777" w:rsidR="001F718C" w:rsidRDefault="001F718C" w:rsidP="00195A7D">
      <w:pPr>
        <w:tabs>
          <w:tab w:val="left" w:pos="6540"/>
        </w:tabs>
        <w:spacing w:line="360" w:lineRule="auto"/>
        <w:rPr>
          <w:rFonts w:ascii="Arial" w:hAnsi="Arial" w:cs="Arial"/>
          <w:sz w:val="22"/>
        </w:rPr>
      </w:pPr>
      <w:r w:rsidRPr="001F718C">
        <w:rPr>
          <w:rFonts w:ascii="Arial" w:hAnsi="Arial" w:cs="Arial"/>
          <w:sz w:val="22"/>
        </w:rPr>
        <w:t>It is now widely recognised that general practice access is not the same for all populations. Residents of disadvantaged neighbourhoods struggle with timely appointments and navigating complex access systems (Health Foundation, 2023). Ethnic minorities face language barriers, discrimination and poor continuity (Ocloo et al., 2022). Digitalised general practice further excludes older adults, disabled people and those with low digital skills (NHS England, 2023; Digital Poverty Alliance, 2024). These disparities combine with workforce shortages and rising demand to create significant access problems.</w:t>
      </w:r>
    </w:p>
    <w:p w14:paraId="018457B6" w14:textId="43DBFBE5" w:rsidR="00195A7D" w:rsidRPr="00F268D5" w:rsidRDefault="00195A7D" w:rsidP="00195A7D">
      <w:pPr>
        <w:tabs>
          <w:tab w:val="left" w:pos="6540"/>
        </w:tabs>
        <w:spacing w:line="360" w:lineRule="auto"/>
        <w:rPr>
          <w:rFonts w:ascii="Arial" w:hAnsi="Arial" w:cs="Arial"/>
          <w:b/>
          <w:bCs/>
          <w:sz w:val="22"/>
        </w:rPr>
      </w:pPr>
      <w:r w:rsidRPr="00F268D5">
        <w:rPr>
          <w:rFonts w:ascii="Arial" w:hAnsi="Arial" w:cs="Arial"/>
          <w:b/>
          <w:bCs/>
          <w:sz w:val="22"/>
        </w:rPr>
        <w:t>Rationale of the research</w:t>
      </w:r>
    </w:p>
    <w:p w14:paraId="2C9827A3" w14:textId="77777777" w:rsidR="00EE01CA" w:rsidRDefault="00EE01CA" w:rsidP="00195A7D">
      <w:pPr>
        <w:tabs>
          <w:tab w:val="left" w:pos="6540"/>
        </w:tabs>
        <w:spacing w:line="360" w:lineRule="auto"/>
        <w:rPr>
          <w:rFonts w:ascii="Arial" w:hAnsi="Arial" w:cs="Arial"/>
          <w:sz w:val="22"/>
        </w:rPr>
      </w:pPr>
      <w:r w:rsidRPr="00EE01CA">
        <w:rPr>
          <w:rFonts w:ascii="Arial" w:hAnsi="Arial" w:cs="Arial"/>
          <w:sz w:val="22"/>
        </w:rPr>
        <w:t>There are significant inequalities in access to GP services in the UK health and social care sector. According to NHS England (2023), patients from impoverished neighbourhoods struggle to obtain timely GP appointments compared with those in wealthier areas. Ethnic minorities also face language barriers, discrimination and poor continuity of care (Ocloo et al., 2022). Digital health provision adds another layer of inequality, affecting older adults, disabled people and individuals with low digital skills (Digital Poverty Alliance, 2024).</w:t>
      </w:r>
    </w:p>
    <w:p w14:paraId="350D450A" w14:textId="7E6CBCE9" w:rsidR="00195A7D" w:rsidRPr="00195A7D" w:rsidRDefault="00195A7D" w:rsidP="00195A7D">
      <w:pPr>
        <w:tabs>
          <w:tab w:val="left" w:pos="6540"/>
        </w:tabs>
        <w:spacing w:line="360" w:lineRule="auto"/>
        <w:rPr>
          <w:rFonts w:ascii="Arial" w:hAnsi="Arial" w:cs="Arial"/>
          <w:sz w:val="22"/>
        </w:rPr>
      </w:pPr>
      <w:r w:rsidRPr="00195A7D">
        <w:rPr>
          <w:rFonts w:ascii="Arial" w:hAnsi="Arial" w:cs="Arial"/>
          <w:sz w:val="22"/>
        </w:rPr>
        <w:t>Scoping reviews are best suited for the subject matter owing to the heterogeneous and novel evidence. Scoping reviews help researchers in mapping out the current literature to identify themes and knowledge gaps (Arksey &amp; O’Malley, 2005). Inequalities, on the other hand, are complex concepts covering several demographic groups and service models.</w:t>
      </w:r>
    </w:p>
    <w:p w14:paraId="3B0C1255" w14:textId="77777777" w:rsidR="00AA075D" w:rsidRDefault="00AA075D" w:rsidP="00195A7D">
      <w:pPr>
        <w:tabs>
          <w:tab w:val="left" w:pos="6540"/>
        </w:tabs>
        <w:spacing w:line="360" w:lineRule="auto"/>
        <w:rPr>
          <w:rFonts w:ascii="Arial" w:hAnsi="Arial" w:cs="Arial"/>
          <w:b/>
          <w:bCs/>
          <w:sz w:val="22"/>
        </w:rPr>
      </w:pPr>
    </w:p>
    <w:p w14:paraId="71C7182C" w14:textId="77777777" w:rsidR="00AA075D" w:rsidRDefault="00AA075D" w:rsidP="00195A7D">
      <w:pPr>
        <w:tabs>
          <w:tab w:val="left" w:pos="6540"/>
        </w:tabs>
        <w:spacing w:line="360" w:lineRule="auto"/>
        <w:rPr>
          <w:rFonts w:ascii="Arial" w:hAnsi="Arial" w:cs="Arial"/>
          <w:b/>
          <w:bCs/>
          <w:sz w:val="22"/>
        </w:rPr>
      </w:pPr>
    </w:p>
    <w:p w14:paraId="591E6C92" w14:textId="59281554" w:rsidR="00195A7D" w:rsidRPr="00F268D5" w:rsidRDefault="00195A7D" w:rsidP="00195A7D">
      <w:pPr>
        <w:tabs>
          <w:tab w:val="left" w:pos="6540"/>
        </w:tabs>
        <w:spacing w:line="360" w:lineRule="auto"/>
        <w:rPr>
          <w:rFonts w:ascii="Arial" w:hAnsi="Arial" w:cs="Arial"/>
          <w:b/>
          <w:bCs/>
          <w:sz w:val="22"/>
        </w:rPr>
      </w:pPr>
      <w:r w:rsidRPr="00F268D5">
        <w:rPr>
          <w:rFonts w:ascii="Arial" w:hAnsi="Arial" w:cs="Arial"/>
          <w:b/>
          <w:bCs/>
          <w:sz w:val="22"/>
        </w:rPr>
        <w:t>Review question</w:t>
      </w:r>
    </w:p>
    <w:p w14:paraId="7F37F201" w14:textId="77777777" w:rsidR="00195A7D" w:rsidRPr="00195A7D" w:rsidRDefault="00195A7D" w:rsidP="00195A7D">
      <w:pPr>
        <w:tabs>
          <w:tab w:val="left" w:pos="6540"/>
        </w:tabs>
        <w:spacing w:line="360" w:lineRule="auto"/>
        <w:rPr>
          <w:rFonts w:ascii="Arial" w:hAnsi="Arial" w:cs="Arial"/>
          <w:sz w:val="22"/>
        </w:rPr>
      </w:pPr>
      <w:r w:rsidRPr="00195A7D">
        <w:rPr>
          <w:rFonts w:ascii="Arial" w:hAnsi="Arial" w:cs="Arial"/>
          <w:sz w:val="22"/>
        </w:rPr>
        <w:t>What inequalities are encountered by patients when accessing GP services in the United Kingdom?</w:t>
      </w:r>
    </w:p>
    <w:p w14:paraId="204C0FD2" w14:textId="77777777" w:rsidR="00195A7D" w:rsidRPr="009B4744" w:rsidRDefault="00195A7D" w:rsidP="00195A7D">
      <w:pPr>
        <w:tabs>
          <w:tab w:val="left" w:pos="6540"/>
        </w:tabs>
        <w:spacing w:line="360" w:lineRule="auto"/>
        <w:rPr>
          <w:rFonts w:ascii="Arial" w:hAnsi="Arial" w:cs="Arial"/>
          <w:b/>
          <w:bCs/>
          <w:sz w:val="22"/>
        </w:rPr>
      </w:pPr>
      <w:r w:rsidRPr="009B4744">
        <w:rPr>
          <w:rFonts w:ascii="Arial" w:hAnsi="Arial" w:cs="Arial"/>
          <w:b/>
          <w:bCs/>
          <w:sz w:val="22"/>
        </w:rPr>
        <w:lastRenderedPageBreak/>
        <w:t xml:space="preserve">Objectives </w:t>
      </w:r>
    </w:p>
    <w:p w14:paraId="3C3A58B0" w14:textId="1BDDBFC1" w:rsidR="00195A7D" w:rsidRPr="00195A7D" w:rsidRDefault="00195A7D" w:rsidP="00AA075D">
      <w:pPr>
        <w:tabs>
          <w:tab w:val="left" w:pos="6540"/>
        </w:tabs>
        <w:spacing w:line="360" w:lineRule="auto"/>
        <w:rPr>
          <w:rFonts w:ascii="Arial" w:hAnsi="Arial" w:cs="Arial"/>
          <w:sz w:val="22"/>
        </w:rPr>
      </w:pPr>
      <w:r w:rsidRPr="00195A7D">
        <w:rPr>
          <w:rFonts w:ascii="Arial" w:hAnsi="Arial" w:cs="Arial"/>
          <w:sz w:val="22"/>
        </w:rPr>
        <w:t>1</w:t>
      </w:r>
      <w:r>
        <w:rPr>
          <w:rFonts w:ascii="Arial" w:hAnsi="Arial" w:cs="Arial"/>
          <w:sz w:val="22"/>
        </w:rPr>
        <w:t>.</w:t>
      </w:r>
      <w:r w:rsidRPr="00195A7D">
        <w:rPr>
          <w:rFonts w:ascii="Arial" w:hAnsi="Arial" w:cs="Arial"/>
          <w:sz w:val="22"/>
        </w:rPr>
        <w:t>To examine the current literature on barriers faced in accessing GP services by different populations.</w:t>
      </w:r>
    </w:p>
    <w:p w14:paraId="4CBC1297" w14:textId="389AC3A0" w:rsidR="00195A7D" w:rsidRPr="00195A7D" w:rsidRDefault="00195A7D" w:rsidP="00AA075D">
      <w:pPr>
        <w:tabs>
          <w:tab w:val="left" w:pos="6540"/>
        </w:tabs>
        <w:spacing w:line="360" w:lineRule="auto"/>
        <w:rPr>
          <w:rFonts w:ascii="Arial" w:hAnsi="Arial" w:cs="Arial"/>
          <w:sz w:val="22"/>
        </w:rPr>
      </w:pPr>
      <w:r w:rsidRPr="00195A7D">
        <w:rPr>
          <w:rFonts w:ascii="Arial" w:hAnsi="Arial" w:cs="Arial"/>
          <w:sz w:val="22"/>
        </w:rPr>
        <w:t>2.To find out who faces inequity (such as ethnic minorities, elderly patients, digitally excluded persons) and how much exclusion occurs.</w:t>
      </w:r>
    </w:p>
    <w:p w14:paraId="41A237C5" w14:textId="244F9397" w:rsidR="00195A7D" w:rsidRPr="00195A7D" w:rsidRDefault="00195A7D" w:rsidP="00AA075D">
      <w:pPr>
        <w:tabs>
          <w:tab w:val="left" w:pos="6540"/>
        </w:tabs>
        <w:spacing w:line="360" w:lineRule="auto"/>
        <w:rPr>
          <w:rFonts w:ascii="Arial" w:hAnsi="Arial" w:cs="Arial"/>
          <w:sz w:val="22"/>
        </w:rPr>
      </w:pPr>
      <w:r w:rsidRPr="00195A7D">
        <w:rPr>
          <w:rFonts w:ascii="Arial" w:hAnsi="Arial" w:cs="Arial"/>
          <w:sz w:val="22"/>
        </w:rPr>
        <w:t>3.To explore the influence of social, demographic, and digital factors on GP access.</w:t>
      </w:r>
    </w:p>
    <w:p w14:paraId="21B60CBD" w14:textId="0A8F9904" w:rsidR="00195A7D" w:rsidRPr="00CD33A8" w:rsidRDefault="00195A7D" w:rsidP="00AA075D">
      <w:pPr>
        <w:tabs>
          <w:tab w:val="left" w:pos="6540"/>
        </w:tabs>
        <w:spacing w:line="360" w:lineRule="auto"/>
        <w:rPr>
          <w:rFonts w:ascii="Arial" w:hAnsi="Arial" w:cs="Arial"/>
          <w:sz w:val="22"/>
        </w:rPr>
      </w:pPr>
      <w:r w:rsidRPr="00195A7D">
        <w:rPr>
          <w:rFonts w:ascii="Arial" w:hAnsi="Arial" w:cs="Arial"/>
          <w:sz w:val="22"/>
        </w:rPr>
        <w:t>4.</w:t>
      </w:r>
      <w:r w:rsidR="00AA075D" w:rsidRPr="00AA075D">
        <w:t xml:space="preserve"> </w:t>
      </w:r>
      <w:r w:rsidR="00AA075D" w:rsidRPr="00AA075D">
        <w:rPr>
          <w:rFonts w:ascii="Arial" w:hAnsi="Arial" w:cs="Arial"/>
          <w:sz w:val="22"/>
        </w:rPr>
        <w:t xml:space="preserve">To identify areas in need of further research </w:t>
      </w:r>
      <w:r w:rsidR="00AA075D" w:rsidRPr="00AA075D">
        <w:rPr>
          <w:rFonts w:ascii="Arial" w:hAnsi="Arial" w:cs="Arial"/>
          <w:sz w:val="22"/>
        </w:rPr>
        <w:t>to</w:t>
      </w:r>
      <w:r w:rsidR="00AA075D" w:rsidRPr="00AA075D">
        <w:rPr>
          <w:rFonts w:ascii="Arial" w:hAnsi="Arial" w:cs="Arial"/>
          <w:sz w:val="22"/>
        </w:rPr>
        <w:t xml:space="preserve"> inform future policy, improve service design, and support more equitable access to general practice across the UK.</w:t>
      </w:r>
    </w:p>
    <w:p w14:paraId="77EA48DD" w14:textId="77777777" w:rsidR="009B4744" w:rsidRDefault="009B4744" w:rsidP="00AA075D">
      <w:pPr>
        <w:pStyle w:val="Heading1"/>
      </w:pPr>
    </w:p>
    <w:p w14:paraId="0F7D7609" w14:textId="4F4DD4D2" w:rsidR="0026393A" w:rsidRPr="00CD33A8" w:rsidRDefault="0026393A" w:rsidP="00361403">
      <w:pPr>
        <w:pStyle w:val="Heading1"/>
      </w:pPr>
      <w:r w:rsidRPr="00CD33A8">
        <w:t>Background</w:t>
      </w:r>
    </w:p>
    <w:p w14:paraId="5E0AE48D" w14:textId="77777777" w:rsidR="00EE01CA" w:rsidRDefault="00EE01CA" w:rsidP="00195A7D">
      <w:pPr>
        <w:tabs>
          <w:tab w:val="left" w:pos="6540"/>
        </w:tabs>
        <w:spacing w:line="360" w:lineRule="auto"/>
        <w:rPr>
          <w:rFonts w:asciiTheme="minorBidi" w:hAnsiTheme="minorBidi"/>
          <w:sz w:val="22"/>
        </w:rPr>
      </w:pPr>
      <w:r w:rsidRPr="00EE01CA">
        <w:rPr>
          <w:rFonts w:asciiTheme="minorBidi" w:hAnsiTheme="minorBidi"/>
          <w:sz w:val="22"/>
        </w:rPr>
        <w:t>Access to general practice (GP) services is a key pillar of the National Health Service (NHS) in the United Kingdom and provides the first point of contact for most health problems, as well as the basis of prevention, early detection and management of health conditions (NHS England, 2023). Despite the NHS’s principle of equal access, inequalities in GP access have persisted over the past decade and in some cases widened (The King’s Fund, 2022). These inequalities are shaped by socioeconomic deprivation, ethnicity, age, disability, digital literacy and structural factors within the system (Health Foundation, 2023)</w:t>
      </w:r>
    </w:p>
    <w:p w14:paraId="164B7FDF" w14:textId="0389F1B8" w:rsidR="00195A7D" w:rsidRPr="009B4744" w:rsidRDefault="00195A7D" w:rsidP="00195A7D">
      <w:pPr>
        <w:tabs>
          <w:tab w:val="left" w:pos="6540"/>
        </w:tabs>
        <w:spacing w:line="360" w:lineRule="auto"/>
        <w:rPr>
          <w:rFonts w:asciiTheme="minorBidi" w:hAnsiTheme="minorBidi"/>
          <w:b/>
          <w:bCs/>
          <w:sz w:val="22"/>
        </w:rPr>
      </w:pPr>
      <w:r w:rsidRPr="009B4744">
        <w:rPr>
          <w:rFonts w:asciiTheme="minorBidi" w:hAnsiTheme="minorBidi"/>
          <w:b/>
          <w:bCs/>
          <w:sz w:val="22"/>
        </w:rPr>
        <w:t>Policy Context and the Role of Primary Care in the UK</w:t>
      </w:r>
    </w:p>
    <w:p w14:paraId="078F4259" w14:textId="1B16C35E" w:rsidR="00AA075D" w:rsidRDefault="00EE01CA" w:rsidP="00195A7D">
      <w:pPr>
        <w:tabs>
          <w:tab w:val="left" w:pos="6540"/>
        </w:tabs>
        <w:spacing w:line="360" w:lineRule="auto"/>
        <w:rPr>
          <w:rFonts w:asciiTheme="minorBidi" w:hAnsiTheme="minorBidi"/>
          <w:b/>
          <w:bCs/>
          <w:sz w:val="22"/>
        </w:rPr>
      </w:pPr>
      <w:r w:rsidRPr="00EE01CA">
        <w:rPr>
          <w:rFonts w:asciiTheme="minorBidi" w:hAnsiTheme="minorBidi"/>
          <w:sz w:val="22"/>
        </w:rPr>
        <w:t>Access to primary care should enable individuals to receive comprehensive, coordinated and continuous care within the NHS. The NHS Long Term Plan highlights improving access through online channels and reducing inequalities (NHS England, 2019). To enhance efficiency, GP surgeries now integrate face</w:t>
      </w:r>
      <w:r w:rsidRPr="00EE01CA">
        <w:rPr>
          <w:rFonts w:ascii="Cambria Math" w:hAnsi="Cambria Math" w:cs="Cambria Math"/>
          <w:sz w:val="22"/>
        </w:rPr>
        <w:t>‑</w:t>
      </w:r>
      <w:r w:rsidRPr="00EE01CA">
        <w:rPr>
          <w:rFonts w:asciiTheme="minorBidi" w:hAnsiTheme="minorBidi"/>
          <w:sz w:val="22"/>
        </w:rPr>
        <w:t>to</w:t>
      </w:r>
      <w:r w:rsidRPr="00EE01CA">
        <w:rPr>
          <w:rFonts w:ascii="Cambria Math" w:hAnsi="Cambria Math" w:cs="Cambria Math"/>
          <w:sz w:val="22"/>
        </w:rPr>
        <w:t>‑</w:t>
      </w:r>
      <w:r w:rsidRPr="00EE01CA">
        <w:rPr>
          <w:rFonts w:asciiTheme="minorBidi" w:hAnsiTheme="minorBidi"/>
          <w:sz w:val="22"/>
        </w:rPr>
        <w:t>face appointments, phone consultations and online triage systems.</w:t>
      </w:r>
    </w:p>
    <w:p w14:paraId="3FD04908" w14:textId="77777777" w:rsidR="00AA075D" w:rsidRDefault="00AA075D" w:rsidP="00195A7D">
      <w:pPr>
        <w:tabs>
          <w:tab w:val="left" w:pos="6540"/>
        </w:tabs>
        <w:spacing w:line="360" w:lineRule="auto"/>
        <w:rPr>
          <w:rFonts w:asciiTheme="minorBidi" w:hAnsiTheme="minorBidi"/>
          <w:b/>
          <w:bCs/>
          <w:sz w:val="22"/>
        </w:rPr>
      </w:pPr>
    </w:p>
    <w:p w14:paraId="3CB519A1" w14:textId="1DF0F413" w:rsidR="00195A7D" w:rsidRPr="009B4744" w:rsidRDefault="00195A7D" w:rsidP="00195A7D">
      <w:pPr>
        <w:tabs>
          <w:tab w:val="left" w:pos="6540"/>
        </w:tabs>
        <w:spacing w:line="360" w:lineRule="auto"/>
        <w:rPr>
          <w:rFonts w:asciiTheme="minorBidi" w:hAnsiTheme="minorBidi"/>
          <w:b/>
          <w:bCs/>
          <w:sz w:val="22"/>
        </w:rPr>
      </w:pPr>
      <w:r w:rsidRPr="009B4744">
        <w:rPr>
          <w:rFonts w:asciiTheme="minorBidi" w:hAnsiTheme="minorBidi"/>
          <w:b/>
          <w:bCs/>
          <w:sz w:val="22"/>
        </w:rPr>
        <w:t>Socioeconomic Inequalities in GP Access</w:t>
      </w:r>
    </w:p>
    <w:p w14:paraId="3CDFAD3C" w14:textId="77777777" w:rsidR="00EE01CA" w:rsidRDefault="00EE01CA" w:rsidP="00195A7D">
      <w:pPr>
        <w:tabs>
          <w:tab w:val="left" w:pos="6540"/>
        </w:tabs>
        <w:spacing w:line="360" w:lineRule="auto"/>
        <w:rPr>
          <w:rFonts w:asciiTheme="minorBidi" w:hAnsiTheme="minorBidi"/>
          <w:sz w:val="22"/>
        </w:rPr>
      </w:pPr>
      <w:r w:rsidRPr="00EE01CA">
        <w:rPr>
          <w:rFonts w:asciiTheme="minorBidi" w:hAnsiTheme="minorBidi"/>
          <w:sz w:val="22"/>
        </w:rPr>
        <w:t xml:space="preserve">Socioeconomic deprivation is a strong predictor of poor access to GP care. Patients in deprived areas struggle with timely appointments, navigating access channels and maintaining continuity of care (Health Foundation, 2023). Practices in these regions face fewer doctors, higher demand and more complex cases (The King’s Fund, 2022). Continuity of care is notably low among disadvantaged groups, affecting health outcomes and </w:t>
      </w:r>
      <w:r w:rsidRPr="00EE01CA">
        <w:rPr>
          <w:rFonts w:asciiTheme="minorBidi" w:hAnsiTheme="minorBidi"/>
          <w:sz w:val="22"/>
        </w:rPr>
        <w:lastRenderedPageBreak/>
        <w:t>increasing emergency use (Ocloo et al., 2022). These disadvantages overlap with digital inequality, limiting access to online services (Digital Poverty Alliance, 2024).</w:t>
      </w:r>
    </w:p>
    <w:p w14:paraId="78029EDF" w14:textId="170BDB10" w:rsidR="00195A7D" w:rsidRPr="009B4744" w:rsidRDefault="00195A7D" w:rsidP="00195A7D">
      <w:pPr>
        <w:tabs>
          <w:tab w:val="left" w:pos="6540"/>
        </w:tabs>
        <w:spacing w:line="360" w:lineRule="auto"/>
        <w:rPr>
          <w:rFonts w:asciiTheme="minorBidi" w:hAnsiTheme="minorBidi"/>
          <w:b/>
          <w:bCs/>
          <w:sz w:val="22"/>
        </w:rPr>
      </w:pPr>
      <w:r w:rsidRPr="009B4744">
        <w:rPr>
          <w:rFonts w:asciiTheme="minorBidi" w:hAnsiTheme="minorBidi"/>
          <w:b/>
          <w:bCs/>
          <w:sz w:val="22"/>
        </w:rPr>
        <w:t>Ethnic Inequalities in GP Access</w:t>
      </w:r>
    </w:p>
    <w:p w14:paraId="2A6C591D" w14:textId="77777777" w:rsidR="00A71E69" w:rsidRDefault="00A71E69" w:rsidP="00195A7D">
      <w:pPr>
        <w:tabs>
          <w:tab w:val="left" w:pos="6540"/>
        </w:tabs>
        <w:spacing w:line="360" w:lineRule="auto"/>
        <w:rPr>
          <w:rFonts w:asciiTheme="minorBidi" w:hAnsiTheme="minorBidi"/>
          <w:sz w:val="22"/>
        </w:rPr>
      </w:pPr>
      <w:r w:rsidRPr="00A71E69">
        <w:rPr>
          <w:rFonts w:asciiTheme="minorBidi" w:hAnsiTheme="minorBidi"/>
          <w:sz w:val="22"/>
        </w:rPr>
        <w:t xml:space="preserve">Ethnic minority groups face several obstacles when accessing GP services, including language challenges, cultural differences and experiences of discrimination (Ocloo et al., 2022). The NHS Race &amp; Health Observatory (2023) reports frequent misunderstanding and dismissal during consultations, especially remote ones. </w:t>
      </w:r>
    </w:p>
    <w:p w14:paraId="3EF302DF" w14:textId="0BC1F1F7" w:rsidR="00A71E69" w:rsidRDefault="00A71E69" w:rsidP="00195A7D">
      <w:pPr>
        <w:tabs>
          <w:tab w:val="left" w:pos="6540"/>
        </w:tabs>
        <w:spacing w:line="360" w:lineRule="auto"/>
        <w:rPr>
          <w:rFonts w:asciiTheme="minorBidi" w:hAnsiTheme="minorBidi"/>
          <w:sz w:val="22"/>
        </w:rPr>
      </w:pPr>
      <w:r w:rsidRPr="00A71E69">
        <w:rPr>
          <w:rFonts w:asciiTheme="minorBidi" w:hAnsiTheme="minorBidi"/>
          <w:sz w:val="22"/>
        </w:rPr>
        <w:t>Further disparities appear in reduced continuity of care, lower satisfaction with online access and greater difficulty navigating appointment systems. These inequalities contribute to poorer health outcomes and increased risks of delayed diagnosis for minority patients.</w:t>
      </w:r>
    </w:p>
    <w:p w14:paraId="52A00B6F" w14:textId="0D66E1D9" w:rsidR="00195A7D" w:rsidRPr="009B4744" w:rsidRDefault="00195A7D" w:rsidP="00195A7D">
      <w:pPr>
        <w:tabs>
          <w:tab w:val="left" w:pos="6540"/>
        </w:tabs>
        <w:spacing w:line="360" w:lineRule="auto"/>
        <w:rPr>
          <w:rFonts w:asciiTheme="minorBidi" w:hAnsiTheme="minorBidi"/>
          <w:b/>
          <w:bCs/>
          <w:sz w:val="22"/>
        </w:rPr>
      </w:pPr>
      <w:r w:rsidRPr="009B4744">
        <w:rPr>
          <w:rFonts w:asciiTheme="minorBidi" w:hAnsiTheme="minorBidi"/>
          <w:b/>
          <w:bCs/>
          <w:sz w:val="22"/>
        </w:rPr>
        <w:t>Digital Exclusion and the Rise of Digitalised Primary Care</w:t>
      </w:r>
    </w:p>
    <w:p w14:paraId="60E37B64" w14:textId="587B8A48" w:rsidR="00195A7D" w:rsidRPr="00195A7D" w:rsidRDefault="00195A7D" w:rsidP="00195A7D">
      <w:pPr>
        <w:tabs>
          <w:tab w:val="left" w:pos="6540"/>
        </w:tabs>
        <w:spacing w:line="360" w:lineRule="auto"/>
        <w:rPr>
          <w:rFonts w:asciiTheme="minorBidi" w:hAnsiTheme="minorBidi"/>
          <w:sz w:val="22"/>
        </w:rPr>
      </w:pPr>
      <w:r w:rsidRPr="00195A7D">
        <w:rPr>
          <w:rFonts w:asciiTheme="minorBidi" w:hAnsiTheme="minorBidi"/>
          <w:sz w:val="22"/>
        </w:rPr>
        <w:t>Digiti</w:t>
      </w:r>
      <w:r w:rsidR="009B4744">
        <w:rPr>
          <w:rFonts w:asciiTheme="minorBidi" w:hAnsiTheme="minorBidi"/>
          <w:sz w:val="22"/>
        </w:rPr>
        <w:t>s</w:t>
      </w:r>
      <w:r w:rsidRPr="00195A7D">
        <w:rPr>
          <w:rFonts w:asciiTheme="minorBidi" w:hAnsiTheme="minorBidi"/>
          <w:sz w:val="22"/>
        </w:rPr>
        <w:t>ation has been at the centre of many policies developed by the National Health Service, especially when it comes to using booking systems, telemedicine services, and digital triage to reduce the demand on their resources. However, digiti</w:t>
      </w:r>
      <w:r w:rsidR="009B4744">
        <w:rPr>
          <w:rFonts w:asciiTheme="minorBidi" w:hAnsiTheme="minorBidi"/>
          <w:sz w:val="22"/>
        </w:rPr>
        <w:t>s</w:t>
      </w:r>
      <w:r w:rsidRPr="00195A7D">
        <w:rPr>
          <w:rFonts w:asciiTheme="minorBidi" w:hAnsiTheme="minorBidi"/>
          <w:sz w:val="22"/>
        </w:rPr>
        <w:t>ation is a double-edged sword that causes some inequalities.</w:t>
      </w:r>
    </w:p>
    <w:p w14:paraId="25B05509" w14:textId="77777777" w:rsidR="00A71E69" w:rsidRDefault="00A71E69" w:rsidP="00195A7D">
      <w:pPr>
        <w:tabs>
          <w:tab w:val="left" w:pos="6540"/>
        </w:tabs>
        <w:spacing w:line="360" w:lineRule="auto"/>
        <w:rPr>
          <w:rFonts w:asciiTheme="minorBidi" w:hAnsiTheme="minorBidi"/>
          <w:sz w:val="22"/>
        </w:rPr>
      </w:pPr>
      <w:r w:rsidRPr="00A71E69">
        <w:rPr>
          <w:rFonts w:asciiTheme="minorBidi" w:hAnsiTheme="minorBidi"/>
          <w:sz w:val="22"/>
        </w:rPr>
        <w:t>Digital exclusion disproportionately affects older adults, people with disabilities, those with cognitive impairments and individuals with low digital literacy (Digital Poverty Alliance, 2024). NHS England (2023) reports that older and disadvantaged patients show much lower satisfaction with digital and phone</w:t>
      </w:r>
      <w:r w:rsidRPr="00A71E69">
        <w:rPr>
          <w:rFonts w:ascii="Cambria Math" w:hAnsi="Cambria Math" w:cs="Cambria Math"/>
          <w:sz w:val="22"/>
        </w:rPr>
        <w:t>‑</w:t>
      </w:r>
      <w:r w:rsidRPr="00A71E69">
        <w:rPr>
          <w:rFonts w:asciiTheme="minorBidi" w:hAnsiTheme="minorBidi"/>
          <w:sz w:val="22"/>
        </w:rPr>
        <w:t>based contact. The NHS Race &amp; Health Observatory (2023) notes that ethnic minority groups often lack confidence using digital tools, face language barriers online and prefer face</w:t>
      </w:r>
      <w:r w:rsidRPr="00A71E69">
        <w:rPr>
          <w:rFonts w:ascii="Cambria Math" w:hAnsi="Cambria Math" w:cs="Cambria Math"/>
          <w:sz w:val="22"/>
        </w:rPr>
        <w:t>‑</w:t>
      </w:r>
      <w:r w:rsidRPr="00A71E69">
        <w:rPr>
          <w:rFonts w:asciiTheme="minorBidi" w:hAnsiTheme="minorBidi"/>
          <w:sz w:val="22"/>
        </w:rPr>
        <w:t>to</w:t>
      </w:r>
      <w:r w:rsidRPr="00A71E69">
        <w:rPr>
          <w:rFonts w:ascii="Cambria Math" w:hAnsi="Cambria Math" w:cs="Cambria Math"/>
          <w:sz w:val="22"/>
        </w:rPr>
        <w:t>‑</w:t>
      </w:r>
      <w:r w:rsidRPr="00A71E69">
        <w:rPr>
          <w:rFonts w:asciiTheme="minorBidi" w:hAnsiTheme="minorBidi"/>
          <w:sz w:val="22"/>
        </w:rPr>
        <w:t>face care due to mistrust of remote services.</w:t>
      </w:r>
    </w:p>
    <w:p w14:paraId="75AD68FA" w14:textId="1D9CDBFE" w:rsidR="00195A7D" w:rsidRDefault="00195A7D" w:rsidP="00195A7D">
      <w:pPr>
        <w:tabs>
          <w:tab w:val="left" w:pos="6540"/>
        </w:tabs>
        <w:spacing w:line="360" w:lineRule="auto"/>
        <w:rPr>
          <w:rFonts w:asciiTheme="minorBidi" w:hAnsiTheme="minorBidi"/>
          <w:sz w:val="22"/>
        </w:rPr>
      </w:pPr>
      <w:r w:rsidRPr="00195A7D">
        <w:rPr>
          <w:rFonts w:asciiTheme="minorBidi" w:hAnsiTheme="minorBidi"/>
          <w:sz w:val="22"/>
        </w:rPr>
        <w:t>Digital exclusion is thus a key obstacle to access to general practice services, especially since digital options will be the primary way to gain access.</w:t>
      </w:r>
    </w:p>
    <w:p w14:paraId="42C3CE09" w14:textId="1674BFDB" w:rsidR="00195A7D" w:rsidRPr="009B4744" w:rsidRDefault="00195A7D" w:rsidP="00195A7D">
      <w:pPr>
        <w:tabs>
          <w:tab w:val="left" w:pos="6540"/>
        </w:tabs>
        <w:spacing w:line="360" w:lineRule="auto"/>
        <w:rPr>
          <w:rFonts w:asciiTheme="minorBidi" w:hAnsiTheme="minorBidi"/>
          <w:b/>
          <w:bCs/>
          <w:sz w:val="22"/>
        </w:rPr>
      </w:pPr>
      <w:r w:rsidRPr="009B4744">
        <w:rPr>
          <w:rFonts w:asciiTheme="minorBidi" w:hAnsiTheme="minorBidi"/>
          <w:b/>
          <w:bCs/>
          <w:sz w:val="22"/>
        </w:rPr>
        <w:t>Structural and Organisational Barriers</w:t>
      </w:r>
    </w:p>
    <w:p w14:paraId="40DEFDD3" w14:textId="77777777" w:rsidR="00D34E6A" w:rsidRDefault="00D34E6A" w:rsidP="00195A7D">
      <w:pPr>
        <w:tabs>
          <w:tab w:val="left" w:pos="6540"/>
        </w:tabs>
        <w:spacing w:line="360" w:lineRule="auto"/>
        <w:rPr>
          <w:rFonts w:asciiTheme="minorBidi" w:hAnsiTheme="minorBidi"/>
          <w:sz w:val="22"/>
        </w:rPr>
      </w:pPr>
      <w:r w:rsidRPr="00D34E6A">
        <w:rPr>
          <w:rFonts w:asciiTheme="minorBidi" w:hAnsiTheme="minorBidi"/>
          <w:sz w:val="22"/>
        </w:rPr>
        <w:t>Workforce shortages, high demand and appointment complexity emerged as cross</w:t>
      </w:r>
      <w:r w:rsidRPr="00D34E6A">
        <w:rPr>
          <w:rFonts w:ascii="Cambria Math" w:hAnsi="Cambria Math" w:cs="Cambria Math"/>
          <w:sz w:val="22"/>
        </w:rPr>
        <w:t>‑</w:t>
      </w:r>
      <w:r w:rsidRPr="00D34E6A">
        <w:rPr>
          <w:rFonts w:asciiTheme="minorBidi" w:hAnsiTheme="minorBidi"/>
          <w:sz w:val="22"/>
        </w:rPr>
        <w:t>cutting obstacles in general practice from various studies due to the internal pressures faced by the health care structure. The King</w:t>
      </w:r>
      <w:r w:rsidRPr="00D34E6A">
        <w:rPr>
          <w:rFonts w:ascii="Arial" w:hAnsi="Arial" w:cs="Arial"/>
          <w:sz w:val="22"/>
        </w:rPr>
        <w:t>’</w:t>
      </w:r>
      <w:r w:rsidRPr="00D34E6A">
        <w:rPr>
          <w:rFonts w:asciiTheme="minorBidi" w:hAnsiTheme="minorBidi"/>
          <w:sz w:val="22"/>
        </w:rPr>
        <w:t>s Fund (2022) indicate that patients tend to have difficulties related to the multi</w:t>
      </w:r>
      <w:r w:rsidRPr="00D34E6A">
        <w:rPr>
          <w:rFonts w:ascii="Cambria Math" w:hAnsi="Cambria Math" w:cs="Cambria Math"/>
          <w:sz w:val="22"/>
        </w:rPr>
        <w:t>‑</w:t>
      </w:r>
      <w:r w:rsidRPr="00D34E6A">
        <w:rPr>
          <w:rFonts w:asciiTheme="minorBidi" w:hAnsiTheme="minorBidi"/>
          <w:sz w:val="22"/>
        </w:rPr>
        <w:t>step process of accessing the health service, complicated procedures for triaging and lack of clear communication provided by practices. These issues tend to influence deprived and minority populations.</w:t>
      </w:r>
    </w:p>
    <w:p w14:paraId="512089DB" w14:textId="77777777" w:rsidR="005D18D2" w:rsidRDefault="005D18D2" w:rsidP="00195A7D">
      <w:pPr>
        <w:tabs>
          <w:tab w:val="left" w:pos="6540"/>
        </w:tabs>
        <w:spacing w:line="360" w:lineRule="auto"/>
        <w:rPr>
          <w:rFonts w:asciiTheme="minorBidi" w:hAnsiTheme="minorBidi"/>
          <w:sz w:val="22"/>
        </w:rPr>
      </w:pPr>
      <w:r w:rsidRPr="005D18D2">
        <w:rPr>
          <w:rFonts w:asciiTheme="minorBidi" w:hAnsiTheme="minorBidi"/>
          <w:sz w:val="22"/>
        </w:rPr>
        <w:t>According to The King’s Fund (2022), continuity of care is compromised due to structural pressures, especially in the case of practices working with patients with high needs.</w:t>
      </w:r>
    </w:p>
    <w:p w14:paraId="2F7B399A" w14:textId="77777777" w:rsidR="005D18D2" w:rsidRDefault="005D18D2" w:rsidP="00195A7D">
      <w:pPr>
        <w:tabs>
          <w:tab w:val="left" w:pos="6540"/>
        </w:tabs>
        <w:spacing w:line="360" w:lineRule="auto"/>
        <w:rPr>
          <w:rFonts w:asciiTheme="minorBidi" w:hAnsiTheme="minorBidi"/>
          <w:sz w:val="22"/>
        </w:rPr>
      </w:pPr>
    </w:p>
    <w:p w14:paraId="4F285CFF" w14:textId="2B5A8FCD" w:rsidR="00195A7D" w:rsidRPr="009B4744" w:rsidRDefault="00195A7D" w:rsidP="00195A7D">
      <w:pPr>
        <w:tabs>
          <w:tab w:val="left" w:pos="6540"/>
        </w:tabs>
        <w:spacing w:line="360" w:lineRule="auto"/>
        <w:rPr>
          <w:rFonts w:asciiTheme="minorBidi" w:hAnsiTheme="minorBidi"/>
          <w:b/>
          <w:bCs/>
          <w:sz w:val="22"/>
        </w:rPr>
      </w:pPr>
      <w:r w:rsidRPr="009B4744">
        <w:rPr>
          <w:rFonts w:asciiTheme="minorBidi" w:hAnsiTheme="minorBidi"/>
          <w:b/>
          <w:bCs/>
          <w:sz w:val="22"/>
        </w:rPr>
        <w:t>Importance of Understanding Inequalities in GP Access</w:t>
      </w:r>
    </w:p>
    <w:p w14:paraId="297F90C9" w14:textId="62EF017B" w:rsidR="00195A7D" w:rsidRPr="00195A7D" w:rsidRDefault="00195A7D" w:rsidP="00195A7D">
      <w:pPr>
        <w:tabs>
          <w:tab w:val="left" w:pos="6540"/>
        </w:tabs>
        <w:spacing w:line="360" w:lineRule="auto"/>
        <w:rPr>
          <w:rFonts w:asciiTheme="minorBidi" w:hAnsiTheme="minorBidi"/>
          <w:sz w:val="22"/>
        </w:rPr>
      </w:pPr>
      <w:r w:rsidRPr="00195A7D">
        <w:rPr>
          <w:rFonts w:asciiTheme="minorBidi" w:hAnsiTheme="minorBidi"/>
          <w:sz w:val="22"/>
        </w:rPr>
        <w:t>It is important to understand the nature of these inequalities in terms of GP services for NHS policymakers to make sure they are accounted for in the development of service delivery, and to ensure that digitali</w:t>
      </w:r>
      <w:r w:rsidR="009B4744">
        <w:rPr>
          <w:rFonts w:asciiTheme="minorBidi" w:hAnsiTheme="minorBidi"/>
          <w:sz w:val="22"/>
        </w:rPr>
        <w:t>s</w:t>
      </w:r>
      <w:r w:rsidRPr="00195A7D">
        <w:rPr>
          <w:rFonts w:asciiTheme="minorBidi" w:hAnsiTheme="minorBidi"/>
          <w:sz w:val="22"/>
        </w:rPr>
        <w:t>ation does not widen the existing gap. Primary care faces several pressures including staffing problems and high and growing demands, among other things. It is essential to identify the most vulnerable groups and the reasons for their difficulties in accessing healthcare services.</w:t>
      </w:r>
    </w:p>
    <w:p w14:paraId="0A98D9E3" w14:textId="22E1FA72" w:rsidR="005D18D2" w:rsidRPr="00B22DA1" w:rsidRDefault="00195A7D" w:rsidP="00B22DA1">
      <w:pPr>
        <w:tabs>
          <w:tab w:val="left" w:pos="6540"/>
        </w:tabs>
        <w:spacing w:line="360" w:lineRule="auto"/>
        <w:rPr>
          <w:rFonts w:asciiTheme="minorBidi" w:hAnsiTheme="minorBidi"/>
          <w:sz w:val="22"/>
        </w:rPr>
      </w:pPr>
      <w:r w:rsidRPr="00195A7D">
        <w:rPr>
          <w:rFonts w:asciiTheme="minorBidi" w:hAnsiTheme="minorBidi"/>
          <w:sz w:val="22"/>
        </w:rPr>
        <w:t>Scoping review is a good research tool for studying inequalities in accessing GPs, since there are various sources of information ranging from qualitative studies and surveys to information on digital access</w:t>
      </w:r>
    </w:p>
    <w:p w14:paraId="22D7AA29" w14:textId="77777777" w:rsidR="00B22DA1" w:rsidRDefault="00B22DA1" w:rsidP="00361403">
      <w:pPr>
        <w:pStyle w:val="Heading1"/>
      </w:pPr>
    </w:p>
    <w:p w14:paraId="2B776B08" w14:textId="77777777" w:rsidR="00B22DA1" w:rsidRDefault="00B22DA1" w:rsidP="00361403">
      <w:pPr>
        <w:pStyle w:val="Heading1"/>
      </w:pPr>
    </w:p>
    <w:p w14:paraId="46FDC798" w14:textId="77777777" w:rsidR="00B22DA1" w:rsidRDefault="00B22DA1" w:rsidP="00361403">
      <w:pPr>
        <w:pStyle w:val="Heading1"/>
      </w:pPr>
    </w:p>
    <w:p w14:paraId="53D36475" w14:textId="77777777" w:rsidR="00B22DA1" w:rsidRPr="00B22DA1" w:rsidRDefault="00B22DA1" w:rsidP="00B22DA1"/>
    <w:p w14:paraId="60B2CDC3" w14:textId="4149CB01" w:rsidR="00B87E75" w:rsidRPr="0041422F" w:rsidRDefault="00B87E75" w:rsidP="00361403">
      <w:pPr>
        <w:pStyle w:val="Heading1"/>
      </w:pPr>
      <w:r w:rsidRPr="0041422F">
        <w:t>Method</w:t>
      </w:r>
      <w:r w:rsidR="003E4ECF" w:rsidRPr="0041422F">
        <w:t>s</w:t>
      </w:r>
    </w:p>
    <w:p w14:paraId="2B3C72C7" w14:textId="77777777" w:rsidR="00195A7D" w:rsidRPr="00195A7D" w:rsidRDefault="00195A7D" w:rsidP="00195A7D">
      <w:pPr>
        <w:tabs>
          <w:tab w:val="left" w:pos="6540"/>
        </w:tabs>
        <w:spacing w:line="360" w:lineRule="auto"/>
        <w:rPr>
          <w:rFonts w:asciiTheme="minorBidi" w:hAnsiTheme="minorBidi"/>
          <w:sz w:val="22"/>
        </w:rPr>
      </w:pPr>
      <w:r w:rsidRPr="00195A7D">
        <w:rPr>
          <w:rFonts w:asciiTheme="minorBidi" w:hAnsiTheme="minorBidi"/>
          <w:sz w:val="22"/>
        </w:rPr>
        <w:t>In this study, the research design used for conducting this investigation was that of a scoping review, which is an effective tool to examine the literature available in the current field of research on access to general practitioner services among populations of the United Kingdom. Scoping review was preferred because the research question encompasses various types of evidence, namely qualitative, quantitative, and mixed methods evidence. The review was conducted according to the scoping review guidelines recommended by Arksey &amp; O’Malley (2005) and PRISMA-ScR standards (Tricco et al., 2018).</w:t>
      </w:r>
    </w:p>
    <w:p w14:paraId="490BFDB5" w14:textId="1F58C665" w:rsidR="00195A7D" w:rsidRPr="009B4744" w:rsidRDefault="00195A7D" w:rsidP="00195A7D">
      <w:pPr>
        <w:tabs>
          <w:tab w:val="left" w:pos="6540"/>
        </w:tabs>
        <w:spacing w:line="360" w:lineRule="auto"/>
        <w:rPr>
          <w:rFonts w:asciiTheme="minorBidi" w:hAnsiTheme="minorBidi"/>
          <w:b/>
          <w:bCs/>
          <w:sz w:val="22"/>
        </w:rPr>
      </w:pPr>
      <w:r w:rsidRPr="009B4744">
        <w:rPr>
          <w:rFonts w:asciiTheme="minorBidi" w:hAnsiTheme="minorBidi"/>
          <w:b/>
          <w:bCs/>
          <w:sz w:val="22"/>
        </w:rPr>
        <w:t>Review Framework</w:t>
      </w:r>
    </w:p>
    <w:p w14:paraId="6C10DDAF" w14:textId="77777777" w:rsidR="00195A7D" w:rsidRPr="00195A7D" w:rsidRDefault="00195A7D" w:rsidP="00195A7D">
      <w:pPr>
        <w:tabs>
          <w:tab w:val="left" w:pos="6540"/>
        </w:tabs>
        <w:spacing w:line="360" w:lineRule="auto"/>
        <w:rPr>
          <w:rFonts w:asciiTheme="minorBidi" w:hAnsiTheme="minorBidi"/>
          <w:sz w:val="22"/>
        </w:rPr>
      </w:pPr>
      <w:r w:rsidRPr="00195A7D">
        <w:rPr>
          <w:rFonts w:asciiTheme="minorBidi" w:hAnsiTheme="minorBidi"/>
          <w:sz w:val="22"/>
        </w:rPr>
        <w:t>Arksey and O’Malley (2005) methodology is made up of five steps:</w:t>
      </w:r>
    </w:p>
    <w:p w14:paraId="5E156B53" w14:textId="115CE6A1" w:rsidR="00195A7D" w:rsidRPr="00195A7D" w:rsidRDefault="00195A7D" w:rsidP="00195A7D">
      <w:pPr>
        <w:pStyle w:val="ListParagraph"/>
        <w:numPr>
          <w:ilvl w:val="0"/>
          <w:numId w:val="4"/>
        </w:numPr>
        <w:tabs>
          <w:tab w:val="left" w:pos="6540"/>
        </w:tabs>
        <w:spacing w:line="360" w:lineRule="auto"/>
        <w:rPr>
          <w:rFonts w:asciiTheme="minorBidi" w:hAnsiTheme="minorBidi"/>
          <w:sz w:val="22"/>
        </w:rPr>
      </w:pPr>
      <w:r w:rsidRPr="00195A7D">
        <w:rPr>
          <w:rFonts w:asciiTheme="minorBidi" w:hAnsiTheme="minorBidi"/>
          <w:sz w:val="22"/>
        </w:rPr>
        <w:t>Determining the research question</w:t>
      </w:r>
    </w:p>
    <w:p w14:paraId="76C32697" w14:textId="356853B4" w:rsidR="00195A7D" w:rsidRPr="00195A7D" w:rsidRDefault="00195A7D" w:rsidP="00195A7D">
      <w:pPr>
        <w:pStyle w:val="ListParagraph"/>
        <w:numPr>
          <w:ilvl w:val="0"/>
          <w:numId w:val="4"/>
        </w:numPr>
        <w:tabs>
          <w:tab w:val="left" w:pos="6540"/>
        </w:tabs>
        <w:spacing w:line="360" w:lineRule="auto"/>
        <w:rPr>
          <w:rFonts w:asciiTheme="minorBidi" w:hAnsiTheme="minorBidi"/>
          <w:sz w:val="22"/>
        </w:rPr>
      </w:pPr>
      <w:r w:rsidRPr="00195A7D">
        <w:rPr>
          <w:rFonts w:asciiTheme="minorBidi" w:hAnsiTheme="minorBidi"/>
          <w:sz w:val="22"/>
        </w:rPr>
        <w:t>Finding suitable studies</w:t>
      </w:r>
    </w:p>
    <w:p w14:paraId="6FFAB5DB" w14:textId="77777777" w:rsidR="005D18D2" w:rsidRDefault="00195A7D" w:rsidP="005D18D2">
      <w:pPr>
        <w:pStyle w:val="ListParagraph"/>
        <w:numPr>
          <w:ilvl w:val="0"/>
          <w:numId w:val="4"/>
        </w:numPr>
        <w:tabs>
          <w:tab w:val="left" w:pos="6540"/>
        </w:tabs>
        <w:spacing w:line="360" w:lineRule="auto"/>
        <w:rPr>
          <w:rFonts w:asciiTheme="minorBidi" w:hAnsiTheme="minorBidi"/>
          <w:sz w:val="22"/>
        </w:rPr>
      </w:pPr>
      <w:r w:rsidRPr="00195A7D">
        <w:rPr>
          <w:rFonts w:asciiTheme="minorBidi" w:hAnsiTheme="minorBidi"/>
          <w:sz w:val="22"/>
        </w:rPr>
        <w:t>Selection of studies</w:t>
      </w:r>
    </w:p>
    <w:p w14:paraId="6D0805F3" w14:textId="3CC2B7A6" w:rsidR="00195A7D" w:rsidRPr="005D18D2" w:rsidRDefault="005D18D2" w:rsidP="005D18D2">
      <w:pPr>
        <w:pStyle w:val="ListParagraph"/>
        <w:numPr>
          <w:ilvl w:val="0"/>
          <w:numId w:val="4"/>
        </w:numPr>
        <w:tabs>
          <w:tab w:val="left" w:pos="6540"/>
        </w:tabs>
        <w:spacing w:line="360" w:lineRule="auto"/>
        <w:rPr>
          <w:rFonts w:asciiTheme="minorBidi" w:hAnsiTheme="minorBidi"/>
          <w:sz w:val="22"/>
        </w:rPr>
      </w:pPr>
      <w:r w:rsidRPr="005D18D2">
        <w:rPr>
          <w:rFonts w:asciiTheme="minorBidi" w:hAnsiTheme="minorBidi"/>
          <w:sz w:val="22"/>
        </w:rPr>
        <w:t>C</w:t>
      </w:r>
      <w:r w:rsidR="00195A7D" w:rsidRPr="005D18D2">
        <w:rPr>
          <w:rFonts w:asciiTheme="minorBidi" w:hAnsiTheme="minorBidi"/>
          <w:sz w:val="22"/>
        </w:rPr>
        <w:t>harting</w:t>
      </w:r>
      <w:r w:rsidRPr="005D18D2">
        <w:rPr>
          <w:rFonts w:asciiTheme="minorBidi" w:hAnsiTheme="minorBidi"/>
          <w:sz w:val="22"/>
        </w:rPr>
        <w:t xml:space="preserve"> the data</w:t>
      </w:r>
    </w:p>
    <w:p w14:paraId="67D931D0" w14:textId="0A788676" w:rsidR="00195A7D" w:rsidRPr="005D18D2" w:rsidRDefault="00195A7D" w:rsidP="005D18D2">
      <w:pPr>
        <w:pStyle w:val="ListParagraph"/>
        <w:numPr>
          <w:ilvl w:val="0"/>
          <w:numId w:val="4"/>
        </w:numPr>
        <w:tabs>
          <w:tab w:val="left" w:pos="6540"/>
        </w:tabs>
        <w:spacing w:line="360" w:lineRule="auto"/>
        <w:rPr>
          <w:rFonts w:asciiTheme="minorBidi" w:hAnsiTheme="minorBidi"/>
          <w:sz w:val="22"/>
        </w:rPr>
      </w:pPr>
      <w:r w:rsidRPr="00736CA9">
        <w:rPr>
          <w:rFonts w:asciiTheme="minorBidi" w:hAnsiTheme="minorBidi"/>
          <w:sz w:val="22"/>
        </w:rPr>
        <w:t xml:space="preserve">Data collation, </w:t>
      </w:r>
      <w:r w:rsidRPr="005D18D2">
        <w:rPr>
          <w:rFonts w:asciiTheme="minorBidi" w:hAnsiTheme="minorBidi"/>
          <w:sz w:val="22"/>
        </w:rPr>
        <w:t>summari</w:t>
      </w:r>
      <w:r w:rsidR="009B4744" w:rsidRPr="005D18D2">
        <w:rPr>
          <w:rFonts w:asciiTheme="minorBidi" w:hAnsiTheme="minorBidi"/>
          <w:sz w:val="22"/>
        </w:rPr>
        <w:t>s</w:t>
      </w:r>
      <w:r w:rsidRPr="005D18D2">
        <w:rPr>
          <w:rFonts w:asciiTheme="minorBidi" w:hAnsiTheme="minorBidi"/>
          <w:sz w:val="22"/>
        </w:rPr>
        <w:t>ation and reporting</w:t>
      </w:r>
      <w:r w:rsidR="005D18D2">
        <w:rPr>
          <w:rFonts w:asciiTheme="minorBidi" w:hAnsiTheme="minorBidi"/>
          <w:sz w:val="22"/>
        </w:rPr>
        <w:t xml:space="preserve"> the results</w:t>
      </w:r>
    </w:p>
    <w:p w14:paraId="4FC14C6B" w14:textId="1E5EF45E" w:rsidR="00B87E75" w:rsidRDefault="00195A7D" w:rsidP="00195A7D">
      <w:pPr>
        <w:tabs>
          <w:tab w:val="left" w:pos="6540"/>
        </w:tabs>
        <w:spacing w:line="360" w:lineRule="auto"/>
        <w:rPr>
          <w:rFonts w:asciiTheme="minorBidi" w:hAnsiTheme="minorBidi"/>
          <w:sz w:val="22"/>
        </w:rPr>
      </w:pPr>
      <w:r w:rsidRPr="00195A7D">
        <w:rPr>
          <w:rFonts w:asciiTheme="minorBidi" w:hAnsiTheme="minorBidi"/>
          <w:sz w:val="22"/>
        </w:rPr>
        <w:lastRenderedPageBreak/>
        <w:t xml:space="preserve">To provide clarity during the review, this systematic approach was used. The research question formulated was: "What inequalities do patients face when using GP services in the </w:t>
      </w:r>
      <w:r w:rsidR="00AB7823" w:rsidRPr="00195A7D">
        <w:rPr>
          <w:rFonts w:asciiTheme="minorBidi" w:hAnsiTheme="minorBidi"/>
          <w:sz w:val="22"/>
        </w:rPr>
        <w:t>UK?</w:t>
      </w:r>
      <w:r w:rsidR="009B4744">
        <w:rPr>
          <w:rFonts w:asciiTheme="minorBidi" w:hAnsiTheme="minorBidi"/>
          <w:sz w:val="22"/>
        </w:rPr>
        <w:t>”</w:t>
      </w:r>
    </w:p>
    <w:p w14:paraId="46BD3A9C" w14:textId="2ED8298D" w:rsidR="00AB7823" w:rsidRPr="00B00C77" w:rsidRDefault="00AB7823" w:rsidP="00AB7823">
      <w:pPr>
        <w:tabs>
          <w:tab w:val="left" w:pos="6540"/>
        </w:tabs>
        <w:spacing w:line="360" w:lineRule="auto"/>
        <w:rPr>
          <w:rFonts w:ascii="Arial" w:hAnsi="Arial" w:cs="Arial"/>
          <w:b/>
          <w:bCs/>
          <w:sz w:val="22"/>
        </w:rPr>
      </w:pPr>
      <w:r w:rsidRPr="00B00C77">
        <w:rPr>
          <w:rFonts w:ascii="Arial" w:hAnsi="Arial" w:cs="Arial"/>
          <w:b/>
          <w:bCs/>
          <w:sz w:val="22"/>
        </w:rPr>
        <w:t>Search Strategy</w:t>
      </w:r>
    </w:p>
    <w:p w14:paraId="647E5F8A" w14:textId="77777777" w:rsidR="00AB7823" w:rsidRPr="00AB7823" w:rsidRDefault="00AB7823" w:rsidP="00AB7823">
      <w:pPr>
        <w:tabs>
          <w:tab w:val="left" w:pos="6540"/>
        </w:tabs>
        <w:spacing w:line="360" w:lineRule="auto"/>
        <w:rPr>
          <w:rFonts w:asciiTheme="minorBidi" w:hAnsiTheme="minorBidi"/>
          <w:sz w:val="22"/>
        </w:rPr>
      </w:pPr>
      <w:r w:rsidRPr="00AB7823">
        <w:rPr>
          <w:rFonts w:asciiTheme="minorBidi" w:hAnsiTheme="minorBidi"/>
          <w:sz w:val="22"/>
        </w:rPr>
        <w:t>Systematic searches were undertaken in four databases: PubMed, MEDLINE, CINAHL, and Google Scholar. These databases were chosen because of their relevance to health and social care research and their provision of comprehensive coverage of the literature. The searches were narrowed down to include only studies that were published after 2010, to ensure relevancy to the current NHS practices.</w:t>
      </w:r>
    </w:p>
    <w:p w14:paraId="0F47DC1E" w14:textId="3BBD87CF" w:rsidR="00AB7823" w:rsidRPr="00AB7823" w:rsidRDefault="00AB7823" w:rsidP="00AB7823">
      <w:pPr>
        <w:tabs>
          <w:tab w:val="left" w:pos="6540"/>
        </w:tabs>
        <w:spacing w:line="360" w:lineRule="auto"/>
        <w:rPr>
          <w:rFonts w:asciiTheme="minorBidi" w:hAnsiTheme="minorBidi"/>
          <w:sz w:val="22"/>
        </w:rPr>
      </w:pPr>
      <w:r w:rsidRPr="00AB7823">
        <w:rPr>
          <w:rFonts w:asciiTheme="minorBidi" w:hAnsiTheme="minorBidi"/>
          <w:sz w:val="22"/>
        </w:rPr>
        <w:t>The search terms were developed based on the research question and preliminary reading of the relevant literature. Boolean operators (AND, OR) were used to narrow down the re</w:t>
      </w:r>
      <w:r>
        <w:rPr>
          <w:rFonts w:asciiTheme="minorBidi" w:hAnsiTheme="minorBidi"/>
          <w:sz w:val="22"/>
        </w:rPr>
        <w:t>sult.</w:t>
      </w:r>
      <w:r w:rsidRPr="00AB7823">
        <w:t xml:space="preserve"> </w:t>
      </w:r>
      <w:r w:rsidRPr="00AB7823">
        <w:rPr>
          <w:rFonts w:asciiTheme="minorBidi" w:hAnsiTheme="minorBidi"/>
          <w:sz w:val="22"/>
        </w:rPr>
        <w:t>The main search terms used were:</w:t>
      </w:r>
    </w:p>
    <w:p w14:paraId="52D4341A" w14:textId="2397513A" w:rsidR="00AB7823" w:rsidRPr="00AB7823" w:rsidRDefault="00AB7823" w:rsidP="00AB7823">
      <w:pPr>
        <w:tabs>
          <w:tab w:val="left" w:pos="6540"/>
        </w:tabs>
        <w:spacing w:line="360" w:lineRule="auto"/>
        <w:rPr>
          <w:rFonts w:asciiTheme="minorBidi" w:hAnsiTheme="minorBidi"/>
          <w:sz w:val="22"/>
        </w:rPr>
      </w:pPr>
      <w:r w:rsidRPr="00AB7823">
        <w:rPr>
          <w:rFonts w:asciiTheme="minorBidi" w:hAnsiTheme="minorBidi"/>
          <w:sz w:val="22"/>
        </w:rPr>
        <w:t>•</w:t>
      </w:r>
      <w:r>
        <w:rPr>
          <w:rFonts w:asciiTheme="minorBidi" w:hAnsiTheme="minorBidi"/>
          <w:sz w:val="22"/>
        </w:rPr>
        <w:t xml:space="preserve"> </w:t>
      </w:r>
      <w:r w:rsidRPr="00AB7823">
        <w:rPr>
          <w:rFonts w:asciiTheme="minorBidi" w:hAnsiTheme="minorBidi"/>
          <w:sz w:val="22"/>
        </w:rPr>
        <w:t>GP access</w:t>
      </w:r>
    </w:p>
    <w:p w14:paraId="31DFB50B" w14:textId="7F13EFBD" w:rsidR="00AB7823" w:rsidRPr="00AB7823" w:rsidRDefault="00AB7823" w:rsidP="00AB7823">
      <w:pPr>
        <w:tabs>
          <w:tab w:val="left" w:pos="6540"/>
        </w:tabs>
        <w:spacing w:line="360" w:lineRule="auto"/>
        <w:rPr>
          <w:rFonts w:asciiTheme="minorBidi" w:hAnsiTheme="minorBidi"/>
          <w:sz w:val="22"/>
        </w:rPr>
      </w:pPr>
      <w:r w:rsidRPr="00AB7823">
        <w:rPr>
          <w:rFonts w:asciiTheme="minorBidi" w:hAnsiTheme="minorBidi"/>
          <w:sz w:val="22"/>
        </w:rPr>
        <w:t>•</w:t>
      </w:r>
      <w:r>
        <w:rPr>
          <w:rFonts w:asciiTheme="minorBidi" w:hAnsiTheme="minorBidi"/>
          <w:sz w:val="22"/>
        </w:rPr>
        <w:t xml:space="preserve"> </w:t>
      </w:r>
      <w:r w:rsidRPr="00AB7823">
        <w:rPr>
          <w:rFonts w:asciiTheme="minorBidi" w:hAnsiTheme="minorBidi"/>
          <w:sz w:val="22"/>
        </w:rPr>
        <w:t>Primary care</w:t>
      </w:r>
    </w:p>
    <w:p w14:paraId="6E313A8A" w14:textId="3AE1256A" w:rsidR="00AB7823" w:rsidRPr="00AB7823" w:rsidRDefault="00AB7823" w:rsidP="00AB7823">
      <w:pPr>
        <w:tabs>
          <w:tab w:val="left" w:pos="6540"/>
        </w:tabs>
        <w:spacing w:line="360" w:lineRule="auto"/>
        <w:rPr>
          <w:rFonts w:asciiTheme="minorBidi" w:hAnsiTheme="minorBidi"/>
          <w:sz w:val="22"/>
        </w:rPr>
      </w:pPr>
      <w:r w:rsidRPr="00AB7823">
        <w:rPr>
          <w:rFonts w:asciiTheme="minorBidi" w:hAnsiTheme="minorBidi"/>
          <w:sz w:val="22"/>
        </w:rPr>
        <w:t>•</w:t>
      </w:r>
      <w:r>
        <w:rPr>
          <w:rFonts w:asciiTheme="minorBidi" w:hAnsiTheme="minorBidi"/>
          <w:sz w:val="22"/>
        </w:rPr>
        <w:t xml:space="preserve"> </w:t>
      </w:r>
      <w:r w:rsidRPr="00AB7823">
        <w:rPr>
          <w:rFonts w:asciiTheme="minorBidi" w:hAnsiTheme="minorBidi"/>
          <w:sz w:val="22"/>
        </w:rPr>
        <w:t>Inequalities</w:t>
      </w:r>
    </w:p>
    <w:p w14:paraId="719FAE46" w14:textId="6A6521CE" w:rsidR="00AB7823" w:rsidRPr="00AB7823" w:rsidRDefault="00AB7823" w:rsidP="00AB7823">
      <w:pPr>
        <w:tabs>
          <w:tab w:val="left" w:pos="6540"/>
        </w:tabs>
        <w:spacing w:line="360" w:lineRule="auto"/>
        <w:rPr>
          <w:rFonts w:asciiTheme="minorBidi" w:hAnsiTheme="minorBidi"/>
          <w:sz w:val="22"/>
        </w:rPr>
      </w:pPr>
      <w:r w:rsidRPr="00AB7823">
        <w:rPr>
          <w:rFonts w:asciiTheme="minorBidi" w:hAnsiTheme="minorBidi"/>
          <w:sz w:val="22"/>
        </w:rPr>
        <w:t>•</w:t>
      </w:r>
      <w:r>
        <w:rPr>
          <w:rFonts w:asciiTheme="minorBidi" w:hAnsiTheme="minorBidi"/>
          <w:sz w:val="22"/>
        </w:rPr>
        <w:t xml:space="preserve"> D</w:t>
      </w:r>
      <w:r w:rsidRPr="00AB7823">
        <w:rPr>
          <w:rFonts w:asciiTheme="minorBidi" w:hAnsiTheme="minorBidi"/>
          <w:sz w:val="22"/>
        </w:rPr>
        <w:t>eprivation</w:t>
      </w:r>
    </w:p>
    <w:p w14:paraId="15EDB43C" w14:textId="44CED4EC" w:rsidR="00AB7823" w:rsidRPr="00AB7823" w:rsidRDefault="00AB7823" w:rsidP="00AB7823">
      <w:pPr>
        <w:tabs>
          <w:tab w:val="left" w:pos="6540"/>
        </w:tabs>
        <w:spacing w:line="360" w:lineRule="auto"/>
        <w:rPr>
          <w:rFonts w:asciiTheme="minorBidi" w:hAnsiTheme="minorBidi"/>
          <w:sz w:val="22"/>
        </w:rPr>
      </w:pPr>
      <w:r w:rsidRPr="00AB7823">
        <w:rPr>
          <w:rFonts w:asciiTheme="minorBidi" w:hAnsiTheme="minorBidi"/>
          <w:sz w:val="22"/>
        </w:rPr>
        <w:t>•</w:t>
      </w:r>
      <w:r>
        <w:rPr>
          <w:rFonts w:asciiTheme="minorBidi" w:hAnsiTheme="minorBidi"/>
          <w:sz w:val="22"/>
        </w:rPr>
        <w:t xml:space="preserve"> E</w:t>
      </w:r>
      <w:r w:rsidRPr="00AB7823">
        <w:rPr>
          <w:rFonts w:asciiTheme="minorBidi" w:hAnsiTheme="minorBidi"/>
          <w:sz w:val="22"/>
        </w:rPr>
        <w:t>thnicity</w:t>
      </w:r>
    </w:p>
    <w:p w14:paraId="5B281E90" w14:textId="4DCB2997" w:rsidR="00AB7823" w:rsidRPr="00AB7823" w:rsidRDefault="00AB7823" w:rsidP="00AB7823">
      <w:pPr>
        <w:tabs>
          <w:tab w:val="left" w:pos="6540"/>
        </w:tabs>
        <w:spacing w:line="360" w:lineRule="auto"/>
        <w:rPr>
          <w:rFonts w:asciiTheme="minorBidi" w:hAnsiTheme="minorBidi"/>
          <w:sz w:val="22"/>
        </w:rPr>
      </w:pPr>
      <w:r w:rsidRPr="00AB7823">
        <w:rPr>
          <w:rFonts w:asciiTheme="minorBidi" w:hAnsiTheme="minorBidi"/>
          <w:sz w:val="22"/>
        </w:rPr>
        <w:t>•</w:t>
      </w:r>
      <w:r>
        <w:rPr>
          <w:rFonts w:asciiTheme="minorBidi" w:hAnsiTheme="minorBidi"/>
          <w:sz w:val="22"/>
        </w:rPr>
        <w:t xml:space="preserve"> D</w:t>
      </w:r>
      <w:r w:rsidRPr="00AB7823">
        <w:rPr>
          <w:rFonts w:asciiTheme="minorBidi" w:hAnsiTheme="minorBidi"/>
          <w:sz w:val="22"/>
        </w:rPr>
        <w:t>igital exclusion</w:t>
      </w:r>
    </w:p>
    <w:p w14:paraId="2D296011" w14:textId="0607671E" w:rsidR="00AB7823" w:rsidRPr="00AB7823" w:rsidRDefault="00AB7823" w:rsidP="00AB7823">
      <w:pPr>
        <w:tabs>
          <w:tab w:val="left" w:pos="6540"/>
        </w:tabs>
        <w:spacing w:line="360" w:lineRule="auto"/>
        <w:rPr>
          <w:rFonts w:asciiTheme="minorBidi" w:hAnsiTheme="minorBidi"/>
          <w:sz w:val="22"/>
        </w:rPr>
      </w:pPr>
      <w:r w:rsidRPr="00AB7823">
        <w:rPr>
          <w:rFonts w:asciiTheme="minorBidi" w:hAnsiTheme="minorBidi"/>
          <w:sz w:val="22"/>
        </w:rPr>
        <w:t>•</w:t>
      </w:r>
      <w:r>
        <w:rPr>
          <w:rFonts w:asciiTheme="minorBidi" w:hAnsiTheme="minorBidi"/>
          <w:sz w:val="22"/>
        </w:rPr>
        <w:t xml:space="preserve"> </w:t>
      </w:r>
      <w:r w:rsidRPr="00AB7823">
        <w:rPr>
          <w:rFonts w:asciiTheme="minorBidi" w:hAnsiTheme="minorBidi"/>
          <w:sz w:val="22"/>
        </w:rPr>
        <w:t>United Kingdom</w:t>
      </w:r>
    </w:p>
    <w:p w14:paraId="27573947" w14:textId="28B093D7" w:rsidR="00AB7823" w:rsidRPr="00AB7823" w:rsidRDefault="00AB7823" w:rsidP="00AB7823">
      <w:pPr>
        <w:tabs>
          <w:tab w:val="left" w:pos="6540"/>
        </w:tabs>
        <w:spacing w:line="360" w:lineRule="auto"/>
        <w:rPr>
          <w:rFonts w:asciiTheme="minorBidi" w:hAnsiTheme="minorBidi"/>
          <w:sz w:val="22"/>
        </w:rPr>
      </w:pPr>
      <w:r w:rsidRPr="00AB7823">
        <w:rPr>
          <w:rFonts w:asciiTheme="minorBidi" w:hAnsiTheme="minorBidi"/>
          <w:sz w:val="22"/>
        </w:rPr>
        <w:t>•</w:t>
      </w:r>
      <w:r w:rsidR="0056543B">
        <w:rPr>
          <w:rFonts w:asciiTheme="minorBidi" w:hAnsiTheme="minorBidi"/>
          <w:sz w:val="22"/>
        </w:rPr>
        <w:t xml:space="preserve"> </w:t>
      </w:r>
      <w:r w:rsidRPr="00AB7823">
        <w:rPr>
          <w:rFonts w:asciiTheme="minorBidi" w:hAnsiTheme="minorBidi"/>
          <w:sz w:val="22"/>
        </w:rPr>
        <w:t>Data analysis</w:t>
      </w:r>
    </w:p>
    <w:p w14:paraId="583D2F1C" w14:textId="19245FD9" w:rsidR="00AB7823" w:rsidRPr="00AB7823" w:rsidRDefault="00AB7823" w:rsidP="00AB7823">
      <w:pPr>
        <w:tabs>
          <w:tab w:val="left" w:pos="6540"/>
        </w:tabs>
        <w:spacing w:line="360" w:lineRule="auto"/>
        <w:rPr>
          <w:rFonts w:asciiTheme="minorBidi" w:hAnsiTheme="minorBidi"/>
          <w:sz w:val="22"/>
        </w:rPr>
      </w:pPr>
      <w:r w:rsidRPr="00AB7823">
        <w:rPr>
          <w:rFonts w:asciiTheme="minorBidi" w:hAnsiTheme="minorBidi"/>
          <w:sz w:val="22"/>
        </w:rPr>
        <w:t>•</w:t>
      </w:r>
      <w:r w:rsidR="0056543B">
        <w:rPr>
          <w:rFonts w:asciiTheme="minorBidi" w:hAnsiTheme="minorBidi"/>
          <w:sz w:val="22"/>
        </w:rPr>
        <w:t xml:space="preserve"> </w:t>
      </w:r>
      <w:r w:rsidRPr="00AB7823">
        <w:rPr>
          <w:rFonts w:asciiTheme="minorBidi" w:hAnsiTheme="minorBidi"/>
          <w:sz w:val="22"/>
        </w:rPr>
        <w:t xml:space="preserve">Ethical considerations </w:t>
      </w:r>
    </w:p>
    <w:p w14:paraId="438706BA" w14:textId="1D13B13F" w:rsidR="005D18D2" w:rsidRDefault="005D18D2" w:rsidP="00AB7823">
      <w:pPr>
        <w:tabs>
          <w:tab w:val="left" w:pos="6540"/>
        </w:tabs>
        <w:spacing w:line="360" w:lineRule="auto"/>
        <w:rPr>
          <w:rFonts w:asciiTheme="minorBidi" w:hAnsiTheme="minorBidi"/>
          <w:sz w:val="22"/>
        </w:rPr>
      </w:pPr>
      <w:r w:rsidRPr="005D18D2">
        <w:rPr>
          <w:rFonts w:asciiTheme="minorBidi" w:hAnsiTheme="minorBidi"/>
          <w:sz w:val="22"/>
        </w:rPr>
        <w:t>The approach used to identify sources for this scoping review follows the search strategy and procedures outlined during the class session.</w:t>
      </w:r>
    </w:p>
    <w:p w14:paraId="5AD013E9" w14:textId="28F7BFD5" w:rsidR="00AB7823" w:rsidRPr="00AB7823" w:rsidRDefault="00AB7823" w:rsidP="00AB7823">
      <w:pPr>
        <w:tabs>
          <w:tab w:val="left" w:pos="6540"/>
        </w:tabs>
        <w:spacing w:line="360" w:lineRule="auto"/>
        <w:rPr>
          <w:rFonts w:asciiTheme="minorBidi" w:hAnsiTheme="minorBidi"/>
          <w:sz w:val="22"/>
        </w:rPr>
      </w:pPr>
      <w:r w:rsidRPr="00B00C77">
        <w:rPr>
          <w:rFonts w:ascii="Arial" w:hAnsi="Arial" w:cs="Arial"/>
          <w:b/>
          <w:bCs/>
          <w:sz w:val="22"/>
        </w:rPr>
        <w:t>Inclusion and Exclusion Criteria</w:t>
      </w:r>
    </w:p>
    <w:p w14:paraId="7B98C58E" w14:textId="77777777" w:rsidR="00AB7823" w:rsidRPr="00AB7823" w:rsidRDefault="00AB7823" w:rsidP="00AB7823">
      <w:pPr>
        <w:tabs>
          <w:tab w:val="left" w:pos="6540"/>
        </w:tabs>
        <w:spacing w:line="360" w:lineRule="auto"/>
        <w:rPr>
          <w:rFonts w:asciiTheme="minorBidi" w:hAnsiTheme="minorBidi"/>
          <w:sz w:val="22"/>
        </w:rPr>
      </w:pPr>
      <w:r w:rsidRPr="00AB7823">
        <w:rPr>
          <w:rFonts w:asciiTheme="minorBidi" w:hAnsiTheme="minorBidi"/>
          <w:sz w:val="22"/>
        </w:rPr>
        <w:t>A strict selection process with inclusion and exclusion criteria has been undertaken to achieve this end.</w:t>
      </w:r>
    </w:p>
    <w:p w14:paraId="2EDFD8B7" w14:textId="77777777" w:rsidR="00AB7823" w:rsidRPr="00AB7823" w:rsidRDefault="00AB7823" w:rsidP="00AB7823">
      <w:pPr>
        <w:tabs>
          <w:tab w:val="left" w:pos="6540"/>
        </w:tabs>
        <w:spacing w:line="360" w:lineRule="auto"/>
        <w:rPr>
          <w:rFonts w:asciiTheme="minorBidi" w:hAnsiTheme="minorBidi"/>
          <w:sz w:val="22"/>
        </w:rPr>
      </w:pPr>
      <w:r w:rsidRPr="00AB7823">
        <w:rPr>
          <w:rFonts w:asciiTheme="minorBidi" w:hAnsiTheme="minorBidi"/>
          <w:sz w:val="22"/>
        </w:rPr>
        <w:t>Inclusion criteria:</w:t>
      </w:r>
    </w:p>
    <w:p w14:paraId="5C89AF55" w14:textId="49CA6881" w:rsidR="00AB7823" w:rsidRPr="00AB7823" w:rsidRDefault="00AB7823" w:rsidP="00AB7823">
      <w:pPr>
        <w:tabs>
          <w:tab w:val="left" w:pos="6540"/>
        </w:tabs>
        <w:spacing w:line="360" w:lineRule="auto"/>
        <w:rPr>
          <w:rFonts w:asciiTheme="minorBidi" w:hAnsiTheme="minorBidi"/>
          <w:sz w:val="22"/>
        </w:rPr>
      </w:pPr>
      <w:r w:rsidRPr="00AB7823">
        <w:rPr>
          <w:rFonts w:asciiTheme="minorBidi" w:hAnsiTheme="minorBidi"/>
          <w:sz w:val="22"/>
        </w:rPr>
        <w:t>•Peer-reviewed primary and/or secondary research</w:t>
      </w:r>
    </w:p>
    <w:p w14:paraId="29183B54" w14:textId="7517E8EA" w:rsidR="00AB7823" w:rsidRPr="00AB7823" w:rsidRDefault="00AB7823" w:rsidP="00AB7823">
      <w:pPr>
        <w:tabs>
          <w:tab w:val="left" w:pos="6540"/>
        </w:tabs>
        <w:spacing w:line="360" w:lineRule="auto"/>
        <w:rPr>
          <w:rFonts w:asciiTheme="minorBidi" w:hAnsiTheme="minorBidi"/>
          <w:sz w:val="22"/>
        </w:rPr>
      </w:pPr>
      <w:r w:rsidRPr="00AB7823">
        <w:rPr>
          <w:rFonts w:asciiTheme="minorBidi" w:hAnsiTheme="minorBidi"/>
          <w:sz w:val="22"/>
        </w:rPr>
        <w:t>•Conducted in the United Kingdom</w:t>
      </w:r>
    </w:p>
    <w:p w14:paraId="21A8CB20" w14:textId="314F40DC" w:rsidR="00AB7823" w:rsidRPr="00AB7823" w:rsidRDefault="00AB7823" w:rsidP="00AB7823">
      <w:pPr>
        <w:tabs>
          <w:tab w:val="left" w:pos="6540"/>
        </w:tabs>
        <w:spacing w:line="360" w:lineRule="auto"/>
        <w:rPr>
          <w:rFonts w:asciiTheme="minorBidi" w:hAnsiTheme="minorBidi"/>
          <w:sz w:val="22"/>
        </w:rPr>
      </w:pPr>
      <w:r w:rsidRPr="00AB7823">
        <w:rPr>
          <w:rFonts w:asciiTheme="minorBidi" w:hAnsiTheme="minorBidi"/>
          <w:sz w:val="22"/>
        </w:rPr>
        <w:lastRenderedPageBreak/>
        <w:t>•Published from 2010 to 2026</w:t>
      </w:r>
    </w:p>
    <w:p w14:paraId="63855AA6" w14:textId="48780878" w:rsidR="00AB7823" w:rsidRPr="00AB7823" w:rsidRDefault="00AB7823" w:rsidP="00AB7823">
      <w:pPr>
        <w:tabs>
          <w:tab w:val="left" w:pos="6540"/>
        </w:tabs>
        <w:spacing w:line="360" w:lineRule="auto"/>
        <w:rPr>
          <w:rFonts w:asciiTheme="minorBidi" w:hAnsiTheme="minorBidi"/>
          <w:sz w:val="22"/>
        </w:rPr>
      </w:pPr>
      <w:r w:rsidRPr="00AB7823">
        <w:rPr>
          <w:rFonts w:asciiTheme="minorBidi" w:hAnsiTheme="minorBidi"/>
          <w:sz w:val="22"/>
        </w:rPr>
        <w:t>•Concerning inequalities regarding general practice/primary care access</w:t>
      </w:r>
    </w:p>
    <w:p w14:paraId="0DF36BD9" w14:textId="3FE9C78C" w:rsidR="00AB7823" w:rsidRPr="00AB7823" w:rsidRDefault="00AB7823" w:rsidP="00AB7823">
      <w:pPr>
        <w:tabs>
          <w:tab w:val="left" w:pos="6540"/>
        </w:tabs>
        <w:spacing w:line="360" w:lineRule="auto"/>
        <w:rPr>
          <w:rFonts w:asciiTheme="minorBidi" w:hAnsiTheme="minorBidi"/>
          <w:sz w:val="22"/>
        </w:rPr>
      </w:pPr>
      <w:r w:rsidRPr="00AB7823">
        <w:rPr>
          <w:rFonts w:asciiTheme="minorBidi" w:hAnsiTheme="minorBidi"/>
          <w:sz w:val="22"/>
        </w:rPr>
        <w:t>•Studies considering deprivation, ethnic disparities, digital divide, or structural inequality</w:t>
      </w:r>
    </w:p>
    <w:p w14:paraId="4E7D19A1" w14:textId="77777777" w:rsidR="00AB7823" w:rsidRPr="00AB7823" w:rsidRDefault="00AB7823" w:rsidP="00AB7823">
      <w:pPr>
        <w:tabs>
          <w:tab w:val="left" w:pos="6540"/>
        </w:tabs>
        <w:spacing w:line="360" w:lineRule="auto"/>
        <w:rPr>
          <w:rFonts w:asciiTheme="minorBidi" w:hAnsiTheme="minorBidi"/>
          <w:sz w:val="22"/>
        </w:rPr>
      </w:pPr>
      <w:r w:rsidRPr="00AB7823">
        <w:rPr>
          <w:rFonts w:asciiTheme="minorBidi" w:hAnsiTheme="minorBidi"/>
          <w:sz w:val="22"/>
        </w:rPr>
        <w:t>Exclusion criteria:</w:t>
      </w:r>
    </w:p>
    <w:p w14:paraId="304D1F5D" w14:textId="06992B8A" w:rsidR="00AB7823" w:rsidRPr="00AB7823" w:rsidRDefault="00AB7823" w:rsidP="00AB7823">
      <w:pPr>
        <w:tabs>
          <w:tab w:val="left" w:pos="6540"/>
        </w:tabs>
        <w:spacing w:line="360" w:lineRule="auto"/>
        <w:rPr>
          <w:rFonts w:asciiTheme="minorBidi" w:hAnsiTheme="minorBidi"/>
          <w:sz w:val="22"/>
        </w:rPr>
      </w:pPr>
      <w:r w:rsidRPr="00AB7823">
        <w:rPr>
          <w:rFonts w:asciiTheme="minorBidi" w:hAnsiTheme="minorBidi"/>
          <w:sz w:val="22"/>
        </w:rPr>
        <w:t>•Non-peer-reviewed literature</w:t>
      </w:r>
    </w:p>
    <w:p w14:paraId="19B8FF84" w14:textId="66A15E7C" w:rsidR="00AB7823" w:rsidRPr="00AB7823" w:rsidRDefault="00AB7823" w:rsidP="00AB7823">
      <w:pPr>
        <w:tabs>
          <w:tab w:val="left" w:pos="6540"/>
        </w:tabs>
        <w:spacing w:line="360" w:lineRule="auto"/>
        <w:rPr>
          <w:rFonts w:asciiTheme="minorBidi" w:hAnsiTheme="minorBidi"/>
          <w:sz w:val="22"/>
        </w:rPr>
      </w:pPr>
      <w:r w:rsidRPr="00AB7823">
        <w:rPr>
          <w:rFonts w:asciiTheme="minorBidi" w:hAnsiTheme="minorBidi"/>
          <w:sz w:val="22"/>
        </w:rPr>
        <w:t>•Policy papers, commentaries, editorials or conference papers</w:t>
      </w:r>
    </w:p>
    <w:p w14:paraId="692F1E6D" w14:textId="4577F224" w:rsidR="00AB7823" w:rsidRPr="00AB7823" w:rsidRDefault="00AB7823" w:rsidP="00AB7823">
      <w:pPr>
        <w:tabs>
          <w:tab w:val="left" w:pos="6540"/>
        </w:tabs>
        <w:spacing w:line="360" w:lineRule="auto"/>
        <w:rPr>
          <w:rFonts w:asciiTheme="minorBidi" w:hAnsiTheme="minorBidi"/>
          <w:sz w:val="22"/>
        </w:rPr>
      </w:pPr>
      <w:r w:rsidRPr="00AB7823">
        <w:rPr>
          <w:rFonts w:asciiTheme="minorBidi" w:hAnsiTheme="minorBidi"/>
          <w:sz w:val="22"/>
        </w:rPr>
        <w:t>•Research not related to the GP access disparities</w:t>
      </w:r>
    </w:p>
    <w:p w14:paraId="0F5CA73F" w14:textId="4E3D2123" w:rsidR="00AB7823" w:rsidRPr="00AB7823" w:rsidRDefault="00AB7823" w:rsidP="00AB7823">
      <w:pPr>
        <w:tabs>
          <w:tab w:val="left" w:pos="6540"/>
        </w:tabs>
        <w:spacing w:line="360" w:lineRule="auto"/>
        <w:rPr>
          <w:rFonts w:asciiTheme="minorBidi" w:hAnsiTheme="minorBidi"/>
          <w:sz w:val="22"/>
        </w:rPr>
      </w:pPr>
      <w:r w:rsidRPr="00AB7823">
        <w:rPr>
          <w:rFonts w:asciiTheme="minorBidi" w:hAnsiTheme="minorBidi"/>
          <w:sz w:val="22"/>
        </w:rPr>
        <w:t>•Non-UK research</w:t>
      </w:r>
    </w:p>
    <w:p w14:paraId="29E87FB7" w14:textId="77777777" w:rsidR="005D18D2" w:rsidRDefault="005D18D2" w:rsidP="00361403">
      <w:pPr>
        <w:pStyle w:val="Heading1"/>
      </w:pPr>
    </w:p>
    <w:p w14:paraId="0C76EFDC" w14:textId="77777777" w:rsidR="00AE200A" w:rsidRDefault="00AE200A" w:rsidP="00361403">
      <w:pPr>
        <w:pStyle w:val="Heading1"/>
      </w:pPr>
    </w:p>
    <w:p w14:paraId="5D563FE1" w14:textId="494C3AC2" w:rsidR="009B4744" w:rsidRPr="009B4744" w:rsidRDefault="00AB7823" w:rsidP="00361403">
      <w:pPr>
        <w:pStyle w:val="Heading1"/>
      </w:pPr>
      <w:r w:rsidRPr="009B4744">
        <w:t>Five research were found that fulfilled all criteria: Sinnott et al. (2026), Marks et al. (2026), Islam, Bailey and Netto (2024), Scobie et al. (2021)</w:t>
      </w:r>
      <w:r w:rsidR="009B4744" w:rsidRPr="009B4744">
        <w:t xml:space="preserve"> and Green et al. (2022)</w:t>
      </w:r>
      <w:r w:rsidR="009B4744">
        <w:t>.</w:t>
      </w:r>
    </w:p>
    <w:p w14:paraId="302FE990" w14:textId="52E61FE3" w:rsidR="00AB7823" w:rsidRDefault="00AB7823" w:rsidP="00AB7823">
      <w:pPr>
        <w:tabs>
          <w:tab w:val="left" w:pos="6540"/>
        </w:tabs>
        <w:spacing w:line="360" w:lineRule="auto"/>
        <w:rPr>
          <w:rFonts w:asciiTheme="minorBidi" w:hAnsiTheme="minorBidi"/>
          <w:sz w:val="22"/>
        </w:rPr>
      </w:pPr>
    </w:p>
    <w:p w14:paraId="3552D23D" w14:textId="7572ED4F" w:rsidR="00407839" w:rsidRPr="00C04C74" w:rsidRDefault="0041422F" w:rsidP="00C04C74">
      <w:pPr>
        <w:tabs>
          <w:tab w:val="left" w:pos="6540"/>
        </w:tabs>
        <w:spacing w:line="360" w:lineRule="auto"/>
        <w:jc w:val="both"/>
        <w:rPr>
          <w:rFonts w:ascii="Arial" w:hAnsi="Arial" w:cs="Arial"/>
          <w:b/>
          <w:bCs/>
        </w:rPr>
      </w:pPr>
      <w:r w:rsidRPr="00C04C74">
        <w:rPr>
          <w:rFonts w:ascii="Arial" w:hAnsi="Arial" w:cs="Arial"/>
          <w:b/>
          <w:bCs/>
          <w:sz w:val="22"/>
        </w:rPr>
        <w:t>Data analysis</w:t>
      </w:r>
    </w:p>
    <w:p w14:paraId="278277FD" w14:textId="77777777" w:rsidR="00A71E69" w:rsidRDefault="00A71E69" w:rsidP="00C04C74">
      <w:pPr>
        <w:tabs>
          <w:tab w:val="left" w:pos="6540"/>
        </w:tabs>
        <w:spacing w:line="360" w:lineRule="auto"/>
        <w:jc w:val="both"/>
        <w:rPr>
          <w:rFonts w:ascii="Arial" w:hAnsi="Arial" w:cs="Arial"/>
          <w:sz w:val="22"/>
        </w:rPr>
      </w:pPr>
      <w:r w:rsidRPr="00A71E69">
        <w:rPr>
          <w:rFonts w:ascii="Arial" w:hAnsi="Arial" w:cs="Arial"/>
          <w:sz w:val="22"/>
        </w:rPr>
        <w:t>Data analysis for this scoping review followed a structured, step</w:t>
      </w:r>
      <w:r w:rsidRPr="00A71E69">
        <w:rPr>
          <w:rFonts w:ascii="Cambria Math" w:hAnsi="Cambria Math" w:cs="Cambria Math"/>
          <w:sz w:val="22"/>
        </w:rPr>
        <w:t>‑</w:t>
      </w:r>
      <w:r w:rsidRPr="00A71E69">
        <w:rPr>
          <w:rFonts w:ascii="Arial" w:hAnsi="Arial" w:cs="Arial"/>
          <w:sz w:val="22"/>
        </w:rPr>
        <w:t>by</w:t>
      </w:r>
      <w:r w:rsidRPr="00A71E69">
        <w:rPr>
          <w:rFonts w:ascii="Cambria Math" w:hAnsi="Cambria Math" w:cs="Cambria Math"/>
          <w:sz w:val="22"/>
        </w:rPr>
        <w:t>‑</w:t>
      </w:r>
      <w:r w:rsidRPr="00A71E69">
        <w:rPr>
          <w:rFonts w:ascii="Arial" w:hAnsi="Arial" w:cs="Arial"/>
          <w:sz w:val="22"/>
        </w:rPr>
        <w:t>step process aligned with Arksey and O’Malley’s (2005) framework. After charting the data, we examined extracted information from each study to identify patterns, recurring concepts and areas of difference. A thematic analysis approach was used to group findings into meaningful categories related to GP access inequalities.</w:t>
      </w:r>
    </w:p>
    <w:p w14:paraId="24418FA9" w14:textId="77777777" w:rsidR="00A71E69" w:rsidRDefault="00A71E69" w:rsidP="00C04C74">
      <w:pPr>
        <w:tabs>
          <w:tab w:val="left" w:pos="6540"/>
        </w:tabs>
        <w:spacing w:line="360" w:lineRule="auto"/>
        <w:jc w:val="both"/>
        <w:rPr>
          <w:rFonts w:ascii="Arial" w:hAnsi="Arial" w:cs="Arial"/>
          <w:sz w:val="22"/>
        </w:rPr>
      </w:pPr>
      <w:r w:rsidRPr="00A71E69">
        <w:rPr>
          <w:rFonts w:ascii="Arial" w:hAnsi="Arial" w:cs="Arial"/>
          <w:sz w:val="22"/>
        </w:rPr>
        <w:t>To refine themes and ensure they reflected the evidence, the charted data was reviewed multiple times. Socioeconomic deprivation, ethnicity, age</w:t>
      </w:r>
      <w:r w:rsidRPr="00A71E69">
        <w:rPr>
          <w:rFonts w:ascii="Cambria Math" w:hAnsi="Cambria Math" w:cs="Cambria Math"/>
          <w:sz w:val="22"/>
        </w:rPr>
        <w:t>‑</w:t>
      </w:r>
      <w:r w:rsidRPr="00A71E69">
        <w:rPr>
          <w:rFonts w:ascii="Arial" w:hAnsi="Arial" w:cs="Arial"/>
          <w:sz w:val="22"/>
        </w:rPr>
        <w:t>related constraints, digital exclusion and system</w:t>
      </w:r>
      <w:r w:rsidRPr="00A71E69">
        <w:rPr>
          <w:rFonts w:ascii="Cambria Math" w:hAnsi="Cambria Math" w:cs="Cambria Math"/>
          <w:sz w:val="22"/>
        </w:rPr>
        <w:t>‑</w:t>
      </w:r>
      <w:r w:rsidRPr="00A71E69">
        <w:rPr>
          <w:rFonts w:ascii="Arial" w:hAnsi="Arial" w:cs="Arial"/>
          <w:sz w:val="22"/>
        </w:rPr>
        <w:t>level pressures within general practice emerged as key themes. These themes were then synthesised to summarise how different populations encounter access barriers and how structural factors shape these disparities.</w:t>
      </w:r>
    </w:p>
    <w:p w14:paraId="539A77E0" w14:textId="77777777" w:rsidR="00A71E69" w:rsidRDefault="00A71E69" w:rsidP="00C04C74">
      <w:pPr>
        <w:tabs>
          <w:tab w:val="left" w:pos="6540"/>
        </w:tabs>
        <w:spacing w:line="360" w:lineRule="auto"/>
        <w:jc w:val="both"/>
        <w:rPr>
          <w:rFonts w:ascii="Arial" w:hAnsi="Arial" w:cs="Arial"/>
          <w:b/>
          <w:bCs/>
          <w:sz w:val="22"/>
        </w:rPr>
      </w:pPr>
      <w:r w:rsidRPr="00A71E69">
        <w:rPr>
          <w:rFonts w:ascii="Arial" w:hAnsi="Arial" w:cs="Arial"/>
          <w:sz w:val="22"/>
        </w:rPr>
        <w:t xml:space="preserve">This analytical process enabled the review to map the scope of existing research, highlight gaps in the literature and identify areas requiring further </w:t>
      </w:r>
      <w:r w:rsidRPr="00A71E69">
        <w:rPr>
          <w:rFonts w:ascii="Arial" w:hAnsi="Arial" w:cs="Arial"/>
          <w:sz w:val="22"/>
        </w:rPr>
        <w:t>investigation.</w:t>
      </w:r>
      <w:r w:rsidRPr="00C04C74">
        <w:rPr>
          <w:rFonts w:ascii="Arial" w:hAnsi="Arial" w:cs="Arial"/>
          <w:b/>
          <w:bCs/>
          <w:sz w:val="22"/>
        </w:rPr>
        <w:t xml:space="preserve"> </w:t>
      </w:r>
    </w:p>
    <w:p w14:paraId="5671F817" w14:textId="77777777" w:rsidR="00A71E69" w:rsidRDefault="00A71E69" w:rsidP="00C04C74">
      <w:pPr>
        <w:tabs>
          <w:tab w:val="left" w:pos="6540"/>
        </w:tabs>
        <w:spacing w:line="360" w:lineRule="auto"/>
        <w:jc w:val="both"/>
        <w:rPr>
          <w:rFonts w:ascii="Arial" w:hAnsi="Arial" w:cs="Arial"/>
          <w:b/>
          <w:bCs/>
          <w:sz w:val="22"/>
        </w:rPr>
      </w:pPr>
    </w:p>
    <w:p w14:paraId="4879CB60" w14:textId="67F5A96F" w:rsidR="0041422F" w:rsidRPr="00A71E69" w:rsidRDefault="00A71E69" w:rsidP="00C04C74">
      <w:pPr>
        <w:tabs>
          <w:tab w:val="left" w:pos="6540"/>
        </w:tabs>
        <w:spacing w:line="360" w:lineRule="auto"/>
        <w:jc w:val="both"/>
        <w:rPr>
          <w:rFonts w:ascii="Arial" w:hAnsi="Arial" w:cs="Arial"/>
          <w:sz w:val="22"/>
        </w:rPr>
      </w:pPr>
      <w:r w:rsidRPr="00C04C74">
        <w:rPr>
          <w:rFonts w:ascii="Arial" w:hAnsi="Arial" w:cs="Arial"/>
          <w:b/>
          <w:bCs/>
          <w:sz w:val="22"/>
        </w:rPr>
        <w:lastRenderedPageBreak/>
        <w:t>Ethical</w:t>
      </w:r>
      <w:r w:rsidR="0041422F" w:rsidRPr="00C04C74">
        <w:rPr>
          <w:rFonts w:ascii="Arial" w:hAnsi="Arial" w:cs="Arial"/>
          <w:b/>
          <w:bCs/>
          <w:sz w:val="22"/>
        </w:rPr>
        <w:t xml:space="preserve"> considerations </w:t>
      </w:r>
    </w:p>
    <w:p w14:paraId="0FB25BD6" w14:textId="6434921C" w:rsidR="0041422F" w:rsidRPr="00C04C74" w:rsidRDefault="00C04C74" w:rsidP="00C04C74">
      <w:pPr>
        <w:tabs>
          <w:tab w:val="left" w:pos="6540"/>
        </w:tabs>
        <w:spacing w:line="360" w:lineRule="auto"/>
        <w:jc w:val="both"/>
        <w:rPr>
          <w:rFonts w:ascii="Arial" w:hAnsi="Arial" w:cs="Arial"/>
          <w:sz w:val="22"/>
        </w:rPr>
      </w:pPr>
      <w:r w:rsidRPr="00C04C74">
        <w:rPr>
          <w:rFonts w:ascii="Arial" w:hAnsi="Arial" w:cs="Arial"/>
          <w:sz w:val="22"/>
        </w:rPr>
        <w:t>As this review uses secondary data, the main ethical considerations relate to ensuring accuracy, transparency, and fair representation of existing evidence. Researchers must avoid selective reporting, acknowledge all sources properly, and maintain integrity throughout the review process (Harris et al., 2024).</w:t>
      </w:r>
    </w:p>
    <w:p w14:paraId="5C561755" w14:textId="77777777" w:rsidR="00AB7823" w:rsidRPr="00CD33A8" w:rsidRDefault="00AB7823" w:rsidP="00AB7823">
      <w:pPr>
        <w:tabs>
          <w:tab w:val="left" w:pos="6540"/>
        </w:tabs>
        <w:spacing w:line="360" w:lineRule="auto"/>
        <w:rPr>
          <w:rFonts w:asciiTheme="minorBidi" w:hAnsiTheme="minorBidi"/>
          <w:sz w:val="22"/>
        </w:rPr>
      </w:pPr>
    </w:p>
    <w:p w14:paraId="07A1DE77" w14:textId="77777777" w:rsidR="0041422F" w:rsidRDefault="0041422F" w:rsidP="00361403">
      <w:pPr>
        <w:pStyle w:val="Heading1"/>
      </w:pPr>
    </w:p>
    <w:p w14:paraId="1CA39BFE" w14:textId="77777777" w:rsidR="0041422F" w:rsidRDefault="0041422F" w:rsidP="00361403">
      <w:pPr>
        <w:pStyle w:val="Heading1"/>
      </w:pPr>
    </w:p>
    <w:p w14:paraId="70D4BCE5" w14:textId="77777777" w:rsidR="0041422F" w:rsidRDefault="0041422F" w:rsidP="00361403">
      <w:pPr>
        <w:pStyle w:val="Heading1"/>
      </w:pPr>
    </w:p>
    <w:p w14:paraId="0B299BAA" w14:textId="31710120" w:rsidR="00B87E75" w:rsidRPr="00361403" w:rsidRDefault="00B87E75" w:rsidP="00361403">
      <w:pPr>
        <w:pStyle w:val="Heading1"/>
      </w:pPr>
      <w:r w:rsidRPr="00CD33A8">
        <w:t>Results</w:t>
      </w:r>
    </w:p>
    <w:p w14:paraId="7CD8290F" w14:textId="7F7F675B" w:rsidR="00364C52" w:rsidRPr="0041422F" w:rsidRDefault="00AB7823" w:rsidP="00643DA1">
      <w:pPr>
        <w:spacing w:line="360" w:lineRule="auto"/>
        <w:jc w:val="both"/>
        <w:rPr>
          <w:rFonts w:ascii="Arial" w:hAnsi="Arial" w:cs="Arial"/>
          <w:sz w:val="22"/>
        </w:rPr>
      </w:pPr>
      <w:r w:rsidRPr="0041422F">
        <w:rPr>
          <w:rFonts w:ascii="Arial" w:hAnsi="Arial" w:cs="Arial"/>
          <w:sz w:val="22"/>
        </w:rPr>
        <w:t xml:space="preserve">In this section, </w:t>
      </w:r>
      <w:r w:rsidR="0041422F" w:rsidRPr="0041422F">
        <w:rPr>
          <w:rFonts w:ascii="Arial" w:hAnsi="Arial" w:cs="Arial"/>
          <w:sz w:val="22"/>
        </w:rPr>
        <w:t>the</w:t>
      </w:r>
      <w:r w:rsidRPr="0041422F">
        <w:rPr>
          <w:rFonts w:ascii="Arial" w:hAnsi="Arial" w:cs="Arial"/>
          <w:sz w:val="22"/>
        </w:rPr>
        <w:t xml:space="preserve"> f</w:t>
      </w:r>
      <w:r w:rsidR="00483A68" w:rsidRPr="0041422F">
        <w:rPr>
          <w:rFonts w:ascii="Arial" w:hAnsi="Arial" w:cs="Arial"/>
          <w:sz w:val="22"/>
        </w:rPr>
        <w:t>ive UK-based peer-reviewed studies included in this scoping review</w:t>
      </w:r>
      <w:r w:rsidR="0041422F" w:rsidRPr="0041422F">
        <w:rPr>
          <w:rFonts w:ascii="Arial" w:hAnsi="Arial" w:cs="Arial"/>
          <w:sz w:val="22"/>
        </w:rPr>
        <w:t xml:space="preserve"> are further elaborated</w:t>
      </w:r>
      <w:r w:rsidR="00483A68" w:rsidRPr="0041422F">
        <w:rPr>
          <w:rFonts w:ascii="Arial" w:hAnsi="Arial" w:cs="Arial"/>
          <w:sz w:val="22"/>
        </w:rPr>
        <w:t>. The studies were written from 2021 to 2026 and explored the inequalities regarding access to general practitioners' services based on the aspects of deprivation, ethnicity, digital divide, continuity of care, and structural barriers (Sinnott et al., 2026; Marks et al., 2026; Islam, Bailey &amp; Netto, 2024; Scobie et al., 2021; Green et al., 2022).</w:t>
      </w:r>
    </w:p>
    <w:p w14:paraId="512925CA" w14:textId="37E3788F" w:rsidR="00364C52" w:rsidRPr="0041422F" w:rsidRDefault="00364C52" w:rsidP="00643DA1">
      <w:pPr>
        <w:spacing w:line="360" w:lineRule="auto"/>
        <w:jc w:val="both"/>
        <w:rPr>
          <w:rFonts w:ascii="Arial" w:hAnsi="Arial" w:cs="Arial"/>
          <w:sz w:val="22"/>
        </w:rPr>
      </w:pPr>
      <w:r w:rsidRPr="0041422F">
        <w:rPr>
          <w:rFonts w:ascii="Arial" w:hAnsi="Arial" w:cs="Arial"/>
          <w:sz w:val="22"/>
        </w:rPr>
        <w:t>Sinnott et al. (2026)</w:t>
      </w:r>
    </w:p>
    <w:p w14:paraId="74B00D6E" w14:textId="1F202488" w:rsidR="00364C52" w:rsidRPr="0041422F" w:rsidRDefault="00364C52" w:rsidP="00643DA1">
      <w:pPr>
        <w:spacing w:line="360" w:lineRule="auto"/>
        <w:jc w:val="both"/>
        <w:rPr>
          <w:rFonts w:ascii="Arial" w:hAnsi="Arial" w:cs="Arial"/>
          <w:sz w:val="22"/>
        </w:rPr>
      </w:pPr>
      <w:r w:rsidRPr="0041422F">
        <w:rPr>
          <w:rFonts w:ascii="Arial" w:hAnsi="Arial" w:cs="Arial"/>
          <w:sz w:val="22"/>
        </w:rPr>
        <w:t>Marks et al. (2026)</w:t>
      </w:r>
    </w:p>
    <w:p w14:paraId="57CF9687" w14:textId="77777777" w:rsidR="0041422F" w:rsidRPr="0041422F" w:rsidRDefault="00364C52" w:rsidP="00643DA1">
      <w:pPr>
        <w:spacing w:line="360" w:lineRule="auto"/>
        <w:jc w:val="both"/>
        <w:rPr>
          <w:rFonts w:ascii="Arial" w:hAnsi="Arial" w:cs="Arial"/>
          <w:sz w:val="22"/>
        </w:rPr>
      </w:pPr>
      <w:r w:rsidRPr="0041422F">
        <w:rPr>
          <w:rFonts w:ascii="Arial" w:hAnsi="Arial" w:cs="Arial"/>
          <w:sz w:val="22"/>
        </w:rPr>
        <w:t>Scobie et al. (2021)</w:t>
      </w:r>
    </w:p>
    <w:p w14:paraId="2D1F10A9" w14:textId="2995183D" w:rsidR="00247E16" w:rsidRPr="0041422F" w:rsidRDefault="00247E16" w:rsidP="00643DA1">
      <w:pPr>
        <w:spacing w:line="360" w:lineRule="auto"/>
        <w:jc w:val="both"/>
        <w:rPr>
          <w:rFonts w:ascii="Arial" w:hAnsi="Arial" w:cs="Arial"/>
          <w:sz w:val="22"/>
        </w:rPr>
      </w:pPr>
      <w:r w:rsidRPr="0041422F">
        <w:rPr>
          <w:rFonts w:ascii="Arial" w:hAnsi="Arial" w:cs="Arial"/>
          <w:sz w:val="22"/>
        </w:rPr>
        <w:t>Islam, Bailey &amp; Netto (2024)</w:t>
      </w:r>
    </w:p>
    <w:p w14:paraId="13DE67F4" w14:textId="77777777" w:rsidR="00BC46B1" w:rsidRPr="0041422F" w:rsidRDefault="00364C52" w:rsidP="00643DA1">
      <w:pPr>
        <w:spacing w:line="360" w:lineRule="auto"/>
        <w:jc w:val="both"/>
        <w:rPr>
          <w:rFonts w:ascii="Arial" w:hAnsi="Arial" w:cs="Arial"/>
          <w:sz w:val="22"/>
        </w:rPr>
      </w:pPr>
      <w:r w:rsidRPr="0041422F">
        <w:rPr>
          <w:rFonts w:ascii="Arial" w:hAnsi="Arial" w:cs="Arial"/>
          <w:sz w:val="22"/>
        </w:rPr>
        <w:t>Green et al. (2022)</w:t>
      </w:r>
    </w:p>
    <w:p w14:paraId="2A43CCCC" w14:textId="43408DB8" w:rsidR="00364C52" w:rsidRPr="0041422F" w:rsidRDefault="00364C52" w:rsidP="00361403">
      <w:pPr>
        <w:pStyle w:val="Heading1"/>
      </w:pPr>
      <w:r w:rsidRPr="0041422F">
        <w:t>Summary Table of Selected Studies</w:t>
      </w:r>
    </w:p>
    <w:p w14:paraId="06584492" w14:textId="06147838" w:rsidR="00364C52" w:rsidRPr="0041422F" w:rsidRDefault="00364C52" w:rsidP="00361403">
      <w:pPr>
        <w:pStyle w:val="Heading1"/>
      </w:pPr>
      <w:r w:rsidRPr="0041422F">
        <w:t>Table 1. Summary of Included Studies</w:t>
      </w:r>
    </w:p>
    <w:p w14:paraId="43D506B2" w14:textId="77777777" w:rsidR="00364C52" w:rsidRDefault="00364C52" w:rsidP="00364C52"/>
    <w:tbl>
      <w:tblPr>
        <w:tblStyle w:val="TableGrid"/>
        <w:tblW w:w="10076" w:type="dxa"/>
        <w:tblLook w:val="04A0" w:firstRow="1" w:lastRow="0" w:firstColumn="1" w:lastColumn="0" w:noHBand="0" w:noVBand="1"/>
      </w:tblPr>
      <w:tblGrid>
        <w:gridCol w:w="2015"/>
        <w:gridCol w:w="2015"/>
        <w:gridCol w:w="2015"/>
        <w:gridCol w:w="2015"/>
        <w:gridCol w:w="2016"/>
      </w:tblGrid>
      <w:tr w:rsidR="00364C52" w14:paraId="592A7DD1" w14:textId="77777777" w:rsidTr="00C60FC3">
        <w:trPr>
          <w:trHeight w:val="862"/>
        </w:trPr>
        <w:tc>
          <w:tcPr>
            <w:tcW w:w="2015" w:type="dxa"/>
          </w:tcPr>
          <w:p w14:paraId="5812F903" w14:textId="1D1B5C38" w:rsidR="00364C52" w:rsidRPr="00CD1C90" w:rsidRDefault="00364C52" w:rsidP="00CD1C90">
            <w:pPr>
              <w:spacing w:line="360" w:lineRule="auto"/>
              <w:rPr>
                <w:rFonts w:ascii="Arial" w:hAnsi="Arial" w:cs="Arial"/>
                <w:sz w:val="22"/>
              </w:rPr>
            </w:pPr>
            <w:r w:rsidRPr="00CD1C90">
              <w:rPr>
                <w:rFonts w:ascii="Arial" w:hAnsi="Arial" w:cs="Arial"/>
                <w:sz w:val="22"/>
              </w:rPr>
              <w:t>Author &amp; Year</w:t>
            </w:r>
          </w:p>
        </w:tc>
        <w:tc>
          <w:tcPr>
            <w:tcW w:w="2015" w:type="dxa"/>
          </w:tcPr>
          <w:p w14:paraId="6AE7D436" w14:textId="56CF7AEA" w:rsidR="00364C52" w:rsidRPr="00CD1C90" w:rsidRDefault="00364C52" w:rsidP="00CD1C90">
            <w:pPr>
              <w:spacing w:line="360" w:lineRule="auto"/>
              <w:rPr>
                <w:rFonts w:ascii="Arial" w:hAnsi="Arial" w:cs="Arial"/>
                <w:sz w:val="22"/>
              </w:rPr>
            </w:pPr>
            <w:r w:rsidRPr="00CD1C90">
              <w:rPr>
                <w:rFonts w:ascii="Arial" w:hAnsi="Arial" w:cs="Arial"/>
                <w:sz w:val="22"/>
              </w:rPr>
              <w:t>Aim of Study</w:t>
            </w:r>
          </w:p>
        </w:tc>
        <w:tc>
          <w:tcPr>
            <w:tcW w:w="2015" w:type="dxa"/>
          </w:tcPr>
          <w:p w14:paraId="5AC4F993" w14:textId="2DDA8FF9" w:rsidR="00364C52" w:rsidRPr="00CD1C90" w:rsidRDefault="00364C52" w:rsidP="00CD1C90">
            <w:pPr>
              <w:spacing w:line="360" w:lineRule="auto"/>
              <w:rPr>
                <w:rFonts w:ascii="Arial" w:hAnsi="Arial" w:cs="Arial"/>
                <w:sz w:val="22"/>
              </w:rPr>
            </w:pPr>
            <w:r w:rsidRPr="00CD1C90">
              <w:rPr>
                <w:rFonts w:ascii="Arial" w:hAnsi="Arial" w:cs="Arial"/>
                <w:sz w:val="22"/>
              </w:rPr>
              <w:t>Methodology</w:t>
            </w:r>
          </w:p>
        </w:tc>
        <w:tc>
          <w:tcPr>
            <w:tcW w:w="2015" w:type="dxa"/>
          </w:tcPr>
          <w:p w14:paraId="51A77436" w14:textId="5ECA068C" w:rsidR="00364C52" w:rsidRPr="00CD1C90" w:rsidRDefault="00364C52" w:rsidP="00CD1C90">
            <w:pPr>
              <w:spacing w:line="360" w:lineRule="auto"/>
              <w:rPr>
                <w:rFonts w:ascii="Arial" w:hAnsi="Arial" w:cs="Arial"/>
                <w:sz w:val="22"/>
              </w:rPr>
            </w:pPr>
            <w:r w:rsidRPr="00CD1C90">
              <w:rPr>
                <w:rFonts w:ascii="Arial" w:hAnsi="Arial" w:cs="Arial"/>
                <w:sz w:val="22"/>
              </w:rPr>
              <w:t>Sample / Data</w:t>
            </w:r>
          </w:p>
        </w:tc>
        <w:tc>
          <w:tcPr>
            <w:tcW w:w="2016" w:type="dxa"/>
          </w:tcPr>
          <w:p w14:paraId="20222678" w14:textId="7657DE0F" w:rsidR="00364C52" w:rsidRPr="00CD1C90" w:rsidRDefault="00364C52" w:rsidP="00CD1C90">
            <w:pPr>
              <w:spacing w:line="360" w:lineRule="auto"/>
              <w:rPr>
                <w:rFonts w:ascii="Arial" w:hAnsi="Arial" w:cs="Arial"/>
                <w:sz w:val="22"/>
              </w:rPr>
            </w:pPr>
            <w:r w:rsidRPr="00CD1C90">
              <w:rPr>
                <w:rFonts w:ascii="Arial" w:hAnsi="Arial" w:cs="Arial"/>
                <w:sz w:val="22"/>
              </w:rPr>
              <w:t>Key Findings Related to Inequalities</w:t>
            </w:r>
          </w:p>
        </w:tc>
      </w:tr>
      <w:tr w:rsidR="00364C52" w14:paraId="07C1608D" w14:textId="77777777" w:rsidTr="00C60FC3">
        <w:trPr>
          <w:trHeight w:val="3432"/>
        </w:trPr>
        <w:tc>
          <w:tcPr>
            <w:tcW w:w="2015" w:type="dxa"/>
          </w:tcPr>
          <w:p w14:paraId="4E29ABEB" w14:textId="3690D25C" w:rsidR="00364C52" w:rsidRPr="00CD1C90" w:rsidRDefault="00364C52" w:rsidP="00CD1C90">
            <w:pPr>
              <w:spacing w:line="360" w:lineRule="auto"/>
              <w:rPr>
                <w:rFonts w:ascii="Arial" w:hAnsi="Arial" w:cs="Arial"/>
                <w:sz w:val="22"/>
              </w:rPr>
            </w:pPr>
            <w:r w:rsidRPr="00CD1C90">
              <w:rPr>
                <w:rFonts w:ascii="Arial" w:hAnsi="Arial" w:cs="Arial"/>
                <w:sz w:val="22"/>
              </w:rPr>
              <w:lastRenderedPageBreak/>
              <w:t>Sinnott et al. (2026)</w:t>
            </w:r>
          </w:p>
        </w:tc>
        <w:tc>
          <w:tcPr>
            <w:tcW w:w="2015" w:type="dxa"/>
          </w:tcPr>
          <w:p w14:paraId="2FB52CEA" w14:textId="28E542FD" w:rsidR="00364C52" w:rsidRPr="00CD1C90" w:rsidRDefault="00364C52" w:rsidP="00CD1C90">
            <w:pPr>
              <w:spacing w:line="360" w:lineRule="auto"/>
              <w:rPr>
                <w:rFonts w:ascii="Arial" w:hAnsi="Arial" w:cs="Arial"/>
                <w:sz w:val="22"/>
              </w:rPr>
            </w:pPr>
            <w:r w:rsidRPr="00CD1C90">
              <w:rPr>
                <w:rFonts w:ascii="Arial" w:hAnsi="Arial" w:cs="Arial"/>
                <w:sz w:val="22"/>
              </w:rPr>
              <w:t>Discover patient experiences of accessing general practice in England</w:t>
            </w:r>
          </w:p>
        </w:tc>
        <w:tc>
          <w:tcPr>
            <w:tcW w:w="2015" w:type="dxa"/>
          </w:tcPr>
          <w:p w14:paraId="5488DEFA" w14:textId="177624D8" w:rsidR="00364C52" w:rsidRPr="00CD1C90" w:rsidRDefault="00C60FC3" w:rsidP="00CD1C90">
            <w:pPr>
              <w:spacing w:line="360" w:lineRule="auto"/>
              <w:rPr>
                <w:rFonts w:ascii="Arial" w:hAnsi="Arial" w:cs="Arial"/>
                <w:sz w:val="22"/>
              </w:rPr>
            </w:pPr>
            <w:r w:rsidRPr="00CD1C90">
              <w:rPr>
                <w:rFonts w:ascii="Arial" w:hAnsi="Arial" w:cs="Arial"/>
                <w:sz w:val="22"/>
              </w:rPr>
              <w:t>Qualitative interviews</w:t>
            </w:r>
          </w:p>
        </w:tc>
        <w:tc>
          <w:tcPr>
            <w:tcW w:w="2015" w:type="dxa"/>
          </w:tcPr>
          <w:p w14:paraId="21DF1216" w14:textId="5A646DF7" w:rsidR="00364C52" w:rsidRPr="00CD1C90" w:rsidRDefault="00C60FC3" w:rsidP="00CD1C90">
            <w:pPr>
              <w:spacing w:line="360" w:lineRule="auto"/>
              <w:rPr>
                <w:rFonts w:ascii="Arial" w:hAnsi="Arial" w:cs="Arial"/>
                <w:sz w:val="22"/>
              </w:rPr>
            </w:pPr>
            <w:r w:rsidRPr="00CD1C90">
              <w:rPr>
                <w:rFonts w:ascii="Arial" w:hAnsi="Arial" w:cs="Arial"/>
                <w:sz w:val="22"/>
              </w:rPr>
              <w:t>Patient Experiences in Accessing General Practice in England</w:t>
            </w:r>
          </w:p>
        </w:tc>
        <w:tc>
          <w:tcPr>
            <w:tcW w:w="2016" w:type="dxa"/>
          </w:tcPr>
          <w:p w14:paraId="05C593BD" w14:textId="3C7ACF25" w:rsidR="00364C52" w:rsidRPr="00CD1C90" w:rsidRDefault="00C60FC3" w:rsidP="00CD1C90">
            <w:pPr>
              <w:spacing w:line="360" w:lineRule="auto"/>
              <w:rPr>
                <w:rFonts w:ascii="Arial" w:hAnsi="Arial" w:cs="Arial"/>
                <w:sz w:val="22"/>
              </w:rPr>
            </w:pPr>
            <w:r w:rsidRPr="00CD1C90">
              <w:rPr>
                <w:rFonts w:ascii="Arial" w:hAnsi="Arial" w:cs="Arial"/>
                <w:sz w:val="22"/>
              </w:rPr>
              <w:t>Patients from deprived areas faced challenges in appointment availability, complicated access procedures, and decreased continuity of care</w:t>
            </w:r>
          </w:p>
        </w:tc>
      </w:tr>
      <w:tr w:rsidR="00364C52" w14:paraId="67F406DD" w14:textId="77777777" w:rsidTr="00C60FC3">
        <w:trPr>
          <w:trHeight w:val="577"/>
        </w:trPr>
        <w:tc>
          <w:tcPr>
            <w:tcW w:w="2015" w:type="dxa"/>
          </w:tcPr>
          <w:p w14:paraId="20A1BF1E" w14:textId="7E15B254" w:rsidR="00364C52" w:rsidRPr="00CD1C90" w:rsidRDefault="00364C52" w:rsidP="00CD1C90">
            <w:pPr>
              <w:spacing w:line="360" w:lineRule="auto"/>
              <w:rPr>
                <w:rFonts w:ascii="Arial" w:hAnsi="Arial" w:cs="Arial"/>
                <w:sz w:val="22"/>
              </w:rPr>
            </w:pPr>
            <w:r w:rsidRPr="00CD1C90">
              <w:rPr>
                <w:rFonts w:ascii="Arial" w:hAnsi="Arial" w:cs="Arial"/>
                <w:sz w:val="22"/>
              </w:rPr>
              <w:t>Marks et al. (2026)</w:t>
            </w:r>
          </w:p>
        </w:tc>
        <w:tc>
          <w:tcPr>
            <w:tcW w:w="2015" w:type="dxa"/>
          </w:tcPr>
          <w:p w14:paraId="782D96B8" w14:textId="7B0C823B" w:rsidR="00364C52" w:rsidRPr="00CD1C90" w:rsidRDefault="00C60FC3" w:rsidP="00CD1C90">
            <w:pPr>
              <w:spacing w:line="360" w:lineRule="auto"/>
              <w:rPr>
                <w:rFonts w:ascii="Arial" w:hAnsi="Arial" w:cs="Arial"/>
                <w:sz w:val="22"/>
              </w:rPr>
            </w:pPr>
            <w:r w:rsidRPr="00CD1C90">
              <w:rPr>
                <w:rFonts w:ascii="Arial" w:hAnsi="Arial" w:cs="Arial"/>
                <w:sz w:val="22"/>
              </w:rPr>
              <w:t>Examine sociodemographic variation in patient experience across access modes</w:t>
            </w:r>
          </w:p>
        </w:tc>
        <w:tc>
          <w:tcPr>
            <w:tcW w:w="2015" w:type="dxa"/>
          </w:tcPr>
          <w:p w14:paraId="07FC1339" w14:textId="14432675" w:rsidR="00364C52" w:rsidRPr="00CD1C90" w:rsidRDefault="00C60FC3" w:rsidP="00CD1C90">
            <w:pPr>
              <w:spacing w:line="360" w:lineRule="auto"/>
              <w:rPr>
                <w:rFonts w:ascii="Arial" w:hAnsi="Arial" w:cs="Arial"/>
                <w:sz w:val="22"/>
              </w:rPr>
            </w:pPr>
            <w:r w:rsidRPr="00CD1C90">
              <w:rPr>
                <w:rFonts w:ascii="Arial" w:hAnsi="Arial" w:cs="Arial"/>
                <w:sz w:val="22"/>
              </w:rPr>
              <w:t>Quantitative analysis of GP Patient Survey</w:t>
            </w:r>
          </w:p>
        </w:tc>
        <w:tc>
          <w:tcPr>
            <w:tcW w:w="2015" w:type="dxa"/>
          </w:tcPr>
          <w:p w14:paraId="6C7A2747" w14:textId="0882ED6A" w:rsidR="00364C52" w:rsidRPr="00CD1C90" w:rsidRDefault="00C60FC3" w:rsidP="00CD1C90">
            <w:pPr>
              <w:spacing w:line="360" w:lineRule="auto"/>
              <w:rPr>
                <w:rFonts w:ascii="Arial" w:hAnsi="Arial" w:cs="Arial"/>
                <w:sz w:val="22"/>
              </w:rPr>
            </w:pPr>
            <w:r w:rsidRPr="00CD1C90">
              <w:rPr>
                <w:rFonts w:ascii="Arial" w:hAnsi="Arial" w:cs="Arial"/>
                <w:sz w:val="22"/>
              </w:rPr>
              <w:t>National dataset (England, 2023)</w:t>
            </w:r>
          </w:p>
        </w:tc>
        <w:tc>
          <w:tcPr>
            <w:tcW w:w="2016" w:type="dxa"/>
          </w:tcPr>
          <w:p w14:paraId="2541CA20" w14:textId="39A2CA6E" w:rsidR="00364C52" w:rsidRPr="00CD1C90" w:rsidRDefault="00C60FC3" w:rsidP="00CD1C90">
            <w:pPr>
              <w:spacing w:line="360" w:lineRule="auto"/>
              <w:rPr>
                <w:rFonts w:ascii="Arial" w:hAnsi="Arial" w:cs="Arial"/>
                <w:sz w:val="22"/>
              </w:rPr>
            </w:pPr>
            <w:r w:rsidRPr="00CD1C90">
              <w:rPr>
                <w:rFonts w:ascii="Arial" w:hAnsi="Arial" w:cs="Arial"/>
                <w:sz w:val="22"/>
              </w:rPr>
              <w:t>Digital and telephone access less favourable for older adults, deprived groups, and ethnic minorities</w:t>
            </w:r>
          </w:p>
        </w:tc>
      </w:tr>
      <w:tr w:rsidR="00364C52" w:rsidRPr="00CD1C90" w14:paraId="74E571A1" w14:textId="77777777" w:rsidTr="00C60FC3">
        <w:trPr>
          <w:trHeight w:val="569"/>
        </w:trPr>
        <w:tc>
          <w:tcPr>
            <w:tcW w:w="2015" w:type="dxa"/>
          </w:tcPr>
          <w:p w14:paraId="17B832F1" w14:textId="66D41F85" w:rsidR="00364C52" w:rsidRPr="00CD1C90" w:rsidRDefault="00364C52" w:rsidP="00CD1C90">
            <w:pPr>
              <w:spacing w:line="360" w:lineRule="auto"/>
              <w:rPr>
                <w:rFonts w:ascii="Arial" w:hAnsi="Arial" w:cs="Arial"/>
                <w:sz w:val="22"/>
              </w:rPr>
            </w:pPr>
            <w:r w:rsidRPr="00CD1C90">
              <w:rPr>
                <w:rFonts w:ascii="Arial" w:hAnsi="Arial" w:cs="Arial"/>
                <w:sz w:val="22"/>
              </w:rPr>
              <w:t>Islam, Bailey &amp; Netto (2024)</w:t>
            </w:r>
          </w:p>
        </w:tc>
        <w:tc>
          <w:tcPr>
            <w:tcW w:w="2015" w:type="dxa"/>
          </w:tcPr>
          <w:p w14:paraId="1086F52F" w14:textId="7B31251E" w:rsidR="00364C52" w:rsidRPr="00CD1C90" w:rsidRDefault="00D113BE" w:rsidP="00CD1C90">
            <w:pPr>
              <w:spacing w:line="360" w:lineRule="auto"/>
              <w:rPr>
                <w:rFonts w:ascii="Arial" w:hAnsi="Arial" w:cs="Arial"/>
                <w:sz w:val="22"/>
              </w:rPr>
            </w:pPr>
            <w:r w:rsidRPr="00CD1C90">
              <w:rPr>
                <w:rFonts w:ascii="Arial" w:hAnsi="Arial" w:cs="Arial"/>
                <w:sz w:val="22"/>
              </w:rPr>
              <w:t>Explore digitalised primary care experiences among minoritised ethnic communities</w:t>
            </w:r>
          </w:p>
        </w:tc>
        <w:tc>
          <w:tcPr>
            <w:tcW w:w="2015" w:type="dxa"/>
          </w:tcPr>
          <w:p w14:paraId="2478D74E" w14:textId="5D547FD3" w:rsidR="00364C52" w:rsidRPr="00CD1C90" w:rsidRDefault="00D113BE" w:rsidP="00CD1C90">
            <w:pPr>
              <w:spacing w:line="360" w:lineRule="auto"/>
              <w:rPr>
                <w:rFonts w:ascii="Arial" w:hAnsi="Arial" w:cs="Arial"/>
                <w:sz w:val="22"/>
              </w:rPr>
            </w:pPr>
            <w:r w:rsidRPr="00CD1C90">
              <w:rPr>
                <w:rFonts w:ascii="Arial" w:hAnsi="Arial" w:cs="Arial"/>
                <w:sz w:val="22"/>
              </w:rPr>
              <w:t>Qualitative study</w:t>
            </w:r>
          </w:p>
        </w:tc>
        <w:tc>
          <w:tcPr>
            <w:tcW w:w="2015" w:type="dxa"/>
          </w:tcPr>
          <w:p w14:paraId="4AE88CE6" w14:textId="09969BEB" w:rsidR="00364C52" w:rsidRPr="00CD1C90" w:rsidRDefault="00D113BE" w:rsidP="00CD1C90">
            <w:pPr>
              <w:spacing w:line="360" w:lineRule="auto"/>
              <w:rPr>
                <w:rFonts w:ascii="Arial" w:hAnsi="Arial" w:cs="Arial"/>
                <w:sz w:val="22"/>
              </w:rPr>
            </w:pPr>
            <w:r w:rsidRPr="00CD1C90">
              <w:rPr>
                <w:rFonts w:ascii="Arial" w:hAnsi="Arial" w:cs="Arial"/>
                <w:sz w:val="22"/>
              </w:rPr>
              <w:t>Ethnic minority patients in UK cities</w:t>
            </w:r>
          </w:p>
        </w:tc>
        <w:tc>
          <w:tcPr>
            <w:tcW w:w="2016" w:type="dxa"/>
          </w:tcPr>
          <w:p w14:paraId="56722AEC" w14:textId="062ECF97" w:rsidR="00364C52" w:rsidRPr="00CD1C90" w:rsidRDefault="00D113BE" w:rsidP="00CD1C90">
            <w:pPr>
              <w:spacing w:line="360" w:lineRule="auto"/>
              <w:rPr>
                <w:rFonts w:ascii="Arial" w:hAnsi="Arial" w:cs="Arial"/>
                <w:sz w:val="22"/>
              </w:rPr>
            </w:pPr>
            <w:r w:rsidRPr="00CD1C90">
              <w:rPr>
                <w:rFonts w:ascii="Arial" w:hAnsi="Arial" w:cs="Arial"/>
                <w:sz w:val="22"/>
              </w:rPr>
              <w:t>Language barriers, digital mistrust, cultural mismatch, discrimination affecting access</w:t>
            </w:r>
          </w:p>
        </w:tc>
      </w:tr>
      <w:tr w:rsidR="00364C52" w:rsidRPr="00CD1C90" w14:paraId="3C579B03" w14:textId="77777777" w:rsidTr="00C60FC3">
        <w:trPr>
          <w:trHeight w:val="577"/>
        </w:trPr>
        <w:tc>
          <w:tcPr>
            <w:tcW w:w="2015" w:type="dxa"/>
          </w:tcPr>
          <w:p w14:paraId="21451BC9" w14:textId="281E723B" w:rsidR="00364C52" w:rsidRPr="00CD1C90" w:rsidRDefault="00364C52" w:rsidP="00CD1C90">
            <w:pPr>
              <w:spacing w:line="360" w:lineRule="auto"/>
              <w:rPr>
                <w:rFonts w:ascii="Arial" w:hAnsi="Arial" w:cs="Arial"/>
                <w:sz w:val="22"/>
              </w:rPr>
            </w:pPr>
            <w:r w:rsidRPr="00CD1C90">
              <w:rPr>
                <w:rFonts w:ascii="Arial" w:hAnsi="Arial" w:cs="Arial"/>
                <w:sz w:val="22"/>
              </w:rPr>
              <w:t>Scobie et al. (2021)</w:t>
            </w:r>
          </w:p>
        </w:tc>
        <w:tc>
          <w:tcPr>
            <w:tcW w:w="2015" w:type="dxa"/>
          </w:tcPr>
          <w:p w14:paraId="7347AFE1" w14:textId="6D9E92A6" w:rsidR="00364C52" w:rsidRPr="00CD1C90" w:rsidRDefault="00D113BE" w:rsidP="00CD1C90">
            <w:pPr>
              <w:spacing w:line="360" w:lineRule="auto"/>
              <w:rPr>
                <w:rFonts w:ascii="Arial" w:hAnsi="Arial" w:cs="Arial"/>
                <w:sz w:val="22"/>
              </w:rPr>
            </w:pPr>
            <w:r w:rsidRPr="00CD1C90">
              <w:rPr>
                <w:rFonts w:ascii="Arial" w:hAnsi="Arial" w:cs="Arial"/>
                <w:sz w:val="22"/>
              </w:rPr>
              <w:t>Investigate inequalities in primary care access and continuity</w:t>
            </w:r>
          </w:p>
        </w:tc>
        <w:tc>
          <w:tcPr>
            <w:tcW w:w="2015" w:type="dxa"/>
          </w:tcPr>
          <w:p w14:paraId="20333DFB" w14:textId="7D96362D" w:rsidR="00364C52" w:rsidRPr="00CD1C90" w:rsidRDefault="00D113BE" w:rsidP="00CD1C90">
            <w:pPr>
              <w:spacing w:line="360" w:lineRule="auto"/>
              <w:rPr>
                <w:rFonts w:ascii="Arial" w:hAnsi="Arial" w:cs="Arial"/>
                <w:sz w:val="22"/>
              </w:rPr>
            </w:pPr>
            <w:r w:rsidRPr="00CD1C90">
              <w:rPr>
                <w:rFonts w:ascii="Arial" w:hAnsi="Arial" w:cs="Arial"/>
                <w:sz w:val="22"/>
              </w:rPr>
              <w:t>Mixed</w:t>
            </w:r>
            <w:r w:rsidRPr="00CD1C90">
              <w:rPr>
                <w:rFonts w:ascii="Cambria Math" w:hAnsi="Cambria Math" w:cs="Cambria Math"/>
                <w:sz w:val="22"/>
              </w:rPr>
              <w:t>‑</w:t>
            </w:r>
            <w:r w:rsidRPr="00CD1C90">
              <w:rPr>
                <w:rFonts w:ascii="Arial" w:hAnsi="Arial" w:cs="Arial"/>
                <w:sz w:val="22"/>
              </w:rPr>
              <w:t>methods</w:t>
            </w:r>
          </w:p>
        </w:tc>
        <w:tc>
          <w:tcPr>
            <w:tcW w:w="2015" w:type="dxa"/>
          </w:tcPr>
          <w:p w14:paraId="68DD87BE" w14:textId="34B3E312" w:rsidR="00364C52" w:rsidRPr="00CD1C90" w:rsidRDefault="00D113BE" w:rsidP="00CD1C90">
            <w:pPr>
              <w:spacing w:line="360" w:lineRule="auto"/>
              <w:rPr>
                <w:rFonts w:ascii="Arial" w:hAnsi="Arial" w:cs="Arial"/>
                <w:sz w:val="22"/>
              </w:rPr>
            </w:pPr>
            <w:r w:rsidRPr="00CD1C90">
              <w:rPr>
                <w:rFonts w:ascii="Arial" w:hAnsi="Arial" w:cs="Arial"/>
                <w:sz w:val="22"/>
              </w:rPr>
              <w:t>National primary care data</w:t>
            </w:r>
          </w:p>
        </w:tc>
        <w:tc>
          <w:tcPr>
            <w:tcW w:w="2016" w:type="dxa"/>
          </w:tcPr>
          <w:p w14:paraId="15AD81C2" w14:textId="03CD7B6A" w:rsidR="00364C52" w:rsidRPr="00CD1C90" w:rsidRDefault="00D113BE" w:rsidP="00CD1C90">
            <w:pPr>
              <w:spacing w:line="360" w:lineRule="auto"/>
              <w:rPr>
                <w:rFonts w:ascii="Arial" w:hAnsi="Arial" w:cs="Arial"/>
                <w:sz w:val="22"/>
              </w:rPr>
            </w:pPr>
            <w:r w:rsidRPr="00CD1C90">
              <w:rPr>
                <w:rFonts w:ascii="Arial" w:hAnsi="Arial" w:cs="Arial"/>
                <w:sz w:val="22"/>
              </w:rPr>
              <w:t>Lower continuity of care in deprived and minority communities; structural pressures worsen inequalities</w:t>
            </w:r>
          </w:p>
        </w:tc>
      </w:tr>
      <w:tr w:rsidR="00364C52" w:rsidRPr="00CD1C90" w14:paraId="66F4A1B3" w14:textId="77777777" w:rsidTr="00C60FC3">
        <w:trPr>
          <w:trHeight w:val="577"/>
        </w:trPr>
        <w:tc>
          <w:tcPr>
            <w:tcW w:w="2015" w:type="dxa"/>
          </w:tcPr>
          <w:p w14:paraId="07E28A06" w14:textId="10AA2927" w:rsidR="00364C52" w:rsidRPr="00CD1C90" w:rsidRDefault="00364C52" w:rsidP="00CD1C90">
            <w:pPr>
              <w:spacing w:line="360" w:lineRule="auto"/>
              <w:rPr>
                <w:rFonts w:ascii="Arial" w:hAnsi="Arial" w:cs="Arial"/>
                <w:sz w:val="22"/>
              </w:rPr>
            </w:pPr>
            <w:r w:rsidRPr="00CD1C90">
              <w:rPr>
                <w:rFonts w:ascii="Arial" w:hAnsi="Arial" w:cs="Arial"/>
                <w:sz w:val="22"/>
              </w:rPr>
              <w:t>Green et al. (2022)</w:t>
            </w:r>
          </w:p>
        </w:tc>
        <w:tc>
          <w:tcPr>
            <w:tcW w:w="2015" w:type="dxa"/>
          </w:tcPr>
          <w:p w14:paraId="18D5CA0B" w14:textId="011A9BF8" w:rsidR="00364C52" w:rsidRPr="00CD1C90" w:rsidRDefault="00D113BE" w:rsidP="00CD1C90">
            <w:pPr>
              <w:spacing w:line="360" w:lineRule="auto"/>
              <w:rPr>
                <w:rFonts w:ascii="Arial" w:hAnsi="Arial" w:cs="Arial"/>
                <w:sz w:val="22"/>
              </w:rPr>
            </w:pPr>
            <w:r w:rsidRPr="00CD1C90">
              <w:rPr>
                <w:rFonts w:ascii="Arial" w:hAnsi="Arial" w:cs="Arial"/>
                <w:sz w:val="22"/>
              </w:rPr>
              <w:t>Examine digital exclusion and its impact on health inequalities</w:t>
            </w:r>
          </w:p>
        </w:tc>
        <w:tc>
          <w:tcPr>
            <w:tcW w:w="2015" w:type="dxa"/>
          </w:tcPr>
          <w:p w14:paraId="5CB4D4DF" w14:textId="12C072DF" w:rsidR="00364C52" w:rsidRPr="00CD1C90" w:rsidRDefault="00D113BE" w:rsidP="00CD1C90">
            <w:pPr>
              <w:spacing w:line="360" w:lineRule="auto"/>
              <w:rPr>
                <w:rFonts w:ascii="Arial" w:hAnsi="Arial" w:cs="Arial"/>
                <w:sz w:val="22"/>
              </w:rPr>
            </w:pPr>
            <w:r w:rsidRPr="00CD1C90">
              <w:rPr>
                <w:rFonts w:ascii="Arial" w:hAnsi="Arial" w:cs="Arial"/>
                <w:sz w:val="22"/>
              </w:rPr>
              <w:t>Qualitative interviews</w:t>
            </w:r>
          </w:p>
        </w:tc>
        <w:tc>
          <w:tcPr>
            <w:tcW w:w="2015" w:type="dxa"/>
          </w:tcPr>
          <w:p w14:paraId="205756CA" w14:textId="4415D0A4" w:rsidR="00364C52" w:rsidRPr="00CD1C90" w:rsidRDefault="00D113BE" w:rsidP="00CD1C90">
            <w:pPr>
              <w:spacing w:line="360" w:lineRule="auto"/>
              <w:rPr>
                <w:rFonts w:ascii="Arial" w:hAnsi="Arial" w:cs="Arial"/>
                <w:sz w:val="22"/>
              </w:rPr>
            </w:pPr>
            <w:r w:rsidRPr="00CD1C90">
              <w:rPr>
                <w:rFonts w:ascii="Arial" w:hAnsi="Arial" w:cs="Arial"/>
                <w:sz w:val="22"/>
              </w:rPr>
              <w:t>Older adults, disabled individuals, digitally excluded groups</w:t>
            </w:r>
          </w:p>
        </w:tc>
        <w:tc>
          <w:tcPr>
            <w:tcW w:w="2016" w:type="dxa"/>
          </w:tcPr>
          <w:p w14:paraId="51A94CD0" w14:textId="63FCC2B1" w:rsidR="00364C52" w:rsidRPr="00CD1C90" w:rsidRDefault="00CD1C90" w:rsidP="00CD1C90">
            <w:pPr>
              <w:spacing w:line="360" w:lineRule="auto"/>
              <w:rPr>
                <w:rFonts w:ascii="Arial" w:hAnsi="Arial" w:cs="Arial"/>
                <w:sz w:val="22"/>
              </w:rPr>
            </w:pPr>
            <w:r w:rsidRPr="00CD1C90">
              <w:rPr>
                <w:rFonts w:ascii="Arial" w:hAnsi="Arial" w:cs="Arial"/>
                <w:sz w:val="22"/>
              </w:rPr>
              <w:t xml:space="preserve">Limited digital literacy and poor access to devices hindered GP access; remote </w:t>
            </w:r>
            <w:r w:rsidRPr="00CD1C90">
              <w:rPr>
                <w:rFonts w:ascii="Arial" w:hAnsi="Arial" w:cs="Arial"/>
                <w:sz w:val="22"/>
              </w:rPr>
              <w:lastRenderedPageBreak/>
              <w:t>systems increased exclusion</w:t>
            </w:r>
          </w:p>
        </w:tc>
      </w:tr>
    </w:tbl>
    <w:p w14:paraId="77198513" w14:textId="77777777" w:rsidR="00364C52" w:rsidRPr="0041422F" w:rsidRDefault="00364C52" w:rsidP="00361403">
      <w:pPr>
        <w:pStyle w:val="Heading1"/>
      </w:pPr>
    </w:p>
    <w:p w14:paraId="7DCAD268" w14:textId="77777777" w:rsidR="00C04C74" w:rsidRDefault="00C04C74" w:rsidP="0041422F">
      <w:pPr>
        <w:rPr>
          <w:rFonts w:ascii="Arial" w:hAnsi="Arial" w:cs="Arial"/>
          <w:b/>
          <w:bCs/>
          <w:sz w:val="22"/>
        </w:rPr>
      </w:pPr>
    </w:p>
    <w:p w14:paraId="6334EA1F" w14:textId="77777777" w:rsidR="00C04C74" w:rsidRDefault="00C04C74" w:rsidP="0041422F">
      <w:pPr>
        <w:rPr>
          <w:rFonts w:ascii="Arial" w:hAnsi="Arial" w:cs="Arial"/>
          <w:b/>
          <w:bCs/>
          <w:sz w:val="22"/>
        </w:rPr>
      </w:pPr>
    </w:p>
    <w:p w14:paraId="162EA1A0" w14:textId="77777777" w:rsidR="00C04C74" w:rsidRDefault="00C04C74" w:rsidP="0041422F">
      <w:pPr>
        <w:rPr>
          <w:rFonts w:ascii="Arial" w:hAnsi="Arial" w:cs="Arial"/>
          <w:b/>
          <w:bCs/>
          <w:sz w:val="22"/>
        </w:rPr>
      </w:pPr>
    </w:p>
    <w:p w14:paraId="6338EBC2" w14:textId="77777777" w:rsidR="00C04C74" w:rsidRDefault="00C04C74" w:rsidP="0041422F">
      <w:pPr>
        <w:rPr>
          <w:rFonts w:ascii="Arial" w:hAnsi="Arial" w:cs="Arial"/>
          <w:b/>
          <w:bCs/>
          <w:sz w:val="22"/>
        </w:rPr>
      </w:pPr>
    </w:p>
    <w:p w14:paraId="769CD43F" w14:textId="77777777" w:rsidR="00C04C74" w:rsidRDefault="00C04C74" w:rsidP="0041422F">
      <w:pPr>
        <w:rPr>
          <w:rFonts w:ascii="Arial" w:hAnsi="Arial" w:cs="Arial"/>
          <w:b/>
          <w:bCs/>
          <w:sz w:val="22"/>
        </w:rPr>
      </w:pPr>
    </w:p>
    <w:p w14:paraId="3261D868" w14:textId="19B95920" w:rsidR="00364C52" w:rsidRPr="0041422F" w:rsidRDefault="00CD1C90" w:rsidP="0041422F">
      <w:pPr>
        <w:rPr>
          <w:rFonts w:ascii="Arial" w:hAnsi="Arial" w:cs="Arial"/>
          <w:b/>
          <w:bCs/>
          <w:sz w:val="22"/>
        </w:rPr>
      </w:pPr>
      <w:r w:rsidRPr="0041422F">
        <w:rPr>
          <w:rFonts w:ascii="Arial" w:hAnsi="Arial" w:cs="Arial"/>
          <w:b/>
          <w:bCs/>
          <w:sz w:val="22"/>
        </w:rPr>
        <w:t>Thematic Analysis (Synthesis of Findings)</w:t>
      </w:r>
    </w:p>
    <w:p w14:paraId="7DCE9BE7" w14:textId="77777777" w:rsidR="00483A68" w:rsidRPr="0041422F" w:rsidRDefault="00483A68" w:rsidP="00643DA1">
      <w:pPr>
        <w:spacing w:line="360" w:lineRule="auto"/>
        <w:jc w:val="both"/>
        <w:rPr>
          <w:rFonts w:ascii="Arial" w:hAnsi="Arial" w:cs="Arial"/>
          <w:bCs/>
          <w:sz w:val="22"/>
        </w:rPr>
      </w:pPr>
      <w:r w:rsidRPr="0041422F">
        <w:rPr>
          <w:rFonts w:ascii="Arial" w:hAnsi="Arial" w:cs="Arial"/>
          <w:bCs/>
          <w:sz w:val="22"/>
        </w:rPr>
        <w:t>Thematic analysis was performed using Braun and Clarke's (2006) framework. Four major themes arose from the findings of the five studies: socioeconomic deprivation, ethnic disparities, digital exclusion, and structural/organisational barriers.</w:t>
      </w:r>
    </w:p>
    <w:p w14:paraId="3CA4D35C" w14:textId="77777777" w:rsidR="00BC46B1" w:rsidRPr="0041422F" w:rsidRDefault="00BC46B1" w:rsidP="0041422F">
      <w:pPr>
        <w:rPr>
          <w:rFonts w:ascii="Arial" w:hAnsi="Arial" w:cs="Arial"/>
          <w:i/>
          <w:iCs/>
          <w:sz w:val="22"/>
        </w:rPr>
      </w:pPr>
      <w:r w:rsidRPr="0041422F">
        <w:rPr>
          <w:rFonts w:ascii="Arial" w:hAnsi="Arial" w:cs="Arial"/>
          <w:i/>
          <w:iCs/>
          <w:sz w:val="22"/>
        </w:rPr>
        <w:t>Theme 1: Socioeconomic Deprivation</w:t>
      </w:r>
    </w:p>
    <w:p w14:paraId="291FB248" w14:textId="77777777" w:rsidR="00A71E69" w:rsidRDefault="00A71E69" w:rsidP="00643DA1">
      <w:pPr>
        <w:spacing w:line="360" w:lineRule="auto"/>
        <w:jc w:val="both"/>
        <w:rPr>
          <w:rFonts w:ascii="Arial" w:hAnsi="Arial" w:cs="Arial"/>
          <w:sz w:val="22"/>
        </w:rPr>
      </w:pPr>
      <w:r w:rsidRPr="00A71E69">
        <w:rPr>
          <w:rFonts w:ascii="Arial" w:hAnsi="Arial" w:cs="Arial"/>
          <w:sz w:val="22"/>
        </w:rPr>
        <w:t>Socioeconomic deprivation is strongly linked to inadequate GP access. Patients in deprived areas struggle with booking appointments and managing access channels (Sinnott et al., 2026). Practices in these regions face high demand and workforce pressure, resulting in reduced continuity of care (Scobie et al., 2021). Marks et al. (2026) also found that deprived populations have poorer experiences using digital and telephone access to healthcare, further widening inequalities.</w:t>
      </w:r>
    </w:p>
    <w:p w14:paraId="6A04D099" w14:textId="07DC4A6B" w:rsidR="00364C52" w:rsidRPr="0041422F" w:rsidRDefault="00BC46B1" w:rsidP="00643DA1">
      <w:pPr>
        <w:spacing w:line="360" w:lineRule="auto"/>
        <w:jc w:val="both"/>
        <w:rPr>
          <w:rFonts w:ascii="Arial" w:hAnsi="Arial" w:cs="Arial"/>
          <w:sz w:val="22"/>
        </w:rPr>
      </w:pPr>
      <w:r w:rsidRPr="0041422F">
        <w:rPr>
          <w:rFonts w:ascii="Arial" w:hAnsi="Arial" w:cs="Arial"/>
          <w:sz w:val="22"/>
        </w:rPr>
        <w:t>Deprivation reduces appointment availability, continuity of care, and ability to navigate increasingly digitalised access systems.</w:t>
      </w:r>
    </w:p>
    <w:p w14:paraId="66034ADC" w14:textId="77777777" w:rsidR="00BC46B1" w:rsidRPr="0041422F" w:rsidRDefault="00BC46B1" w:rsidP="00BC46B1">
      <w:pPr>
        <w:rPr>
          <w:sz w:val="22"/>
        </w:rPr>
      </w:pPr>
    </w:p>
    <w:p w14:paraId="71F7F536" w14:textId="237DB8EA" w:rsidR="00BC46B1" w:rsidRPr="0041422F" w:rsidRDefault="00BC46B1" w:rsidP="00BC46B1">
      <w:pPr>
        <w:spacing w:line="360" w:lineRule="auto"/>
        <w:rPr>
          <w:rFonts w:ascii="Arial" w:hAnsi="Arial" w:cs="Arial"/>
          <w:i/>
          <w:iCs/>
          <w:sz w:val="22"/>
        </w:rPr>
      </w:pPr>
      <w:r w:rsidRPr="0041422F">
        <w:rPr>
          <w:rFonts w:ascii="Arial" w:hAnsi="Arial" w:cs="Arial"/>
          <w:i/>
          <w:iCs/>
          <w:sz w:val="22"/>
        </w:rPr>
        <w:t>Theme 2: Ethnic Inequalities</w:t>
      </w:r>
      <w:r w:rsidR="006A4F4A" w:rsidRPr="0041422F">
        <w:rPr>
          <w:rFonts w:ascii="Arial" w:hAnsi="Arial" w:cs="Arial"/>
          <w:i/>
          <w:iCs/>
          <w:sz w:val="22"/>
        </w:rPr>
        <w:t xml:space="preserve"> </w:t>
      </w:r>
    </w:p>
    <w:p w14:paraId="418E65FC" w14:textId="77777777" w:rsidR="00A71E69" w:rsidRDefault="00A71E69" w:rsidP="006A4F4A">
      <w:pPr>
        <w:spacing w:line="360" w:lineRule="auto"/>
        <w:jc w:val="both"/>
        <w:rPr>
          <w:rFonts w:ascii="Arial" w:hAnsi="Arial" w:cs="Arial"/>
          <w:sz w:val="22"/>
        </w:rPr>
      </w:pPr>
      <w:r w:rsidRPr="00A71E69">
        <w:rPr>
          <w:rFonts w:ascii="Arial" w:hAnsi="Arial" w:cs="Arial"/>
          <w:sz w:val="22"/>
        </w:rPr>
        <w:t>Ethnic minority groups face specific barriers when seeking GP services. Islam, Bailey and Netto (2024) found that language difficulties, cultural mismatch and discrimination reduce trust and willingness to seek help. Misunderstanding during telemedicine appointments also lowers satisfaction and continuity. Marks et al. (2026) reported poorer digital access experiences for minority groups, while Scobie et al. (2021) highlighted reduced continuity of care, contributing to ongoing inequalities.</w:t>
      </w:r>
    </w:p>
    <w:p w14:paraId="58B7BDD4" w14:textId="1C0687A4" w:rsidR="00BC46B1" w:rsidRPr="0041422F" w:rsidRDefault="006A4F4A" w:rsidP="006A4F4A">
      <w:pPr>
        <w:spacing w:line="360" w:lineRule="auto"/>
        <w:jc w:val="both"/>
        <w:rPr>
          <w:rFonts w:ascii="Arial" w:hAnsi="Arial" w:cs="Arial"/>
          <w:sz w:val="22"/>
        </w:rPr>
      </w:pPr>
      <w:r w:rsidRPr="0041422F">
        <w:rPr>
          <w:rFonts w:ascii="Arial" w:hAnsi="Arial" w:cs="Arial"/>
          <w:sz w:val="22"/>
        </w:rPr>
        <w:t>Ethnically based</w:t>
      </w:r>
      <w:r w:rsidR="00BC46B1" w:rsidRPr="0041422F">
        <w:rPr>
          <w:rFonts w:ascii="Arial" w:hAnsi="Arial" w:cs="Arial"/>
          <w:sz w:val="22"/>
        </w:rPr>
        <w:t xml:space="preserve"> inequalities result from language issues, discrimination, cultural mismatch, and low continuity.</w:t>
      </w:r>
    </w:p>
    <w:p w14:paraId="0BE9BF21" w14:textId="50BEA423" w:rsidR="006A4F4A" w:rsidRPr="0041422F" w:rsidRDefault="006A4F4A" w:rsidP="006A4F4A">
      <w:pPr>
        <w:spacing w:line="360" w:lineRule="auto"/>
        <w:jc w:val="both"/>
        <w:rPr>
          <w:rFonts w:ascii="Arial" w:hAnsi="Arial" w:cs="Arial"/>
          <w:i/>
          <w:iCs/>
          <w:sz w:val="22"/>
        </w:rPr>
      </w:pPr>
      <w:r w:rsidRPr="0041422F">
        <w:rPr>
          <w:rFonts w:ascii="Arial" w:hAnsi="Arial" w:cs="Arial"/>
          <w:i/>
          <w:iCs/>
          <w:sz w:val="22"/>
        </w:rPr>
        <w:lastRenderedPageBreak/>
        <w:t>Theme 3: Digital Exclusion</w:t>
      </w:r>
    </w:p>
    <w:p w14:paraId="27EE0FA6" w14:textId="77777777" w:rsidR="00A71E69" w:rsidRDefault="00A71E69" w:rsidP="00473568">
      <w:pPr>
        <w:spacing w:line="360" w:lineRule="auto"/>
        <w:jc w:val="both"/>
        <w:rPr>
          <w:rFonts w:ascii="Arial" w:hAnsi="Arial" w:cs="Arial"/>
          <w:sz w:val="22"/>
        </w:rPr>
      </w:pPr>
      <w:r w:rsidRPr="00A71E69">
        <w:rPr>
          <w:rFonts w:ascii="Arial" w:hAnsi="Arial" w:cs="Arial"/>
          <w:sz w:val="22"/>
        </w:rPr>
        <w:t>Digital exclusion was a major barrier across all studies. Green et al. (2022) found that older adults, disabled people and those with poor digital skills struggled with online booking, remote consultations and digital triage. Marks et al. (2026) showed that digital access modes were less suitable for older and deprived populations. Islam, Bailey and Netto (2024) reported that minoritised ethnic communities lacked confidence using digital tools due to language barriers in online forms.</w:t>
      </w:r>
    </w:p>
    <w:p w14:paraId="764804A4" w14:textId="6D3F13F8" w:rsidR="006A4F4A" w:rsidRPr="0041422F" w:rsidRDefault="00473568" w:rsidP="00473568">
      <w:pPr>
        <w:spacing w:line="360" w:lineRule="auto"/>
        <w:jc w:val="both"/>
        <w:rPr>
          <w:rFonts w:ascii="Arial" w:hAnsi="Arial" w:cs="Arial"/>
          <w:sz w:val="22"/>
        </w:rPr>
      </w:pPr>
      <w:r w:rsidRPr="0041422F">
        <w:rPr>
          <w:rFonts w:ascii="Arial" w:hAnsi="Arial" w:cs="Arial"/>
          <w:sz w:val="22"/>
        </w:rPr>
        <w:t>Digitalisation makes life easier for some while increasing inequality for older people, disabled people, deprived population, and ethnic minorities.</w:t>
      </w:r>
    </w:p>
    <w:p w14:paraId="61808DBC" w14:textId="4D7DCEC2" w:rsidR="00473568" w:rsidRPr="0041422F" w:rsidRDefault="00473568" w:rsidP="00473568">
      <w:pPr>
        <w:spacing w:line="360" w:lineRule="auto"/>
        <w:jc w:val="both"/>
        <w:rPr>
          <w:rFonts w:ascii="Arial" w:hAnsi="Arial" w:cs="Arial"/>
          <w:i/>
          <w:iCs/>
          <w:sz w:val="22"/>
        </w:rPr>
      </w:pPr>
      <w:r w:rsidRPr="0041422F">
        <w:rPr>
          <w:rFonts w:ascii="Arial" w:hAnsi="Arial" w:cs="Arial"/>
          <w:i/>
          <w:iCs/>
          <w:sz w:val="22"/>
        </w:rPr>
        <w:t>Theme 4: Structural and Organisational Barriers</w:t>
      </w:r>
    </w:p>
    <w:p w14:paraId="756E32E3" w14:textId="53A977A0" w:rsidR="00473568" w:rsidRPr="0041422F" w:rsidRDefault="00473568" w:rsidP="00473568">
      <w:pPr>
        <w:spacing w:line="360" w:lineRule="auto"/>
        <w:jc w:val="both"/>
        <w:rPr>
          <w:rFonts w:ascii="Arial" w:hAnsi="Arial" w:cs="Arial"/>
          <w:sz w:val="22"/>
        </w:rPr>
      </w:pPr>
      <w:r w:rsidRPr="0041422F">
        <w:rPr>
          <w:rFonts w:ascii="Arial" w:hAnsi="Arial" w:cs="Arial"/>
          <w:sz w:val="22"/>
        </w:rPr>
        <w:t>Organisational issues in general practice, such as the shortage of staff, pressure and complicated booking systems, were noted as cross-cutting obstacles. Sinnott et al. (2026) showed that patients found it difficult to navigate complex access routes and complicated triage procedures. Scobie et al. (2021) demonstrated that continuity of care is hindered by structural pressures, especially in areas of high need. Organisational issues impacted mainly poor and minority populations.</w:t>
      </w:r>
    </w:p>
    <w:p w14:paraId="20858914" w14:textId="3B8D51E9" w:rsidR="00473568" w:rsidRPr="0041422F" w:rsidRDefault="00473568" w:rsidP="00473568">
      <w:pPr>
        <w:spacing w:line="360" w:lineRule="auto"/>
        <w:jc w:val="both"/>
        <w:rPr>
          <w:rFonts w:ascii="Arial" w:hAnsi="Arial" w:cs="Arial"/>
          <w:sz w:val="22"/>
        </w:rPr>
      </w:pPr>
      <w:r w:rsidRPr="0041422F">
        <w:rPr>
          <w:rFonts w:ascii="Arial" w:hAnsi="Arial" w:cs="Arial"/>
          <w:sz w:val="22"/>
        </w:rPr>
        <w:t>Structural pressures increase inequalities through complicating access routes and disrupting continuity of care.</w:t>
      </w:r>
    </w:p>
    <w:p w14:paraId="0806E64A" w14:textId="77777777" w:rsidR="00473568" w:rsidRDefault="00473568" w:rsidP="00473568">
      <w:pPr>
        <w:spacing w:line="360" w:lineRule="auto"/>
        <w:jc w:val="both"/>
        <w:rPr>
          <w:rFonts w:ascii="Arial" w:hAnsi="Arial" w:cs="Arial"/>
          <w:sz w:val="22"/>
        </w:rPr>
      </w:pPr>
    </w:p>
    <w:p w14:paraId="1D6A7FDA" w14:textId="77777777" w:rsidR="00361403" w:rsidRDefault="00361403" w:rsidP="00473568">
      <w:pPr>
        <w:spacing w:line="360" w:lineRule="auto"/>
        <w:jc w:val="both"/>
        <w:rPr>
          <w:rFonts w:ascii="Arial" w:hAnsi="Arial" w:cs="Arial"/>
          <w:sz w:val="22"/>
        </w:rPr>
      </w:pPr>
    </w:p>
    <w:p w14:paraId="257056FE" w14:textId="77777777" w:rsidR="00361403" w:rsidRPr="00473568" w:rsidRDefault="00361403" w:rsidP="00473568">
      <w:pPr>
        <w:spacing w:line="360" w:lineRule="auto"/>
        <w:jc w:val="both"/>
        <w:rPr>
          <w:rFonts w:ascii="Arial" w:hAnsi="Arial" w:cs="Arial"/>
          <w:sz w:val="22"/>
        </w:rPr>
      </w:pPr>
    </w:p>
    <w:p w14:paraId="632483F2" w14:textId="77777777" w:rsidR="00E8401F" w:rsidRDefault="00E8401F" w:rsidP="00361403">
      <w:pPr>
        <w:pStyle w:val="Heading1"/>
      </w:pPr>
    </w:p>
    <w:p w14:paraId="54B8E7D9" w14:textId="77777777" w:rsidR="00E8401F" w:rsidRDefault="00E8401F" w:rsidP="00361403">
      <w:pPr>
        <w:pStyle w:val="Heading1"/>
      </w:pPr>
    </w:p>
    <w:p w14:paraId="70D21DC3" w14:textId="77777777" w:rsidR="00E8401F" w:rsidRDefault="00E8401F" w:rsidP="00361403">
      <w:pPr>
        <w:pStyle w:val="Heading1"/>
      </w:pPr>
    </w:p>
    <w:p w14:paraId="15932DDE" w14:textId="77777777" w:rsidR="00E8401F" w:rsidRDefault="00E8401F" w:rsidP="00361403">
      <w:pPr>
        <w:pStyle w:val="Heading1"/>
      </w:pPr>
    </w:p>
    <w:p w14:paraId="1352E0ED" w14:textId="77777777" w:rsidR="00E8401F" w:rsidRPr="00E8401F" w:rsidRDefault="00E8401F" w:rsidP="00E8401F"/>
    <w:p w14:paraId="599554F0" w14:textId="77777777" w:rsidR="00E8401F" w:rsidRDefault="00E8401F" w:rsidP="00361403">
      <w:pPr>
        <w:pStyle w:val="Heading1"/>
      </w:pPr>
    </w:p>
    <w:p w14:paraId="5C43254D" w14:textId="550C729A" w:rsidR="00B87E75" w:rsidRPr="00361403" w:rsidRDefault="00B87E75" w:rsidP="00361403">
      <w:pPr>
        <w:pStyle w:val="Heading1"/>
      </w:pPr>
      <w:r w:rsidRPr="00361403">
        <w:t>Discussion</w:t>
      </w:r>
    </w:p>
    <w:p w14:paraId="318F9C81" w14:textId="15E07084" w:rsidR="00843C0A" w:rsidRPr="00361403" w:rsidRDefault="00843C0A" w:rsidP="00CD33A8">
      <w:pPr>
        <w:tabs>
          <w:tab w:val="left" w:pos="6540"/>
        </w:tabs>
        <w:spacing w:line="360" w:lineRule="auto"/>
        <w:rPr>
          <w:rFonts w:asciiTheme="minorBidi" w:hAnsiTheme="minorBidi"/>
          <w:b/>
          <w:bCs/>
          <w:sz w:val="22"/>
        </w:rPr>
      </w:pPr>
      <w:r w:rsidRPr="00361403">
        <w:rPr>
          <w:rFonts w:asciiTheme="minorBidi" w:hAnsiTheme="minorBidi"/>
          <w:b/>
          <w:bCs/>
          <w:sz w:val="22"/>
        </w:rPr>
        <w:t>Summary of Main Findings</w:t>
      </w:r>
    </w:p>
    <w:p w14:paraId="6E6A210C" w14:textId="77777777" w:rsidR="00E8401F" w:rsidRDefault="00E8401F" w:rsidP="00CD33A8">
      <w:pPr>
        <w:tabs>
          <w:tab w:val="left" w:pos="6540"/>
        </w:tabs>
        <w:spacing w:line="360" w:lineRule="auto"/>
        <w:rPr>
          <w:rFonts w:asciiTheme="minorBidi" w:hAnsiTheme="minorBidi"/>
          <w:sz w:val="22"/>
        </w:rPr>
      </w:pPr>
      <w:r w:rsidRPr="00E8401F">
        <w:rPr>
          <w:rFonts w:asciiTheme="minorBidi" w:hAnsiTheme="minorBidi"/>
          <w:sz w:val="22"/>
        </w:rPr>
        <w:t>In this scoping review, five UK peer</w:t>
      </w:r>
      <w:r w:rsidRPr="00E8401F">
        <w:rPr>
          <w:rFonts w:ascii="Cambria Math" w:hAnsi="Cambria Math" w:cs="Cambria Math"/>
          <w:sz w:val="22"/>
        </w:rPr>
        <w:t>‑</w:t>
      </w:r>
      <w:r w:rsidRPr="00E8401F">
        <w:rPr>
          <w:rFonts w:asciiTheme="minorBidi" w:hAnsiTheme="minorBidi"/>
          <w:sz w:val="22"/>
        </w:rPr>
        <w:t>reviewed studies on inequalities in accessing GP services were identified. Thematic analysis revealed four key themes: socioeconomic deprivation, ethnic inequalities, digital exclusion and structural or organisational barriers. Together, the studies show clear evidence of unequal GP access. People in deprived areas face longer waits and poor continuity of care (Sinnott et al., 2026; Scobie et al., 2021). Ethnic minorities experience language difficulties, discrimination and cultural mismatch, further limiting access (Islam, Bailey &amp; Netto, 2024).</w:t>
      </w:r>
    </w:p>
    <w:p w14:paraId="682D1769" w14:textId="0FE20F1A" w:rsidR="003E4ECF" w:rsidRDefault="00843C0A" w:rsidP="00CD33A8">
      <w:pPr>
        <w:tabs>
          <w:tab w:val="left" w:pos="6540"/>
        </w:tabs>
        <w:spacing w:line="360" w:lineRule="auto"/>
        <w:rPr>
          <w:rFonts w:asciiTheme="minorBidi" w:hAnsiTheme="minorBidi"/>
          <w:sz w:val="22"/>
        </w:rPr>
      </w:pPr>
      <w:r w:rsidRPr="00843C0A">
        <w:rPr>
          <w:rFonts w:asciiTheme="minorBidi" w:hAnsiTheme="minorBidi"/>
          <w:sz w:val="22"/>
        </w:rPr>
        <w:t>Digitalisation has created new barriers for accessing GP services for older people, people with disabilities, and those with poor digital skills (Green et al., 2022; Marks et al., 2026).</w:t>
      </w:r>
    </w:p>
    <w:p w14:paraId="1E22C7D1" w14:textId="4BBD0DCA" w:rsidR="00843C0A" w:rsidRDefault="00843C0A" w:rsidP="00CD33A8">
      <w:pPr>
        <w:tabs>
          <w:tab w:val="left" w:pos="6540"/>
        </w:tabs>
        <w:spacing w:line="360" w:lineRule="auto"/>
        <w:rPr>
          <w:rFonts w:asciiTheme="minorBidi" w:hAnsiTheme="minorBidi"/>
          <w:b/>
          <w:bCs/>
          <w:sz w:val="22"/>
        </w:rPr>
      </w:pPr>
      <w:r w:rsidRPr="00843C0A">
        <w:rPr>
          <w:rFonts w:asciiTheme="minorBidi" w:hAnsiTheme="minorBidi"/>
          <w:b/>
          <w:bCs/>
          <w:sz w:val="22"/>
        </w:rPr>
        <w:t>Discussion of Findings in Relation to the Review Question</w:t>
      </w:r>
    </w:p>
    <w:p w14:paraId="0407DD7D" w14:textId="1AE63E5B" w:rsidR="00843C0A" w:rsidRPr="00843C0A" w:rsidRDefault="00843C0A" w:rsidP="00843C0A">
      <w:pPr>
        <w:tabs>
          <w:tab w:val="left" w:pos="6540"/>
        </w:tabs>
        <w:spacing w:line="360" w:lineRule="auto"/>
        <w:rPr>
          <w:rFonts w:ascii="Arial" w:hAnsi="Arial" w:cs="Arial"/>
          <w:sz w:val="22"/>
        </w:rPr>
      </w:pPr>
      <w:r w:rsidRPr="00843C0A">
        <w:rPr>
          <w:rFonts w:ascii="Arial" w:hAnsi="Arial" w:cs="Arial"/>
          <w:sz w:val="22"/>
        </w:rPr>
        <w:t xml:space="preserve">The review question: What inequalities do patients face while accessing GP services in the UK?  </w:t>
      </w:r>
    </w:p>
    <w:p w14:paraId="442E2A91" w14:textId="2768DB1D" w:rsidR="00843C0A" w:rsidRDefault="00843C0A" w:rsidP="00843C0A">
      <w:pPr>
        <w:tabs>
          <w:tab w:val="left" w:pos="6540"/>
        </w:tabs>
        <w:spacing w:line="360" w:lineRule="auto"/>
        <w:rPr>
          <w:rFonts w:ascii="Arial" w:hAnsi="Arial" w:cs="Arial"/>
          <w:sz w:val="22"/>
        </w:rPr>
      </w:pPr>
      <w:r w:rsidRPr="00843C0A">
        <w:rPr>
          <w:rFonts w:ascii="Arial" w:hAnsi="Arial" w:cs="Arial"/>
          <w:sz w:val="22"/>
        </w:rPr>
        <w:t>The results clearly demonstrate that inequalities are created because of interaction between multiple social, demographic and structural factors.</w:t>
      </w:r>
    </w:p>
    <w:p w14:paraId="3917C79B" w14:textId="75888703" w:rsidR="00843C0A" w:rsidRPr="00361403" w:rsidRDefault="009148DA" w:rsidP="00843C0A">
      <w:pPr>
        <w:tabs>
          <w:tab w:val="left" w:pos="6540"/>
        </w:tabs>
        <w:spacing w:line="360" w:lineRule="auto"/>
        <w:rPr>
          <w:rFonts w:ascii="Arial" w:hAnsi="Arial" w:cs="Arial"/>
          <w:i/>
          <w:iCs/>
          <w:sz w:val="22"/>
        </w:rPr>
      </w:pPr>
      <w:r w:rsidRPr="00361403">
        <w:rPr>
          <w:rFonts w:ascii="Arial" w:hAnsi="Arial" w:cs="Arial"/>
          <w:i/>
          <w:iCs/>
          <w:sz w:val="22"/>
        </w:rPr>
        <w:t>Socioeconomic Inequalities</w:t>
      </w:r>
    </w:p>
    <w:p w14:paraId="3729C030" w14:textId="383BBB1F" w:rsidR="009148DA" w:rsidRDefault="009148DA" w:rsidP="00843C0A">
      <w:pPr>
        <w:tabs>
          <w:tab w:val="left" w:pos="6540"/>
        </w:tabs>
        <w:spacing w:line="360" w:lineRule="auto"/>
        <w:rPr>
          <w:rFonts w:ascii="Arial" w:hAnsi="Arial" w:cs="Arial"/>
          <w:sz w:val="22"/>
        </w:rPr>
      </w:pPr>
      <w:r w:rsidRPr="009148DA">
        <w:rPr>
          <w:rFonts w:ascii="Arial" w:hAnsi="Arial" w:cs="Arial"/>
          <w:sz w:val="22"/>
        </w:rPr>
        <w:t>Deprivation has a large effect on access. People living in deprived areas find it harder to get an appointment in a timely fashion and to maintain continuity of care (Sinnott et al., 2026). This is consistent with other research findings, which show that people living in deprived areas have less access to primary care and poor health outcomes (Cookson et al., 2021). There are a lot of structural barriers faced by deprived practices.</w:t>
      </w:r>
    </w:p>
    <w:p w14:paraId="4A667938" w14:textId="7AA2A90A" w:rsidR="009148DA" w:rsidRPr="00361403" w:rsidRDefault="009148DA" w:rsidP="00843C0A">
      <w:pPr>
        <w:tabs>
          <w:tab w:val="left" w:pos="6540"/>
        </w:tabs>
        <w:spacing w:line="360" w:lineRule="auto"/>
        <w:rPr>
          <w:rFonts w:ascii="Arial" w:hAnsi="Arial" w:cs="Arial"/>
          <w:i/>
          <w:iCs/>
          <w:sz w:val="22"/>
        </w:rPr>
      </w:pPr>
      <w:r w:rsidRPr="00361403">
        <w:rPr>
          <w:rFonts w:ascii="Arial" w:hAnsi="Arial" w:cs="Arial"/>
          <w:i/>
          <w:iCs/>
          <w:sz w:val="22"/>
        </w:rPr>
        <w:t>Ethnic Inequalities</w:t>
      </w:r>
    </w:p>
    <w:p w14:paraId="146A673E" w14:textId="16DF0E15" w:rsidR="00361403" w:rsidRPr="00622577" w:rsidRDefault="009148DA" w:rsidP="00843C0A">
      <w:pPr>
        <w:tabs>
          <w:tab w:val="left" w:pos="6540"/>
        </w:tabs>
        <w:spacing w:line="360" w:lineRule="auto"/>
        <w:rPr>
          <w:rFonts w:ascii="Arial" w:hAnsi="Arial" w:cs="Arial"/>
          <w:sz w:val="22"/>
        </w:rPr>
      </w:pPr>
      <w:r w:rsidRPr="009148DA">
        <w:rPr>
          <w:rFonts w:ascii="Arial" w:hAnsi="Arial" w:cs="Arial"/>
          <w:sz w:val="22"/>
        </w:rPr>
        <w:t>Ethnic minorities encounter various barriers, such as linguistic barriers, cultural incongruity, and discrimination (Islam, Bailey &amp; Netto, 2024). This evidence agrees with earlier studies indicating that minority patients encounter worse communication, less trust, and dissatisfaction with the provision of primary care services (Salisbury et al., 2010). Lack of continuity in the care of minority populations (Scobie et al., 2021) adds to late diagnosis and worse prognosis.</w:t>
      </w:r>
    </w:p>
    <w:p w14:paraId="3428D3D4" w14:textId="3B039B52" w:rsidR="009148DA" w:rsidRPr="00361403" w:rsidRDefault="009148DA" w:rsidP="00843C0A">
      <w:pPr>
        <w:tabs>
          <w:tab w:val="left" w:pos="6540"/>
        </w:tabs>
        <w:spacing w:line="360" w:lineRule="auto"/>
        <w:rPr>
          <w:rFonts w:ascii="Arial" w:hAnsi="Arial" w:cs="Arial"/>
          <w:i/>
          <w:iCs/>
          <w:sz w:val="22"/>
        </w:rPr>
      </w:pPr>
      <w:r w:rsidRPr="00361403">
        <w:rPr>
          <w:rFonts w:ascii="Arial" w:hAnsi="Arial" w:cs="Arial"/>
          <w:i/>
          <w:iCs/>
          <w:sz w:val="22"/>
        </w:rPr>
        <w:t>Digital Exclusion</w:t>
      </w:r>
    </w:p>
    <w:p w14:paraId="78B01A60" w14:textId="77777777" w:rsidR="00E8401F" w:rsidRDefault="00E8401F" w:rsidP="00E8401F">
      <w:pPr>
        <w:spacing w:line="360" w:lineRule="auto"/>
        <w:jc w:val="both"/>
        <w:rPr>
          <w:rFonts w:ascii="Arial" w:hAnsi="Arial" w:cs="Arial"/>
          <w:sz w:val="22"/>
        </w:rPr>
      </w:pPr>
      <w:r w:rsidRPr="00E8401F">
        <w:rPr>
          <w:rFonts w:ascii="Arial" w:hAnsi="Arial" w:cs="Arial"/>
          <w:sz w:val="22"/>
        </w:rPr>
        <w:lastRenderedPageBreak/>
        <w:t>Digitalisation has benefited some people but has also widened disparities. Older adults, people with disabilities and disadvantaged groups struggle with digital triage systems and online appointment booking (Green et al., 2022). This supports wider evidence that digital health innovations can exclude those lacking digital literacy or internet access (NHS Digital, 2021). Ethnic minorities are additionally affected by language barriers, making digital tools harder to use and limiting effective access.</w:t>
      </w:r>
    </w:p>
    <w:p w14:paraId="4BC730DD" w14:textId="6F5A5D09" w:rsidR="009148DA" w:rsidRPr="00361403" w:rsidRDefault="009148DA" w:rsidP="00361403">
      <w:pPr>
        <w:rPr>
          <w:rFonts w:ascii="Arial" w:hAnsi="Arial" w:cs="Arial"/>
          <w:i/>
          <w:iCs/>
          <w:sz w:val="22"/>
        </w:rPr>
      </w:pPr>
      <w:r w:rsidRPr="00361403">
        <w:rPr>
          <w:rFonts w:ascii="Arial" w:hAnsi="Arial" w:cs="Arial"/>
          <w:i/>
          <w:iCs/>
          <w:sz w:val="22"/>
        </w:rPr>
        <w:t>Structural Barriers</w:t>
      </w:r>
    </w:p>
    <w:p w14:paraId="3B094EE4" w14:textId="5008850D" w:rsidR="009148DA" w:rsidRPr="00361403" w:rsidRDefault="00486239" w:rsidP="00643DA1">
      <w:pPr>
        <w:spacing w:line="360" w:lineRule="auto"/>
        <w:jc w:val="both"/>
        <w:rPr>
          <w:rFonts w:ascii="Arial" w:hAnsi="Arial" w:cs="Arial"/>
          <w:sz w:val="22"/>
        </w:rPr>
      </w:pPr>
      <w:r w:rsidRPr="00361403">
        <w:rPr>
          <w:rFonts w:ascii="Arial" w:hAnsi="Arial" w:cs="Arial"/>
          <w:sz w:val="22"/>
        </w:rPr>
        <w:t>Workforce shortages, high demand, and complicated appointment systems act as barriers that affect everyone; however, the consequences of such barriers are seen most acutely within deprived and ethnic minorities (Sinnott et al., 2026). The issue is connected to the problems associated with the lack of GPs and growing workload within the UK as the government is concerned about these issues (BMA, 2023).</w:t>
      </w:r>
    </w:p>
    <w:p w14:paraId="01778347" w14:textId="77777777" w:rsidR="00486239" w:rsidRPr="00361403" w:rsidRDefault="00486239" w:rsidP="00361403">
      <w:pPr>
        <w:rPr>
          <w:rFonts w:ascii="Arial" w:hAnsi="Arial" w:cs="Arial"/>
          <w:sz w:val="22"/>
        </w:rPr>
      </w:pPr>
    </w:p>
    <w:p w14:paraId="2A77F029" w14:textId="0DF94C52" w:rsidR="009148DA" w:rsidRPr="00361403" w:rsidRDefault="00486239" w:rsidP="00361403">
      <w:pPr>
        <w:rPr>
          <w:rFonts w:ascii="Arial" w:hAnsi="Arial" w:cs="Arial"/>
          <w:b/>
          <w:sz w:val="22"/>
        </w:rPr>
      </w:pPr>
      <w:r w:rsidRPr="00361403">
        <w:rPr>
          <w:rFonts w:ascii="Arial" w:hAnsi="Arial" w:cs="Arial"/>
          <w:b/>
          <w:sz w:val="22"/>
        </w:rPr>
        <w:t>Importance of Findings for Health and Social Care</w:t>
      </w:r>
    </w:p>
    <w:p w14:paraId="1B7D0CD0" w14:textId="598CF002" w:rsidR="00486239" w:rsidRPr="0056543B" w:rsidRDefault="00486239" w:rsidP="0056543B">
      <w:pPr>
        <w:spacing w:line="360" w:lineRule="auto"/>
        <w:jc w:val="both"/>
        <w:rPr>
          <w:rFonts w:ascii="Arial" w:hAnsi="Arial" w:cs="Arial"/>
          <w:sz w:val="22"/>
        </w:rPr>
      </w:pPr>
      <w:r w:rsidRPr="0056543B">
        <w:rPr>
          <w:rFonts w:ascii="Arial" w:hAnsi="Arial" w:cs="Arial"/>
          <w:sz w:val="22"/>
        </w:rPr>
        <w:t>The above results have considerable implications in the field of health and social care. Inequalities in access to GPs lead to late diagnosis, inadequate chronic illness management, and increasing health disparities. Tackling these inequalities is crucial for achieving NHS objectives related to disease prevention, early intervention, and equality (NHS England, 2019).</w:t>
      </w:r>
    </w:p>
    <w:p w14:paraId="2A9E8E9A" w14:textId="06DBE37A" w:rsidR="00486239" w:rsidRPr="00643DA1" w:rsidRDefault="00486239" w:rsidP="00643DA1">
      <w:pPr>
        <w:spacing w:line="360" w:lineRule="auto"/>
        <w:jc w:val="both"/>
        <w:rPr>
          <w:rFonts w:ascii="Arial" w:hAnsi="Arial" w:cs="Arial"/>
          <w:szCs w:val="24"/>
        </w:rPr>
      </w:pPr>
      <w:r w:rsidRPr="00643DA1">
        <w:rPr>
          <w:rFonts w:ascii="Arial" w:hAnsi="Arial" w:cs="Arial"/>
          <w:szCs w:val="24"/>
        </w:rPr>
        <w:t>Knowledge about the barriers encountered by disadvantaged communities, ethnic groups, and digitally isolated people may help implement interventions like:</w:t>
      </w:r>
    </w:p>
    <w:p w14:paraId="6FFD99ED" w14:textId="5128FBAF" w:rsidR="00486239" w:rsidRPr="0056543B" w:rsidRDefault="00486239" w:rsidP="0056543B">
      <w:pPr>
        <w:pStyle w:val="ListParagraph"/>
        <w:numPr>
          <w:ilvl w:val="0"/>
          <w:numId w:val="3"/>
        </w:numPr>
        <w:spacing w:line="360" w:lineRule="auto"/>
        <w:jc w:val="both"/>
        <w:rPr>
          <w:rFonts w:ascii="Arial" w:hAnsi="Arial" w:cs="Arial"/>
          <w:sz w:val="22"/>
        </w:rPr>
      </w:pPr>
      <w:r w:rsidRPr="0056543B">
        <w:rPr>
          <w:rFonts w:ascii="Arial" w:hAnsi="Arial" w:cs="Arial"/>
          <w:sz w:val="22"/>
        </w:rPr>
        <w:t>Improving digital literacy support</w:t>
      </w:r>
    </w:p>
    <w:p w14:paraId="7C68877A" w14:textId="2C4C597E" w:rsidR="00486239" w:rsidRPr="0056543B" w:rsidRDefault="00486239" w:rsidP="0056543B">
      <w:pPr>
        <w:pStyle w:val="ListParagraph"/>
        <w:numPr>
          <w:ilvl w:val="0"/>
          <w:numId w:val="3"/>
        </w:numPr>
        <w:spacing w:line="360" w:lineRule="auto"/>
        <w:jc w:val="both"/>
        <w:rPr>
          <w:rFonts w:ascii="Arial" w:hAnsi="Arial" w:cs="Arial"/>
          <w:sz w:val="22"/>
        </w:rPr>
      </w:pPr>
      <w:r w:rsidRPr="0056543B">
        <w:rPr>
          <w:rFonts w:ascii="Arial" w:hAnsi="Arial" w:cs="Arial"/>
          <w:sz w:val="22"/>
        </w:rPr>
        <w:t>Providing multilingual resources</w:t>
      </w:r>
    </w:p>
    <w:p w14:paraId="2D5E0841" w14:textId="0812065A" w:rsidR="00486239" w:rsidRPr="0056543B" w:rsidRDefault="00486239" w:rsidP="0056543B">
      <w:pPr>
        <w:pStyle w:val="ListParagraph"/>
        <w:numPr>
          <w:ilvl w:val="0"/>
          <w:numId w:val="3"/>
        </w:numPr>
        <w:spacing w:line="360" w:lineRule="auto"/>
        <w:jc w:val="both"/>
        <w:rPr>
          <w:rFonts w:ascii="Arial" w:hAnsi="Arial" w:cs="Arial"/>
          <w:sz w:val="22"/>
        </w:rPr>
      </w:pPr>
      <w:r w:rsidRPr="0056543B">
        <w:rPr>
          <w:rFonts w:ascii="Arial" w:hAnsi="Arial" w:cs="Arial"/>
          <w:sz w:val="22"/>
        </w:rPr>
        <w:t>Simplifying appointment systems</w:t>
      </w:r>
    </w:p>
    <w:p w14:paraId="4EBE7F38" w14:textId="368A5A6D" w:rsidR="00486239" w:rsidRPr="0056543B" w:rsidRDefault="00486239" w:rsidP="0056543B">
      <w:pPr>
        <w:pStyle w:val="ListParagraph"/>
        <w:numPr>
          <w:ilvl w:val="0"/>
          <w:numId w:val="3"/>
        </w:numPr>
        <w:spacing w:line="360" w:lineRule="auto"/>
        <w:jc w:val="both"/>
        <w:rPr>
          <w:rFonts w:ascii="Arial" w:hAnsi="Arial" w:cs="Arial"/>
          <w:sz w:val="22"/>
        </w:rPr>
      </w:pPr>
      <w:r w:rsidRPr="0056543B">
        <w:rPr>
          <w:rFonts w:ascii="Arial" w:hAnsi="Arial" w:cs="Arial"/>
          <w:sz w:val="22"/>
        </w:rPr>
        <w:t>Increasing funding for practices in deprived areas</w:t>
      </w:r>
    </w:p>
    <w:p w14:paraId="372FF332" w14:textId="6122026D" w:rsidR="009148DA" w:rsidRPr="0056543B" w:rsidRDefault="00486239" w:rsidP="0056543B">
      <w:pPr>
        <w:pStyle w:val="ListParagraph"/>
        <w:numPr>
          <w:ilvl w:val="0"/>
          <w:numId w:val="3"/>
        </w:numPr>
        <w:spacing w:line="360" w:lineRule="auto"/>
        <w:jc w:val="both"/>
        <w:rPr>
          <w:rFonts w:ascii="Arial" w:hAnsi="Arial" w:cs="Arial"/>
          <w:sz w:val="22"/>
        </w:rPr>
      </w:pPr>
      <w:r w:rsidRPr="0056543B">
        <w:rPr>
          <w:rFonts w:ascii="Arial" w:hAnsi="Arial" w:cs="Arial"/>
          <w:sz w:val="22"/>
        </w:rPr>
        <w:t>Strengthening continuity of care</w:t>
      </w:r>
    </w:p>
    <w:p w14:paraId="195B5A9A" w14:textId="77777777" w:rsidR="00E8401F" w:rsidRDefault="00E8401F" w:rsidP="00361403">
      <w:pPr>
        <w:pStyle w:val="Heading1"/>
      </w:pPr>
    </w:p>
    <w:p w14:paraId="47CEEA86" w14:textId="77777777" w:rsidR="00E8401F" w:rsidRDefault="00E8401F" w:rsidP="00361403">
      <w:pPr>
        <w:pStyle w:val="Heading1"/>
      </w:pPr>
    </w:p>
    <w:p w14:paraId="16B68C8E" w14:textId="77777777" w:rsidR="00E8401F" w:rsidRDefault="00E8401F" w:rsidP="00361403">
      <w:pPr>
        <w:pStyle w:val="Heading1"/>
      </w:pPr>
    </w:p>
    <w:p w14:paraId="7AC7E67C" w14:textId="6808050C" w:rsidR="009148DA" w:rsidRPr="00361403" w:rsidRDefault="00486239" w:rsidP="00361403">
      <w:pPr>
        <w:pStyle w:val="Heading1"/>
      </w:pPr>
      <w:r w:rsidRPr="00361403">
        <w:t>These actions align with the NHS Long Term Plan’s commitment to reducing health inequalities and improving access for underserved populations.</w:t>
      </w:r>
    </w:p>
    <w:p w14:paraId="4A736F25" w14:textId="77777777" w:rsidR="00486239" w:rsidRDefault="00486239" w:rsidP="00486239"/>
    <w:p w14:paraId="2C9E19B5" w14:textId="470B40A0" w:rsidR="00486239" w:rsidRPr="00850B3A" w:rsidRDefault="00486239" w:rsidP="00486239">
      <w:pPr>
        <w:rPr>
          <w:rFonts w:ascii="Arial" w:hAnsi="Arial" w:cs="Arial"/>
          <w:b/>
          <w:bCs/>
          <w:sz w:val="22"/>
        </w:rPr>
      </w:pPr>
      <w:r w:rsidRPr="00850B3A">
        <w:rPr>
          <w:rFonts w:ascii="Arial" w:hAnsi="Arial" w:cs="Arial"/>
          <w:b/>
          <w:bCs/>
          <w:sz w:val="22"/>
        </w:rPr>
        <w:t>Limitations of the Scoping Review</w:t>
      </w:r>
    </w:p>
    <w:p w14:paraId="575668A6" w14:textId="245F5EEC" w:rsidR="0056543B" w:rsidRDefault="00E8401F" w:rsidP="00361403">
      <w:pPr>
        <w:pStyle w:val="Heading1"/>
      </w:pPr>
      <w:r w:rsidRPr="00E8401F">
        <w:rPr>
          <w:rFonts w:eastAsiaTheme="minorHAnsi"/>
          <w:b w:val="0"/>
          <w:sz w:val="22"/>
          <w:szCs w:val="22"/>
        </w:rPr>
        <w:t>However, this scoping review has several limitations. First, only five sources were included, which may be insufficient to provide a comprehensive overview of evidence on unequal GP access. Second, the scope was restricted to UK</w:t>
      </w:r>
      <w:r w:rsidRPr="00E8401F">
        <w:rPr>
          <w:rFonts w:ascii="Cambria Math" w:eastAsiaTheme="minorHAnsi" w:hAnsi="Cambria Math" w:cs="Cambria Math"/>
          <w:b w:val="0"/>
          <w:sz w:val="22"/>
          <w:szCs w:val="22"/>
        </w:rPr>
        <w:t>‑</w:t>
      </w:r>
      <w:r w:rsidRPr="00E8401F">
        <w:rPr>
          <w:rFonts w:eastAsiaTheme="minorHAnsi"/>
          <w:b w:val="0"/>
          <w:sz w:val="22"/>
          <w:szCs w:val="22"/>
        </w:rPr>
        <w:t>based studies conducted after 2010. Third, thematic analysis relies on the researcher’s interpretation, making it subjective (Braun &amp; Clarke, 2006). Fourth, the quality of included studies was not assessed. This is inherent to scoping reviews but prevents any claims about the strength or reliability of the available evidence (Arksey &amp; O’Malley, 2005).</w:t>
      </w:r>
    </w:p>
    <w:p w14:paraId="6F0B4F06" w14:textId="77777777" w:rsidR="00361403" w:rsidRDefault="00361403" w:rsidP="00361403"/>
    <w:p w14:paraId="754D06B7" w14:textId="311CF3F5" w:rsidR="00361403" w:rsidRDefault="00361403" w:rsidP="00361403"/>
    <w:p w14:paraId="0F943A7A" w14:textId="77777777" w:rsidR="00361403" w:rsidRDefault="00361403" w:rsidP="00361403"/>
    <w:p w14:paraId="00A2889C" w14:textId="77777777" w:rsidR="00361403" w:rsidRDefault="00361403" w:rsidP="00361403"/>
    <w:p w14:paraId="497DC038" w14:textId="77777777" w:rsidR="00361403" w:rsidRDefault="00361403" w:rsidP="00361403"/>
    <w:p w14:paraId="6141FC5A" w14:textId="77777777" w:rsidR="00361403" w:rsidRDefault="00361403" w:rsidP="00361403"/>
    <w:p w14:paraId="75CCE25E" w14:textId="77777777" w:rsidR="00361403" w:rsidRDefault="00361403" w:rsidP="00361403"/>
    <w:p w14:paraId="56D30B1D" w14:textId="77777777" w:rsidR="00361403" w:rsidRDefault="00361403" w:rsidP="00361403"/>
    <w:p w14:paraId="319B3361" w14:textId="77777777" w:rsidR="00361403" w:rsidRDefault="00361403" w:rsidP="00361403"/>
    <w:p w14:paraId="1725EABC" w14:textId="77777777" w:rsidR="00361403" w:rsidRDefault="00361403" w:rsidP="00361403"/>
    <w:p w14:paraId="4EF9C8AE" w14:textId="77777777" w:rsidR="00361403" w:rsidRDefault="00361403" w:rsidP="00361403"/>
    <w:p w14:paraId="652942BC" w14:textId="77777777" w:rsidR="00361403" w:rsidRDefault="00361403" w:rsidP="00361403"/>
    <w:p w14:paraId="32214332" w14:textId="77777777" w:rsidR="00361403" w:rsidRDefault="00361403" w:rsidP="00361403"/>
    <w:p w14:paraId="5E4388F7" w14:textId="77777777" w:rsidR="00361403" w:rsidRDefault="00361403" w:rsidP="00361403"/>
    <w:p w14:paraId="6DBC958B" w14:textId="731EEF80" w:rsidR="00CD33A8" w:rsidRPr="00850B3A" w:rsidRDefault="00CD33A8" w:rsidP="00CD33A8">
      <w:pPr>
        <w:tabs>
          <w:tab w:val="left" w:pos="6540"/>
        </w:tabs>
        <w:spacing w:line="360" w:lineRule="auto"/>
        <w:rPr>
          <w:rFonts w:asciiTheme="minorBidi" w:hAnsiTheme="minorBidi"/>
          <w:color w:val="FF0000"/>
          <w:sz w:val="22"/>
        </w:rPr>
      </w:pPr>
    </w:p>
    <w:p w14:paraId="6812580D" w14:textId="47452A39" w:rsidR="0090040D" w:rsidRPr="00CD33A8" w:rsidRDefault="0090040D" w:rsidP="00CD33A8">
      <w:pPr>
        <w:tabs>
          <w:tab w:val="left" w:pos="6540"/>
        </w:tabs>
        <w:spacing w:line="360" w:lineRule="auto"/>
        <w:rPr>
          <w:rFonts w:asciiTheme="minorBidi" w:hAnsiTheme="minorBidi"/>
          <w:sz w:val="22"/>
        </w:rPr>
      </w:pPr>
    </w:p>
    <w:p w14:paraId="4371A9C5" w14:textId="7A8AB4F8" w:rsidR="00F66E1B" w:rsidRDefault="00F66E1B" w:rsidP="00CD33A8">
      <w:pPr>
        <w:tabs>
          <w:tab w:val="left" w:pos="6540"/>
        </w:tabs>
        <w:spacing w:line="360" w:lineRule="auto"/>
        <w:rPr>
          <w:rFonts w:asciiTheme="minorBidi" w:hAnsiTheme="minorBidi"/>
          <w:sz w:val="22"/>
        </w:rPr>
      </w:pPr>
    </w:p>
    <w:p w14:paraId="59B55637" w14:textId="429E7F22" w:rsidR="00AE1025" w:rsidRPr="00EA03FC" w:rsidRDefault="00AE1025" w:rsidP="00CD33A8">
      <w:pPr>
        <w:tabs>
          <w:tab w:val="left" w:pos="6540"/>
        </w:tabs>
        <w:spacing w:line="360" w:lineRule="auto"/>
        <w:rPr>
          <w:rFonts w:asciiTheme="minorBidi" w:hAnsiTheme="minorBidi"/>
          <w:b/>
          <w:bCs/>
          <w:sz w:val="22"/>
        </w:rPr>
      </w:pPr>
      <w:r w:rsidRPr="00EA03FC">
        <w:rPr>
          <w:rFonts w:asciiTheme="minorBidi" w:hAnsiTheme="minorBidi"/>
          <w:b/>
          <w:bCs/>
          <w:sz w:val="22"/>
        </w:rPr>
        <w:t>Conclusion</w:t>
      </w:r>
    </w:p>
    <w:p w14:paraId="504E35C4" w14:textId="2FB0D3D8" w:rsidR="00EA03FC" w:rsidRPr="00643DA1" w:rsidRDefault="00EA03FC" w:rsidP="00643DA1">
      <w:pPr>
        <w:tabs>
          <w:tab w:val="left" w:pos="6540"/>
        </w:tabs>
        <w:spacing w:line="360" w:lineRule="auto"/>
        <w:jc w:val="both"/>
        <w:rPr>
          <w:rFonts w:ascii="Arial" w:hAnsi="Arial" w:cs="Arial"/>
          <w:sz w:val="22"/>
        </w:rPr>
      </w:pPr>
      <w:r w:rsidRPr="00643DA1">
        <w:rPr>
          <w:rFonts w:ascii="Arial" w:hAnsi="Arial" w:cs="Arial"/>
          <w:sz w:val="22"/>
        </w:rPr>
        <w:t>The present scoping review focused on exploring disparities in access to general practitioner (GP) services in the United Kingdom using five peer-reviewed articles published from 2021 to 2026. Four key themes that emerged from the analysis of selected articles include socioeconomic deprivation, ethnic disparities, digital exclusion, and structural and organi</w:t>
      </w:r>
      <w:r w:rsidR="00361403" w:rsidRPr="00643DA1">
        <w:rPr>
          <w:rFonts w:ascii="Arial" w:hAnsi="Arial" w:cs="Arial"/>
          <w:sz w:val="22"/>
        </w:rPr>
        <w:t>s</w:t>
      </w:r>
      <w:r w:rsidRPr="00643DA1">
        <w:rPr>
          <w:rFonts w:ascii="Arial" w:hAnsi="Arial" w:cs="Arial"/>
          <w:sz w:val="22"/>
        </w:rPr>
        <w:t>ational barriers. All these themes reveal that access to GP services involves complex interactions of various socio-demographic factors.</w:t>
      </w:r>
    </w:p>
    <w:p w14:paraId="0AE29503" w14:textId="77777777" w:rsidR="00E8401F" w:rsidRDefault="00E8401F" w:rsidP="00643DA1">
      <w:pPr>
        <w:tabs>
          <w:tab w:val="left" w:pos="6540"/>
        </w:tabs>
        <w:spacing w:line="360" w:lineRule="auto"/>
        <w:jc w:val="both"/>
        <w:rPr>
          <w:rFonts w:ascii="Arial" w:hAnsi="Arial" w:cs="Arial"/>
          <w:sz w:val="22"/>
        </w:rPr>
      </w:pPr>
      <w:r w:rsidRPr="00E8401F">
        <w:rPr>
          <w:rFonts w:ascii="Arial" w:hAnsi="Arial" w:cs="Arial"/>
          <w:sz w:val="22"/>
        </w:rPr>
        <w:t>Social deprivation is consistently linked with poorer GP access, including longer waiting times, reduced continuity of care and difficulties navigating complex appointment systems. Ethnic minorities face language barriers, cultural misalignment and discrimination, resulting in lower trust and satisfaction. Digital exclusion is a major obstacle for older adults, disabled people and deprived communities who struggle with online booking. Workforce shortages and structural pressures further intensify existing inequities, particularly in high</w:t>
      </w:r>
      <w:r w:rsidRPr="00E8401F">
        <w:rPr>
          <w:rFonts w:ascii="Cambria Math" w:hAnsi="Cambria Math" w:cs="Cambria Math"/>
          <w:sz w:val="22"/>
        </w:rPr>
        <w:t>‑</w:t>
      </w:r>
      <w:r w:rsidRPr="00E8401F">
        <w:rPr>
          <w:rFonts w:ascii="Arial" w:hAnsi="Arial" w:cs="Arial"/>
          <w:sz w:val="22"/>
        </w:rPr>
        <w:t>need areas.</w:t>
      </w:r>
    </w:p>
    <w:p w14:paraId="61A995DD" w14:textId="0F5A00EF" w:rsidR="0056543B" w:rsidRPr="00643DA1" w:rsidRDefault="00EA03FC" w:rsidP="00643DA1">
      <w:pPr>
        <w:tabs>
          <w:tab w:val="left" w:pos="6540"/>
        </w:tabs>
        <w:spacing w:line="360" w:lineRule="auto"/>
        <w:jc w:val="both"/>
        <w:rPr>
          <w:rFonts w:ascii="Arial" w:hAnsi="Arial" w:cs="Arial"/>
          <w:sz w:val="22"/>
        </w:rPr>
      </w:pPr>
      <w:r w:rsidRPr="00643DA1">
        <w:rPr>
          <w:rFonts w:ascii="Arial" w:hAnsi="Arial" w:cs="Arial"/>
          <w:sz w:val="22"/>
        </w:rPr>
        <w:t>In summary, the presented data suggest that there is still a problem of inequalities in GP access, and it needs to be addressed.</w:t>
      </w:r>
    </w:p>
    <w:p w14:paraId="1570F1E8" w14:textId="77777777" w:rsidR="00361403" w:rsidRPr="00643DA1" w:rsidRDefault="00361403" w:rsidP="00643DA1">
      <w:pPr>
        <w:tabs>
          <w:tab w:val="left" w:pos="6540"/>
        </w:tabs>
        <w:spacing w:line="360" w:lineRule="auto"/>
        <w:jc w:val="both"/>
        <w:rPr>
          <w:rFonts w:ascii="Arial" w:hAnsi="Arial" w:cs="Arial"/>
          <w:sz w:val="22"/>
        </w:rPr>
      </w:pPr>
    </w:p>
    <w:p w14:paraId="40BC54B0" w14:textId="4AA7412A" w:rsidR="00EA03FC" w:rsidRPr="00643DA1" w:rsidRDefault="00EA03FC" w:rsidP="00643DA1">
      <w:pPr>
        <w:tabs>
          <w:tab w:val="left" w:pos="6540"/>
        </w:tabs>
        <w:spacing w:line="360" w:lineRule="auto"/>
        <w:jc w:val="both"/>
        <w:rPr>
          <w:rFonts w:ascii="Arial" w:hAnsi="Arial" w:cs="Arial"/>
          <w:b/>
          <w:bCs/>
          <w:sz w:val="22"/>
        </w:rPr>
      </w:pPr>
      <w:r w:rsidRPr="00643DA1">
        <w:rPr>
          <w:rFonts w:ascii="Arial" w:hAnsi="Arial" w:cs="Arial"/>
          <w:b/>
          <w:bCs/>
          <w:sz w:val="22"/>
        </w:rPr>
        <w:t>Recommendations</w:t>
      </w:r>
    </w:p>
    <w:p w14:paraId="2ED7509D" w14:textId="77777777" w:rsidR="0056543B" w:rsidRPr="00643DA1" w:rsidRDefault="0056543B" w:rsidP="00643DA1">
      <w:pPr>
        <w:tabs>
          <w:tab w:val="left" w:pos="6540"/>
        </w:tabs>
        <w:spacing w:line="360" w:lineRule="auto"/>
        <w:jc w:val="both"/>
        <w:rPr>
          <w:rFonts w:ascii="Arial" w:hAnsi="Arial" w:cs="Arial"/>
          <w:sz w:val="22"/>
        </w:rPr>
      </w:pPr>
      <w:r w:rsidRPr="00643DA1">
        <w:rPr>
          <w:rFonts w:ascii="Arial" w:hAnsi="Arial" w:cs="Arial"/>
          <w:sz w:val="22"/>
        </w:rPr>
        <w:t>Recommendations for Future Research</w:t>
      </w:r>
    </w:p>
    <w:p w14:paraId="3F342BEC" w14:textId="3E3FFA64" w:rsidR="0056543B" w:rsidRPr="00643DA1" w:rsidRDefault="0056543B" w:rsidP="00643DA1">
      <w:pPr>
        <w:tabs>
          <w:tab w:val="left" w:pos="6540"/>
        </w:tabs>
        <w:spacing w:line="360" w:lineRule="auto"/>
        <w:jc w:val="both"/>
        <w:rPr>
          <w:rFonts w:ascii="Arial" w:hAnsi="Arial" w:cs="Arial"/>
          <w:sz w:val="22"/>
        </w:rPr>
      </w:pPr>
      <w:r w:rsidRPr="00643DA1">
        <w:rPr>
          <w:rFonts w:ascii="Arial" w:hAnsi="Arial" w:cs="Arial"/>
          <w:sz w:val="22"/>
        </w:rPr>
        <w:t xml:space="preserve">Future research </w:t>
      </w:r>
      <w:r w:rsidR="00361403" w:rsidRPr="00643DA1">
        <w:rPr>
          <w:rFonts w:ascii="Arial" w:hAnsi="Arial" w:cs="Arial"/>
          <w:sz w:val="22"/>
        </w:rPr>
        <w:t>could e</w:t>
      </w:r>
      <w:r w:rsidRPr="00643DA1">
        <w:rPr>
          <w:rFonts w:ascii="Arial" w:hAnsi="Arial" w:cs="Arial"/>
          <w:sz w:val="22"/>
        </w:rPr>
        <w:t>xplore inequalities across a wider range of population groups, including migrants, people experiencing homelessness and individuals with learning disabilities.</w:t>
      </w:r>
    </w:p>
    <w:p w14:paraId="364D7618" w14:textId="0D63EAAE" w:rsidR="00F66E1B" w:rsidRPr="00643DA1" w:rsidRDefault="00361403" w:rsidP="00643DA1">
      <w:pPr>
        <w:tabs>
          <w:tab w:val="left" w:pos="6540"/>
        </w:tabs>
        <w:spacing w:line="360" w:lineRule="auto"/>
        <w:jc w:val="both"/>
        <w:rPr>
          <w:rFonts w:ascii="Arial" w:hAnsi="Arial" w:cs="Arial"/>
          <w:sz w:val="22"/>
        </w:rPr>
      </w:pPr>
      <w:r w:rsidRPr="00643DA1">
        <w:rPr>
          <w:rFonts w:ascii="Arial" w:hAnsi="Arial" w:cs="Arial"/>
          <w:sz w:val="22"/>
        </w:rPr>
        <w:t>Future research could e</w:t>
      </w:r>
      <w:r w:rsidR="0056543B" w:rsidRPr="00643DA1">
        <w:rPr>
          <w:rFonts w:ascii="Arial" w:hAnsi="Arial" w:cs="Arial"/>
          <w:sz w:val="22"/>
        </w:rPr>
        <w:t>xamine how new digital tools (e.g., AI triage, patient portals) affect access for vulnerable groups.</w:t>
      </w:r>
      <w:r w:rsidRPr="00643DA1">
        <w:rPr>
          <w:rFonts w:ascii="Arial" w:hAnsi="Arial" w:cs="Arial"/>
          <w:sz w:val="22"/>
        </w:rPr>
        <w:t xml:space="preserve"> This may entail </w:t>
      </w:r>
      <w:r w:rsidR="0056543B" w:rsidRPr="00643DA1">
        <w:rPr>
          <w:rFonts w:ascii="Arial" w:hAnsi="Arial" w:cs="Arial"/>
          <w:sz w:val="22"/>
        </w:rPr>
        <w:t>longitudinal studies to assess how inequalities change over time, especially as digitalisation expands (NHS Digital, 2021)</w:t>
      </w:r>
      <w:r w:rsidRPr="00643DA1">
        <w:rPr>
          <w:rFonts w:ascii="Arial" w:hAnsi="Arial" w:cs="Arial"/>
          <w:sz w:val="22"/>
        </w:rPr>
        <w:t xml:space="preserve"> and i</w:t>
      </w:r>
      <w:r w:rsidR="0056543B" w:rsidRPr="00643DA1">
        <w:rPr>
          <w:rFonts w:ascii="Arial" w:hAnsi="Arial" w:cs="Arial"/>
          <w:sz w:val="22"/>
        </w:rPr>
        <w:t>nvestigat</w:t>
      </w:r>
      <w:r w:rsidRPr="00643DA1">
        <w:rPr>
          <w:rFonts w:ascii="Arial" w:hAnsi="Arial" w:cs="Arial"/>
          <w:sz w:val="22"/>
        </w:rPr>
        <w:t>ing</w:t>
      </w:r>
      <w:r w:rsidR="0056543B" w:rsidRPr="00643DA1">
        <w:rPr>
          <w:rFonts w:ascii="Arial" w:hAnsi="Arial" w:cs="Arial"/>
          <w:sz w:val="22"/>
        </w:rPr>
        <w:t xml:space="preserve"> the impact of Integrated Care Systems (ICSs) on reducing regional variation in GP access (The King’s Fund, 2022).</w:t>
      </w:r>
    </w:p>
    <w:p w14:paraId="4715CBF6" w14:textId="77777777" w:rsidR="008F576A" w:rsidRPr="00643DA1" w:rsidRDefault="008F576A" w:rsidP="00643DA1">
      <w:pPr>
        <w:tabs>
          <w:tab w:val="left" w:pos="6540"/>
        </w:tabs>
        <w:spacing w:line="360" w:lineRule="auto"/>
        <w:jc w:val="both"/>
        <w:rPr>
          <w:rFonts w:ascii="Arial" w:hAnsi="Arial" w:cs="Arial"/>
          <w:b/>
          <w:bCs/>
          <w:sz w:val="22"/>
        </w:rPr>
      </w:pPr>
    </w:p>
    <w:p w14:paraId="3BF8A204" w14:textId="77777777" w:rsidR="008F576A" w:rsidRDefault="008F576A" w:rsidP="00CD33A8">
      <w:pPr>
        <w:tabs>
          <w:tab w:val="left" w:pos="6540"/>
        </w:tabs>
        <w:spacing w:line="360" w:lineRule="auto"/>
        <w:rPr>
          <w:rFonts w:asciiTheme="minorBidi" w:hAnsiTheme="minorBidi"/>
          <w:b/>
          <w:bCs/>
          <w:sz w:val="22"/>
        </w:rPr>
      </w:pPr>
    </w:p>
    <w:p w14:paraId="73ACD318" w14:textId="77777777" w:rsidR="008F576A" w:rsidRDefault="008F576A" w:rsidP="00CD33A8">
      <w:pPr>
        <w:tabs>
          <w:tab w:val="left" w:pos="6540"/>
        </w:tabs>
        <w:spacing w:line="360" w:lineRule="auto"/>
        <w:rPr>
          <w:rFonts w:asciiTheme="minorBidi" w:hAnsiTheme="minorBidi"/>
          <w:b/>
          <w:bCs/>
          <w:sz w:val="22"/>
        </w:rPr>
      </w:pPr>
    </w:p>
    <w:p w14:paraId="2E01B28F" w14:textId="4C6C595B" w:rsidR="00814A9E" w:rsidRPr="00643DA1" w:rsidRDefault="0056543B" w:rsidP="00643DA1">
      <w:pPr>
        <w:tabs>
          <w:tab w:val="left" w:pos="6540"/>
        </w:tabs>
        <w:spacing w:line="360" w:lineRule="auto"/>
        <w:jc w:val="both"/>
        <w:rPr>
          <w:rFonts w:ascii="Arial" w:hAnsi="Arial" w:cs="Arial"/>
          <w:b/>
          <w:bCs/>
          <w:sz w:val="22"/>
        </w:rPr>
      </w:pPr>
      <w:r w:rsidRPr="00643DA1">
        <w:rPr>
          <w:rFonts w:ascii="Arial" w:hAnsi="Arial" w:cs="Arial"/>
          <w:b/>
          <w:bCs/>
          <w:sz w:val="22"/>
        </w:rPr>
        <w:lastRenderedPageBreak/>
        <w:t>Recommendations for Health and Social Care Practice</w:t>
      </w:r>
    </w:p>
    <w:p w14:paraId="57FCC317" w14:textId="23AA9CEF" w:rsidR="0056543B" w:rsidRPr="00643DA1" w:rsidRDefault="0056543B" w:rsidP="00643DA1">
      <w:pPr>
        <w:tabs>
          <w:tab w:val="left" w:pos="6540"/>
        </w:tabs>
        <w:spacing w:line="360" w:lineRule="auto"/>
        <w:jc w:val="both"/>
        <w:rPr>
          <w:rFonts w:ascii="Arial" w:hAnsi="Arial" w:cs="Arial"/>
          <w:b/>
          <w:bCs/>
          <w:sz w:val="22"/>
        </w:rPr>
      </w:pPr>
      <w:r w:rsidRPr="00643DA1">
        <w:rPr>
          <w:rFonts w:ascii="Arial" w:hAnsi="Arial" w:cs="Arial"/>
          <w:b/>
          <w:bCs/>
          <w:sz w:val="22"/>
        </w:rPr>
        <w:t>Health and social care providers should:</w:t>
      </w:r>
    </w:p>
    <w:p w14:paraId="25999CF8" w14:textId="77777777" w:rsidR="00691023" w:rsidRPr="00691023" w:rsidRDefault="00691023" w:rsidP="00691023">
      <w:pPr>
        <w:pStyle w:val="ListParagraph"/>
        <w:numPr>
          <w:ilvl w:val="0"/>
          <w:numId w:val="8"/>
        </w:numPr>
        <w:tabs>
          <w:tab w:val="left" w:pos="6540"/>
        </w:tabs>
        <w:spacing w:line="360" w:lineRule="auto"/>
        <w:jc w:val="both"/>
        <w:rPr>
          <w:rFonts w:ascii="Arial" w:hAnsi="Arial" w:cs="Arial"/>
          <w:sz w:val="22"/>
        </w:rPr>
      </w:pPr>
      <w:r w:rsidRPr="00691023">
        <w:rPr>
          <w:rFonts w:ascii="Arial" w:hAnsi="Arial" w:cs="Arial"/>
          <w:sz w:val="22"/>
        </w:rPr>
        <w:t>Offer multilingual resources and interpretation services to reduce language barriers (NHS Race &amp; Health Observatory, 2023).</w:t>
      </w:r>
    </w:p>
    <w:p w14:paraId="11278BE5" w14:textId="134F6AAF" w:rsidR="00691023" w:rsidRPr="00691023" w:rsidRDefault="00691023" w:rsidP="00691023">
      <w:pPr>
        <w:pStyle w:val="ListParagraph"/>
        <w:numPr>
          <w:ilvl w:val="0"/>
          <w:numId w:val="8"/>
        </w:numPr>
        <w:tabs>
          <w:tab w:val="left" w:pos="6540"/>
        </w:tabs>
        <w:spacing w:line="360" w:lineRule="auto"/>
        <w:jc w:val="both"/>
        <w:rPr>
          <w:rFonts w:ascii="Arial" w:hAnsi="Arial" w:cs="Arial"/>
          <w:sz w:val="22"/>
        </w:rPr>
      </w:pPr>
      <w:r w:rsidRPr="00691023">
        <w:rPr>
          <w:rFonts w:ascii="Arial" w:hAnsi="Arial" w:cs="Arial"/>
          <w:sz w:val="22"/>
        </w:rPr>
        <w:t>Simplify appointment systems to make them easier to navigate for deprived and digitally excluded patients (Health Foundation, 2023).</w:t>
      </w:r>
    </w:p>
    <w:p w14:paraId="352E93B4" w14:textId="69839A49" w:rsidR="00691023" w:rsidRPr="00691023" w:rsidRDefault="00691023" w:rsidP="00691023">
      <w:pPr>
        <w:pStyle w:val="ListParagraph"/>
        <w:numPr>
          <w:ilvl w:val="0"/>
          <w:numId w:val="8"/>
        </w:numPr>
        <w:tabs>
          <w:tab w:val="left" w:pos="6540"/>
        </w:tabs>
        <w:spacing w:line="360" w:lineRule="auto"/>
        <w:jc w:val="both"/>
        <w:rPr>
          <w:rFonts w:ascii="Arial" w:hAnsi="Arial" w:cs="Arial"/>
          <w:sz w:val="22"/>
        </w:rPr>
      </w:pPr>
      <w:r w:rsidRPr="00691023">
        <w:rPr>
          <w:rFonts w:ascii="Arial" w:hAnsi="Arial" w:cs="Arial"/>
          <w:sz w:val="22"/>
        </w:rPr>
        <w:t>Provide digital literacy training and support for older adults and disabled individuals (Digital Poverty Alliance, 2024).</w:t>
      </w:r>
    </w:p>
    <w:p w14:paraId="56E52D1E" w14:textId="7386F7C4" w:rsidR="00691023" w:rsidRPr="00691023" w:rsidRDefault="00691023" w:rsidP="00691023">
      <w:pPr>
        <w:pStyle w:val="ListParagraph"/>
        <w:numPr>
          <w:ilvl w:val="0"/>
          <w:numId w:val="8"/>
        </w:numPr>
        <w:tabs>
          <w:tab w:val="left" w:pos="6540"/>
        </w:tabs>
        <w:spacing w:line="360" w:lineRule="auto"/>
        <w:jc w:val="both"/>
        <w:rPr>
          <w:rFonts w:ascii="Arial" w:hAnsi="Arial" w:cs="Arial"/>
          <w:sz w:val="22"/>
        </w:rPr>
      </w:pPr>
      <w:r w:rsidRPr="00691023">
        <w:rPr>
          <w:rFonts w:ascii="Arial" w:hAnsi="Arial" w:cs="Arial"/>
          <w:sz w:val="22"/>
        </w:rPr>
        <w:t>Improve communication about triage processes to reduce confusion and increase patient confidence (NHS England, 2023).</w:t>
      </w:r>
    </w:p>
    <w:p w14:paraId="38B71D46" w14:textId="69566CF9" w:rsidR="00814A9E" w:rsidRPr="00691023" w:rsidRDefault="00691023" w:rsidP="00691023">
      <w:pPr>
        <w:pStyle w:val="ListParagraph"/>
        <w:numPr>
          <w:ilvl w:val="0"/>
          <w:numId w:val="8"/>
        </w:numPr>
        <w:tabs>
          <w:tab w:val="left" w:pos="6540"/>
        </w:tabs>
        <w:spacing w:line="360" w:lineRule="auto"/>
        <w:jc w:val="both"/>
        <w:rPr>
          <w:rFonts w:asciiTheme="minorBidi" w:hAnsiTheme="minorBidi"/>
          <w:sz w:val="22"/>
        </w:rPr>
      </w:pPr>
      <w:r w:rsidRPr="00691023">
        <w:rPr>
          <w:rFonts w:ascii="Arial" w:hAnsi="Arial" w:cs="Arial"/>
          <w:sz w:val="22"/>
        </w:rPr>
        <w:t>Collaborate with community organisations to reach underserved groups and build trust (The King’s Fund, 2022).</w:t>
      </w:r>
    </w:p>
    <w:p w14:paraId="444BAD02" w14:textId="77777777" w:rsidR="00814A9E" w:rsidRPr="00CD33A8" w:rsidRDefault="00814A9E" w:rsidP="00CD33A8">
      <w:pPr>
        <w:tabs>
          <w:tab w:val="left" w:pos="6540"/>
        </w:tabs>
        <w:spacing w:line="360" w:lineRule="auto"/>
        <w:rPr>
          <w:rFonts w:asciiTheme="minorBidi" w:hAnsiTheme="minorBidi"/>
          <w:sz w:val="22"/>
        </w:rPr>
      </w:pPr>
    </w:p>
    <w:p w14:paraId="71022E41" w14:textId="77777777" w:rsidR="00814A9E" w:rsidRPr="00CD33A8" w:rsidRDefault="00814A9E" w:rsidP="00CD33A8">
      <w:pPr>
        <w:tabs>
          <w:tab w:val="left" w:pos="6540"/>
        </w:tabs>
        <w:spacing w:line="360" w:lineRule="auto"/>
        <w:rPr>
          <w:rFonts w:asciiTheme="minorBidi" w:hAnsiTheme="minorBidi"/>
          <w:sz w:val="22"/>
        </w:rPr>
      </w:pPr>
    </w:p>
    <w:p w14:paraId="3EA3C7DD" w14:textId="2C373198" w:rsidR="00F66E1B" w:rsidRPr="00CD33A8" w:rsidRDefault="00F66E1B" w:rsidP="00CD33A8">
      <w:pPr>
        <w:tabs>
          <w:tab w:val="left" w:pos="6540"/>
        </w:tabs>
        <w:spacing w:line="360" w:lineRule="auto"/>
        <w:rPr>
          <w:rFonts w:asciiTheme="minorBidi" w:hAnsiTheme="minorBidi"/>
          <w:sz w:val="22"/>
        </w:rPr>
      </w:pPr>
    </w:p>
    <w:p w14:paraId="5C76528F" w14:textId="77777777" w:rsidR="00F66E1B" w:rsidRPr="00CD33A8" w:rsidRDefault="00F66E1B" w:rsidP="00CD33A8">
      <w:pPr>
        <w:tabs>
          <w:tab w:val="left" w:pos="6540"/>
        </w:tabs>
        <w:spacing w:line="360" w:lineRule="auto"/>
        <w:rPr>
          <w:rFonts w:asciiTheme="minorBidi" w:hAnsiTheme="minorBidi"/>
          <w:sz w:val="22"/>
        </w:rPr>
      </w:pPr>
    </w:p>
    <w:p w14:paraId="2B7FA16C" w14:textId="6B004A39" w:rsidR="00473568" w:rsidRPr="00850B3A" w:rsidRDefault="00CD33A8" w:rsidP="00850B3A">
      <w:pPr>
        <w:rPr>
          <w:rFonts w:asciiTheme="minorBidi" w:eastAsiaTheme="majorEastAsia" w:hAnsiTheme="minorBidi"/>
          <w:b/>
          <w:sz w:val="28"/>
        </w:rPr>
      </w:pPr>
      <w:r>
        <w:br w:type="page"/>
      </w:r>
    </w:p>
    <w:p w14:paraId="33F8F0BD" w14:textId="170B671E" w:rsidR="00B87E75" w:rsidRPr="00713C6B" w:rsidRDefault="00B87E75" w:rsidP="00361403">
      <w:pPr>
        <w:pStyle w:val="Heading1"/>
      </w:pPr>
      <w:r w:rsidRPr="00713C6B">
        <w:lastRenderedPageBreak/>
        <w:t>References</w:t>
      </w:r>
    </w:p>
    <w:p w14:paraId="1223175A" w14:textId="44F6EF0C" w:rsidR="001E70DF" w:rsidRPr="001E70DF" w:rsidRDefault="001E70DF" w:rsidP="001E70DF">
      <w:pPr>
        <w:spacing w:line="360" w:lineRule="auto"/>
        <w:jc w:val="both"/>
        <w:rPr>
          <w:rFonts w:ascii="Arial" w:hAnsi="Arial" w:cs="Arial"/>
          <w:sz w:val="22"/>
        </w:rPr>
      </w:pPr>
      <w:r w:rsidRPr="001E70DF">
        <w:rPr>
          <w:rFonts w:ascii="Arial" w:hAnsi="Arial" w:cs="Arial"/>
          <w:sz w:val="22"/>
        </w:rPr>
        <w:t>Arksey, H. &amp; O’Malley, L. (2005) ‘Scoping studies: towards a methodological framework’, International Journal of Social Research Methodology, 8(1), pp. 19–32.</w:t>
      </w:r>
    </w:p>
    <w:p w14:paraId="25CEA231" w14:textId="503D7035" w:rsidR="001E70DF" w:rsidRPr="001E70DF" w:rsidRDefault="001E70DF" w:rsidP="001E70DF">
      <w:pPr>
        <w:spacing w:line="360" w:lineRule="auto"/>
        <w:jc w:val="both"/>
        <w:rPr>
          <w:rFonts w:ascii="Arial" w:hAnsi="Arial" w:cs="Arial"/>
          <w:sz w:val="22"/>
        </w:rPr>
      </w:pPr>
      <w:r w:rsidRPr="001E70DF">
        <w:rPr>
          <w:rFonts w:ascii="Arial" w:hAnsi="Arial" w:cs="Arial"/>
          <w:sz w:val="22"/>
        </w:rPr>
        <w:t>BMA (2023) General practice pressures. British Medical Association.</w:t>
      </w:r>
    </w:p>
    <w:p w14:paraId="0964FD9A" w14:textId="6006862E" w:rsidR="001E70DF" w:rsidRPr="001E70DF" w:rsidRDefault="001E70DF" w:rsidP="001E70DF">
      <w:pPr>
        <w:spacing w:line="360" w:lineRule="auto"/>
        <w:jc w:val="both"/>
        <w:rPr>
          <w:rFonts w:ascii="Arial" w:hAnsi="Arial" w:cs="Arial"/>
          <w:sz w:val="22"/>
        </w:rPr>
      </w:pPr>
      <w:r w:rsidRPr="001E70DF">
        <w:rPr>
          <w:rFonts w:ascii="Arial" w:hAnsi="Arial" w:cs="Arial"/>
          <w:sz w:val="22"/>
        </w:rPr>
        <w:t>Braun, V. &amp; Clarke, V. (2006) ‘Using thematic analysis in psychology’, Qualitative Research in Psychology, 3(2), pp. 77–101.</w:t>
      </w:r>
    </w:p>
    <w:p w14:paraId="78F9450D" w14:textId="7556863F" w:rsidR="001E70DF" w:rsidRPr="001E70DF" w:rsidRDefault="001E70DF" w:rsidP="001E70DF">
      <w:pPr>
        <w:spacing w:line="360" w:lineRule="auto"/>
        <w:jc w:val="both"/>
        <w:rPr>
          <w:rFonts w:ascii="Arial" w:hAnsi="Arial" w:cs="Arial"/>
          <w:sz w:val="22"/>
        </w:rPr>
      </w:pPr>
      <w:r w:rsidRPr="001E70DF">
        <w:rPr>
          <w:rFonts w:ascii="Arial" w:hAnsi="Arial" w:cs="Arial"/>
          <w:sz w:val="22"/>
        </w:rPr>
        <w:t>Cookson, R. et al. (2021) ‘Socioeconomic inequalities in primary care access’, BMJ, 372, pp. 1–5.</w:t>
      </w:r>
    </w:p>
    <w:p w14:paraId="26253862" w14:textId="1369228A" w:rsidR="001E70DF" w:rsidRDefault="001E70DF" w:rsidP="001E70DF">
      <w:pPr>
        <w:spacing w:line="360" w:lineRule="auto"/>
        <w:jc w:val="both"/>
        <w:rPr>
          <w:rFonts w:ascii="Arial" w:hAnsi="Arial" w:cs="Arial"/>
          <w:sz w:val="22"/>
        </w:rPr>
      </w:pPr>
      <w:r w:rsidRPr="001E70DF">
        <w:rPr>
          <w:rFonts w:ascii="Arial" w:hAnsi="Arial" w:cs="Arial"/>
          <w:sz w:val="22"/>
        </w:rPr>
        <w:t>Digital Poverty Alliance (2024) Digital Poverty in the UK: Barriers to Healthcare Access. London: Digital Poverty Alliance.</w:t>
      </w:r>
    </w:p>
    <w:p w14:paraId="41B8B7AF" w14:textId="5D034C77" w:rsidR="000D7AD4" w:rsidRPr="001E70DF" w:rsidRDefault="000D7AD4" w:rsidP="001E70DF">
      <w:pPr>
        <w:spacing w:line="360" w:lineRule="auto"/>
        <w:jc w:val="both"/>
        <w:rPr>
          <w:rFonts w:ascii="Arial" w:hAnsi="Arial" w:cs="Arial"/>
          <w:sz w:val="22"/>
        </w:rPr>
      </w:pPr>
      <w:r w:rsidRPr="000D7AD4">
        <w:rPr>
          <w:rFonts w:ascii="Arial" w:hAnsi="Arial" w:cs="Arial"/>
          <w:sz w:val="22"/>
        </w:rPr>
        <w:t>Digital Poverty Alliance. (2024). Digital exclusion in the UK: Annual report.</w:t>
      </w:r>
    </w:p>
    <w:p w14:paraId="3BD54DF6" w14:textId="435EC127" w:rsidR="001E70DF" w:rsidRPr="001E70DF" w:rsidRDefault="001E70DF" w:rsidP="001E70DF">
      <w:pPr>
        <w:spacing w:line="360" w:lineRule="auto"/>
        <w:jc w:val="both"/>
        <w:rPr>
          <w:rFonts w:ascii="Arial" w:hAnsi="Arial" w:cs="Arial"/>
          <w:sz w:val="22"/>
        </w:rPr>
      </w:pPr>
      <w:r w:rsidRPr="001E70DF">
        <w:rPr>
          <w:rFonts w:ascii="Arial" w:hAnsi="Arial" w:cs="Arial"/>
          <w:sz w:val="22"/>
        </w:rPr>
        <w:t>Green, M. et al. (2022) ‘Digital exclusion and health inequalities: barriers to digital health in the UK’, Journal of Health Services Research &amp; Policy, 27(4), pp. 256–264.</w:t>
      </w:r>
    </w:p>
    <w:p w14:paraId="295D3293" w14:textId="011CB275" w:rsidR="00AE200A" w:rsidRDefault="001E70DF" w:rsidP="001E70DF">
      <w:pPr>
        <w:spacing w:line="360" w:lineRule="auto"/>
        <w:jc w:val="both"/>
        <w:rPr>
          <w:rFonts w:ascii="Arial" w:hAnsi="Arial" w:cs="Arial"/>
          <w:sz w:val="22"/>
        </w:rPr>
      </w:pPr>
      <w:r w:rsidRPr="001E70DF">
        <w:rPr>
          <w:rFonts w:ascii="Arial" w:hAnsi="Arial" w:cs="Arial"/>
          <w:sz w:val="22"/>
        </w:rPr>
        <w:t>Harris, J., Germain, J., McCoy, E. &amp; Schofield, R. (2024) ‘Ethical guidance for conducting health research with online communities: A scoping review of existing guidance’, PLOS ONE, 19(5), p. e0302924.</w:t>
      </w:r>
    </w:p>
    <w:p w14:paraId="22EC1DC8" w14:textId="31D6DF13" w:rsidR="001E70DF" w:rsidRDefault="001E70DF" w:rsidP="001E70DF">
      <w:pPr>
        <w:spacing w:line="360" w:lineRule="auto"/>
        <w:jc w:val="both"/>
        <w:rPr>
          <w:rFonts w:ascii="Arial" w:hAnsi="Arial" w:cs="Arial"/>
          <w:sz w:val="22"/>
        </w:rPr>
      </w:pPr>
      <w:r w:rsidRPr="001E70DF">
        <w:rPr>
          <w:rFonts w:ascii="Arial" w:hAnsi="Arial" w:cs="Arial"/>
          <w:sz w:val="22"/>
        </w:rPr>
        <w:t>Health Foundation (2023) Unequal access: Primary care inequalities in the UK. London: Health Foundation.</w:t>
      </w:r>
    </w:p>
    <w:p w14:paraId="1894E027" w14:textId="23121DB2" w:rsidR="000D7AD4" w:rsidRPr="001E70DF" w:rsidRDefault="000D7AD4" w:rsidP="001E70DF">
      <w:pPr>
        <w:spacing w:line="360" w:lineRule="auto"/>
        <w:jc w:val="both"/>
        <w:rPr>
          <w:rFonts w:ascii="Arial" w:hAnsi="Arial" w:cs="Arial"/>
          <w:sz w:val="22"/>
        </w:rPr>
      </w:pPr>
      <w:r w:rsidRPr="000D7AD4">
        <w:rPr>
          <w:rFonts w:ascii="Arial" w:hAnsi="Arial" w:cs="Arial"/>
          <w:sz w:val="22"/>
        </w:rPr>
        <w:t xml:space="preserve">Health Foundation. (2023). Inequalities in access to primary care.  </w:t>
      </w:r>
    </w:p>
    <w:p w14:paraId="3241A45B" w14:textId="1B38AE41" w:rsidR="001E70DF" w:rsidRPr="001E70DF" w:rsidRDefault="001E70DF" w:rsidP="001E70DF">
      <w:pPr>
        <w:spacing w:line="360" w:lineRule="auto"/>
        <w:jc w:val="both"/>
        <w:rPr>
          <w:rFonts w:ascii="Arial" w:hAnsi="Arial" w:cs="Arial"/>
          <w:sz w:val="22"/>
        </w:rPr>
      </w:pPr>
      <w:r w:rsidRPr="001E70DF">
        <w:rPr>
          <w:rFonts w:ascii="Arial" w:hAnsi="Arial" w:cs="Arial"/>
          <w:sz w:val="22"/>
        </w:rPr>
        <w:t>Islam, F., Bailey, S. &amp; Netto, G. (2024) ‘Digitalised primary care in the UK: experiences of minoritised ethnic communities’, British Journal of General Practice, 74(749), pp. e823–e831.</w:t>
      </w:r>
    </w:p>
    <w:p w14:paraId="291381E5" w14:textId="6881A643" w:rsidR="001E70DF" w:rsidRPr="001E70DF" w:rsidRDefault="001E70DF" w:rsidP="001E70DF">
      <w:pPr>
        <w:spacing w:line="360" w:lineRule="auto"/>
        <w:jc w:val="both"/>
        <w:rPr>
          <w:rFonts w:ascii="Arial" w:hAnsi="Arial" w:cs="Arial"/>
          <w:sz w:val="22"/>
        </w:rPr>
      </w:pPr>
      <w:r w:rsidRPr="001E70DF">
        <w:rPr>
          <w:rFonts w:ascii="Arial" w:hAnsi="Arial" w:cs="Arial"/>
          <w:sz w:val="22"/>
        </w:rPr>
        <w:t>NHS Digital (2021) Digital inclusion in health and care. NHS Digital.</w:t>
      </w:r>
    </w:p>
    <w:p w14:paraId="5C714281" w14:textId="50D45073" w:rsidR="001E70DF" w:rsidRPr="001E70DF" w:rsidRDefault="001E70DF" w:rsidP="001E70DF">
      <w:pPr>
        <w:spacing w:line="360" w:lineRule="auto"/>
        <w:jc w:val="both"/>
        <w:rPr>
          <w:rFonts w:ascii="Arial" w:hAnsi="Arial" w:cs="Arial"/>
          <w:sz w:val="22"/>
        </w:rPr>
      </w:pPr>
      <w:r w:rsidRPr="001E70DF">
        <w:rPr>
          <w:rFonts w:ascii="Arial" w:hAnsi="Arial" w:cs="Arial"/>
          <w:sz w:val="22"/>
        </w:rPr>
        <w:t>NHS England (2019) The NHS Long Term Plan. NHS England.</w:t>
      </w:r>
    </w:p>
    <w:p w14:paraId="1176A245" w14:textId="33DDA973" w:rsidR="001E70DF" w:rsidRDefault="001E70DF" w:rsidP="001E70DF">
      <w:pPr>
        <w:spacing w:line="360" w:lineRule="auto"/>
        <w:jc w:val="both"/>
        <w:rPr>
          <w:rFonts w:ascii="Arial" w:hAnsi="Arial" w:cs="Arial"/>
          <w:sz w:val="22"/>
        </w:rPr>
      </w:pPr>
      <w:r w:rsidRPr="001E70DF">
        <w:rPr>
          <w:rFonts w:ascii="Arial" w:hAnsi="Arial" w:cs="Arial"/>
          <w:sz w:val="22"/>
        </w:rPr>
        <w:t xml:space="preserve">NHS England (2023) Delivery plan for recovering access to primary care. Available at: </w:t>
      </w:r>
      <w:hyperlink r:id="rId9" w:history="1">
        <w:r w:rsidRPr="00FD07BA">
          <w:rPr>
            <w:rStyle w:val="Hyperlink"/>
            <w:rFonts w:ascii="Arial" w:hAnsi="Arial" w:cs="Arial"/>
            <w:sz w:val="22"/>
          </w:rPr>
          <w:t>https://www.england.nhs.uk</w:t>
        </w:r>
      </w:hyperlink>
    </w:p>
    <w:p w14:paraId="7E62005F" w14:textId="19727AD5" w:rsidR="001E70DF" w:rsidRPr="001E70DF" w:rsidRDefault="001E70DF" w:rsidP="001E70DF">
      <w:pPr>
        <w:spacing w:line="360" w:lineRule="auto"/>
        <w:jc w:val="both"/>
        <w:rPr>
          <w:rFonts w:ascii="Arial" w:hAnsi="Arial" w:cs="Arial"/>
          <w:sz w:val="22"/>
        </w:rPr>
      </w:pPr>
      <w:r w:rsidRPr="001E70DF">
        <w:rPr>
          <w:rFonts w:ascii="Arial" w:hAnsi="Arial" w:cs="Arial"/>
          <w:sz w:val="22"/>
        </w:rPr>
        <w:t>NHS Race and Health Observatory (2023) Ethnic Inequalities in Primary Care Access and Experience. London: RHO.</w:t>
      </w:r>
    </w:p>
    <w:p w14:paraId="13BBEC18" w14:textId="57DF0FF3" w:rsidR="001E70DF" w:rsidRPr="001E70DF" w:rsidRDefault="001E70DF" w:rsidP="001E70DF">
      <w:pPr>
        <w:spacing w:line="360" w:lineRule="auto"/>
        <w:jc w:val="both"/>
        <w:rPr>
          <w:rFonts w:ascii="Arial" w:hAnsi="Arial" w:cs="Arial"/>
          <w:sz w:val="22"/>
        </w:rPr>
      </w:pPr>
      <w:r w:rsidRPr="001E70DF">
        <w:rPr>
          <w:rFonts w:ascii="Arial" w:hAnsi="Arial" w:cs="Arial"/>
          <w:sz w:val="22"/>
        </w:rPr>
        <w:t>Ocloo, J. et al. (2022) ‘Racial and ethnic inequalities in primary care: A qualitative evidence review’, BMJ Open, 12(5), pp. 1–10.</w:t>
      </w:r>
    </w:p>
    <w:p w14:paraId="2E82B022" w14:textId="4928FEDA" w:rsidR="001E70DF" w:rsidRPr="001E70DF" w:rsidRDefault="001E70DF" w:rsidP="001E70DF">
      <w:pPr>
        <w:spacing w:line="360" w:lineRule="auto"/>
        <w:jc w:val="both"/>
        <w:rPr>
          <w:rFonts w:ascii="Arial" w:hAnsi="Arial" w:cs="Arial"/>
          <w:sz w:val="22"/>
        </w:rPr>
      </w:pPr>
      <w:r w:rsidRPr="001E70DF">
        <w:rPr>
          <w:rFonts w:ascii="Arial" w:hAnsi="Arial" w:cs="Arial"/>
          <w:sz w:val="22"/>
        </w:rPr>
        <w:lastRenderedPageBreak/>
        <w:t>Salisbury, C. et al. (2010) ‘Inequalities in primary care: patient experience and access’, Journal of Public Health, 32(2), pp. 253–259.</w:t>
      </w:r>
    </w:p>
    <w:p w14:paraId="0EF787FF" w14:textId="77777777" w:rsidR="000D7AD4" w:rsidRDefault="001E70DF" w:rsidP="000D7AD4">
      <w:pPr>
        <w:spacing w:line="360" w:lineRule="auto"/>
        <w:jc w:val="both"/>
        <w:rPr>
          <w:rFonts w:ascii="Arial" w:hAnsi="Arial" w:cs="Arial"/>
          <w:sz w:val="22"/>
        </w:rPr>
      </w:pPr>
      <w:r w:rsidRPr="001E70DF">
        <w:rPr>
          <w:rFonts w:ascii="Arial" w:hAnsi="Arial" w:cs="Arial"/>
          <w:sz w:val="22"/>
        </w:rPr>
        <w:t>The King’s Fund (2022) Access to General Practice: What the Data Tells Us. London: The King’s Fund.</w:t>
      </w:r>
    </w:p>
    <w:p w14:paraId="681FB8AE" w14:textId="6E35547F" w:rsidR="000D7AD4" w:rsidRPr="001E70DF" w:rsidRDefault="000D7AD4" w:rsidP="000D7AD4">
      <w:pPr>
        <w:spacing w:line="360" w:lineRule="auto"/>
        <w:jc w:val="both"/>
        <w:rPr>
          <w:rFonts w:ascii="Arial" w:hAnsi="Arial" w:cs="Arial"/>
          <w:sz w:val="22"/>
        </w:rPr>
      </w:pPr>
      <w:r w:rsidRPr="000D7AD4">
        <w:rPr>
          <w:rFonts w:ascii="Arial" w:hAnsi="Arial" w:cs="Arial"/>
          <w:sz w:val="22"/>
        </w:rPr>
        <w:t>The King’s Fund. (2022). General practice pressures and access challenges.</w:t>
      </w:r>
    </w:p>
    <w:sectPr w:rsidR="000D7AD4" w:rsidRPr="001E70DF" w:rsidSect="00E620E7">
      <w:foot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19678EA" w14:textId="77777777" w:rsidR="0069595D" w:rsidRDefault="0069595D" w:rsidP="003E4ECF">
      <w:pPr>
        <w:spacing w:after="0" w:line="240" w:lineRule="auto"/>
      </w:pPr>
      <w:r>
        <w:separator/>
      </w:r>
    </w:p>
  </w:endnote>
  <w:endnote w:type="continuationSeparator" w:id="0">
    <w:p w14:paraId="12C07687" w14:textId="77777777" w:rsidR="0069595D" w:rsidRDefault="0069595D"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78FB948" w14:textId="77777777" w:rsidR="0069595D" w:rsidRDefault="0069595D" w:rsidP="003E4ECF">
      <w:pPr>
        <w:spacing w:after="0" w:line="240" w:lineRule="auto"/>
      </w:pPr>
      <w:r>
        <w:separator/>
      </w:r>
    </w:p>
  </w:footnote>
  <w:footnote w:type="continuationSeparator" w:id="0">
    <w:p w14:paraId="1537F988" w14:textId="77777777" w:rsidR="0069595D" w:rsidRDefault="0069595D"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EA1587"/>
    <w:multiLevelType w:val="hybridMultilevel"/>
    <w:tmpl w:val="2EB417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E57167"/>
    <w:multiLevelType w:val="hybridMultilevel"/>
    <w:tmpl w:val="85742A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6B7E58"/>
    <w:multiLevelType w:val="hybridMultilevel"/>
    <w:tmpl w:val="052231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5055017"/>
    <w:multiLevelType w:val="hybridMultilevel"/>
    <w:tmpl w:val="566CE6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EFF0A43"/>
    <w:multiLevelType w:val="hybridMultilevel"/>
    <w:tmpl w:val="CB729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AA22F7D"/>
    <w:multiLevelType w:val="hybridMultilevel"/>
    <w:tmpl w:val="23C837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F63261E"/>
    <w:multiLevelType w:val="hybridMultilevel"/>
    <w:tmpl w:val="B9A44C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3A626C5"/>
    <w:multiLevelType w:val="hybridMultilevel"/>
    <w:tmpl w:val="082CE5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78220683">
    <w:abstractNumId w:val="6"/>
  </w:num>
  <w:num w:numId="2" w16cid:durableId="843477008">
    <w:abstractNumId w:val="5"/>
  </w:num>
  <w:num w:numId="3" w16cid:durableId="1892770291">
    <w:abstractNumId w:val="0"/>
  </w:num>
  <w:num w:numId="4" w16cid:durableId="1547638962">
    <w:abstractNumId w:val="1"/>
  </w:num>
  <w:num w:numId="5" w16cid:durableId="1289317541">
    <w:abstractNumId w:val="4"/>
  </w:num>
  <w:num w:numId="6" w16cid:durableId="766316223">
    <w:abstractNumId w:val="7"/>
  </w:num>
  <w:num w:numId="7" w16cid:durableId="798767809">
    <w:abstractNumId w:val="3"/>
  </w:num>
  <w:num w:numId="8" w16cid:durableId="179027479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572BF"/>
    <w:rsid w:val="00074402"/>
    <w:rsid w:val="000D7AD4"/>
    <w:rsid w:val="000E0EF8"/>
    <w:rsid w:val="00195A7D"/>
    <w:rsid w:val="001D7C03"/>
    <w:rsid w:val="001E70DF"/>
    <w:rsid w:val="001F718C"/>
    <w:rsid w:val="00216C85"/>
    <w:rsid w:val="00247E16"/>
    <w:rsid w:val="0026393A"/>
    <w:rsid w:val="00273EDD"/>
    <w:rsid w:val="002C1776"/>
    <w:rsid w:val="002C3965"/>
    <w:rsid w:val="00321C4C"/>
    <w:rsid w:val="00361403"/>
    <w:rsid w:val="00364C52"/>
    <w:rsid w:val="00392BBC"/>
    <w:rsid w:val="003969C7"/>
    <w:rsid w:val="003E4ECF"/>
    <w:rsid w:val="00407839"/>
    <w:rsid w:val="0041422F"/>
    <w:rsid w:val="00473568"/>
    <w:rsid w:val="00483A68"/>
    <w:rsid w:val="00486239"/>
    <w:rsid w:val="004A2BAA"/>
    <w:rsid w:val="004A6DF9"/>
    <w:rsid w:val="004A736E"/>
    <w:rsid w:val="004D3D75"/>
    <w:rsid w:val="004F03A8"/>
    <w:rsid w:val="0056543B"/>
    <w:rsid w:val="005714E3"/>
    <w:rsid w:val="005D18D2"/>
    <w:rsid w:val="00622577"/>
    <w:rsid w:val="00643DA1"/>
    <w:rsid w:val="00691023"/>
    <w:rsid w:val="006925AA"/>
    <w:rsid w:val="0069595D"/>
    <w:rsid w:val="006A4F4A"/>
    <w:rsid w:val="00713C6B"/>
    <w:rsid w:val="00725177"/>
    <w:rsid w:val="00736CA9"/>
    <w:rsid w:val="00771D7C"/>
    <w:rsid w:val="00814A9E"/>
    <w:rsid w:val="00843C0A"/>
    <w:rsid w:val="00850B3A"/>
    <w:rsid w:val="008F576A"/>
    <w:rsid w:val="0090040D"/>
    <w:rsid w:val="009148DA"/>
    <w:rsid w:val="00981FE6"/>
    <w:rsid w:val="009870CD"/>
    <w:rsid w:val="009B4744"/>
    <w:rsid w:val="009D052C"/>
    <w:rsid w:val="009D1D1E"/>
    <w:rsid w:val="00A035FD"/>
    <w:rsid w:val="00A71E69"/>
    <w:rsid w:val="00AA075D"/>
    <w:rsid w:val="00AB7823"/>
    <w:rsid w:val="00AE1025"/>
    <w:rsid w:val="00AE200A"/>
    <w:rsid w:val="00B00C77"/>
    <w:rsid w:val="00B22DA1"/>
    <w:rsid w:val="00B8304B"/>
    <w:rsid w:val="00B87E75"/>
    <w:rsid w:val="00BC46B1"/>
    <w:rsid w:val="00C04C74"/>
    <w:rsid w:val="00C60FC3"/>
    <w:rsid w:val="00CD1C90"/>
    <w:rsid w:val="00CD33A8"/>
    <w:rsid w:val="00D113BE"/>
    <w:rsid w:val="00D23D3E"/>
    <w:rsid w:val="00D34E6A"/>
    <w:rsid w:val="00D352BE"/>
    <w:rsid w:val="00E569FD"/>
    <w:rsid w:val="00E620E7"/>
    <w:rsid w:val="00E8401F"/>
    <w:rsid w:val="00EA03FC"/>
    <w:rsid w:val="00EE01CA"/>
    <w:rsid w:val="00F268D5"/>
    <w:rsid w:val="00F66E1B"/>
    <w:rsid w:val="00FB7B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361403"/>
    <w:pPr>
      <w:keepNext/>
      <w:keepLines/>
      <w:spacing w:before="240" w:after="0" w:line="360" w:lineRule="auto"/>
      <w:outlineLvl w:val="0"/>
    </w:pPr>
    <w:rPr>
      <w:rFonts w:ascii="Arial" w:eastAsiaTheme="majorEastAsia" w:hAnsi="Arial" w:cs="Arial"/>
      <w:b/>
      <w:sz w:val="28"/>
      <w:szCs w:val="28"/>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1403"/>
    <w:rPr>
      <w:rFonts w:ascii="Arial" w:eastAsiaTheme="majorEastAsia" w:hAnsi="Arial" w:cs="Arial"/>
      <w:b/>
      <w:sz w:val="28"/>
      <w:szCs w:val="28"/>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table" w:styleId="TableGrid">
    <w:name w:val="Table Grid"/>
    <w:basedOn w:val="TableNormal"/>
    <w:uiPriority w:val="39"/>
    <w:rsid w:val="00364C5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73568"/>
    <w:pPr>
      <w:ind w:left="720"/>
      <w:contextualSpacing/>
    </w:pPr>
  </w:style>
  <w:style w:type="character" w:styleId="Hyperlink">
    <w:name w:val="Hyperlink"/>
    <w:basedOn w:val="DefaultParagraphFont"/>
    <w:uiPriority w:val="99"/>
    <w:unhideWhenUsed/>
    <w:rsid w:val="001E70DF"/>
    <w:rPr>
      <w:color w:val="0563C1" w:themeColor="hyperlink"/>
      <w:u w:val="single"/>
    </w:rPr>
  </w:style>
  <w:style w:type="character" w:styleId="UnresolvedMention">
    <w:name w:val="Unresolved Mention"/>
    <w:basedOn w:val="DefaultParagraphFont"/>
    <w:uiPriority w:val="99"/>
    <w:semiHidden/>
    <w:unhideWhenUsed/>
    <w:rsid w:val="001E70D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england.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20</Pages>
  <Words>4108</Words>
  <Characters>23418</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Juliet Asiedu-Boateng (2335599)</cp:lastModifiedBy>
  <cp:revision>2</cp:revision>
  <dcterms:created xsi:type="dcterms:W3CDTF">2026-08-12T10:38:00Z</dcterms:created>
  <dcterms:modified xsi:type="dcterms:W3CDTF">2026-08-12T10:38:00Z</dcterms:modified>
</cp:coreProperties>
</file>