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0D717" w14:textId="2B63069C" w:rsidR="00AC2B77" w:rsidRDefault="00AC2B77" w:rsidP="00487E7A">
      <w:pPr>
        <w:pStyle w:val="TOCHeading"/>
      </w:pPr>
    </w:p>
    <w:p w14:paraId="69A73C73" w14:textId="5F4F9431" w:rsidR="00E23607" w:rsidRDefault="00AB7D32" w:rsidP="00345D8C">
      <w:pPr>
        <w:rPr>
          <w:rFonts w:asciiTheme="minorBidi" w:hAnsiTheme="minorBidi"/>
          <w:b/>
          <w:bCs/>
          <w:sz w:val="36"/>
          <w:szCs w:val="36"/>
        </w:rPr>
      </w:pPr>
      <w:r>
        <w:rPr>
          <w:rFonts w:asciiTheme="minorBidi" w:hAnsiTheme="minorBidi"/>
          <w:b/>
          <w:bCs/>
          <w:sz w:val="36"/>
          <w:szCs w:val="36"/>
        </w:rPr>
        <w:t xml:space="preserve">                                                                                                                  </w:t>
      </w:r>
    </w:p>
    <w:p w14:paraId="1F3CB45F" w14:textId="1F74AB0C" w:rsidR="00E23607" w:rsidRDefault="00AB7D32" w:rsidP="00345D8C">
      <w:pPr>
        <w:rPr>
          <w:rFonts w:asciiTheme="minorBidi" w:hAnsiTheme="minorBidi"/>
          <w:b/>
          <w:bCs/>
          <w:sz w:val="36"/>
          <w:szCs w:val="36"/>
        </w:rPr>
      </w:pPr>
      <w:r>
        <w:rPr>
          <w:rFonts w:asciiTheme="minorBidi" w:hAnsiTheme="minorBidi"/>
          <w:b/>
          <w:bCs/>
          <w:sz w:val="36"/>
          <w:szCs w:val="36"/>
        </w:rPr>
        <w:t xml:space="preserve">                  </w:t>
      </w:r>
      <w:r w:rsidR="00F77B08">
        <w:rPr>
          <w:rFonts w:ascii="Calibri" w:hAnsi="Calibri"/>
          <w:i/>
          <w:iCs/>
          <w:noProof/>
        </w:rPr>
        <w:drawing>
          <wp:inline distT="0" distB="0" distL="0" distR="0" wp14:anchorId="58886CB4" wp14:editId="1D516600">
            <wp:extent cx="3149937" cy="1316182"/>
            <wp:effectExtent l="0" t="0" r="0" b="0"/>
            <wp:docPr id="5112652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293639" cy="1376227"/>
                    </a:xfrm>
                    <a:prstGeom prst="rect">
                      <a:avLst/>
                    </a:prstGeom>
                    <a:noFill/>
                    <a:ln>
                      <a:noFill/>
                    </a:ln>
                  </pic:spPr>
                </pic:pic>
              </a:graphicData>
            </a:graphic>
          </wp:inline>
        </w:drawing>
      </w:r>
    </w:p>
    <w:p w14:paraId="1DB92CCE" w14:textId="4F74E7A3" w:rsidR="00E23607" w:rsidRDefault="00604394" w:rsidP="00604394">
      <w:pPr>
        <w:pStyle w:val="NoSpacing"/>
        <w:spacing w:before="1540" w:after="240"/>
        <w:rPr>
          <w:color w:val="156082" w:themeColor="accent1"/>
        </w:rPr>
      </w:pPr>
      <w:r>
        <w:rPr>
          <w:color w:val="156082" w:themeColor="accent1"/>
        </w:rPr>
        <w:br w:type="textWrapping" w:clear="all"/>
      </w:r>
    </w:p>
    <w:sdt>
      <w:sdtPr>
        <w:rPr>
          <w:rFonts w:asciiTheme="minorBidi" w:hAnsiTheme="minorBidi"/>
          <w:b/>
          <w:bCs/>
        </w:rPr>
        <w:alias w:val="Title"/>
        <w:id w:val="1735040861"/>
        <w:placeholder>
          <w:docPart w:val="F8B032825D6C4FA99C24F92BD7EEE4AD"/>
        </w:placeholder>
        <w:dataBinding w:prefixMappings="xmlns:ns0='http://purl.org/dc/elements/1.1/' xmlns:ns1='http://schemas.openxmlformats.org/package/2006/metadata/core-properties' " w:xpath="/ns1:coreProperties[1]/ns0:title[1]" w:storeItemID="{6C3C8BC8-F283-45AE-878A-BAB7291924A1}"/>
        <w:text/>
      </w:sdtPr>
      <w:sdtContent>
        <w:p w14:paraId="63F88CE3" w14:textId="02F1EA7C" w:rsidR="00E23607" w:rsidRDefault="00E4049F" w:rsidP="00E2360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E4049F">
            <w:rPr>
              <w:rFonts w:asciiTheme="minorBidi" w:hAnsiTheme="minorBidi"/>
              <w:b/>
              <w:bCs/>
            </w:rPr>
            <w:t>Principles and Concepts of Finance – BMSW5012</w:t>
          </w:r>
        </w:p>
      </w:sdtContent>
    </w:sdt>
    <w:sdt>
      <w:sdtPr>
        <w:rPr>
          <w:rFonts w:asciiTheme="minorBidi" w:eastAsiaTheme="minorHAnsi" w:hAnsiTheme="minorBidi"/>
          <w:b/>
          <w:bCs/>
          <w:lang w:val="en-GB"/>
        </w:rPr>
        <w:alias w:val="Subtitle"/>
        <w:id w:val="328029620"/>
        <w:dataBinding w:prefixMappings="xmlns:ns0='http://purl.org/dc/elements/1.1/' xmlns:ns1='http://schemas.openxmlformats.org/package/2006/metadata/core-properties' " w:xpath="/ns1:coreProperties[1]/ns0:subject[1]" w:storeItemID="{6C3C8BC8-F283-45AE-878A-BAB7291924A1}"/>
        <w:text/>
      </w:sdtPr>
      <w:sdtContent>
        <w:p w14:paraId="5141C731" w14:textId="72414D52" w:rsidR="00E23607" w:rsidRDefault="00E4049F" w:rsidP="00E4049F">
          <w:pPr>
            <w:pStyle w:val="NoSpacing"/>
            <w:jc w:val="center"/>
            <w:rPr>
              <w:rFonts w:asciiTheme="minorHAnsi" w:hAnsiTheme="minorHAnsi"/>
              <w:color w:val="156082" w:themeColor="accent1"/>
              <w:sz w:val="28"/>
              <w:szCs w:val="28"/>
            </w:rPr>
          </w:pPr>
          <w:r w:rsidRPr="00E4049F">
            <w:rPr>
              <w:rFonts w:asciiTheme="minorBidi" w:eastAsiaTheme="minorHAnsi" w:hAnsiTheme="minorBidi"/>
              <w:b/>
              <w:bCs/>
              <w:lang w:val="en-GB"/>
            </w:rPr>
            <w:t>Budgeting Principles and Approaches</w:t>
          </w:r>
          <w:r w:rsidR="00A23E64">
            <w:rPr>
              <w:rFonts w:asciiTheme="minorBidi" w:eastAsiaTheme="minorHAnsi" w:hAnsiTheme="minorBidi"/>
              <w:b/>
              <w:bCs/>
              <w:lang w:val="en-GB"/>
            </w:rPr>
            <w:t xml:space="preserve"> (Financial</w:t>
          </w:r>
          <w:r w:rsidRPr="00E4049F">
            <w:rPr>
              <w:rFonts w:asciiTheme="minorBidi" w:eastAsiaTheme="minorHAnsi" w:hAnsiTheme="minorBidi"/>
              <w:b/>
              <w:bCs/>
              <w:lang w:val="en-GB"/>
            </w:rPr>
            <w:t xml:space="preserve"> Analysis of Silver Stitch</w:t>
          </w:r>
          <w:r w:rsidR="00A23E64">
            <w:rPr>
              <w:rFonts w:asciiTheme="minorBidi" w:eastAsiaTheme="minorHAnsi" w:hAnsiTheme="minorBidi"/>
              <w:b/>
              <w:bCs/>
              <w:lang w:val="en-GB"/>
            </w:rPr>
            <w:t>)</w:t>
          </w:r>
        </w:p>
      </w:sdtContent>
    </w:sdt>
    <w:p w14:paraId="63837DC3" w14:textId="1919146B" w:rsidR="00E23607" w:rsidRDefault="00E23607" w:rsidP="00E23607">
      <w:pPr>
        <w:pStyle w:val="NoSpacing"/>
        <w:jc w:val="center"/>
        <w:rPr>
          <w:color w:val="156082" w:themeColor="accent1"/>
          <w:sz w:val="22"/>
          <w:szCs w:val="22"/>
        </w:rPr>
      </w:pPr>
      <w:r>
        <w:rPr>
          <w:noProof/>
          <w:sz w:val="22"/>
          <w:szCs w:val="22"/>
        </w:rPr>
        <mc:AlternateContent>
          <mc:Choice Requires="wps">
            <w:drawing>
              <wp:anchor distT="0" distB="0" distL="114300" distR="114300" simplePos="0" relativeHeight="251659264" behindDoc="0" locked="0" layoutInCell="1" allowOverlap="1" wp14:anchorId="1B80D1EA" wp14:editId="1CBC5DD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849620" cy="613410"/>
                <wp:effectExtent l="0" t="0" r="2540" b="6350"/>
                <wp:wrapNone/>
                <wp:docPr id="142" name="Text Box 3"/>
                <wp:cNvGraphicFramePr/>
                <a:graphic xmlns:a="http://schemas.openxmlformats.org/drawingml/2006/main">
                  <a:graphicData uri="http://schemas.microsoft.com/office/word/2010/wordprocessingShape">
                    <wps:wsp>
                      <wps:cNvSpPr txBox="1"/>
                      <wps:spPr>
                        <a:xfrm>
                          <a:off x="0" y="0"/>
                          <a:ext cx="594360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inorBidi" w:hAnsiTheme="minorBidi"/>
                                <w:b/>
                                <w:bCs/>
                              </w:rPr>
                              <w:alias w:val="Date"/>
                              <w:id w:val="197127006"/>
                              <w:dataBinding w:prefixMappings="xmlns:ns0='http://schemas.microsoft.com/office/2006/coverPageProps' " w:xpath="/ns0:CoverPageProperties[1]/ns0:PublishDate[1]" w:storeItemID="{55AF091B-3C7A-41E3-B477-F2FDAA23CFDA}"/>
                              <w:date w:fullDate="2026-03-20T00:00:00Z">
                                <w:dateFormat w:val="MMMM d, yyyy"/>
                                <w:lid w:val="en-US"/>
                                <w:storeMappedDataAs w:val="dateTime"/>
                                <w:calendar w:val="gregorian"/>
                              </w:date>
                            </w:sdtPr>
                            <w:sdtContent>
                              <w:p w14:paraId="7A36D04C" w14:textId="09240882" w:rsidR="00E23607" w:rsidRDefault="00D67247" w:rsidP="00E23607">
                                <w:pPr>
                                  <w:pStyle w:val="NoSpacing"/>
                                  <w:spacing w:after="40"/>
                                  <w:jc w:val="center"/>
                                  <w:rPr>
                                    <w:caps/>
                                    <w:color w:val="156082" w:themeColor="accent1"/>
                                    <w:sz w:val="28"/>
                                    <w:szCs w:val="28"/>
                                  </w:rPr>
                                </w:pPr>
                                <w:r>
                                  <w:rPr>
                                    <w:rFonts w:asciiTheme="minorBidi" w:hAnsiTheme="minorBidi"/>
                                    <w:b/>
                                    <w:bCs/>
                                  </w:rPr>
                                  <w:t>March 20, 2026</w:t>
                                </w:r>
                              </w:p>
                            </w:sdtContent>
                          </w:sdt>
                          <w:p w14:paraId="23E1E74D" w14:textId="77777777" w:rsidR="00E23607" w:rsidRDefault="00000000" w:rsidP="00E23607">
                            <w:pPr>
                              <w:pStyle w:val="NoSpacing"/>
                              <w:jc w:val="center"/>
                              <w:rPr>
                                <w:color w:val="156082" w:themeColor="accent1"/>
                                <w:sz w:val="22"/>
                                <w:szCs w:val="22"/>
                              </w:rPr>
                            </w:pPr>
                            <w:sdt>
                              <w:sdtPr>
                                <w:rPr>
                                  <w:caps/>
                                  <w:color w:val="156082" w:themeColor="accent1"/>
                                </w:rPr>
                                <w:alias w:val="Company"/>
                                <w:id w:val="1390145197"/>
                                <w:showingPlcHdr/>
                                <w:dataBinding w:prefixMappings="xmlns:ns0='http://schemas.openxmlformats.org/officeDocument/2006/extended-properties' " w:xpath="/ns0:Properties[1]/ns0:Company[1]" w:storeItemID="{6668398D-A668-4E3E-A5EB-62B293D839F1}"/>
                                <w:text/>
                              </w:sdtPr>
                              <w:sdtContent>
                                <w:r w:rsidR="00E23607">
                                  <w:rPr>
                                    <w:caps/>
                                    <w:color w:val="156082" w:themeColor="accent1"/>
                                  </w:rPr>
                                  <w:t xml:space="preserve">     </w:t>
                                </w:r>
                              </w:sdtContent>
                            </w:sdt>
                          </w:p>
                          <w:p w14:paraId="2C7339D5" w14:textId="77777777" w:rsidR="00E23607" w:rsidRDefault="00000000" w:rsidP="00E23607">
                            <w:pPr>
                              <w:pStyle w:val="NoSpacing"/>
                              <w:jc w:val="center"/>
                              <w:rPr>
                                <w:color w:val="156082" w:themeColor="accent1"/>
                              </w:rPr>
                            </w:pPr>
                            <w:sdt>
                              <w:sdtPr>
                                <w:rPr>
                                  <w:color w:val="156082"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sidR="00E23607">
                                  <w:rPr>
                                    <w:color w:val="156082" w:themeColor="accent1"/>
                                  </w:rPr>
                                  <w:t xml:space="preserve">     </w:t>
                                </w:r>
                              </w:sdtContent>
                            </w:sdt>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B80D1EA" id="_x0000_t202" coordsize="21600,21600" o:spt="202" path="m,l,21600r21600,l21600,xe">
                <v:stroke joinstyle="miter"/>
                <v:path gradientshapeok="t" o:connecttype="rect"/>
              </v:shapetype>
              <v:shape id="Text Box 3" o:spid="_x0000_s1026" type="#_x0000_t202" style="position:absolute;left:0;text-align:left;margin-left:0;margin-top:0;width:460.6pt;height:48.3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qlvXwIAACUFAAAOAAAAZHJzL2Uyb0RvYy54bWysVN9v2jAQfp+0/8Hy+xpoByqIUDGqTpNQ&#10;W41OfTaODdEc2zsfJOyv39lJoGJPnfbiXHyfP9+P7zy7ayrDDgpC6WzOh1cDzpSVrijtNuc/Xh4+&#10;3XIWUNhCGGdVzo8q8Lv5xw+z2k/Vtds5UyhgRGLDtPY53yH6aZYFuVOVCFfOK0tO7aASSL+wzQoQ&#10;NbFXJrseDMZZ7aDw4KQKgXbvWyefJ36tlcQnrYNCZnJOsWFaIa2buGbzmZhuQfhdKbswxD9EUYnS&#10;0qUnqnuBgu2h/IuqKiW44DReSVdlTutSqpQDZTMcXGSz3gmvUi5UnOBPZQr/j1Y+Htb+GRg2X1xD&#10;DYwFqX2YBtqM+TQaqvilSBn5qYTHU9lUg0zS5mjy+WY8IJck3+h2MhmOIk12Pu0h4FflKhaNnAO1&#10;JVVLHFYBW2gPiZdZ91Aak1pjLKtzPr4ZDdKBk4fIjY1YlZrc0ZwjTxYejYoYY78rzcoiJRA3krzU&#10;0gA7CBKGkFJZTLknXkJHlKYg3nOww5+jes/hNo/+ZmfxdLgqrYOU/UXYxc8+ZN3iqeZv8o4mNpum&#10;6+jGFUdqNLh2BoKXDyV1YyUCPgsg0VMDaZDxiRZtHFVdmtJztnPw+3Iv4kiD5OGspuHJefi1F6A4&#10;M98sqZOosDegNza9YffV0lHZh/Q0eJlMOgBoelODq15prhfxFnIJK+munG96c4ntCNO7INVikUA0&#10;T17gyq69jNSxC1FTL82rAN8JD0myj64fKzG90F+LTQLxiz2SCpM4YyHb6nUFpllM8u7ejTjsb/8T&#10;6vy6zf8AAAD//wMAUEsDBBQABgAIAAAAIQAXlo5H2QAAAAQBAAAPAAAAZHJzL2Rvd25yZXYueG1s&#10;TI7BSsRADIbvgu8wRPDmTrdI0drpIqKCJ7Erst6yndiWdjKlM7vbvr3Ri15Cwv/z5Ss2sxvUkabQ&#10;eTawXiWgiGtvO24MvG+frm5AhYhscfBMBhYKsCnPzwrMrT/xGx2r2CiBcMjRQBvjmGsd6pYchpUf&#10;iSX78pPDKOfUaDvhSeBu0GmSZNphx/KhxZEeWqr76uAMJMvzZ9ZXywulj6/XH/28Y9zujLm8mO/v&#10;QEWa418ZfvRFHUpx2vsD26AGYUjvd0p2m65TUHtZsgx0Wej/8uU3AAAA//8DAFBLAQItABQABgAI&#10;AAAAIQC2gziS/gAAAOEBAAATAAAAAAAAAAAAAAAAAAAAAABbQ29udGVudF9UeXBlc10ueG1sUEsB&#10;Ai0AFAAGAAgAAAAhADj9If/WAAAAlAEAAAsAAAAAAAAAAAAAAAAALwEAAF9yZWxzLy5yZWxzUEsB&#10;Ai0AFAAGAAgAAAAhAIBGqW9fAgAAJQUAAA4AAAAAAAAAAAAAAAAALgIAAGRycy9lMm9Eb2MueG1s&#10;UEsBAi0AFAAGAAgAAAAhABeWjkfZAAAABAEAAA8AAAAAAAAAAAAAAAAAuQQAAGRycy9kb3ducmV2&#10;LnhtbFBLBQYAAAAABAAEAPMAAAC/BQAAAAA=&#10;" filled="f" stroked="f" strokeweight=".5pt">
                <v:textbox style="mso-fit-shape-to-text:t" inset="0,0,0,0">
                  <w:txbxContent>
                    <w:sdt>
                      <w:sdtPr>
                        <w:rPr>
                          <w:rFonts w:asciiTheme="minorBidi" w:hAnsiTheme="minorBidi"/>
                          <w:b/>
                          <w:bCs/>
                        </w:rPr>
                        <w:alias w:val="Date"/>
                        <w:id w:val="197127006"/>
                        <w:dataBinding w:prefixMappings="xmlns:ns0='http://schemas.microsoft.com/office/2006/coverPageProps' " w:xpath="/ns0:CoverPageProperties[1]/ns0:PublishDate[1]" w:storeItemID="{55AF091B-3C7A-41E3-B477-F2FDAA23CFDA}"/>
                        <w:date w:fullDate="2026-03-20T00:00:00Z">
                          <w:dateFormat w:val="MMMM d, yyyy"/>
                          <w:lid w:val="en-US"/>
                          <w:storeMappedDataAs w:val="dateTime"/>
                          <w:calendar w:val="gregorian"/>
                        </w:date>
                      </w:sdtPr>
                      <w:sdtContent>
                        <w:p w14:paraId="7A36D04C" w14:textId="09240882" w:rsidR="00E23607" w:rsidRDefault="00D67247" w:rsidP="00E23607">
                          <w:pPr>
                            <w:pStyle w:val="NoSpacing"/>
                            <w:spacing w:after="40"/>
                            <w:jc w:val="center"/>
                            <w:rPr>
                              <w:caps/>
                              <w:color w:val="156082" w:themeColor="accent1"/>
                              <w:sz w:val="28"/>
                              <w:szCs w:val="28"/>
                            </w:rPr>
                          </w:pPr>
                          <w:r>
                            <w:rPr>
                              <w:rFonts w:asciiTheme="minorBidi" w:hAnsiTheme="minorBidi"/>
                              <w:b/>
                              <w:bCs/>
                            </w:rPr>
                            <w:t>March 20, 2026</w:t>
                          </w:r>
                        </w:p>
                      </w:sdtContent>
                    </w:sdt>
                    <w:p w14:paraId="23E1E74D" w14:textId="77777777" w:rsidR="00E23607" w:rsidRDefault="00000000" w:rsidP="00E23607">
                      <w:pPr>
                        <w:pStyle w:val="NoSpacing"/>
                        <w:jc w:val="center"/>
                        <w:rPr>
                          <w:color w:val="156082" w:themeColor="accent1"/>
                          <w:sz w:val="22"/>
                          <w:szCs w:val="22"/>
                        </w:rPr>
                      </w:pPr>
                      <w:sdt>
                        <w:sdtPr>
                          <w:rPr>
                            <w:caps/>
                            <w:color w:val="156082" w:themeColor="accent1"/>
                          </w:rPr>
                          <w:alias w:val="Company"/>
                          <w:id w:val="1390145197"/>
                          <w:showingPlcHdr/>
                          <w:dataBinding w:prefixMappings="xmlns:ns0='http://schemas.openxmlformats.org/officeDocument/2006/extended-properties' " w:xpath="/ns0:Properties[1]/ns0:Company[1]" w:storeItemID="{6668398D-A668-4E3E-A5EB-62B293D839F1}"/>
                          <w:text/>
                        </w:sdtPr>
                        <w:sdtContent>
                          <w:r w:rsidR="00E23607">
                            <w:rPr>
                              <w:caps/>
                              <w:color w:val="156082" w:themeColor="accent1"/>
                            </w:rPr>
                            <w:t xml:space="preserve">     </w:t>
                          </w:r>
                        </w:sdtContent>
                      </w:sdt>
                    </w:p>
                    <w:p w14:paraId="2C7339D5" w14:textId="77777777" w:rsidR="00E23607" w:rsidRDefault="00000000" w:rsidP="00E23607">
                      <w:pPr>
                        <w:pStyle w:val="NoSpacing"/>
                        <w:jc w:val="center"/>
                        <w:rPr>
                          <w:color w:val="156082" w:themeColor="accent1"/>
                        </w:rPr>
                      </w:pPr>
                      <w:sdt>
                        <w:sdtPr>
                          <w:rPr>
                            <w:color w:val="156082"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sidR="00E23607">
                            <w:rPr>
                              <w:color w:val="156082" w:themeColor="accent1"/>
                            </w:rPr>
                            <w:t xml:space="preserve">     </w:t>
                          </w:r>
                        </w:sdtContent>
                      </w:sdt>
                    </w:p>
                  </w:txbxContent>
                </v:textbox>
                <w10:wrap anchorx="margin" anchory="page"/>
              </v:shape>
            </w:pict>
          </mc:Fallback>
        </mc:AlternateContent>
      </w:r>
    </w:p>
    <w:p w14:paraId="53F4DCE0" w14:textId="3978FDCE" w:rsidR="00203BA1" w:rsidRDefault="00203BA1" w:rsidP="00203BA1">
      <w:pPr>
        <w:rPr>
          <w:rFonts w:asciiTheme="minorBidi" w:hAnsiTheme="minorBidi"/>
          <w:b/>
          <w:bCs/>
        </w:rPr>
      </w:pPr>
      <w:r>
        <w:t xml:space="preserve">                                                    </w:t>
      </w:r>
      <w:r w:rsidR="00F405AB">
        <w:t xml:space="preserve">  </w:t>
      </w:r>
      <w:r>
        <w:t xml:space="preserve">  </w:t>
      </w:r>
      <w:r w:rsidRPr="00327CFE">
        <w:rPr>
          <w:rFonts w:asciiTheme="minorBidi" w:hAnsiTheme="minorBidi"/>
          <w:b/>
          <w:bCs/>
        </w:rPr>
        <w:t>Module Lecturer:</w:t>
      </w:r>
      <w:r w:rsidRPr="00521949">
        <w:t xml:space="preserve"> </w:t>
      </w:r>
      <w:r w:rsidRPr="00521949">
        <w:rPr>
          <w:rFonts w:asciiTheme="minorBidi" w:hAnsiTheme="minorBidi"/>
          <w:b/>
          <w:bCs/>
        </w:rPr>
        <w:t>Christine Joy</w:t>
      </w:r>
    </w:p>
    <w:p w14:paraId="020110A8" w14:textId="56A7C8F4" w:rsidR="00203BA1" w:rsidRPr="00345D8C" w:rsidRDefault="00203BA1" w:rsidP="00D67247">
      <w:pPr>
        <w:rPr>
          <w:rFonts w:asciiTheme="minorBidi" w:hAnsiTheme="minorBidi"/>
          <w:b/>
          <w:bCs/>
        </w:rPr>
      </w:pPr>
      <w:r>
        <w:rPr>
          <w:rFonts w:asciiTheme="minorBidi" w:hAnsiTheme="minorBidi"/>
          <w:b/>
          <w:bCs/>
        </w:rPr>
        <w:t xml:space="preserve">                                        </w:t>
      </w:r>
      <w:r w:rsidR="00F405AB">
        <w:rPr>
          <w:rFonts w:asciiTheme="minorBidi" w:hAnsiTheme="minorBidi"/>
          <w:b/>
          <w:bCs/>
        </w:rPr>
        <w:t xml:space="preserve">  </w:t>
      </w:r>
      <w:r w:rsidRPr="00345D8C">
        <w:rPr>
          <w:rFonts w:asciiTheme="minorBidi" w:hAnsiTheme="minorBidi"/>
          <w:b/>
          <w:bCs/>
        </w:rPr>
        <w:t>Student Name: Salma</w:t>
      </w:r>
      <w:r w:rsidRPr="008F4B46">
        <w:rPr>
          <w:rFonts w:asciiTheme="minorBidi" w:hAnsiTheme="minorBidi"/>
          <w:b/>
          <w:bCs/>
        </w:rPr>
        <w:t xml:space="preserve"> Farache</w:t>
      </w:r>
      <w:r w:rsidRPr="00345D8C">
        <w:rPr>
          <w:rFonts w:asciiTheme="minorBidi" w:hAnsiTheme="minorBidi"/>
          <w:b/>
          <w:bCs/>
        </w:rPr>
        <w:br/>
      </w:r>
      <w:r>
        <w:rPr>
          <w:rFonts w:asciiTheme="minorBidi" w:hAnsiTheme="minorBidi"/>
          <w:b/>
          <w:bCs/>
        </w:rPr>
        <w:t xml:space="preserve">                                             </w:t>
      </w:r>
      <w:r w:rsidR="00F405AB">
        <w:rPr>
          <w:rFonts w:asciiTheme="minorBidi" w:hAnsiTheme="minorBidi"/>
          <w:b/>
          <w:bCs/>
        </w:rPr>
        <w:t xml:space="preserve">  </w:t>
      </w:r>
      <w:r w:rsidRPr="00345D8C">
        <w:rPr>
          <w:rFonts w:asciiTheme="minorBidi" w:hAnsiTheme="minorBidi"/>
          <w:b/>
          <w:bCs/>
        </w:rPr>
        <w:t xml:space="preserve">Student ID: </w:t>
      </w:r>
      <w:r w:rsidRPr="008F4B46">
        <w:rPr>
          <w:rFonts w:asciiTheme="minorBidi" w:hAnsiTheme="minorBidi"/>
          <w:b/>
          <w:bCs/>
        </w:rPr>
        <w:t>240862</w:t>
      </w:r>
      <w:r w:rsidR="005D0921">
        <w:rPr>
          <w:rFonts w:asciiTheme="minorBidi" w:hAnsiTheme="minorBidi"/>
          <w:b/>
          <w:bCs/>
        </w:rPr>
        <w:t>1</w:t>
      </w:r>
    </w:p>
    <w:p w14:paraId="7DE8ACD5" w14:textId="6F8E212F" w:rsidR="00203BA1" w:rsidRPr="00345D8C" w:rsidRDefault="00D67247" w:rsidP="00203BA1">
      <w:pPr>
        <w:rPr>
          <w:rFonts w:asciiTheme="minorBidi" w:hAnsiTheme="minorBidi"/>
          <w:b/>
          <w:bCs/>
        </w:rPr>
      </w:pPr>
      <w:r>
        <w:rPr>
          <w:rFonts w:asciiTheme="minorBidi" w:hAnsiTheme="minorBidi"/>
          <w:b/>
          <w:bCs/>
        </w:rPr>
        <w:t xml:space="preserve">                                            </w:t>
      </w:r>
      <w:r w:rsidR="00F405AB">
        <w:rPr>
          <w:rFonts w:asciiTheme="minorBidi" w:hAnsiTheme="minorBidi"/>
          <w:b/>
          <w:bCs/>
        </w:rPr>
        <w:t xml:space="preserve">    </w:t>
      </w:r>
      <w:r>
        <w:rPr>
          <w:rFonts w:asciiTheme="minorBidi" w:hAnsiTheme="minorBidi"/>
          <w:b/>
          <w:bCs/>
        </w:rPr>
        <w:t xml:space="preserve"> </w:t>
      </w:r>
      <w:r w:rsidR="00203BA1" w:rsidRPr="00345D8C">
        <w:rPr>
          <w:rFonts w:asciiTheme="minorBidi" w:hAnsiTheme="minorBidi"/>
          <w:b/>
          <w:bCs/>
        </w:rPr>
        <w:t xml:space="preserve">Word Count: </w:t>
      </w:r>
      <w:r w:rsidR="00072D29">
        <w:rPr>
          <w:rFonts w:asciiTheme="minorBidi" w:hAnsiTheme="minorBidi"/>
          <w:b/>
          <w:bCs/>
        </w:rPr>
        <w:t>4243</w:t>
      </w:r>
    </w:p>
    <w:p w14:paraId="171141F0" w14:textId="623B633C" w:rsidR="00E23607" w:rsidRDefault="00E23607" w:rsidP="00E23607">
      <w:pPr>
        <w:rPr>
          <w:rFonts w:asciiTheme="minorBidi" w:hAnsiTheme="minorBidi"/>
          <w:b/>
          <w:bCs/>
          <w:sz w:val="36"/>
          <w:szCs w:val="36"/>
        </w:rPr>
      </w:pPr>
    </w:p>
    <w:p w14:paraId="1033F86E" w14:textId="77777777" w:rsidR="00E23607" w:rsidRDefault="00E23607" w:rsidP="00345D8C">
      <w:pPr>
        <w:rPr>
          <w:rFonts w:asciiTheme="minorBidi" w:hAnsiTheme="minorBidi"/>
          <w:b/>
          <w:bCs/>
          <w:sz w:val="36"/>
          <w:szCs w:val="36"/>
        </w:rPr>
      </w:pPr>
    </w:p>
    <w:p w14:paraId="68F920F6" w14:textId="77777777" w:rsidR="00E23607" w:rsidRDefault="00E23607" w:rsidP="00345D8C">
      <w:pPr>
        <w:rPr>
          <w:rFonts w:asciiTheme="minorBidi" w:hAnsiTheme="minorBidi"/>
          <w:b/>
          <w:bCs/>
          <w:sz w:val="36"/>
          <w:szCs w:val="36"/>
        </w:rPr>
      </w:pPr>
    </w:p>
    <w:p w14:paraId="1776C7AF" w14:textId="77777777" w:rsidR="00E23607" w:rsidRDefault="00E23607" w:rsidP="00345D8C">
      <w:pPr>
        <w:rPr>
          <w:rFonts w:asciiTheme="minorBidi" w:hAnsiTheme="minorBidi"/>
          <w:b/>
          <w:bCs/>
          <w:sz w:val="36"/>
          <w:szCs w:val="36"/>
        </w:rPr>
      </w:pPr>
    </w:p>
    <w:p w14:paraId="587F3A83" w14:textId="77777777" w:rsidR="00E23607" w:rsidRDefault="00E23607" w:rsidP="00345D8C">
      <w:pPr>
        <w:rPr>
          <w:rFonts w:asciiTheme="minorBidi" w:hAnsiTheme="minorBidi"/>
          <w:b/>
          <w:bCs/>
          <w:sz w:val="36"/>
          <w:szCs w:val="36"/>
        </w:rPr>
      </w:pPr>
    </w:p>
    <w:p w14:paraId="76FC90FA" w14:textId="77777777" w:rsidR="00E23607" w:rsidRDefault="00E23607" w:rsidP="00345D8C">
      <w:pPr>
        <w:rPr>
          <w:rFonts w:asciiTheme="minorBidi" w:hAnsiTheme="minorBidi"/>
          <w:b/>
          <w:bCs/>
          <w:sz w:val="36"/>
          <w:szCs w:val="36"/>
        </w:rPr>
      </w:pPr>
    </w:p>
    <w:p w14:paraId="1199608F" w14:textId="77777777" w:rsidR="00EB368B" w:rsidRDefault="00EB368B" w:rsidP="00EB368B">
      <w:pPr>
        <w:rPr>
          <w:b/>
          <w:bCs/>
        </w:rPr>
      </w:pPr>
    </w:p>
    <w:p w14:paraId="38503AC2" w14:textId="77777777" w:rsidR="00EB368B" w:rsidRDefault="00EB368B" w:rsidP="00EB368B">
      <w:pPr>
        <w:rPr>
          <w:b/>
          <w:bCs/>
        </w:rPr>
      </w:pPr>
    </w:p>
    <w:sdt>
      <w:sdtPr>
        <w:rPr>
          <w:rFonts w:asciiTheme="minorHAnsi" w:eastAsiaTheme="minorHAnsi" w:hAnsiTheme="minorHAnsi" w:cstheme="minorBidi"/>
          <w:color w:val="auto"/>
          <w:kern w:val="2"/>
          <w:sz w:val="24"/>
          <w:szCs w:val="24"/>
          <w:lang w:eastAsia="en-US"/>
          <w14:ligatures w14:val="standardContextual"/>
        </w:rPr>
        <w:id w:val="-286742647"/>
        <w:docPartObj>
          <w:docPartGallery w:val="Table of Contents"/>
          <w:docPartUnique/>
        </w:docPartObj>
      </w:sdtPr>
      <w:sdtEndPr>
        <w:rPr>
          <w:b/>
          <w:bCs/>
        </w:rPr>
      </w:sdtEndPr>
      <w:sdtContent>
        <w:p w14:paraId="1C0B0B91" w14:textId="0333DB67" w:rsidR="00467910" w:rsidRDefault="00467910">
          <w:pPr>
            <w:pStyle w:val="TOCHeading"/>
          </w:pPr>
          <w:r>
            <w:t>Table of Contents</w:t>
          </w:r>
        </w:p>
        <w:p w14:paraId="07366B56" w14:textId="4415A5DE" w:rsidR="00467910" w:rsidRDefault="00467910">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24170196" w:history="1">
            <w:r w:rsidRPr="007B7825">
              <w:rPr>
                <w:rStyle w:val="Hyperlink"/>
                <w:noProof/>
              </w:rPr>
              <w:t>1.</w:t>
            </w:r>
            <w:r>
              <w:rPr>
                <w:rFonts w:eastAsiaTheme="minorEastAsia"/>
                <w:noProof/>
                <w:lang w:eastAsia="en-GB"/>
              </w:rPr>
              <w:tab/>
            </w:r>
            <w:r w:rsidRPr="007B7825">
              <w:rPr>
                <w:rStyle w:val="Hyperlink"/>
                <w:noProof/>
              </w:rPr>
              <w:t>Executive Summary:</w:t>
            </w:r>
            <w:r>
              <w:rPr>
                <w:noProof/>
                <w:webHidden/>
              </w:rPr>
              <w:tab/>
            </w:r>
            <w:r>
              <w:rPr>
                <w:noProof/>
                <w:webHidden/>
              </w:rPr>
              <w:fldChar w:fldCharType="begin"/>
            </w:r>
            <w:r>
              <w:rPr>
                <w:noProof/>
                <w:webHidden/>
              </w:rPr>
              <w:instrText xml:space="preserve"> PAGEREF _Toc224170196 \h </w:instrText>
            </w:r>
            <w:r>
              <w:rPr>
                <w:noProof/>
                <w:webHidden/>
              </w:rPr>
            </w:r>
            <w:r>
              <w:rPr>
                <w:noProof/>
                <w:webHidden/>
              </w:rPr>
              <w:fldChar w:fldCharType="separate"/>
            </w:r>
            <w:r>
              <w:rPr>
                <w:noProof/>
                <w:webHidden/>
              </w:rPr>
              <w:t>2</w:t>
            </w:r>
            <w:r>
              <w:rPr>
                <w:noProof/>
                <w:webHidden/>
              </w:rPr>
              <w:fldChar w:fldCharType="end"/>
            </w:r>
          </w:hyperlink>
        </w:p>
        <w:p w14:paraId="4DC06F33" w14:textId="3F531626" w:rsidR="00467910" w:rsidRDefault="00467910" w:rsidP="00095B06">
          <w:pPr>
            <w:pStyle w:val="TOC2"/>
            <w:tabs>
              <w:tab w:val="left" w:pos="720"/>
              <w:tab w:val="right" w:leader="dot" w:pos="9016"/>
            </w:tabs>
            <w:ind w:left="0"/>
            <w:rPr>
              <w:rFonts w:eastAsiaTheme="minorEastAsia"/>
              <w:noProof/>
              <w:lang w:eastAsia="en-GB"/>
            </w:rPr>
          </w:pPr>
          <w:hyperlink w:anchor="_Toc224170197" w:history="1">
            <w:r w:rsidRPr="007B7825">
              <w:rPr>
                <w:rStyle w:val="Hyperlink"/>
                <w:noProof/>
              </w:rPr>
              <w:t>2.</w:t>
            </w:r>
            <w:r w:rsidR="009A7ABF">
              <w:rPr>
                <w:rFonts w:eastAsiaTheme="minorEastAsia"/>
                <w:noProof/>
                <w:lang w:eastAsia="en-GB"/>
              </w:rPr>
              <w:t xml:space="preserve">       </w:t>
            </w:r>
            <w:r w:rsidRPr="007B7825">
              <w:rPr>
                <w:rStyle w:val="Hyperlink"/>
                <w:noProof/>
              </w:rPr>
              <w:t>Introduction:</w:t>
            </w:r>
            <w:r>
              <w:rPr>
                <w:noProof/>
                <w:webHidden/>
              </w:rPr>
              <w:tab/>
            </w:r>
            <w:r w:rsidR="008B74A0">
              <w:rPr>
                <w:noProof/>
                <w:webHidden/>
              </w:rPr>
              <w:t>4</w:t>
            </w:r>
          </w:hyperlink>
        </w:p>
        <w:p w14:paraId="2B8402E4" w14:textId="2CC1A7C6" w:rsidR="00807725" w:rsidRDefault="00467910" w:rsidP="00095B06">
          <w:pPr>
            <w:pStyle w:val="TOC3"/>
            <w:tabs>
              <w:tab w:val="left" w:pos="960"/>
              <w:tab w:val="right" w:leader="dot" w:pos="9016"/>
            </w:tabs>
            <w:ind w:left="0"/>
            <w:rPr>
              <w:rStyle w:val="Hyperlink"/>
              <w:noProof/>
            </w:rPr>
          </w:pPr>
          <w:hyperlink w:anchor="_Toc224170198" w:history="1">
            <w:r w:rsidRPr="007B7825">
              <w:rPr>
                <w:rStyle w:val="Hyperlink"/>
                <w:noProof/>
              </w:rPr>
              <w:t>3.</w:t>
            </w:r>
            <w:r w:rsidR="009A7ABF">
              <w:rPr>
                <w:rFonts w:eastAsiaTheme="minorEastAsia"/>
                <w:noProof/>
                <w:lang w:eastAsia="en-GB"/>
              </w:rPr>
              <w:t xml:space="preserve">      </w:t>
            </w:r>
            <w:r w:rsidRPr="007B7825">
              <w:rPr>
                <w:rStyle w:val="Hyperlink"/>
                <w:noProof/>
              </w:rPr>
              <w:t>Main Findings:</w:t>
            </w:r>
            <w:r>
              <w:rPr>
                <w:noProof/>
                <w:webHidden/>
              </w:rPr>
              <w:tab/>
            </w:r>
            <w:r w:rsidR="008B74A0">
              <w:rPr>
                <w:noProof/>
                <w:webHidden/>
              </w:rPr>
              <w:t>5</w:t>
            </w:r>
          </w:hyperlink>
        </w:p>
        <w:p w14:paraId="1A64CB7F" w14:textId="7E334CED" w:rsidR="002F7600" w:rsidRDefault="00837F23" w:rsidP="002F7600">
          <w:pPr>
            <w:pStyle w:val="Heading4"/>
            <w:spacing w:line="276" w:lineRule="auto"/>
            <w:jc w:val="both"/>
            <w:rPr>
              <w:rFonts w:asciiTheme="minorBidi" w:hAnsiTheme="minorBidi" w:cstheme="minorBidi"/>
              <w:b/>
              <w:bCs/>
              <w:i w:val="0"/>
              <w:iCs w:val="0"/>
              <w:color w:val="auto"/>
            </w:rPr>
          </w:pPr>
          <w:r>
            <w:t xml:space="preserve">        </w:t>
          </w:r>
          <w:r w:rsidRPr="009A7ABF">
            <w:rPr>
              <w:rFonts w:asciiTheme="minorBidi" w:hAnsiTheme="minorBidi" w:cstheme="minorBidi"/>
              <w:color w:val="auto"/>
            </w:rPr>
            <w:t xml:space="preserve"> </w:t>
          </w:r>
          <w:r w:rsidRPr="009A7ABF">
            <w:rPr>
              <w:rFonts w:asciiTheme="minorBidi" w:hAnsiTheme="minorBidi" w:cstheme="minorBidi"/>
              <w:i w:val="0"/>
              <w:iCs w:val="0"/>
              <w:color w:val="auto"/>
            </w:rPr>
            <w:t xml:space="preserve"> </w:t>
          </w:r>
          <w:r w:rsidRPr="009A7ABF">
            <w:rPr>
              <w:rFonts w:asciiTheme="minorBidi" w:hAnsiTheme="minorBidi" w:cstheme="minorBidi"/>
              <w:i w:val="0"/>
              <w:iCs w:val="0"/>
              <w:color w:val="auto"/>
              <w:sz w:val="22"/>
              <w:szCs w:val="22"/>
            </w:rPr>
            <w:t>3.1</w:t>
          </w:r>
          <w:r w:rsidRPr="00FD3A74">
            <w:rPr>
              <w:i w:val="0"/>
              <w:iCs w:val="0"/>
              <w:sz w:val="22"/>
              <w:szCs w:val="22"/>
            </w:rPr>
            <w:t xml:space="preserve"> </w:t>
          </w:r>
          <w:r w:rsidR="002F7600" w:rsidRPr="00FD3A74">
            <w:rPr>
              <w:rFonts w:asciiTheme="minorBidi" w:hAnsiTheme="minorBidi" w:cstheme="minorBidi"/>
              <w:i w:val="0"/>
              <w:iCs w:val="0"/>
              <w:color w:val="auto"/>
              <w:sz w:val="22"/>
              <w:szCs w:val="22"/>
            </w:rPr>
            <w:t xml:space="preserve">Stock Budget </w:t>
          </w:r>
          <w:r w:rsidR="006252DB" w:rsidRPr="00FD3A74">
            <w:rPr>
              <w:rFonts w:asciiTheme="minorBidi" w:hAnsiTheme="minorBidi" w:cstheme="minorBidi"/>
              <w:i w:val="0"/>
              <w:iCs w:val="0"/>
              <w:color w:val="auto"/>
              <w:sz w:val="22"/>
              <w:szCs w:val="22"/>
            </w:rPr>
            <w:t>Analysis</w:t>
          </w:r>
          <w:r w:rsidR="006252DB" w:rsidRPr="00A350BD">
            <w:rPr>
              <w:rFonts w:asciiTheme="minorBidi" w:hAnsiTheme="minorBidi" w:cstheme="minorBidi"/>
              <w:b/>
              <w:bCs/>
              <w:i w:val="0"/>
              <w:iCs w:val="0"/>
              <w:color w:val="auto"/>
            </w:rPr>
            <w:t>…</w:t>
          </w:r>
          <w:r w:rsidR="00FD3A74">
            <w:rPr>
              <w:rFonts w:asciiTheme="minorBidi" w:hAnsiTheme="minorBidi" w:cstheme="minorBidi"/>
              <w:b/>
              <w:bCs/>
              <w:i w:val="0"/>
              <w:iCs w:val="0"/>
              <w:color w:val="auto"/>
            </w:rPr>
            <w:t>……………………………………………………………</w:t>
          </w:r>
          <w:r w:rsidR="006252DB">
            <w:rPr>
              <w:rFonts w:asciiTheme="minorBidi" w:hAnsiTheme="minorBidi" w:cstheme="minorBidi"/>
              <w:b/>
              <w:bCs/>
              <w:i w:val="0"/>
              <w:iCs w:val="0"/>
              <w:color w:val="auto"/>
            </w:rPr>
            <w:t>.</w:t>
          </w:r>
          <w:r w:rsidR="008B74A0" w:rsidRPr="00E50FFD">
            <w:rPr>
              <w:rFonts w:asciiTheme="minorBidi" w:hAnsiTheme="minorBidi" w:cstheme="minorBidi"/>
              <w:i w:val="0"/>
              <w:iCs w:val="0"/>
              <w:color w:val="auto"/>
            </w:rPr>
            <w:t>8</w:t>
          </w:r>
        </w:p>
        <w:p w14:paraId="1A93659F" w14:textId="774A74C1" w:rsidR="004A0931" w:rsidRDefault="004A0931" w:rsidP="004A0931">
          <w:pPr>
            <w:rPr>
              <w:rFonts w:asciiTheme="minorBidi" w:hAnsiTheme="minorBidi"/>
              <w:sz w:val="22"/>
              <w:szCs w:val="22"/>
            </w:rPr>
          </w:pPr>
          <w:r>
            <w:t xml:space="preserve">         </w:t>
          </w:r>
          <w:r w:rsidRPr="004A0931">
            <w:rPr>
              <w:sz w:val="22"/>
              <w:szCs w:val="22"/>
            </w:rPr>
            <w:t xml:space="preserve"> </w:t>
          </w:r>
          <w:r w:rsidRPr="004A0931">
            <w:rPr>
              <w:rFonts w:asciiTheme="minorBidi" w:hAnsiTheme="minorBidi"/>
              <w:sz w:val="22"/>
              <w:szCs w:val="22"/>
            </w:rPr>
            <w:t>3.2 Cash Budget Analysis…</w:t>
          </w:r>
          <w:r>
            <w:rPr>
              <w:rFonts w:asciiTheme="minorBidi" w:hAnsiTheme="minorBidi"/>
              <w:sz w:val="22"/>
              <w:szCs w:val="22"/>
            </w:rPr>
            <w:t>……………………………………………………………</w:t>
          </w:r>
          <w:r w:rsidR="00D50744">
            <w:rPr>
              <w:rFonts w:asciiTheme="minorBidi" w:hAnsiTheme="minorBidi"/>
              <w:sz w:val="22"/>
              <w:szCs w:val="22"/>
            </w:rPr>
            <w:t>.</w:t>
          </w:r>
          <w:r>
            <w:rPr>
              <w:rFonts w:asciiTheme="minorBidi" w:hAnsiTheme="minorBidi"/>
              <w:sz w:val="22"/>
              <w:szCs w:val="22"/>
            </w:rPr>
            <w:t>…….</w:t>
          </w:r>
          <w:r w:rsidR="00E50FFD">
            <w:rPr>
              <w:rFonts w:asciiTheme="minorBidi" w:hAnsiTheme="minorBidi"/>
              <w:sz w:val="22"/>
              <w:szCs w:val="22"/>
            </w:rPr>
            <w:t>.9</w:t>
          </w:r>
        </w:p>
        <w:p w14:paraId="0657BE60" w14:textId="440CD76F" w:rsidR="00573817" w:rsidRDefault="00573817" w:rsidP="004A0931">
          <w:pPr>
            <w:rPr>
              <w:rFonts w:asciiTheme="minorBidi" w:hAnsiTheme="minorBidi"/>
              <w:sz w:val="22"/>
              <w:szCs w:val="22"/>
            </w:rPr>
          </w:pPr>
          <w:r>
            <w:rPr>
              <w:rFonts w:asciiTheme="minorBidi" w:hAnsiTheme="minorBidi"/>
              <w:sz w:val="22"/>
              <w:szCs w:val="22"/>
            </w:rPr>
            <w:t xml:space="preserve">   </w:t>
          </w:r>
          <w:r w:rsidRPr="00573817">
            <w:rPr>
              <w:rFonts w:asciiTheme="minorBidi" w:hAnsiTheme="minorBidi"/>
              <w:sz w:val="22"/>
              <w:szCs w:val="22"/>
            </w:rPr>
            <w:t xml:space="preserve">     3.3 Budgeted Profit and Loss Account </w:t>
          </w:r>
          <w:r w:rsidR="00D50744" w:rsidRPr="00573817">
            <w:rPr>
              <w:rFonts w:asciiTheme="minorBidi" w:hAnsiTheme="minorBidi"/>
              <w:sz w:val="22"/>
              <w:szCs w:val="22"/>
            </w:rPr>
            <w:t>Analysis…</w:t>
          </w:r>
          <w:r w:rsidR="00D50744">
            <w:rPr>
              <w:rFonts w:asciiTheme="minorBidi" w:hAnsiTheme="minorBidi"/>
              <w:sz w:val="22"/>
              <w:szCs w:val="22"/>
            </w:rPr>
            <w:t>…………………………………………</w:t>
          </w:r>
          <w:r w:rsidR="00E50FFD">
            <w:rPr>
              <w:rFonts w:asciiTheme="minorBidi" w:hAnsiTheme="minorBidi"/>
              <w:sz w:val="22"/>
              <w:szCs w:val="22"/>
            </w:rPr>
            <w:t>10</w:t>
          </w:r>
        </w:p>
        <w:p w14:paraId="695FD6E6" w14:textId="55EB1AD3" w:rsidR="00D50744" w:rsidRDefault="00D50744" w:rsidP="00D50744">
          <w:pPr>
            <w:pStyle w:val="Heading7"/>
            <w:spacing w:line="276" w:lineRule="auto"/>
            <w:jc w:val="both"/>
            <w:rPr>
              <w:rFonts w:asciiTheme="minorBidi" w:hAnsiTheme="minorBidi" w:cstheme="minorBidi"/>
              <w:color w:val="auto"/>
              <w:sz w:val="22"/>
              <w:szCs w:val="22"/>
            </w:rPr>
          </w:pPr>
          <w:r>
            <w:rPr>
              <w:rFonts w:asciiTheme="minorBidi" w:hAnsiTheme="minorBidi"/>
              <w:sz w:val="22"/>
              <w:szCs w:val="22"/>
            </w:rPr>
            <w:t xml:space="preserve">       </w:t>
          </w:r>
          <w:r w:rsidRPr="00D50744">
            <w:rPr>
              <w:rFonts w:asciiTheme="minorBidi" w:hAnsiTheme="minorBidi"/>
              <w:sz w:val="22"/>
              <w:szCs w:val="22"/>
            </w:rPr>
            <w:t xml:space="preserve"> </w:t>
          </w:r>
          <w:r w:rsidRPr="00D50744">
            <w:rPr>
              <w:rFonts w:asciiTheme="minorBidi" w:hAnsiTheme="minorBidi" w:cstheme="minorBidi"/>
              <w:color w:val="auto"/>
              <w:sz w:val="22"/>
              <w:szCs w:val="22"/>
            </w:rPr>
            <w:t xml:space="preserve">3.4 Financial Problems </w:t>
          </w:r>
          <w:r w:rsidR="003950F1" w:rsidRPr="00D50744">
            <w:rPr>
              <w:rFonts w:asciiTheme="minorBidi" w:hAnsiTheme="minorBidi" w:cstheme="minorBidi"/>
              <w:color w:val="auto"/>
              <w:sz w:val="22"/>
              <w:szCs w:val="22"/>
            </w:rPr>
            <w:t>Identified…</w:t>
          </w:r>
          <w:r>
            <w:rPr>
              <w:rFonts w:asciiTheme="minorBidi" w:hAnsiTheme="minorBidi" w:cstheme="minorBidi"/>
              <w:color w:val="auto"/>
              <w:sz w:val="22"/>
              <w:szCs w:val="22"/>
            </w:rPr>
            <w:t>…………………………………………………………</w:t>
          </w:r>
          <w:r w:rsidR="00E50FFD">
            <w:rPr>
              <w:rFonts w:asciiTheme="minorBidi" w:hAnsiTheme="minorBidi" w:cstheme="minorBidi"/>
              <w:color w:val="auto"/>
              <w:sz w:val="22"/>
              <w:szCs w:val="22"/>
            </w:rPr>
            <w:t>11</w:t>
          </w:r>
        </w:p>
        <w:p w14:paraId="498263D3" w14:textId="0CAC1A25" w:rsidR="003950F1" w:rsidRDefault="003950F1" w:rsidP="003950F1">
          <w:pPr>
            <w:pStyle w:val="Heading8"/>
            <w:spacing w:line="276" w:lineRule="auto"/>
            <w:jc w:val="both"/>
            <w:rPr>
              <w:rFonts w:asciiTheme="minorBidi" w:hAnsiTheme="minorBidi" w:cstheme="minorBidi"/>
              <w:i w:val="0"/>
              <w:iCs w:val="0"/>
              <w:sz w:val="22"/>
              <w:szCs w:val="22"/>
            </w:rPr>
          </w:pPr>
          <w:r>
            <w:t xml:space="preserve">       </w:t>
          </w:r>
          <w:r w:rsidRPr="003950F1">
            <w:rPr>
              <w:sz w:val="22"/>
              <w:szCs w:val="22"/>
            </w:rPr>
            <w:t xml:space="preserve">   </w:t>
          </w:r>
          <w:r w:rsidRPr="003950F1">
            <w:rPr>
              <w:rFonts w:asciiTheme="minorBidi" w:hAnsiTheme="minorBidi" w:cstheme="minorBidi"/>
              <w:i w:val="0"/>
              <w:iCs w:val="0"/>
              <w:sz w:val="22"/>
              <w:szCs w:val="22"/>
            </w:rPr>
            <w:t xml:space="preserve">3.5 Budgeting and Budgetary </w:t>
          </w:r>
          <w:r w:rsidR="00BE1049" w:rsidRPr="003950F1">
            <w:rPr>
              <w:rFonts w:asciiTheme="minorBidi" w:hAnsiTheme="minorBidi" w:cstheme="minorBidi"/>
              <w:i w:val="0"/>
              <w:iCs w:val="0"/>
              <w:sz w:val="22"/>
              <w:szCs w:val="22"/>
            </w:rPr>
            <w:t>Control…</w:t>
          </w:r>
          <w:r>
            <w:rPr>
              <w:rFonts w:asciiTheme="minorBidi" w:hAnsiTheme="minorBidi" w:cstheme="minorBidi"/>
              <w:i w:val="0"/>
              <w:iCs w:val="0"/>
              <w:sz w:val="22"/>
              <w:szCs w:val="22"/>
            </w:rPr>
            <w:t>…………………………………………………...</w:t>
          </w:r>
          <w:r w:rsidR="0015210D">
            <w:rPr>
              <w:rFonts w:asciiTheme="minorBidi" w:hAnsiTheme="minorBidi" w:cstheme="minorBidi"/>
              <w:i w:val="0"/>
              <w:iCs w:val="0"/>
              <w:sz w:val="22"/>
              <w:szCs w:val="22"/>
            </w:rPr>
            <w:t>1</w:t>
          </w:r>
          <w:r w:rsidR="00E60511">
            <w:rPr>
              <w:rFonts w:asciiTheme="minorBidi" w:hAnsiTheme="minorBidi" w:cstheme="minorBidi"/>
              <w:i w:val="0"/>
              <w:iCs w:val="0"/>
              <w:sz w:val="22"/>
              <w:szCs w:val="22"/>
            </w:rPr>
            <w:t>3</w:t>
          </w:r>
        </w:p>
        <w:p w14:paraId="2579E764" w14:textId="1164D5DF" w:rsidR="00BE1049" w:rsidRDefault="00BE1049" w:rsidP="00BE1049">
          <w:pPr>
            <w:rPr>
              <w:rFonts w:asciiTheme="minorBidi" w:hAnsiTheme="minorBidi"/>
              <w:sz w:val="22"/>
              <w:szCs w:val="22"/>
            </w:rPr>
          </w:pPr>
          <w:r>
            <w:t xml:space="preserve">          3.6 </w:t>
          </w:r>
          <w:r w:rsidRPr="00BE1049">
            <w:rPr>
              <w:rFonts w:asciiTheme="minorBidi" w:hAnsiTheme="minorBidi"/>
              <w:sz w:val="22"/>
              <w:szCs w:val="22"/>
            </w:rPr>
            <w:t xml:space="preserve">Behavioural Issues in </w:t>
          </w:r>
          <w:r w:rsidR="00AE2D82" w:rsidRPr="00BE1049">
            <w:rPr>
              <w:rFonts w:asciiTheme="minorBidi" w:hAnsiTheme="minorBidi"/>
              <w:sz w:val="22"/>
              <w:szCs w:val="22"/>
            </w:rPr>
            <w:t>Budgeting…</w:t>
          </w:r>
          <w:r>
            <w:rPr>
              <w:rFonts w:asciiTheme="minorBidi" w:hAnsiTheme="minorBidi"/>
              <w:sz w:val="22"/>
              <w:szCs w:val="22"/>
            </w:rPr>
            <w:t>………………</w:t>
          </w:r>
          <w:r w:rsidR="00095B06">
            <w:rPr>
              <w:rFonts w:asciiTheme="minorBidi" w:hAnsiTheme="minorBidi"/>
              <w:sz w:val="22"/>
              <w:szCs w:val="22"/>
            </w:rPr>
            <w:t>.</w:t>
          </w:r>
          <w:r>
            <w:rPr>
              <w:rFonts w:asciiTheme="minorBidi" w:hAnsiTheme="minorBidi"/>
              <w:sz w:val="22"/>
              <w:szCs w:val="22"/>
            </w:rPr>
            <w:t>……………………………………1</w:t>
          </w:r>
          <w:r w:rsidR="00E60511">
            <w:rPr>
              <w:rFonts w:asciiTheme="minorBidi" w:hAnsiTheme="minorBidi"/>
              <w:sz w:val="22"/>
              <w:szCs w:val="22"/>
            </w:rPr>
            <w:t>5</w:t>
          </w:r>
        </w:p>
        <w:p w14:paraId="4599C4F1" w14:textId="619A4C80" w:rsidR="00741024" w:rsidRDefault="00741024" w:rsidP="00BE1049">
          <w:pPr>
            <w:rPr>
              <w:rFonts w:asciiTheme="minorBidi" w:hAnsiTheme="minorBidi"/>
              <w:sz w:val="22"/>
              <w:szCs w:val="22"/>
            </w:rPr>
          </w:pPr>
          <w:r w:rsidRPr="00AE2D82">
            <w:rPr>
              <w:rFonts w:asciiTheme="minorBidi" w:hAnsiTheme="minorBidi"/>
              <w:sz w:val="22"/>
              <w:szCs w:val="22"/>
            </w:rPr>
            <w:t xml:space="preserve">        </w:t>
          </w:r>
          <w:r w:rsidR="00AE2D82" w:rsidRPr="00AE2D82">
            <w:rPr>
              <w:rFonts w:asciiTheme="minorBidi" w:hAnsiTheme="minorBidi"/>
              <w:sz w:val="22"/>
              <w:szCs w:val="22"/>
            </w:rPr>
            <w:t>3.7 Critical Evaluation of Traditional Budgeting…</w:t>
          </w:r>
          <w:r w:rsidR="00AE2D82">
            <w:rPr>
              <w:rFonts w:asciiTheme="minorBidi" w:hAnsiTheme="minorBidi"/>
              <w:sz w:val="22"/>
              <w:szCs w:val="22"/>
            </w:rPr>
            <w:t>……………………………………</w:t>
          </w:r>
          <w:r w:rsidR="00095B06">
            <w:rPr>
              <w:rFonts w:asciiTheme="minorBidi" w:hAnsiTheme="minorBidi"/>
              <w:sz w:val="22"/>
              <w:szCs w:val="22"/>
            </w:rPr>
            <w:t>…...</w:t>
          </w:r>
          <w:r w:rsidR="00AE2D82">
            <w:rPr>
              <w:rFonts w:asciiTheme="minorBidi" w:hAnsiTheme="minorBidi"/>
              <w:sz w:val="22"/>
              <w:szCs w:val="22"/>
            </w:rPr>
            <w:t>1</w:t>
          </w:r>
          <w:r w:rsidR="00887CA4">
            <w:rPr>
              <w:rFonts w:asciiTheme="minorBidi" w:hAnsiTheme="minorBidi"/>
              <w:sz w:val="22"/>
              <w:szCs w:val="22"/>
            </w:rPr>
            <w:t>6</w:t>
          </w:r>
        </w:p>
        <w:p w14:paraId="1FE9460E" w14:textId="7C4494B0" w:rsidR="00D1736A" w:rsidRDefault="00D1736A" w:rsidP="00BE1049">
          <w:pPr>
            <w:rPr>
              <w:rFonts w:asciiTheme="minorBidi" w:hAnsiTheme="minorBidi"/>
              <w:sz w:val="22"/>
              <w:szCs w:val="22"/>
            </w:rPr>
          </w:pPr>
          <w:r>
            <w:rPr>
              <w:rFonts w:asciiTheme="minorBidi" w:hAnsiTheme="minorBidi"/>
              <w:sz w:val="22"/>
              <w:szCs w:val="22"/>
            </w:rPr>
            <w:t>4</w:t>
          </w:r>
          <w:r w:rsidR="00F2745F">
            <w:rPr>
              <w:rFonts w:asciiTheme="minorBidi" w:hAnsiTheme="minorBidi"/>
              <w:sz w:val="22"/>
              <w:szCs w:val="22"/>
            </w:rPr>
            <w:t xml:space="preserve">      </w:t>
          </w:r>
          <w:r w:rsidR="001C082B">
            <w:rPr>
              <w:rFonts w:asciiTheme="minorBidi" w:hAnsiTheme="minorBidi"/>
              <w:sz w:val="22"/>
              <w:szCs w:val="22"/>
            </w:rPr>
            <w:t>Conclusion…………………………………………………………………………………….1</w:t>
          </w:r>
          <w:r w:rsidR="00887CA4">
            <w:rPr>
              <w:rFonts w:asciiTheme="minorBidi" w:hAnsiTheme="minorBidi"/>
              <w:sz w:val="22"/>
              <w:szCs w:val="22"/>
            </w:rPr>
            <w:t>8</w:t>
          </w:r>
        </w:p>
        <w:p w14:paraId="312B2F77" w14:textId="32A0FC35" w:rsidR="001C082B" w:rsidRDefault="001C082B" w:rsidP="00BE1049">
          <w:pPr>
            <w:rPr>
              <w:rFonts w:asciiTheme="minorBidi" w:hAnsiTheme="minorBidi"/>
              <w:sz w:val="22"/>
              <w:szCs w:val="22"/>
            </w:rPr>
          </w:pPr>
          <w:r>
            <w:rPr>
              <w:rFonts w:asciiTheme="minorBidi" w:hAnsiTheme="minorBidi"/>
              <w:sz w:val="22"/>
              <w:szCs w:val="22"/>
            </w:rPr>
            <w:t>5.</w:t>
          </w:r>
          <w:r w:rsidR="00504C20">
            <w:rPr>
              <w:rFonts w:asciiTheme="minorBidi" w:hAnsiTheme="minorBidi"/>
              <w:sz w:val="22"/>
              <w:szCs w:val="22"/>
            </w:rPr>
            <w:t xml:space="preserve">     </w:t>
          </w:r>
          <w:r>
            <w:rPr>
              <w:rFonts w:asciiTheme="minorBidi" w:hAnsiTheme="minorBidi"/>
              <w:sz w:val="22"/>
              <w:szCs w:val="22"/>
            </w:rPr>
            <w:t xml:space="preserve">References </w:t>
          </w:r>
          <w:r w:rsidR="00504C20">
            <w:rPr>
              <w:rFonts w:asciiTheme="minorBidi" w:hAnsiTheme="minorBidi"/>
              <w:sz w:val="22"/>
              <w:szCs w:val="22"/>
            </w:rPr>
            <w:t>list…</w:t>
          </w:r>
          <w:r w:rsidR="00E0481A">
            <w:rPr>
              <w:rFonts w:asciiTheme="minorBidi" w:hAnsiTheme="minorBidi"/>
              <w:sz w:val="22"/>
              <w:szCs w:val="22"/>
            </w:rPr>
            <w:t>.</w:t>
          </w:r>
          <w:r w:rsidR="00504C20">
            <w:rPr>
              <w:rFonts w:asciiTheme="minorBidi" w:hAnsiTheme="minorBidi"/>
              <w:sz w:val="22"/>
              <w:szCs w:val="22"/>
            </w:rPr>
            <w:t>…………………………………………………</w:t>
          </w:r>
          <w:r w:rsidR="00E0481A">
            <w:rPr>
              <w:rFonts w:asciiTheme="minorBidi" w:hAnsiTheme="minorBidi"/>
              <w:sz w:val="22"/>
              <w:szCs w:val="22"/>
            </w:rPr>
            <w:t>.</w:t>
          </w:r>
          <w:r w:rsidR="00504C20">
            <w:rPr>
              <w:rFonts w:asciiTheme="minorBidi" w:hAnsiTheme="minorBidi"/>
              <w:sz w:val="22"/>
              <w:szCs w:val="22"/>
            </w:rPr>
            <w:t>…………………………</w:t>
          </w:r>
          <w:r w:rsidR="00887CA4">
            <w:rPr>
              <w:rFonts w:asciiTheme="minorBidi" w:hAnsiTheme="minorBidi"/>
              <w:sz w:val="22"/>
              <w:szCs w:val="22"/>
            </w:rPr>
            <w:t>20</w:t>
          </w:r>
        </w:p>
        <w:p w14:paraId="7C951C84" w14:textId="77777777" w:rsidR="00504C20" w:rsidRDefault="00504C20" w:rsidP="00BE1049">
          <w:pPr>
            <w:rPr>
              <w:rFonts w:asciiTheme="minorBidi" w:hAnsiTheme="minorBidi"/>
              <w:sz w:val="22"/>
              <w:szCs w:val="22"/>
            </w:rPr>
          </w:pPr>
        </w:p>
        <w:p w14:paraId="0DD24EEF" w14:textId="77777777" w:rsidR="001C082B" w:rsidRDefault="001C082B" w:rsidP="00BE1049">
          <w:pPr>
            <w:rPr>
              <w:rFonts w:asciiTheme="minorBidi" w:hAnsiTheme="minorBidi"/>
              <w:sz w:val="22"/>
              <w:szCs w:val="22"/>
            </w:rPr>
          </w:pPr>
        </w:p>
        <w:p w14:paraId="46629FF8" w14:textId="77777777" w:rsidR="00D1736A" w:rsidRDefault="00D1736A" w:rsidP="00BE1049">
          <w:pPr>
            <w:rPr>
              <w:rFonts w:asciiTheme="minorBidi" w:hAnsiTheme="minorBidi"/>
              <w:sz w:val="22"/>
              <w:szCs w:val="22"/>
            </w:rPr>
          </w:pPr>
        </w:p>
        <w:p w14:paraId="580703AF" w14:textId="77777777" w:rsidR="00095B06" w:rsidRDefault="00095B06" w:rsidP="00BE1049">
          <w:pPr>
            <w:rPr>
              <w:rFonts w:asciiTheme="minorBidi" w:hAnsiTheme="minorBidi"/>
              <w:sz w:val="22"/>
              <w:szCs w:val="22"/>
            </w:rPr>
          </w:pPr>
        </w:p>
        <w:p w14:paraId="3B1406D1" w14:textId="77777777" w:rsidR="00AE2D82" w:rsidRPr="00AE2D82" w:rsidRDefault="00AE2D82" w:rsidP="00BE1049">
          <w:pPr>
            <w:rPr>
              <w:rFonts w:asciiTheme="minorBidi" w:hAnsiTheme="minorBidi"/>
              <w:sz w:val="22"/>
              <w:szCs w:val="22"/>
            </w:rPr>
          </w:pPr>
        </w:p>
        <w:p w14:paraId="103956DA" w14:textId="77777777" w:rsidR="00654E48" w:rsidRPr="00BE1049" w:rsidRDefault="00654E48" w:rsidP="00BE1049">
          <w:pPr>
            <w:rPr>
              <w:sz w:val="22"/>
              <w:szCs w:val="22"/>
            </w:rPr>
          </w:pPr>
        </w:p>
        <w:p w14:paraId="4D4F20C0" w14:textId="77777777" w:rsidR="0015210D" w:rsidRPr="0015210D" w:rsidRDefault="0015210D" w:rsidP="0015210D"/>
        <w:p w14:paraId="69211D99" w14:textId="2A3C6AB3" w:rsidR="003950F1" w:rsidRPr="003950F1" w:rsidRDefault="003950F1" w:rsidP="003950F1"/>
        <w:p w14:paraId="02308BD7" w14:textId="77777777" w:rsidR="00D50744" w:rsidRPr="00D50744" w:rsidRDefault="00D50744" w:rsidP="00D50744"/>
        <w:p w14:paraId="6E68CA07" w14:textId="1CC41A30" w:rsidR="00D50744" w:rsidRDefault="00D50744" w:rsidP="004A0931">
          <w:pPr>
            <w:rPr>
              <w:rFonts w:asciiTheme="minorBidi" w:hAnsiTheme="minorBidi"/>
              <w:sz w:val="22"/>
              <w:szCs w:val="22"/>
            </w:rPr>
          </w:pPr>
        </w:p>
        <w:p w14:paraId="092A9BDC" w14:textId="77777777" w:rsidR="00D50744" w:rsidRPr="00573817" w:rsidRDefault="00D50744" w:rsidP="004A0931">
          <w:pPr>
            <w:rPr>
              <w:sz w:val="22"/>
              <w:szCs w:val="22"/>
            </w:rPr>
          </w:pPr>
        </w:p>
        <w:p w14:paraId="3EA2E611" w14:textId="27DF8C86" w:rsidR="00837F23" w:rsidRPr="002F7600" w:rsidRDefault="00837F23" w:rsidP="00837F23"/>
        <w:p w14:paraId="407D2B8F" w14:textId="026FA652" w:rsidR="00807725" w:rsidRPr="00807725" w:rsidRDefault="00807725" w:rsidP="00807725"/>
        <w:p w14:paraId="6EC7685B" w14:textId="51A6B328" w:rsidR="00467910" w:rsidRDefault="00467910">
          <w:r>
            <w:rPr>
              <w:b/>
              <w:bCs/>
            </w:rPr>
            <w:fldChar w:fldCharType="end"/>
          </w:r>
        </w:p>
      </w:sdtContent>
    </w:sdt>
    <w:p w14:paraId="6753FBD1" w14:textId="77777777" w:rsidR="00EB368B" w:rsidRDefault="00EB368B" w:rsidP="00EB368B">
      <w:pPr>
        <w:rPr>
          <w:b/>
          <w:bCs/>
        </w:rPr>
      </w:pPr>
    </w:p>
    <w:p w14:paraId="6FCE17C0" w14:textId="77777777" w:rsidR="00EB368B" w:rsidRDefault="00EB368B" w:rsidP="00EB368B">
      <w:pPr>
        <w:rPr>
          <w:b/>
          <w:bCs/>
        </w:rPr>
      </w:pPr>
    </w:p>
    <w:p w14:paraId="43F712F1" w14:textId="77777777" w:rsidR="00EB368B" w:rsidRDefault="00EB368B" w:rsidP="00EB368B">
      <w:pPr>
        <w:rPr>
          <w:b/>
          <w:bCs/>
        </w:rPr>
      </w:pPr>
    </w:p>
    <w:p w14:paraId="2B36D38E" w14:textId="77777777" w:rsidR="004F33DB" w:rsidRDefault="004F33DB" w:rsidP="00EB368B">
      <w:pPr>
        <w:rPr>
          <w:b/>
          <w:bCs/>
        </w:rPr>
      </w:pPr>
    </w:p>
    <w:p w14:paraId="69472707" w14:textId="77777777" w:rsidR="00E0481A" w:rsidRDefault="00E0481A" w:rsidP="00EB368B">
      <w:pPr>
        <w:rPr>
          <w:b/>
          <w:bCs/>
        </w:rPr>
      </w:pPr>
    </w:p>
    <w:p w14:paraId="2473D67C" w14:textId="77777777" w:rsidR="00E0481A" w:rsidRDefault="00E0481A" w:rsidP="00EB368B">
      <w:pPr>
        <w:rPr>
          <w:b/>
          <w:bCs/>
        </w:rPr>
      </w:pPr>
    </w:p>
    <w:p w14:paraId="603BA1BA" w14:textId="1520401F" w:rsidR="002F5C3B" w:rsidRPr="00571440" w:rsidRDefault="002F5C3B" w:rsidP="006C0568">
      <w:pPr>
        <w:pStyle w:val="Heading1"/>
        <w:numPr>
          <w:ilvl w:val="0"/>
          <w:numId w:val="1"/>
        </w:numPr>
        <w:spacing w:line="360" w:lineRule="auto"/>
        <w:jc w:val="both"/>
        <w:rPr>
          <w:rFonts w:asciiTheme="minorBidi" w:hAnsiTheme="minorBidi" w:cstheme="minorBidi"/>
          <w:b/>
          <w:bCs/>
          <w:color w:val="auto"/>
          <w:sz w:val="24"/>
          <w:szCs w:val="24"/>
        </w:rPr>
      </w:pPr>
      <w:bookmarkStart w:id="0" w:name="_Toc224142899"/>
      <w:bookmarkStart w:id="1" w:name="_Toc224170196"/>
      <w:r w:rsidRPr="00571440">
        <w:rPr>
          <w:rFonts w:asciiTheme="minorBidi" w:hAnsiTheme="minorBidi" w:cstheme="minorBidi"/>
          <w:b/>
          <w:bCs/>
          <w:color w:val="auto"/>
          <w:sz w:val="24"/>
          <w:szCs w:val="24"/>
        </w:rPr>
        <w:t>Executive Summary</w:t>
      </w:r>
      <w:r w:rsidR="006F0D4C" w:rsidRPr="00571440">
        <w:rPr>
          <w:rFonts w:asciiTheme="minorBidi" w:hAnsiTheme="minorBidi" w:cstheme="minorBidi"/>
          <w:b/>
          <w:bCs/>
          <w:color w:val="auto"/>
          <w:sz w:val="24"/>
          <w:szCs w:val="24"/>
        </w:rPr>
        <w:t>:</w:t>
      </w:r>
      <w:bookmarkEnd w:id="0"/>
      <w:bookmarkEnd w:id="1"/>
    </w:p>
    <w:p w14:paraId="17ED2F63" w14:textId="77777777" w:rsidR="006C5FFB" w:rsidRPr="00571440" w:rsidRDefault="006C5FFB" w:rsidP="006C0568">
      <w:pPr>
        <w:spacing w:line="360" w:lineRule="auto"/>
        <w:jc w:val="both"/>
        <w:rPr>
          <w:rFonts w:asciiTheme="minorBidi" w:hAnsiTheme="minorBidi"/>
        </w:rPr>
      </w:pPr>
    </w:p>
    <w:p w14:paraId="6AB842D8"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This report examines the budgeting principles and financial planning of Silver Stitch Ltd, a retail business operating twelve clothing stores. The report focuses on three key budgeting tools: a stock budget, a cash budget and a budgeted profit and loss account for the six-month period ending 31 December. These budgets are important because they allow management to forecast performance, assess financial risk and support decision-making (Drury, 2021; Seal, Garrison and Noreen, 2018).</w:t>
      </w:r>
    </w:p>
    <w:p w14:paraId="39E95659"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The stock budget shows how inventory levels are expected to change during the period and highlights the importance of effective stock control in retail businesses. The cash budget evaluates the company’s liquidity by analysing expected cash inflows and outflows, including sales receipts, operating expenses and loan repayments. The budgeted profit and loss account estimates the company’s profitability during the period.</w:t>
      </w:r>
    </w:p>
    <w:p w14:paraId="47A2742A"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The findings suggest that although Silver Stitch Ltd is expected to remain profitable, it may still face important financial challenges. These include pressure on cash flow, increasing inventory levels and the burden of loan repayments and refurbishment costs. The report also discusses the conditions required for successful budgeting and budgetary control and considers behavioural issues that management should address when introducing or operating budgeting systems.</w:t>
      </w:r>
    </w:p>
    <w:p w14:paraId="3E4F5550"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Finally, the report critically evaluates traditional budgeting approaches and their weaknesses in a fast-changing business environment. The report concludes that while traditional budgets remain useful for planning and control, organisations may need more flexible approaches to respond effectively to changing market conditions.</w:t>
      </w:r>
    </w:p>
    <w:p w14:paraId="0488A0AD" w14:textId="52205185" w:rsidR="002F5C3B" w:rsidRPr="00571440" w:rsidRDefault="002F5C3B" w:rsidP="006C0568">
      <w:pPr>
        <w:spacing w:line="360" w:lineRule="auto"/>
        <w:jc w:val="both"/>
        <w:rPr>
          <w:rFonts w:asciiTheme="minorBidi" w:hAnsiTheme="minorBidi"/>
        </w:rPr>
      </w:pPr>
    </w:p>
    <w:p w14:paraId="67BEECAF" w14:textId="77777777" w:rsidR="006F0D4C" w:rsidRPr="00571440" w:rsidRDefault="006F0D4C" w:rsidP="006C0568">
      <w:pPr>
        <w:spacing w:line="360" w:lineRule="auto"/>
        <w:jc w:val="both"/>
        <w:rPr>
          <w:rFonts w:asciiTheme="minorBidi" w:hAnsiTheme="minorBidi"/>
        </w:rPr>
      </w:pPr>
    </w:p>
    <w:p w14:paraId="6D716812" w14:textId="77777777" w:rsidR="00A27436" w:rsidRPr="00571440" w:rsidRDefault="00A27436" w:rsidP="006C0568">
      <w:pPr>
        <w:spacing w:line="360" w:lineRule="auto"/>
        <w:jc w:val="both"/>
        <w:rPr>
          <w:rFonts w:asciiTheme="minorBidi" w:hAnsiTheme="minorBidi"/>
        </w:rPr>
      </w:pPr>
    </w:p>
    <w:p w14:paraId="09956459" w14:textId="77777777" w:rsidR="00A27436" w:rsidRPr="00571440" w:rsidRDefault="00A27436" w:rsidP="006C0568">
      <w:pPr>
        <w:spacing w:line="360" w:lineRule="auto"/>
        <w:jc w:val="both"/>
        <w:rPr>
          <w:rFonts w:asciiTheme="minorBidi" w:hAnsiTheme="minorBidi"/>
        </w:rPr>
      </w:pPr>
    </w:p>
    <w:p w14:paraId="0888D2AF" w14:textId="52EAAD0C" w:rsidR="002F5C3B" w:rsidRPr="00571440" w:rsidRDefault="002F5C3B" w:rsidP="006C0568">
      <w:pPr>
        <w:pStyle w:val="Heading2"/>
        <w:numPr>
          <w:ilvl w:val="0"/>
          <w:numId w:val="1"/>
        </w:numPr>
        <w:spacing w:line="360" w:lineRule="auto"/>
        <w:jc w:val="both"/>
        <w:rPr>
          <w:rFonts w:asciiTheme="minorBidi" w:hAnsiTheme="minorBidi" w:cstheme="minorBidi"/>
          <w:b/>
          <w:bCs/>
          <w:color w:val="auto"/>
          <w:sz w:val="24"/>
          <w:szCs w:val="24"/>
        </w:rPr>
      </w:pPr>
      <w:bookmarkStart w:id="2" w:name="_Toc224142900"/>
      <w:bookmarkStart w:id="3" w:name="_Toc224170197"/>
      <w:r w:rsidRPr="00571440">
        <w:rPr>
          <w:rFonts w:asciiTheme="minorBidi" w:hAnsiTheme="minorBidi" w:cstheme="minorBidi"/>
          <w:b/>
          <w:bCs/>
          <w:color w:val="auto"/>
          <w:sz w:val="24"/>
          <w:szCs w:val="24"/>
        </w:rPr>
        <w:t>Introduction</w:t>
      </w:r>
      <w:r w:rsidR="006F0D4C" w:rsidRPr="00571440">
        <w:rPr>
          <w:rFonts w:asciiTheme="minorBidi" w:hAnsiTheme="minorBidi" w:cstheme="minorBidi"/>
          <w:b/>
          <w:bCs/>
          <w:color w:val="auto"/>
          <w:sz w:val="24"/>
          <w:szCs w:val="24"/>
        </w:rPr>
        <w:t>:</w:t>
      </w:r>
      <w:bookmarkEnd w:id="2"/>
      <w:bookmarkEnd w:id="3"/>
    </w:p>
    <w:p w14:paraId="2771E5E5" w14:textId="77777777" w:rsidR="006C5FFB" w:rsidRPr="00571440" w:rsidRDefault="006C5FFB" w:rsidP="006C0568">
      <w:pPr>
        <w:spacing w:line="360" w:lineRule="auto"/>
        <w:jc w:val="both"/>
        <w:rPr>
          <w:rFonts w:asciiTheme="minorBidi" w:hAnsiTheme="minorBidi"/>
        </w:rPr>
      </w:pPr>
    </w:p>
    <w:p w14:paraId="02E36319" w14:textId="77777777" w:rsidR="001C4377" w:rsidRPr="001C4377" w:rsidRDefault="001C4377" w:rsidP="006C0568">
      <w:pPr>
        <w:spacing w:line="360" w:lineRule="auto"/>
        <w:jc w:val="both"/>
        <w:rPr>
          <w:rFonts w:asciiTheme="minorBidi" w:hAnsiTheme="minorBidi"/>
        </w:rPr>
      </w:pPr>
      <w:r w:rsidRPr="001C4377">
        <w:rPr>
          <w:rFonts w:asciiTheme="minorBidi" w:hAnsiTheme="minorBidi"/>
        </w:rPr>
        <w:t>Budgeting plays a central role in financial management and is widely used by organisations to plan and control their financial activities. A budget can be understood as a financial plan for a future period that sets out expected revenues and expenditures. Through budgeting, organisations are able to forecast financial performance, allocate resources effectively and evaluate progress towards organisational objectives.</w:t>
      </w:r>
    </w:p>
    <w:p w14:paraId="685D78C4" w14:textId="77777777" w:rsidR="001C4377" w:rsidRPr="001C4377" w:rsidRDefault="001C4377" w:rsidP="006C0568">
      <w:pPr>
        <w:spacing w:line="360" w:lineRule="auto"/>
        <w:jc w:val="both"/>
        <w:rPr>
          <w:rFonts w:asciiTheme="minorBidi" w:hAnsiTheme="minorBidi"/>
        </w:rPr>
      </w:pPr>
      <w:r w:rsidRPr="001C4377">
        <w:rPr>
          <w:rFonts w:asciiTheme="minorBidi" w:hAnsiTheme="minorBidi"/>
        </w:rPr>
        <w:t>In modern organisations, budgeting forms an essential part of management accounting. Management accounting provides internal financial information that supports planning, decision-making and performance evaluation. Unlike financial accounting, which mainly focuses on reporting historical results for external stakeholders, management accounting is forward-looking and supports internal management decisions. This makes budgeting particularly important in competitive sectors such as retail, where businesses must carefully manage stock levels, operating costs and cash flow.</w:t>
      </w:r>
    </w:p>
    <w:p w14:paraId="64EEEA5E" w14:textId="77777777" w:rsidR="001C4377" w:rsidRPr="001C4377" w:rsidRDefault="001C4377" w:rsidP="006C0568">
      <w:pPr>
        <w:spacing w:line="360" w:lineRule="auto"/>
        <w:jc w:val="both"/>
        <w:rPr>
          <w:rFonts w:asciiTheme="minorBidi" w:hAnsiTheme="minorBidi"/>
        </w:rPr>
      </w:pPr>
      <w:r w:rsidRPr="001C4377">
        <w:rPr>
          <w:rFonts w:asciiTheme="minorBidi" w:hAnsiTheme="minorBidi"/>
        </w:rPr>
        <w:t>Silver Stitch Ltd operates a chain of twelve retail stores selling premium casual clothing. At the beginning of June, the company had an overdraft of £30,000 and the bank required this overdraft to be eliminated by the end of December. As a result, careful financial planning is required to ensure that the company remains financially stable while continuing its operations.</w:t>
      </w:r>
    </w:p>
    <w:p w14:paraId="3CA20FF6" w14:textId="77777777" w:rsidR="001C4377" w:rsidRPr="001C4377" w:rsidRDefault="001C4377" w:rsidP="006C0568">
      <w:pPr>
        <w:spacing w:line="360" w:lineRule="auto"/>
        <w:jc w:val="both"/>
        <w:rPr>
          <w:rFonts w:asciiTheme="minorBidi" w:hAnsiTheme="minorBidi"/>
        </w:rPr>
      </w:pPr>
      <w:r w:rsidRPr="001C4377">
        <w:rPr>
          <w:rFonts w:asciiTheme="minorBidi" w:hAnsiTheme="minorBidi"/>
        </w:rPr>
        <w:t>This report analyses the financial position of Silver Stitch Ltd by preparing a stock budget, a cash budget and a budgeted profit and loss account for the six-month period ending 31 December. It then evaluates the financial problems identified within the budgets and discusses the principles of budgeting and budgetary control. Finally, the report critically evaluates traditional budgeting approaches and considers their effectiveness within a modern business environment.</w:t>
      </w:r>
    </w:p>
    <w:p w14:paraId="2F388EBA" w14:textId="77777777" w:rsidR="006F0D4C" w:rsidRPr="00571440" w:rsidRDefault="006F0D4C" w:rsidP="006C0568">
      <w:pPr>
        <w:spacing w:line="360" w:lineRule="auto"/>
        <w:jc w:val="both"/>
        <w:rPr>
          <w:rFonts w:asciiTheme="minorBidi" w:hAnsiTheme="minorBidi"/>
        </w:rPr>
      </w:pPr>
    </w:p>
    <w:p w14:paraId="22122980" w14:textId="77777777" w:rsidR="006F0D4C" w:rsidRPr="00571440" w:rsidRDefault="006F0D4C" w:rsidP="006C0568">
      <w:pPr>
        <w:spacing w:line="360" w:lineRule="auto"/>
        <w:jc w:val="both"/>
        <w:rPr>
          <w:rFonts w:asciiTheme="minorBidi" w:hAnsiTheme="minorBidi"/>
        </w:rPr>
      </w:pPr>
    </w:p>
    <w:p w14:paraId="575B1722" w14:textId="38D9C381" w:rsidR="002F5C3B" w:rsidRPr="00571440" w:rsidRDefault="002F5C3B" w:rsidP="006C0568">
      <w:pPr>
        <w:pStyle w:val="Heading3"/>
        <w:numPr>
          <w:ilvl w:val="0"/>
          <w:numId w:val="1"/>
        </w:numPr>
        <w:spacing w:line="360" w:lineRule="auto"/>
        <w:jc w:val="both"/>
        <w:rPr>
          <w:rFonts w:asciiTheme="minorBidi" w:hAnsiTheme="minorBidi" w:cstheme="minorBidi"/>
          <w:b/>
          <w:bCs/>
          <w:color w:val="auto"/>
          <w:sz w:val="24"/>
          <w:szCs w:val="24"/>
        </w:rPr>
      </w:pPr>
      <w:bookmarkStart w:id="4" w:name="_Toc224142901"/>
      <w:bookmarkStart w:id="5" w:name="_Toc224170198"/>
      <w:r w:rsidRPr="00571440">
        <w:rPr>
          <w:rFonts w:asciiTheme="minorBidi" w:hAnsiTheme="minorBidi" w:cstheme="minorBidi"/>
          <w:b/>
          <w:bCs/>
          <w:color w:val="auto"/>
          <w:sz w:val="24"/>
          <w:szCs w:val="24"/>
        </w:rPr>
        <w:lastRenderedPageBreak/>
        <w:t>Main Findings</w:t>
      </w:r>
      <w:r w:rsidR="006F0D4C" w:rsidRPr="00571440">
        <w:rPr>
          <w:rFonts w:asciiTheme="minorBidi" w:hAnsiTheme="minorBidi" w:cstheme="minorBidi"/>
          <w:b/>
          <w:bCs/>
          <w:color w:val="auto"/>
          <w:sz w:val="24"/>
          <w:szCs w:val="24"/>
        </w:rPr>
        <w:t>:</w:t>
      </w:r>
      <w:bookmarkEnd w:id="4"/>
      <w:bookmarkEnd w:id="5"/>
    </w:p>
    <w:p w14:paraId="5C56E4D1" w14:textId="77777777" w:rsidR="006C5FFB" w:rsidRPr="00571440" w:rsidRDefault="006C5FFB" w:rsidP="006C0568">
      <w:pPr>
        <w:spacing w:line="360" w:lineRule="auto"/>
        <w:jc w:val="both"/>
        <w:rPr>
          <w:rFonts w:asciiTheme="minorBidi" w:hAnsiTheme="minorBidi"/>
        </w:rPr>
      </w:pPr>
    </w:p>
    <w:p w14:paraId="5C93459F"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This section presents the financial forecasts for Silver Stitch Ltd for the six-month period ending 31 December. Three budgeting tools are used to assess the company’s expected financial performance: the stock budget, the cash budget and the budgeted profit and loss account. Together, these budgets help management evaluate expected income, expenditure, profitability and liquidity.</w:t>
      </w:r>
    </w:p>
    <w:p w14:paraId="18E2CF8A"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Budgets are a key part of management accounting because they translate business plans into measurable financial targets. They also allow managers to compare expected performance with actual results and take corrective action where necessary (Drury, 2021; Garrison, Noreen and Brewer, 2021). In this way, budgeting supports both planning and control.</w:t>
      </w:r>
    </w:p>
    <w:p w14:paraId="3F1F89D9" w14:textId="77777777" w:rsidR="00B743EC" w:rsidRPr="00571440" w:rsidRDefault="00B743EC" w:rsidP="006C0568">
      <w:pPr>
        <w:spacing w:line="360" w:lineRule="auto"/>
        <w:jc w:val="both"/>
        <w:rPr>
          <w:rFonts w:asciiTheme="minorBidi" w:hAnsiTheme="minorBidi"/>
        </w:rPr>
      </w:pPr>
    </w:p>
    <w:p w14:paraId="45E1EAA1" w14:textId="77777777" w:rsidR="00B743EC" w:rsidRPr="00571440" w:rsidRDefault="00B743EC" w:rsidP="006C0568">
      <w:pPr>
        <w:spacing w:line="360" w:lineRule="auto"/>
        <w:jc w:val="both"/>
        <w:rPr>
          <w:rFonts w:asciiTheme="minorBidi" w:hAnsiTheme="minorBidi"/>
        </w:rPr>
      </w:pPr>
    </w:p>
    <w:p w14:paraId="7314A7A9" w14:textId="77777777" w:rsidR="0055323A" w:rsidRPr="00571440" w:rsidRDefault="0008732B" w:rsidP="006C0568">
      <w:pPr>
        <w:spacing w:line="360" w:lineRule="auto"/>
        <w:jc w:val="both"/>
        <w:rPr>
          <w:rFonts w:asciiTheme="minorBidi" w:hAnsiTheme="minorBidi"/>
          <w:b/>
          <w:bCs/>
        </w:rPr>
      </w:pPr>
      <w:r w:rsidRPr="00571440">
        <w:rPr>
          <w:rFonts w:asciiTheme="minorBidi" w:hAnsiTheme="minorBidi"/>
          <w:b/>
          <w:bCs/>
        </w:rPr>
        <w:t xml:space="preserve"> </w:t>
      </w:r>
    </w:p>
    <w:p w14:paraId="5C73BEDC" w14:textId="77777777" w:rsidR="0055323A" w:rsidRPr="00571440" w:rsidRDefault="0055323A" w:rsidP="006C0568">
      <w:pPr>
        <w:spacing w:line="360" w:lineRule="auto"/>
        <w:jc w:val="both"/>
        <w:rPr>
          <w:rFonts w:asciiTheme="minorBidi" w:hAnsiTheme="minorBidi"/>
          <w:b/>
          <w:bCs/>
        </w:rPr>
      </w:pPr>
    </w:p>
    <w:p w14:paraId="5ED51795" w14:textId="7A71025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The stock budget for the six months to 31 December is: </w:t>
      </w:r>
    </w:p>
    <w:tbl>
      <w:tblPr>
        <w:tblW w:w="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685"/>
        <w:gridCol w:w="1125"/>
        <w:gridCol w:w="1125"/>
        <w:gridCol w:w="1125"/>
        <w:gridCol w:w="990"/>
        <w:gridCol w:w="990"/>
        <w:gridCol w:w="930"/>
      </w:tblGrid>
      <w:tr w:rsidR="008C1C27" w:rsidRPr="00571440" w14:paraId="4888E439"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2FF6A7B1"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c>
          <w:tcPr>
            <w:tcW w:w="1125" w:type="dxa"/>
            <w:tcBorders>
              <w:top w:val="single" w:sz="6" w:space="0" w:color="auto"/>
              <w:left w:val="single" w:sz="6" w:space="0" w:color="auto"/>
              <w:bottom w:val="single" w:sz="6" w:space="0" w:color="auto"/>
              <w:right w:val="single" w:sz="6" w:space="0" w:color="auto"/>
            </w:tcBorders>
            <w:hideMark/>
          </w:tcPr>
          <w:p w14:paraId="248BEEBE"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July </w:t>
            </w:r>
          </w:p>
        </w:tc>
        <w:tc>
          <w:tcPr>
            <w:tcW w:w="1125" w:type="dxa"/>
            <w:tcBorders>
              <w:top w:val="single" w:sz="6" w:space="0" w:color="auto"/>
              <w:left w:val="single" w:sz="6" w:space="0" w:color="auto"/>
              <w:bottom w:val="single" w:sz="6" w:space="0" w:color="auto"/>
              <w:right w:val="single" w:sz="6" w:space="0" w:color="auto"/>
            </w:tcBorders>
            <w:hideMark/>
          </w:tcPr>
          <w:p w14:paraId="2752C6C4"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Aug </w:t>
            </w:r>
          </w:p>
        </w:tc>
        <w:tc>
          <w:tcPr>
            <w:tcW w:w="1125" w:type="dxa"/>
            <w:tcBorders>
              <w:top w:val="single" w:sz="6" w:space="0" w:color="auto"/>
              <w:left w:val="single" w:sz="6" w:space="0" w:color="auto"/>
              <w:bottom w:val="single" w:sz="6" w:space="0" w:color="auto"/>
              <w:right w:val="single" w:sz="6" w:space="0" w:color="auto"/>
            </w:tcBorders>
            <w:hideMark/>
          </w:tcPr>
          <w:p w14:paraId="2DA01B94"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Sept </w:t>
            </w:r>
          </w:p>
        </w:tc>
        <w:tc>
          <w:tcPr>
            <w:tcW w:w="990" w:type="dxa"/>
            <w:tcBorders>
              <w:top w:val="single" w:sz="6" w:space="0" w:color="auto"/>
              <w:left w:val="single" w:sz="6" w:space="0" w:color="auto"/>
              <w:bottom w:val="single" w:sz="6" w:space="0" w:color="auto"/>
              <w:right w:val="single" w:sz="6" w:space="0" w:color="auto"/>
            </w:tcBorders>
            <w:hideMark/>
          </w:tcPr>
          <w:p w14:paraId="724ED674"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Oct </w:t>
            </w:r>
          </w:p>
        </w:tc>
        <w:tc>
          <w:tcPr>
            <w:tcW w:w="990" w:type="dxa"/>
            <w:tcBorders>
              <w:top w:val="single" w:sz="6" w:space="0" w:color="auto"/>
              <w:left w:val="single" w:sz="6" w:space="0" w:color="auto"/>
              <w:bottom w:val="single" w:sz="6" w:space="0" w:color="auto"/>
              <w:right w:val="single" w:sz="6" w:space="0" w:color="auto"/>
            </w:tcBorders>
            <w:hideMark/>
          </w:tcPr>
          <w:p w14:paraId="55860A3D"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Nov </w:t>
            </w:r>
          </w:p>
        </w:tc>
        <w:tc>
          <w:tcPr>
            <w:tcW w:w="930" w:type="dxa"/>
            <w:tcBorders>
              <w:top w:val="single" w:sz="6" w:space="0" w:color="auto"/>
              <w:left w:val="single" w:sz="6" w:space="0" w:color="auto"/>
              <w:bottom w:val="single" w:sz="6" w:space="0" w:color="auto"/>
              <w:right w:val="single" w:sz="6" w:space="0" w:color="auto"/>
            </w:tcBorders>
            <w:hideMark/>
          </w:tcPr>
          <w:p w14:paraId="1243A7CB"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Dec </w:t>
            </w:r>
          </w:p>
        </w:tc>
      </w:tr>
      <w:tr w:rsidR="008C1C27" w:rsidRPr="00571440" w14:paraId="38072686"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46A83181"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c>
          <w:tcPr>
            <w:tcW w:w="1125" w:type="dxa"/>
            <w:tcBorders>
              <w:top w:val="single" w:sz="6" w:space="0" w:color="auto"/>
              <w:left w:val="single" w:sz="6" w:space="0" w:color="auto"/>
              <w:bottom w:val="single" w:sz="6" w:space="0" w:color="auto"/>
              <w:right w:val="single" w:sz="6" w:space="0" w:color="auto"/>
            </w:tcBorders>
            <w:hideMark/>
          </w:tcPr>
          <w:p w14:paraId="3D7FF0B0"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£000 </w:t>
            </w:r>
          </w:p>
        </w:tc>
        <w:tc>
          <w:tcPr>
            <w:tcW w:w="1125" w:type="dxa"/>
            <w:tcBorders>
              <w:top w:val="single" w:sz="6" w:space="0" w:color="auto"/>
              <w:left w:val="single" w:sz="6" w:space="0" w:color="auto"/>
              <w:bottom w:val="single" w:sz="6" w:space="0" w:color="auto"/>
              <w:right w:val="single" w:sz="6" w:space="0" w:color="auto"/>
            </w:tcBorders>
            <w:hideMark/>
          </w:tcPr>
          <w:p w14:paraId="70416D12"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£000 </w:t>
            </w:r>
          </w:p>
        </w:tc>
        <w:tc>
          <w:tcPr>
            <w:tcW w:w="1125" w:type="dxa"/>
            <w:tcBorders>
              <w:top w:val="single" w:sz="6" w:space="0" w:color="auto"/>
              <w:left w:val="single" w:sz="6" w:space="0" w:color="auto"/>
              <w:bottom w:val="single" w:sz="6" w:space="0" w:color="auto"/>
              <w:right w:val="single" w:sz="6" w:space="0" w:color="auto"/>
            </w:tcBorders>
            <w:hideMark/>
          </w:tcPr>
          <w:p w14:paraId="19024347"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£000 </w:t>
            </w:r>
          </w:p>
        </w:tc>
        <w:tc>
          <w:tcPr>
            <w:tcW w:w="990" w:type="dxa"/>
            <w:tcBorders>
              <w:top w:val="single" w:sz="6" w:space="0" w:color="auto"/>
              <w:left w:val="single" w:sz="6" w:space="0" w:color="auto"/>
              <w:bottom w:val="single" w:sz="6" w:space="0" w:color="auto"/>
              <w:right w:val="single" w:sz="6" w:space="0" w:color="auto"/>
            </w:tcBorders>
            <w:hideMark/>
          </w:tcPr>
          <w:p w14:paraId="06DBB876"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£000 </w:t>
            </w:r>
          </w:p>
        </w:tc>
        <w:tc>
          <w:tcPr>
            <w:tcW w:w="990" w:type="dxa"/>
            <w:tcBorders>
              <w:top w:val="single" w:sz="6" w:space="0" w:color="auto"/>
              <w:left w:val="single" w:sz="6" w:space="0" w:color="auto"/>
              <w:bottom w:val="single" w:sz="6" w:space="0" w:color="auto"/>
              <w:right w:val="single" w:sz="6" w:space="0" w:color="auto"/>
            </w:tcBorders>
            <w:hideMark/>
          </w:tcPr>
          <w:p w14:paraId="36404D27"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£000 </w:t>
            </w:r>
          </w:p>
        </w:tc>
        <w:tc>
          <w:tcPr>
            <w:tcW w:w="930" w:type="dxa"/>
            <w:tcBorders>
              <w:top w:val="single" w:sz="6" w:space="0" w:color="auto"/>
              <w:left w:val="single" w:sz="6" w:space="0" w:color="auto"/>
              <w:bottom w:val="single" w:sz="6" w:space="0" w:color="auto"/>
              <w:right w:val="single" w:sz="6" w:space="0" w:color="auto"/>
            </w:tcBorders>
            <w:hideMark/>
          </w:tcPr>
          <w:p w14:paraId="5BDC932E"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£000 </w:t>
            </w:r>
          </w:p>
        </w:tc>
      </w:tr>
      <w:tr w:rsidR="008C1C27" w:rsidRPr="00571440" w14:paraId="1698BCCA"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055DC238"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Opening balance  </w:t>
            </w:r>
          </w:p>
        </w:tc>
        <w:tc>
          <w:tcPr>
            <w:tcW w:w="1125" w:type="dxa"/>
            <w:tcBorders>
              <w:top w:val="single" w:sz="6" w:space="0" w:color="auto"/>
              <w:left w:val="single" w:sz="6" w:space="0" w:color="auto"/>
              <w:bottom w:val="single" w:sz="6" w:space="0" w:color="auto"/>
              <w:right w:val="single" w:sz="6" w:space="0" w:color="auto"/>
            </w:tcBorders>
            <w:hideMark/>
          </w:tcPr>
          <w:p w14:paraId="78F08228"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100 </w:t>
            </w:r>
          </w:p>
        </w:tc>
        <w:tc>
          <w:tcPr>
            <w:tcW w:w="1125" w:type="dxa"/>
            <w:tcBorders>
              <w:top w:val="single" w:sz="6" w:space="0" w:color="auto"/>
              <w:left w:val="single" w:sz="6" w:space="0" w:color="auto"/>
              <w:bottom w:val="single" w:sz="6" w:space="0" w:color="auto"/>
              <w:right w:val="single" w:sz="6" w:space="0" w:color="auto"/>
            </w:tcBorders>
            <w:hideMark/>
          </w:tcPr>
          <w:p w14:paraId="3DBE31FE"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154 </w:t>
            </w:r>
          </w:p>
        </w:tc>
        <w:tc>
          <w:tcPr>
            <w:tcW w:w="1125" w:type="dxa"/>
            <w:tcBorders>
              <w:top w:val="single" w:sz="6" w:space="0" w:color="auto"/>
              <w:left w:val="single" w:sz="6" w:space="0" w:color="auto"/>
              <w:bottom w:val="single" w:sz="6" w:space="0" w:color="auto"/>
              <w:right w:val="single" w:sz="6" w:space="0" w:color="auto"/>
            </w:tcBorders>
            <w:hideMark/>
          </w:tcPr>
          <w:p w14:paraId="4490A1AF"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186 </w:t>
            </w:r>
          </w:p>
        </w:tc>
        <w:tc>
          <w:tcPr>
            <w:tcW w:w="990" w:type="dxa"/>
            <w:tcBorders>
              <w:top w:val="single" w:sz="6" w:space="0" w:color="auto"/>
              <w:left w:val="single" w:sz="6" w:space="0" w:color="auto"/>
              <w:bottom w:val="single" w:sz="6" w:space="0" w:color="auto"/>
              <w:right w:val="single" w:sz="6" w:space="0" w:color="auto"/>
            </w:tcBorders>
            <w:hideMark/>
          </w:tcPr>
          <w:p w14:paraId="7B978A31"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230 </w:t>
            </w:r>
          </w:p>
        </w:tc>
        <w:tc>
          <w:tcPr>
            <w:tcW w:w="990" w:type="dxa"/>
            <w:tcBorders>
              <w:top w:val="single" w:sz="6" w:space="0" w:color="auto"/>
              <w:left w:val="single" w:sz="6" w:space="0" w:color="auto"/>
              <w:bottom w:val="single" w:sz="6" w:space="0" w:color="auto"/>
              <w:right w:val="single" w:sz="6" w:space="0" w:color="auto"/>
            </w:tcBorders>
            <w:hideMark/>
          </w:tcPr>
          <w:p w14:paraId="7F9D6EE9"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296 </w:t>
            </w:r>
          </w:p>
        </w:tc>
        <w:tc>
          <w:tcPr>
            <w:tcW w:w="930" w:type="dxa"/>
            <w:tcBorders>
              <w:top w:val="single" w:sz="6" w:space="0" w:color="auto"/>
              <w:left w:val="single" w:sz="6" w:space="0" w:color="auto"/>
              <w:bottom w:val="single" w:sz="6" w:space="0" w:color="auto"/>
              <w:right w:val="single" w:sz="6" w:space="0" w:color="auto"/>
            </w:tcBorders>
            <w:hideMark/>
          </w:tcPr>
          <w:p w14:paraId="55B4DD40"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336 </w:t>
            </w:r>
          </w:p>
        </w:tc>
      </w:tr>
      <w:tr w:rsidR="008C1C27" w:rsidRPr="00571440" w14:paraId="1FD73269"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7C8F515E"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Stock purchased </w:t>
            </w:r>
          </w:p>
        </w:tc>
        <w:tc>
          <w:tcPr>
            <w:tcW w:w="1125" w:type="dxa"/>
            <w:tcBorders>
              <w:top w:val="single" w:sz="6" w:space="0" w:color="auto"/>
              <w:left w:val="single" w:sz="6" w:space="0" w:color="auto"/>
              <w:bottom w:val="single" w:sz="6" w:space="0" w:color="auto"/>
              <w:right w:val="single" w:sz="6" w:space="0" w:color="auto"/>
            </w:tcBorders>
            <w:hideMark/>
          </w:tcPr>
          <w:p w14:paraId="21318800"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180 </w:t>
            </w:r>
          </w:p>
        </w:tc>
        <w:tc>
          <w:tcPr>
            <w:tcW w:w="1125" w:type="dxa"/>
            <w:tcBorders>
              <w:top w:val="single" w:sz="6" w:space="0" w:color="auto"/>
              <w:left w:val="single" w:sz="6" w:space="0" w:color="auto"/>
              <w:bottom w:val="single" w:sz="6" w:space="0" w:color="auto"/>
              <w:right w:val="single" w:sz="6" w:space="0" w:color="auto"/>
            </w:tcBorders>
            <w:hideMark/>
          </w:tcPr>
          <w:p w14:paraId="043B1D6E"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170 </w:t>
            </w:r>
          </w:p>
        </w:tc>
        <w:tc>
          <w:tcPr>
            <w:tcW w:w="1125" w:type="dxa"/>
            <w:tcBorders>
              <w:top w:val="single" w:sz="6" w:space="0" w:color="auto"/>
              <w:left w:val="single" w:sz="6" w:space="0" w:color="auto"/>
              <w:bottom w:val="single" w:sz="6" w:space="0" w:color="auto"/>
              <w:right w:val="single" w:sz="6" w:space="0" w:color="auto"/>
            </w:tcBorders>
            <w:hideMark/>
          </w:tcPr>
          <w:p w14:paraId="6AE4A5A1"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200 </w:t>
            </w:r>
          </w:p>
        </w:tc>
        <w:tc>
          <w:tcPr>
            <w:tcW w:w="990" w:type="dxa"/>
            <w:tcBorders>
              <w:top w:val="single" w:sz="6" w:space="0" w:color="auto"/>
              <w:left w:val="single" w:sz="6" w:space="0" w:color="auto"/>
              <w:bottom w:val="single" w:sz="6" w:space="0" w:color="auto"/>
              <w:right w:val="single" w:sz="6" w:space="0" w:color="auto"/>
            </w:tcBorders>
            <w:hideMark/>
          </w:tcPr>
          <w:p w14:paraId="60B2F2D2"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210 </w:t>
            </w:r>
          </w:p>
        </w:tc>
        <w:tc>
          <w:tcPr>
            <w:tcW w:w="990" w:type="dxa"/>
            <w:tcBorders>
              <w:top w:val="single" w:sz="6" w:space="0" w:color="auto"/>
              <w:left w:val="single" w:sz="6" w:space="0" w:color="auto"/>
              <w:bottom w:val="single" w:sz="6" w:space="0" w:color="auto"/>
              <w:right w:val="single" w:sz="6" w:space="0" w:color="auto"/>
            </w:tcBorders>
            <w:hideMark/>
          </w:tcPr>
          <w:p w14:paraId="4C1A3A54"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190 </w:t>
            </w:r>
          </w:p>
        </w:tc>
        <w:tc>
          <w:tcPr>
            <w:tcW w:w="930" w:type="dxa"/>
            <w:tcBorders>
              <w:top w:val="single" w:sz="6" w:space="0" w:color="auto"/>
              <w:left w:val="single" w:sz="6" w:space="0" w:color="auto"/>
              <w:bottom w:val="single" w:sz="6" w:space="0" w:color="auto"/>
              <w:right w:val="single" w:sz="6" w:space="0" w:color="auto"/>
            </w:tcBorders>
            <w:hideMark/>
          </w:tcPr>
          <w:p w14:paraId="253C92C4"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220 </w:t>
            </w:r>
          </w:p>
        </w:tc>
      </w:tr>
      <w:tr w:rsidR="008C1C27" w:rsidRPr="00571440" w14:paraId="1840FABB"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1DB5AB61"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c>
          <w:tcPr>
            <w:tcW w:w="1125" w:type="dxa"/>
            <w:tcBorders>
              <w:top w:val="single" w:sz="6" w:space="0" w:color="auto"/>
              <w:left w:val="single" w:sz="6" w:space="0" w:color="auto"/>
              <w:bottom w:val="single" w:sz="6" w:space="0" w:color="auto"/>
              <w:right w:val="single" w:sz="6" w:space="0" w:color="auto"/>
            </w:tcBorders>
            <w:hideMark/>
          </w:tcPr>
          <w:p w14:paraId="5D7C7BC8"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280 </w:t>
            </w:r>
          </w:p>
        </w:tc>
        <w:tc>
          <w:tcPr>
            <w:tcW w:w="1125" w:type="dxa"/>
            <w:tcBorders>
              <w:top w:val="single" w:sz="6" w:space="0" w:color="auto"/>
              <w:left w:val="single" w:sz="6" w:space="0" w:color="auto"/>
              <w:bottom w:val="single" w:sz="6" w:space="0" w:color="auto"/>
              <w:right w:val="single" w:sz="6" w:space="0" w:color="auto"/>
            </w:tcBorders>
            <w:hideMark/>
          </w:tcPr>
          <w:p w14:paraId="0BA595CE"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324 </w:t>
            </w:r>
          </w:p>
        </w:tc>
        <w:tc>
          <w:tcPr>
            <w:tcW w:w="1125" w:type="dxa"/>
            <w:tcBorders>
              <w:top w:val="single" w:sz="6" w:space="0" w:color="auto"/>
              <w:left w:val="single" w:sz="6" w:space="0" w:color="auto"/>
              <w:bottom w:val="single" w:sz="6" w:space="0" w:color="auto"/>
              <w:right w:val="single" w:sz="6" w:space="0" w:color="auto"/>
            </w:tcBorders>
            <w:hideMark/>
          </w:tcPr>
          <w:p w14:paraId="6A70B3C2"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386 </w:t>
            </w:r>
          </w:p>
        </w:tc>
        <w:tc>
          <w:tcPr>
            <w:tcW w:w="990" w:type="dxa"/>
            <w:tcBorders>
              <w:top w:val="single" w:sz="6" w:space="0" w:color="auto"/>
              <w:left w:val="single" w:sz="6" w:space="0" w:color="auto"/>
              <w:bottom w:val="single" w:sz="6" w:space="0" w:color="auto"/>
              <w:right w:val="single" w:sz="6" w:space="0" w:color="auto"/>
            </w:tcBorders>
            <w:hideMark/>
          </w:tcPr>
          <w:p w14:paraId="00AD14F6"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440 </w:t>
            </w:r>
          </w:p>
        </w:tc>
        <w:tc>
          <w:tcPr>
            <w:tcW w:w="990" w:type="dxa"/>
            <w:tcBorders>
              <w:top w:val="single" w:sz="6" w:space="0" w:color="auto"/>
              <w:left w:val="single" w:sz="6" w:space="0" w:color="auto"/>
              <w:bottom w:val="single" w:sz="6" w:space="0" w:color="auto"/>
              <w:right w:val="single" w:sz="6" w:space="0" w:color="auto"/>
            </w:tcBorders>
            <w:hideMark/>
          </w:tcPr>
          <w:p w14:paraId="0B09E209"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486 </w:t>
            </w:r>
          </w:p>
        </w:tc>
        <w:tc>
          <w:tcPr>
            <w:tcW w:w="930" w:type="dxa"/>
            <w:tcBorders>
              <w:top w:val="single" w:sz="6" w:space="0" w:color="auto"/>
              <w:left w:val="single" w:sz="6" w:space="0" w:color="auto"/>
              <w:bottom w:val="single" w:sz="6" w:space="0" w:color="auto"/>
              <w:right w:val="single" w:sz="6" w:space="0" w:color="auto"/>
            </w:tcBorders>
            <w:hideMark/>
          </w:tcPr>
          <w:p w14:paraId="15311D62"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556 </w:t>
            </w:r>
          </w:p>
        </w:tc>
      </w:tr>
      <w:tr w:rsidR="008C1C27" w:rsidRPr="00571440" w14:paraId="519BC294"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0FDF83A8"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Cost of Stock sold </w:t>
            </w:r>
          </w:p>
        </w:tc>
        <w:tc>
          <w:tcPr>
            <w:tcW w:w="1125" w:type="dxa"/>
            <w:tcBorders>
              <w:top w:val="single" w:sz="6" w:space="0" w:color="auto"/>
              <w:left w:val="single" w:sz="6" w:space="0" w:color="auto"/>
              <w:bottom w:val="single" w:sz="6" w:space="0" w:color="auto"/>
              <w:right w:val="single" w:sz="6" w:space="0" w:color="auto"/>
            </w:tcBorders>
            <w:hideMark/>
          </w:tcPr>
          <w:p w14:paraId="0CCA8A34"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c>
          <w:tcPr>
            <w:tcW w:w="1125" w:type="dxa"/>
            <w:tcBorders>
              <w:top w:val="single" w:sz="6" w:space="0" w:color="auto"/>
              <w:left w:val="single" w:sz="6" w:space="0" w:color="auto"/>
              <w:bottom w:val="single" w:sz="6" w:space="0" w:color="auto"/>
              <w:right w:val="single" w:sz="6" w:space="0" w:color="auto"/>
            </w:tcBorders>
            <w:hideMark/>
          </w:tcPr>
          <w:p w14:paraId="5124B7A2"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c>
          <w:tcPr>
            <w:tcW w:w="1125" w:type="dxa"/>
            <w:tcBorders>
              <w:top w:val="single" w:sz="6" w:space="0" w:color="auto"/>
              <w:left w:val="single" w:sz="6" w:space="0" w:color="auto"/>
              <w:bottom w:val="single" w:sz="6" w:space="0" w:color="auto"/>
              <w:right w:val="single" w:sz="6" w:space="0" w:color="auto"/>
            </w:tcBorders>
            <w:hideMark/>
          </w:tcPr>
          <w:p w14:paraId="08A58FAB"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c>
          <w:tcPr>
            <w:tcW w:w="990" w:type="dxa"/>
            <w:tcBorders>
              <w:top w:val="single" w:sz="6" w:space="0" w:color="auto"/>
              <w:left w:val="single" w:sz="6" w:space="0" w:color="auto"/>
              <w:bottom w:val="single" w:sz="6" w:space="0" w:color="auto"/>
              <w:right w:val="single" w:sz="6" w:space="0" w:color="auto"/>
            </w:tcBorders>
            <w:hideMark/>
          </w:tcPr>
          <w:p w14:paraId="52854BC4"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c>
          <w:tcPr>
            <w:tcW w:w="990" w:type="dxa"/>
            <w:tcBorders>
              <w:top w:val="single" w:sz="6" w:space="0" w:color="auto"/>
              <w:left w:val="single" w:sz="6" w:space="0" w:color="auto"/>
              <w:bottom w:val="single" w:sz="6" w:space="0" w:color="auto"/>
              <w:right w:val="single" w:sz="6" w:space="0" w:color="auto"/>
            </w:tcBorders>
            <w:hideMark/>
          </w:tcPr>
          <w:p w14:paraId="5EB88454"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c>
          <w:tcPr>
            <w:tcW w:w="930" w:type="dxa"/>
            <w:tcBorders>
              <w:top w:val="single" w:sz="6" w:space="0" w:color="auto"/>
              <w:left w:val="single" w:sz="6" w:space="0" w:color="auto"/>
              <w:bottom w:val="single" w:sz="6" w:space="0" w:color="auto"/>
              <w:right w:val="single" w:sz="6" w:space="0" w:color="auto"/>
            </w:tcBorders>
            <w:hideMark/>
          </w:tcPr>
          <w:p w14:paraId="67B97A75"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r>
      <w:tr w:rsidR="008C1C27" w:rsidRPr="00571440" w14:paraId="1DEDAC19"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5F848D11"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(60% of sales)  </w:t>
            </w:r>
          </w:p>
        </w:tc>
        <w:tc>
          <w:tcPr>
            <w:tcW w:w="1125" w:type="dxa"/>
            <w:tcBorders>
              <w:top w:val="single" w:sz="6" w:space="0" w:color="auto"/>
              <w:left w:val="single" w:sz="6" w:space="0" w:color="auto"/>
              <w:bottom w:val="single" w:sz="6" w:space="0" w:color="auto"/>
              <w:right w:val="single" w:sz="6" w:space="0" w:color="auto"/>
            </w:tcBorders>
            <w:hideMark/>
          </w:tcPr>
          <w:p w14:paraId="7B24B531"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(126) </w:t>
            </w:r>
          </w:p>
        </w:tc>
        <w:tc>
          <w:tcPr>
            <w:tcW w:w="1125" w:type="dxa"/>
            <w:tcBorders>
              <w:top w:val="single" w:sz="6" w:space="0" w:color="auto"/>
              <w:left w:val="single" w:sz="6" w:space="0" w:color="auto"/>
              <w:bottom w:val="single" w:sz="6" w:space="0" w:color="auto"/>
              <w:right w:val="single" w:sz="6" w:space="0" w:color="auto"/>
            </w:tcBorders>
            <w:hideMark/>
          </w:tcPr>
          <w:p w14:paraId="4A4807D8"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(138) </w:t>
            </w:r>
          </w:p>
        </w:tc>
        <w:tc>
          <w:tcPr>
            <w:tcW w:w="1125" w:type="dxa"/>
            <w:tcBorders>
              <w:top w:val="single" w:sz="6" w:space="0" w:color="auto"/>
              <w:left w:val="single" w:sz="6" w:space="0" w:color="auto"/>
              <w:bottom w:val="single" w:sz="6" w:space="0" w:color="auto"/>
              <w:right w:val="single" w:sz="6" w:space="0" w:color="auto"/>
            </w:tcBorders>
            <w:hideMark/>
          </w:tcPr>
          <w:p w14:paraId="4861CACD"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(156) </w:t>
            </w:r>
          </w:p>
        </w:tc>
        <w:tc>
          <w:tcPr>
            <w:tcW w:w="990" w:type="dxa"/>
            <w:tcBorders>
              <w:top w:val="single" w:sz="6" w:space="0" w:color="auto"/>
              <w:left w:val="single" w:sz="6" w:space="0" w:color="auto"/>
              <w:bottom w:val="single" w:sz="6" w:space="0" w:color="auto"/>
              <w:right w:val="single" w:sz="6" w:space="0" w:color="auto"/>
            </w:tcBorders>
            <w:hideMark/>
          </w:tcPr>
          <w:p w14:paraId="6AADF270"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(144) </w:t>
            </w:r>
          </w:p>
        </w:tc>
        <w:tc>
          <w:tcPr>
            <w:tcW w:w="990" w:type="dxa"/>
            <w:tcBorders>
              <w:top w:val="single" w:sz="6" w:space="0" w:color="auto"/>
              <w:left w:val="single" w:sz="6" w:space="0" w:color="auto"/>
              <w:bottom w:val="single" w:sz="6" w:space="0" w:color="auto"/>
              <w:right w:val="single" w:sz="6" w:space="0" w:color="auto"/>
            </w:tcBorders>
            <w:hideMark/>
          </w:tcPr>
          <w:p w14:paraId="2E3A95F8"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(150) </w:t>
            </w:r>
          </w:p>
        </w:tc>
        <w:tc>
          <w:tcPr>
            <w:tcW w:w="930" w:type="dxa"/>
            <w:tcBorders>
              <w:top w:val="single" w:sz="6" w:space="0" w:color="auto"/>
              <w:left w:val="single" w:sz="6" w:space="0" w:color="auto"/>
              <w:bottom w:val="single" w:sz="6" w:space="0" w:color="auto"/>
              <w:right w:val="single" w:sz="6" w:space="0" w:color="auto"/>
            </w:tcBorders>
            <w:hideMark/>
          </w:tcPr>
          <w:p w14:paraId="1898186C"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(168) </w:t>
            </w:r>
          </w:p>
        </w:tc>
      </w:tr>
      <w:tr w:rsidR="008C1C27" w:rsidRPr="00571440" w14:paraId="7F05B5C2"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41EFEBC9"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Closing stock </w:t>
            </w:r>
          </w:p>
        </w:tc>
        <w:tc>
          <w:tcPr>
            <w:tcW w:w="1125" w:type="dxa"/>
            <w:tcBorders>
              <w:top w:val="single" w:sz="6" w:space="0" w:color="auto"/>
              <w:left w:val="single" w:sz="6" w:space="0" w:color="auto"/>
              <w:bottom w:val="single" w:sz="6" w:space="0" w:color="auto"/>
              <w:right w:val="single" w:sz="6" w:space="0" w:color="auto"/>
            </w:tcBorders>
            <w:hideMark/>
          </w:tcPr>
          <w:p w14:paraId="2C355A68"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154 </w:t>
            </w:r>
          </w:p>
        </w:tc>
        <w:tc>
          <w:tcPr>
            <w:tcW w:w="1125" w:type="dxa"/>
            <w:tcBorders>
              <w:top w:val="single" w:sz="6" w:space="0" w:color="auto"/>
              <w:left w:val="single" w:sz="6" w:space="0" w:color="auto"/>
              <w:bottom w:val="single" w:sz="6" w:space="0" w:color="auto"/>
              <w:right w:val="single" w:sz="6" w:space="0" w:color="auto"/>
            </w:tcBorders>
            <w:hideMark/>
          </w:tcPr>
          <w:p w14:paraId="15DA2033"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186 </w:t>
            </w:r>
          </w:p>
        </w:tc>
        <w:tc>
          <w:tcPr>
            <w:tcW w:w="1125" w:type="dxa"/>
            <w:tcBorders>
              <w:top w:val="single" w:sz="6" w:space="0" w:color="auto"/>
              <w:left w:val="single" w:sz="6" w:space="0" w:color="auto"/>
              <w:bottom w:val="single" w:sz="6" w:space="0" w:color="auto"/>
              <w:right w:val="single" w:sz="6" w:space="0" w:color="auto"/>
            </w:tcBorders>
            <w:hideMark/>
          </w:tcPr>
          <w:p w14:paraId="6C1204E3"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230 </w:t>
            </w:r>
          </w:p>
        </w:tc>
        <w:tc>
          <w:tcPr>
            <w:tcW w:w="990" w:type="dxa"/>
            <w:tcBorders>
              <w:top w:val="single" w:sz="6" w:space="0" w:color="auto"/>
              <w:left w:val="single" w:sz="6" w:space="0" w:color="auto"/>
              <w:bottom w:val="single" w:sz="6" w:space="0" w:color="auto"/>
              <w:right w:val="single" w:sz="6" w:space="0" w:color="auto"/>
            </w:tcBorders>
            <w:hideMark/>
          </w:tcPr>
          <w:p w14:paraId="0A5279CB"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296 </w:t>
            </w:r>
          </w:p>
        </w:tc>
        <w:tc>
          <w:tcPr>
            <w:tcW w:w="990" w:type="dxa"/>
            <w:tcBorders>
              <w:top w:val="single" w:sz="6" w:space="0" w:color="auto"/>
              <w:left w:val="single" w:sz="6" w:space="0" w:color="auto"/>
              <w:bottom w:val="single" w:sz="6" w:space="0" w:color="auto"/>
              <w:right w:val="single" w:sz="6" w:space="0" w:color="auto"/>
            </w:tcBorders>
            <w:hideMark/>
          </w:tcPr>
          <w:p w14:paraId="19172801"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336 </w:t>
            </w:r>
          </w:p>
        </w:tc>
        <w:tc>
          <w:tcPr>
            <w:tcW w:w="930" w:type="dxa"/>
            <w:tcBorders>
              <w:top w:val="single" w:sz="6" w:space="0" w:color="auto"/>
              <w:left w:val="single" w:sz="6" w:space="0" w:color="auto"/>
              <w:bottom w:val="single" w:sz="6" w:space="0" w:color="auto"/>
              <w:right w:val="single" w:sz="6" w:space="0" w:color="auto"/>
            </w:tcBorders>
            <w:hideMark/>
          </w:tcPr>
          <w:p w14:paraId="28667E3D"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388 </w:t>
            </w:r>
          </w:p>
        </w:tc>
      </w:tr>
    </w:tbl>
    <w:p w14:paraId="191ADE3F"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p w14:paraId="6722FFF2" w14:textId="5CA511BB" w:rsidR="0055323A" w:rsidRPr="00571440" w:rsidRDefault="008C1C27" w:rsidP="00B043EC">
      <w:pPr>
        <w:spacing w:line="360" w:lineRule="auto"/>
        <w:jc w:val="both"/>
        <w:rPr>
          <w:rFonts w:asciiTheme="minorBidi" w:hAnsiTheme="minorBidi"/>
          <w:b/>
          <w:bCs/>
        </w:rPr>
      </w:pPr>
      <w:r w:rsidRPr="00571440">
        <w:rPr>
          <w:rFonts w:asciiTheme="minorBidi" w:hAnsiTheme="minorBidi"/>
          <w:b/>
          <w:bCs/>
        </w:rPr>
        <w:lastRenderedPageBreak/>
        <w:t>  </w:t>
      </w:r>
    </w:p>
    <w:p w14:paraId="7104E815" w14:textId="77777777" w:rsidR="00741024" w:rsidRPr="00571440" w:rsidRDefault="00741024" w:rsidP="006C0568">
      <w:pPr>
        <w:spacing w:line="360" w:lineRule="auto"/>
        <w:jc w:val="both"/>
        <w:rPr>
          <w:rFonts w:asciiTheme="minorBidi" w:hAnsiTheme="minorBidi"/>
          <w:b/>
          <w:bCs/>
        </w:rPr>
      </w:pPr>
    </w:p>
    <w:p w14:paraId="2DBCC0DB" w14:textId="7973F82E"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The Cash budget for the period to 31 December is: </w:t>
      </w:r>
    </w:p>
    <w:tbl>
      <w:tblPr>
        <w:tblW w:w="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620"/>
        <w:gridCol w:w="1231"/>
        <w:gridCol w:w="1090"/>
        <w:gridCol w:w="1090"/>
        <w:gridCol w:w="965"/>
        <w:gridCol w:w="965"/>
        <w:gridCol w:w="1049"/>
      </w:tblGrid>
      <w:tr w:rsidR="008C1C27" w:rsidRPr="00571440" w14:paraId="2D0CBC2F" w14:textId="77777777">
        <w:trPr>
          <w:trHeight w:val="300"/>
        </w:trPr>
        <w:tc>
          <w:tcPr>
            <w:tcW w:w="2685" w:type="dxa"/>
            <w:tcBorders>
              <w:top w:val="single" w:sz="6" w:space="0" w:color="auto"/>
              <w:left w:val="single" w:sz="6" w:space="0" w:color="auto"/>
              <w:bottom w:val="single" w:sz="6" w:space="0" w:color="auto"/>
              <w:right w:val="single" w:sz="6" w:space="0" w:color="auto"/>
            </w:tcBorders>
            <w:hideMark/>
          </w:tcPr>
          <w:p w14:paraId="3D3F6EC5"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c>
          <w:tcPr>
            <w:tcW w:w="990" w:type="dxa"/>
            <w:tcBorders>
              <w:top w:val="single" w:sz="6" w:space="0" w:color="auto"/>
              <w:left w:val="single" w:sz="6" w:space="0" w:color="auto"/>
              <w:bottom w:val="single" w:sz="6" w:space="0" w:color="auto"/>
              <w:right w:val="single" w:sz="6" w:space="0" w:color="auto"/>
            </w:tcBorders>
            <w:hideMark/>
          </w:tcPr>
          <w:p w14:paraId="458953E8"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July </w:t>
            </w:r>
          </w:p>
        </w:tc>
        <w:tc>
          <w:tcPr>
            <w:tcW w:w="1125" w:type="dxa"/>
            <w:tcBorders>
              <w:top w:val="single" w:sz="6" w:space="0" w:color="auto"/>
              <w:left w:val="single" w:sz="6" w:space="0" w:color="auto"/>
              <w:bottom w:val="single" w:sz="6" w:space="0" w:color="auto"/>
              <w:right w:val="single" w:sz="6" w:space="0" w:color="auto"/>
            </w:tcBorders>
            <w:hideMark/>
          </w:tcPr>
          <w:p w14:paraId="4064CB0A"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Aug </w:t>
            </w:r>
          </w:p>
        </w:tc>
        <w:tc>
          <w:tcPr>
            <w:tcW w:w="1125" w:type="dxa"/>
            <w:tcBorders>
              <w:top w:val="single" w:sz="6" w:space="0" w:color="auto"/>
              <w:left w:val="single" w:sz="6" w:space="0" w:color="auto"/>
              <w:bottom w:val="single" w:sz="6" w:space="0" w:color="auto"/>
              <w:right w:val="single" w:sz="6" w:space="0" w:color="auto"/>
            </w:tcBorders>
            <w:hideMark/>
          </w:tcPr>
          <w:p w14:paraId="75CE1DB7"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Sept </w:t>
            </w:r>
          </w:p>
        </w:tc>
        <w:tc>
          <w:tcPr>
            <w:tcW w:w="990" w:type="dxa"/>
            <w:tcBorders>
              <w:top w:val="single" w:sz="6" w:space="0" w:color="auto"/>
              <w:left w:val="single" w:sz="6" w:space="0" w:color="auto"/>
              <w:bottom w:val="single" w:sz="6" w:space="0" w:color="auto"/>
              <w:right w:val="single" w:sz="6" w:space="0" w:color="auto"/>
            </w:tcBorders>
            <w:hideMark/>
          </w:tcPr>
          <w:p w14:paraId="7F56E293"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Oct </w:t>
            </w:r>
          </w:p>
        </w:tc>
        <w:tc>
          <w:tcPr>
            <w:tcW w:w="990" w:type="dxa"/>
            <w:tcBorders>
              <w:top w:val="single" w:sz="6" w:space="0" w:color="auto"/>
              <w:left w:val="single" w:sz="6" w:space="0" w:color="auto"/>
              <w:bottom w:val="single" w:sz="6" w:space="0" w:color="auto"/>
              <w:right w:val="single" w:sz="6" w:space="0" w:color="auto"/>
            </w:tcBorders>
            <w:hideMark/>
          </w:tcPr>
          <w:p w14:paraId="433F0D39"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Nov </w:t>
            </w:r>
          </w:p>
        </w:tc>
        <w:tc>
          <w:tcPr>
            <w:tcW w:w="1080" w:type="dxa"/>
            <w:tcBorders>
              <w:top w:val="single" w:sz="6" w:space="0" w:color="auto"/>
              <w:left w:val="single" w:sz="6" w:space="0" w:color="auto"/>
              <w:bottom w:val="single" w:sz="6" w:space="0" w:color="auto"/>
              <w:right w:val="single" w:sz="6" w:space="0" w:color="auto"/>
            </w:tcBorders>
            <w:hideMark/>
          </w:tcPr>
          <w:p w14:paraId="64EB2C3B"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Dec </w:t>
            </w:r>
          </w:p>
        </w:tc>
      </w:tr>
      <w:tr w:rsidR="008C1C27" w:rsidRPr="00571440" w14:paraId="23644696" w14:textId="77777777">
        <w:trPr>
          <w:trHeight w:val="300"/>
        </w:trPr>
        <w:tc>
          <w:tcPr>
            <w:tcW w:w="2685" w:type="dxa"/>
            <w:tcBorders>
              <w:top w:val="single" w:sz="6" w:space="0" w:color="auto"/>
              <w:left w:val="single" w:sz="6" w:space="0" w:color="auto"/>
              <w:bottom w:val="single" w:sz="6" w:space="0" w:color="auto"/>
              <w:right w:val="single" w:sz="6" w:space="0" w:color="auto"/>
            </w:tcBorders>
            <w:hideMark/>
          </w:tcPr>
          <w:p w14:paraId="5C9C2E5D"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c>
          <w:tcPr>
            <w:tcW w:w="990" w:type="dxa"/>
            <w:tcBorders>
              <w:top w:val="single" w:sz="6" w:space="0" w:color="auto"/>
              <w:left w:val="single" w:sz="6" w:space="0" w:color="auto"/>
              <w:bottom w:val="single" w:sz="6" w:space="0" w:color="auto"/>
              <w:right w:val="single" w:sz="6" w:space="0" w:color="auto"/>
            </w:tcBorders>
            <w:hideMark/>
          </w:tcPr>
          <w:p w14:paraId="6EAB9713"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£000 </w:t>
            </w:r>
          </w:p>
        </w:tc>
        <w:tc>
          <w:tcPr>
            <w:tcW w:w="1125" w:type="dxa"/>
            <w:tcBorders>
              <w:top w:val="single" w:sz="6" w:space="0" w:color="auto"/>
              <w:left w:val="single" w:sz="6" w:space="0" w:color="auto"/>
              <w:bottom w:val="single" w:sz="6" w:space="0" w:color="auto"/>
              <w:right w:val="single" w:sz="6" w:space="0" w:color="auto"/>
            </w:tcBorders>
            <w:hideMark/>
          </w:tcPr>
          <w:p w14:paraId="47CFA651"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£000 </w:t>
            </w:r>
          </w:p>
        </w:tc>
        <w:tc>
          <w:tcPr>
            <w:tcW w:w="1125" w:type="dxa"/>
            <w:tcBorders>
              <w:top w:val="single" w:sz="6" w:space="0" w:color="auto"/>
              <w:left w:val="single" w:sz="6" w:space="0" w:color="auto"/>
              <w:bottom w:val="single" w:sz="6" w:space="0" w:color="auto"/>
              <w:right w:val="single" w:sz="6" w:space="0" w:color="auto"/>
            </w:tcBorders>
            <w:hideMark/>
          </w:tcPr>
          <w:p w14:paraId="042C595B"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£000 </w:t>
            </w:r>
          </w:p>
        </w:tc>
        <w:tc>
          <w:tcPr>
            <w:tcW w:w="990" w:type="dxa"/>
            <w:tcBorders>
              <w:top w:val="single" w:sz="6" w:space="0" w:color="auto"/>
              <w:left w:val="single" w:sz="6" w:space="0" w:color="auto"/>
              <w:bottom w:val="single" w:sz="6" w:space="0" w:color="auto"/>
              <w:right w:val="single" w:sz="6" w:space="0" w:color="auto"/>
            </w:tcBorders>
            <w:hideMark/>
          </w:tcPr>
          <w:p w14:paraId="346CA910"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£000 </w:t>
            </w:r>
          </w:p>
        </w:tc>
        <w:tc>
          <w:tcPr>
            <w:tcW w:w="990" w:type="dxa"/>
            <w:tcBorders>
              <w:top w:val="single" w:sz="6" w:space="0" w:color="auto"/>
              <w:left w:val="single" w:sz="6" w:space="0" w:color="auto"/>
              <w:bottom w:val="single" w:sz="6" w:space="0" w:color="auto"/>
              <w:right w:val="single" w:sz="6" w:space="0" w:color="auto"/>
            </w:tcBorders>
            <w:hideMark/>
          </w:tcPr>
          <w:p w14:paraId="479E9CB6"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£000 </w:t>
            </w:r>
          </w:p>
        </w:tc>
        <w:tc>
          <w:tcPr>
            <w:tcW w:w="1080" w:type="dxa"/>
            <w:tcBorders>
              <w:top w:val="single" w:sz="6" w:space="0" w:color="auto"/>
              <w:left w:val="single" w:sz="6" w:space="0" w:color="auto"/>
              <w:bottom w:val="single" w:sz="6" w:space="0" w:color="auto"/>
              <w:right w:val="single" w:sz="6" w:space="0" w:color="auto"/>
            </w:tcBorders>
            <w:hideMark/>
          </w:tcPr>
          <w:p w14:paraId="2AEEBA0D"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£000 </w:t>
            </w:r>
          </w:p>
        </w:tc>
      </w:tr>
      <w:tr w:rsidR="008C1C27" w:rsidRPr="00571440" w14:paraId="3C3A971B" w14:textId="77777777">
        <w:trPr>
          <w:trHeight w:val="300"/>
        </w:trPr>
        <w:tc>
          <w:tcPr>
            <w:tcW w:w="2685" w:type="dxa"/>
            <w:tcBorders>
              <w:top w:val="single" w:sz="6" w:space="0" w:color="auto"/>
              <w:left w:val="single" w:sz="6" w:space="0" w:color="auto"/>
              <w:bottom w:val="single" w:sz="6" w:space="0" w:color="auto"/>
              <w:right w:val="single" w:sz="6" w:space="0" w:color="auto"/>
            </w:tcBorders>
            <w:hideMark/>
          </w:tcPr>
          <w:p w14:paraId="58F4B55E"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Cash receipts </w:t>
            </w:r>
          </w:p>
          <w:p w14:paraId="3EDEBEED"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Sales net of 0.35 x 2.5%  </w:t>
            </w:r>
          </w:p>
        </w:tc>
        <w:tc>
          <w:tcPr>
            <w:tcW w:w="990" w:type="dxa"/>
            <w:tcBorders>
              <w:top w:val="single" w:sz="6" w:space="0" w:color="auto"/>
              <w:left w:val="single" w:sz="6" w:space="0" w:color="auto"/>
              <w:bottom w:val="single" w:sz="6" w:space="0" w:color="auto"/>
              <w:right w:val="single" w:sz="6" w:space="0" w:color="auto"/>
            </w:tcBorders>
            <w:hideMark/>
          </w:tcPr>
          <w:p w14:paraId="024F5388"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208 </w:t>
            </w:r>
          </w:p>
        </w:tc>
        <w:tc>
          <w:tcPr>
            <w:tcW w:w="1125" w:type="dxa"/>
            <w:tcBorders>
              <w:top w:val="single" w:sz="6" w:space="0" w:color="auto"/>
              <w:left w:val="single" w:sz="6" w:space="0" w:color="auto"/>
              <w:bottom w:val="single" w:sz="6" w:space="0" w:color="auto"/>
              <w:right w:val="single" w:sz="6" w:space="0" w:color="auto"/>
            </w:tcBorders>
            <w:hideMark/>
          </w:tcPr>
          <w:p w14:paraId="38443C2F"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228 </w:t>
            </w:r>
          </w:p>
        </w:tc>
        <w:tc>
          <w:tcPr>
            <w:tcW w:w="1125" w:type="dxa"/>
            <w:tcBorders>
              <w:top w:val="single" w:sz="6" w:space="0" w:color="auto"/>
              <w:left w:val="single" w:sz="6" w:space="0" w:color="auto"/>
              <w:bottom w:val="single" w:sz="6" w:space="0" w:color="auto"/>
              <w:right w:val="single" w:sz="6" w:space="0" w:color="auto"/>
            </w:tcBorders>
            <w:hideMark/>
          </w:tcPr>
          <w:p w14:paraId="2CC59E43"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258 </w:t>
            </w:r>
          </w:p>
        </w:tc>
        <w:tc>
          <w:tcPr>
            <w:tcW w:w="990" w:type="dxa"/>
            <w:tcBorders>
              <w:top w:val="single" w:sz="6" w:space="0" w:color="auto"/>
              <w:left w:val="single" w:sz="6" w:space="0" w:color="auto"/>
              <w:bottom w:val="single" w:sz="6" w:space="0" w:color="auto"/>
              <w:right w:val="single" w:sz="6" w:space="0" w:color="auto"/>
            </w:tcBorders>
            <w:hideMark/>
          </w:tcPr>
          <w:p w14:paraId="345529E3"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238 </w:t>
            </w:r>
          </w:p>
        </w:tc>
        <w:tc>
          <w:tcPr>
            <w:tcW w:w="990" w:type="dxa"/>
            <w:tcBorders>
              <w:top w:val="single" w:sz="6" w:space="0" w:color="auto"/>
              <w:left w:val="single" w:sz="6" w:space="0" w:color="auto"/>
              <w:bottom w:val="single" w:sz="6" w:space="0" w:color="auto"/>
              <w:right w:val="single" w:sz="6" w:space="0" w:color="auto"/>
            </w:tcBorders>
            <w:hideMark/>
          </w:tcPr>
          <w:p w14:paraId="4234B01F"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248 </w:t>
            </w:r>
          </w:p>
        </w:tc>
        <w:tc>
          <w:tcPr>
            <w:tcW w:w="1080" w:type="dxa"/>
            <w:tcBorders>
              <w:top w:val="single" w:sz="6" w:space="0" w:color="auto"/>
              <w:left w:val="single" w:sz="6" w:space="0" w:color="auto"/>
              <w:bottom w:val="single" w:sz="6" w:space="0" w:color="auto"/>
              <w:right w:val="single" w:sz="6" w:space="0" w:color="auto"/>
            </w:tcBorders>
            <w:hideMark/>
          </w:tcPr>
          <w:p w14:paraId="7A557A1D"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278 </w:t>
            </w:r>
          </w:p>
        </w:tc>
      </w:tr>
      <w:tr w:rsidR="008C1C27" w:rsidRPr="00571440" w14:paraId="57AE3AF0" w14:textId="77777777">
        <w:trPr>
          <w:trHeight w:val="300"/>
        </w:trPr>
        <w:tc>
          <w:tcPr>
            <w:tcW w:w="2685" w:type="dxa"/>
            <w:tcBorders>
              <w:top w:val="single" w:sz="6" w:space="0" w:color="auto"/>
              <w:left w:val="single" w:sz="6" w:space="0" w:color="auto"/>
              <w:bottom w:val="single" w:sz="6" w:space="0" w:color="auto"/>
              <w:right w:val="single" w:sz="6" w:space="0" w:color="auto"/>
            </w:tcBorders>
            <w:hideMark/>
          </w:tcPr>
          <w:p w14:paraId="2EC3C84B"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Cash payments </w:t>
            </w:r>
          </w:p>
          <w:p w14:paraId="27E7A4C9"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Administration </w:t>
            </w:r>
          </w:p>
        </w:tc>
        <w:tc>
          <w:tcPr>
            <w:tcW w:w="990" w:type="dxa"/>
            <w:tcBorders>
              <w:top w:val="single" w:sz="6" w:space="0" w:color="auto"/>
              <w:left w:val="single" w:sz="6" w:space="0" w:color="auto"/>
              <w:bottom w:val="single" w:sz="6" w:space="0" w:color="auto"/>
              <w:right w:val="single" w:sz="6" w:space="0" w:color="auto"/>
            </w:tcBorders>
            <w:hideMark/>
          </w:tcPr>
          <w:p w14:paraId="7CA98E0E"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(17) </w:t>
            </w:r>
          </w:p>
        </w:tc>
        <w:tc>
          <w:tcPr>
            <w:tcW w:w="1125" w:type="dxa"/>
            <w:tcBorders>
              <w:top w:val="single" w:sz="6" w:space="0" w:color="auto"/>
              <w:left w:val="single" w:sz="6" w:space="0" w:color="auto"/>
              <w:bottom w:val="single" w:sz="6" w:space="0" w:color="auto"/>
              <w:right w:val="single" w:sz="6" w:space="0" w:color="auto"/>
            </w:tcBorders>
            <w:hideMark/>
          </w:tcPr>
          <w:p w14:paraId="0FBBA387"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(18) </w:t>
            </w:r>
          </w:p>
        </w:tc>
        <w:tc>
          <w:tcPr>
            <w:tcW w:w="1125" w:type="dxa"/>
            <w:tcBorders>
              <w:top w:val="single" w:sz="6" w:space="0" w:color="auto"/>
              <w:left w:val="single" w:sz="6" w:space="0" w:color="auto"/>
              <w:bottom w:val="single" w:sz="6" w:space="0" w:color="auto"/>
              <w:right w:val="single" w:sz="6" w:space="0" w:color="auto"/>
            </w:tcBorders>
            <w:hideMark/>
          </w:tcPr>
          <w:p w14:paraId="2C7D3003"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(19) </w:t>
            </w:r>
          </w:p>
        </w:tc>
        <w:tc>
          <w:tcPr>
            <w:tcW w:w="990" w:type="dxa"/>
            <w:tcBorders>
              <w:top w:val="single" w:sz="6" w:space="0" w:color="auto"/>
              <w:left w:val="single" w:sz="6" w:space="0" w:color="auto"/>
              <w:bottom w:val="single" w:sz="6" w:space="0" w:color="auto"/>
              <w:right w:val="single" w:sz="6" w:space="0" w:color="auto"/>
            </w:tcBorders>
            <w:hideMark/>
          </w:tcPr>
          <w:p w14:paraId="59A79EE2"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(20) </w:t>
            </w:r>
          </w:p>
        </w:tc>
        <w:tc>
          <w:tcPr>
            <w:tcW w:w="990" w:type="dxa"/>
            <w:tcBorders>
              <w:top w:val="single" w:sz="6" w:space="0" w:color="auto"/>
              <w:left w:val="single" w:sz="6" w:space="0" w:color="auto"/>
              <w:bottom w:val="single" w:sz="6" w:space="0" w:color="auto"/>
              <w:right w:val="single" w:sz="6" w:space="0" w:color="auto"/>
            </w:tcBorders>
            <w:hideMark/>
          </w:tcPr>
          <w:p w14:paraId="0E871BFF"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(21) </w:t>
            </w:r>
          </w:p>
        </w:tc>
        <w:tc>
          <w:tcPr>
            <w:tcW w:w="1080" w:type="dxa"/>
            <w:tcBorders>
              <w:top w:val="single" w:sz="6" w:space="0" w:color="auto"/>
              <w:left w:val="single" w:sz="6" w:space="0" w:color="auto"/>
              <w:bottom w:val="single" w:sz="6" w:space="0" w:color="auto"/>
              <w:right w:val="single" w:sz="6" w:space="0" w:color="auto"/>
            </w:tcBorders>
            <w:hideMark/>
          </w:tcPr>
          <w:p w14:paraId="7049BB95"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(22) </w:t>
            </w:r>
          </w:p>
        </w:tc>
      </w:tr>
      <w:tr w:rsidR="008C1C27" w:rsidRPr="00571440" w14:paraId="780BCFD0" w14:textId="77777777">
        <w:trPr>
          <w:trHeight w:val="300"/>
        </w:trPr>
        <w:tc>
          <w:tcPr>
            <w:tcW w:w="2685" w:type="dxa"/>
            <w:tcBorders>
              <w:top w:val="single" w:sz="6" w:space="0" w:color="auto"/>
              <w:left w:val="single" w:sz="6" w:space="0" w:color="auto"/>
              <w:bottom w:val="single" w:sz="6" w:space="0" w:color="auto"/>
              <w:right w:val="single" w:sz="6" w:space="0" w:color="auto"/>
            </w:tcBorders>
            <w:hideMark/>
          </w:tcPr>
          <w:p w14:paraId="5217F41C"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Stock purchased </w:t>
            </w:r>
          </w:p>
        </w:tc>
        <w:tc>
          <w:tcPr>
            <w:tcW w:w="990" w:type="dxa"/>
            <w:tcBorders>
              <w:top w:val="single" w:sz="6" w:space="0" w:color="auto"/>
              <w:left w:val="single" w:sz="6" w:space="0" w:color="auto"/>
              <w:bottom w:val="single" w:sz="6" w:space="0" w:color="auto"/>
              <w:right w:val="single" w:sz="6" w:space="0" w:color="auto"/>
            </w:tcBorders>
            <w:hideMark/>
          </w:tcPr>
          <w:p w14:paraId="7BFCB7BA"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(150) </w:t>
            </w:r>
          </w:p>
        </w:tc>
        <w:tc>
          <w:tcPr>
            <w:tcW w:w="1125" w:type="dxa"/>
            <w:tcBorders>
              <w:top w:val="single" w:sz="6" w:space="0" w:color="auto"/>
              <w:left w:val="single" w:sz="6" w:space="0" w:color="auto"/>
              <w:bottom w:val="single" w:sz="6" w:space="0" w:color="auto"/>
              <w:right w:val="single" w:sz="6" w:space="0" w:color="auto"/>
            </w:tcBorders>
            <w:hideMark/>
          </w:tcPr>
          <w:p w14:paraId="29214771"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(180) </w:t>
            </w:r>
          </w:p>
        </w:tc>
        <w:tc>
          <w:tcPr>
            <w:tcW w:w="1125" w:type="dxa"/>
            <w:tcBorders>
              <w:top w:val="single" w:sz="6" w:space="0" w:color="auto"/>
              <w:left w:val="single" w:sz="6" w:space="0" w:color="auto"/>
              <w:bottom w:val="single" w:sz="6" w:space="0" w:color="auto"/>
              <w:right w:val="single" w:sz="6" w:space="0" w:color="auto"/>
            </w:tcBorders>
            <w:hideMark/>
          </w:tcPr>
          <w:p w14:paraId="7CBE910A"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(170) </w:t>
            </w:r>
          </w:p>
        </w:tc>
        <w:tc>
          <w:tcPr>
            <w:tcW w:w="990" w:type="dxa"/>
            <w:tcBorders>
              <w:top w:val="single" w:sz="6" w:space="0" w:color="auto"/>
              <w:left w:val="single" w:sz="6" w:space="0" w:color="auto"/>
              <w:bottom w:val="single" w:sz="6" w:space="0" w:color="auto"/>
              <w:right w:val="single" w:sz="6" w:space="0" w:color="auto"/>
            </w:tcBorders>
            <w:hideMark/>
          </w:tcPr>
          <w:p w14:paraId="35CF286A"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(200) </w:t>
            </w:r>
          </w:p>
        </w:tc>
        <w:tc>
          <w:tcPr>
            <w:tcW w:w="990" w:type="dxa"/>
            <w:tcBorders>
              <w:top w:val="single" w:sz="6" w:space="0" w:color="auto"/>
              <w:left w:val="single" w:sz="6" w:space="0" w:color="auto"/>
              <w:bottom w:val="single" w:sz="6" w:space="0" w:color="auto"/>
              <w:right w:val="single" w:sz="6" w:space="0" w:color="auto"/>
            </w:tcBorders>
            <w:hideMark/>
          </w:tcPr>
          <w:p w14:paraId="674E470B"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(210) </w:t>
            </w:r>
          </w:p>
        </w:tc>
        <w:tc>
          <w:tcPr>
            <w:tcW w:w="1080" w:type="dxa"/>
            <w:tcBorders>
              <w:top w:val="single" w:sz="6" w:space="0" w:color="auto"/>
              <w:left w:val="single" w:sz="6" w:space="0" w:color="auto"/>
              <w:bottom w:val="single" w:sz="6" w:space="0" w:color="auto"/>
              <w:right w:val="single" w:sz="6" w:space="0" w:color="auto"/>
            </w:tcBorders>
            <w:hideMark/>
          </w:tcPr>
          <w:p w14:paraId="41085759"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(190) </w:t>
            </w:r>
          </w:p>
        </w:tc>
      </w:tr>
      <w:tr w:rsidR="008C1C27" w:rsidRPr="00571440" w14:paraId="0CB56CD7" w14:textId="77777777">
        <w:trPr>
          <w:trHeight w:val="300"/>
        </w:trPr>
        <w:tc>
          <w:tcPr>
            <w:tcW w:w="2685" w:type="dxa"/>
            <w:tcBorders>
              <w:top w:val="single" w:sz="6" w:space="0" w:color="auto"/>
              <w:left w:val="single" w:sz="6" w:space="0" w:color="auto"/>
              <w:bottom w:val="single" w:sz="6" w:space="0" w:color="auto"/>
              <w:right w:val="single" w:sz="6" w:space="0" w:color="auto"/>
            </w:tcBorders>
            <w:hideMark/>
          </w:tcPr>
          <w:p w14:paraId="783060A3"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Repayments of Ioan </w:t>
            </w:r>
          </w:p>
        </w:tc>
        <w:tc>
          <w:tcPr>
            <w:tcW w:w="990" w:type="dxa"/>
            <w:tcBorders>
              <w:top w:val="single" w:sz="6" w:space="0" w:color="auto"/>
              <w:left w:val="single" w:sz="6" w:space="0" w:color="auto"/>
              <w:bottom w:val="single" w:sz="6" w:space="0" w:color="auto"/>
              <w:right w:val="single" w:sz="6" w:space="0" w:color="auto"/>
            </w:tcBorders>
            <w:hideMark/>
          </w:tcPr>
          <w:p w14:paraId="72F833A4"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(5) </w:t>
            </w:r>
          </w:p>
        </w:tc>
        <w:tc>
          <w:tcPr>
            <w:tcW w:w="1125" w:type="dxa"/>
            <w:tcBorders>
              <w:top w:val="single" w:sz="6" w:space="0" w:color="auto"/>
              <w:left w:val="single" w:sz="6" w:space="0" w:color="auto"/>
              <w:bottom w:val="single" w:sz="6" w:space="0" w:color="auto"/>
              <w:right w:val="single" w:sz="6" w:space="0" w:color="auto"/>
            </w:tcBorders>
            <w:hideMark/>
          </w:tcPr>
          <w:p w14:paraId="36E2001B"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(5) </w:t>
            </w:r>
          </w:p>
        </w:tc>
        <w:tc>
          <w:tcPr>
            <w:tcW w:w="1125" w:type="dxa"/>
            <w:tcBorders>
              <w:top w:val="single" w:sz="6" w:space="0" w:color="auto"/>
              <w:left w:val="single" w:sz="6" w:space="0" w:color="auto"/>
              <w:bottom w:val="single" w:sz="6" w:space="0" w:color="auto"/>
              <w:right w:val="single" w:sz="6" w:space="0" w:color="auto"/>
            </w:tcBorders>
            <w:hideMark/>
          </w:tcPr>
          <w:p w14:paraId="172AEA72"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(5) </w:t>
            </w:r>
          </w:p>
        </w:tc>
        <w:tc>
          <w:tcPr>
            <w:tcW w:w="990" w:type="dxa"/>
            <w:tcBorders>
              <w:top w:val="single" w:sz="6" w:space="0" w:color="auto"/>
              <w:left w:val="single" w:sz="6" w:space="0" w:color="auto"/>
              <w:bottom w:val="single" w:sz="6" w:space="0" w:color="auto"/>
              <w:right w:val="single" w:sz="6" w:space="0" w:color="auto"/>
            </w:tcBorders>
            <w:hideMark/>
          </w:tcPr>
          <w:p w14:paraId="6470DAB3"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(5) </w:t>
            </w:r>
          </w:p>
        </w:tc>
        <w:tc>
          <w:tcPr>
            <w:tcW w:w="990" w:type="dxa"/>
            <w:tcBorders>
              <w:top w:val="single" w:sz="6" w:space="0" w:color="auto"/>
              <w:left w:val="single" w:sz="6" w:space="0" w:color="auto"/>
              <w:bottom w:val="single" w:sz="6" w:space="0" w:color="auto"/>
              <w:right w:val="single" w:sz="6" w:space="0" w:color="auto"/>
            </w:tcBorders>
            <w:hideMark/>
          </w:tcPr>
          <w:p w14:paraId="5882E336"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(5) </w:t>
            </w:r>
          </w:p>
        </w:tc>
        <w:tc>
          <w:tcPr>
            <w:tcW w:w="1080" w:type="dxa"/>
            <w:tcBorders>
              <w:top w:val="single" w:sz="6" w:space="0" w:color="auto"/>
              <w:left w:val="single" w:sz="6" w:space="0" w:color="auto"/>
              <w:bottom w:val="single" w:sz="6" w:space="0" w:color="auto"/>
              <w:right w:val="single" w:sz="6" w:space="0" w:color="auto"/>
            </w:tcBorders>
            <w:hideMark/>
          </w:tcPr>
          <w:p w14:paraId="305374D2"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(5) </w:t>
            </w:r>
          </w:p>
        </w:tc>
      </w:tr>
      <w:tr w:rsidR="008C1C27" w:rsidRPr="00571440" w14:paraId="4B52781E" w14:textId="77777777">
        <w:trPr>
          <w:trHeight w:val="300"/>
        </w:trPr>
        <w:tc>
          <w:tcPr>
            <w:tcW w:w="2685" w:type="dxa"/>
            <w:tcBorders>
              <w:top w:val="single" w:sz="6" w:space="0" w:color="auto"/>
              <w:left w:val="single" w:sz="6" w:space="0" w:color="auto"/>
              <w:bottom w:val="single" w:sz="6" w:space="0" w:color="auto"/>
              <w:right w:val="single" w:sz="6" w:space="0" w:color="auto"/>
            </w:tcBorders>
            <w:hideMark/>
          </w:tcPr>
          <w:p w14:paraId="271D31B3"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Selling expenses </w:t>
            </w:r>
          </w:p>
        </w:tc>
        <w:tc>
          <w:tcPr>
            <w:tcW w:w="990" w:type="dxa"/>
            <w:tcBorders>
              <w:top w:val="single" w:sz="6" w:space="0" w:color="auto"/>
              <w:left w:val="single" w:sz="6" w:space="0" w:color="auto"/>
              <w:bottom w:val="single" w:sz="6" w:space="0" w:color="auto"/>
              <w:right w:val="single" w:sz="6" w:space="0" w:color="auto"/>
            </w:tcBorders>
            <w:hideMark/>
          </w:tcPr>
          <w:p w14:paraId="26085F58"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(5) </w:t>
            </w:r>
          </w:p>
        </w:tc>
        <w:tc>
          <w:tcPr>
            <w:tcW w:w="1125" w:type="dxa"/>
            <w:tcBorders>
              <w:top w:val="single" w:sz="6" w:space="0" w:color="auto"/>
              <w:left w:val="single" w:sz="6" w:space="0" w:color="auto"/>
              <w:bottom w:val="single" w:sz="6" w:space="0" w:color="auto"/>
              <w:right w:val="single" w:sz="6" w:space="0" w:color="auto"/>
            </w:tcBorders>
            <w:hideMark/>
          </w:tcPr>
          <w:p w14:paraId="2A3E791A"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(6) </w:t>
            </w:r>
          </w:p>
        </w:tc>
        <w:tc>
          <w:tcPr>
            <w:tcW w:w="1125" w:type="dxa"/>
            <w:tcBorders>
              <w:top w:val="single" w:sz="6" w:space="0" w:color="auto"/>
              <w:left w:val="single" w:sz="6" w:space="0" w:color="auto"/>
              <w:bottom w:val="single" w:sz="6" w:space="0" w:color="auto"/>
              <w:right w:val="single" w:sz="6" w:space="0" w:color="auto"/>
            </w:tcBorders>
            <w:hideMark/>
          </w:tcPr>
          <w:p w14:paraId="39B8B4E2"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(7) </w:t>
            </w:r>
          </w:p>
        </w:tc>
        <w:tc>
          <w:tcPr>
            <w:tcW w:w="990" w:type="dxa"/>
            <w:tcBorders>
              <w:top w:val="single" w:sz="6" w:space="0" w:color="auto"/>
              <w:left w:val="single" w:sz="6" w:space="0" w:color="auto"/>
              <w:bottom w:val="single" w:sz="6" w:space="0" w:color="auto"/>
              <w:right w:val="single" w:sz="6" w:space="0" w:color="auto"/>
            </w:tcBorders>
            <w:hideMark/>
          </w:tcPr>
          <w:p w14:paraId="7E002527"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(8) </w:t>
            </w:r>
          </w:p>
        </w:tc>
        <w:tc>
          <w:tcPr>
            <w:tcW w:w="990" w:type="dxa"/>
            <w:tcBorders>
              <w:top w:val="single" w:sz="6" w:space="0" w:color="auto"/>
              <w:left w:val="single" w:sz="6" w:space="0" w:color="auto"/>
              <w:bottom w:val="single" w:sz="6" w:space="0" w:color="auto"/>
              <w:right w:val="single" w:sz="6" w:space="0" w:color="auto"/>
            </w:tcBorders>
            <w:hideMark/>
          </w:tcPr>
          <w:p w14:paraId="669E4E50"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(9) </w:t>
            </w:r>
          </w:p>
        </w:tc>
        <w:tc>
          <w:tcPr>
            <w:tcW w:w="1080" w:type="dxa"/>
            <w:tcBorders>
              <w:top w:val="single" w:sz="6" w:space="0" w:color="auto"/>
              <w:left w:val="single" w:sz="6" w:space="0" w:color="auto"/>
              <w:bottom w:val="single" w:sz="6" w:space="0" w:color="auto"/>
              <w:right w:val="single" w:sz="6" w:space="0" w:color="auto"/>
            </w:tcBorders>
            <w:hideMark/>
          </w:tcPr>
          <w:p w14:paraId="622F4AB9"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(7) </w:t>
            </w:r>
          </w:p>
        </w:tc>
      </w:tr>
      <w:tr w:rsidR="008C1C27" w:rsidRPr="00571440" w14:paraId="6BB54EAE" w14:textId="77777777">
        <w:trPr>
          <w:trHeight w:val="300"/>
        </w:trPr>
        <w:tc>
          <w:tcPr>
            <w:tcW w:w="2685" w:type="dxa"/>
            <w:tcBorders>
              <w:top w:val="single" w:sz="6" w:space="0" w:color="auto"/>
              <w:left w:val="single" w:sz="6" w:space="0" w:color="auto"/>
              <w:bottom w:val="single" w:sz="6" w:space="0" w:color="auto"/>
              <w:right w:val="single" w:sz="6" w:space="0" w:color="auto"/>
            </w:tcBorders>
            <w:hideMark/>
          </w:tcPr>
          <w:p w14:paraId="35D6F9BB"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Taxation paid </w:t>
            </w:r>
          </w:p>
        </w:tc>
        <w:tc>
          <w:tcPr>
            <w:tcW w:w="990" w:type="dxa"/>
            <w:tcBorders>
              <w:top w:val="single" w:sz="6" w:space="0" w:color="auto"/>
              <w:left w:val="single" w:sz="6" w:space="0" w:color="auto"/>
              <w:bottom w:val="single" w:sz="6" w:space="0" w:color="auto"/>
              <w:right w:val="single" w:sz="6" w:space="0" w:color="auto"/>
            </w:tcBorders>
            <w:hideMark/>
          </w:tcPr>
          <w:p w14:paraId="133744D1"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c>
          <w:tcPr>
            <w:tcW w:w="1125" w:type="dxa"/>
            <w:tcBorders>
              <w:top w:val="single" w:sz="6" w:space="0" w:color="auto"/>
              <w:left w:val="single" w:sz="6" w:space="0" w:color="auto"/>
              <w:bottom w:val="single" w:sz="6" w:space="0" w:color="auto"/>
              <w:right w:val="single" w:sz="6" w:space="0" w:color="auto"/>
            </w:tcBorders>
            <w:hideMark/>
          </w:tcPr>
          <w:p w14:paraId="4A57BD26"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c>
          <w:tcPr>
            <w:tcW w:w="1125" w:type="dxa"/>
            <w:tcBorders>
              <w:top w:val="single" w:sz="6" w:space="0" w:color="auto"/>
              <w:left w:val="single" w:sz="6" w:space="0" w:color="auto"/>
              <w:bottom w:val="single" w:sz="6" w:space="0" w:color="auto"/>
              <w:right w:val="single" w:sz="6" w:space="0" w:color="auto"/>
            </w:tcBorders>
            <w:hideMark/>
          </w:tcPr>
          <w:p w14:paraId="23002FA0"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(18) </w:t>
            </w:r>
          </w:p>
        </w:tc>
        <w:tc>
          <w:tcPr>
            <w:tcW w:w="990" w:type="dxa"/>
            <w:tcBorders>
              <w:top w:val="single" w:sz="6" w:space="0" w:color="auto"/>
              <w:left w:val="single" w:sz="6" w:space="0" w:color="auto"/>
              <w:bottom w:val="single" w:sz="6" w:space="0" w:color="auto"/>
              <w:right w:val="single" w:sz="6" w:space="0" w:color="auto"/>
            </w:tcBorders>
            <w:hideMark/>
          </w:tcPr>
          <w:p w14:paraId="592FD847"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c>
          <w:tcPr>
            <w:tcW w:w="990" w:type="dxa"/>
            <w:tcBorders>
              <w:top w:val="single" w:sz="6" w:space="0" w:color="auto"/>
              <w:left w:val="single" w:sz="6" w:space="0" w:color="auto"/>
              <w:bottom w:val="single" w:sz="6" w:space="0" w:color="auto"/>
              <w:right w:val="single" w:sz="6" w:space="0" w:color="auto"/>
            </w:tcBorders>
            <w:hideMark/>
          </w:tcPr>
          <w:p w14:paraId="1B88FCC1"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c>
          <w:tcPr>
            <w:tcW w:w="1080" w:type="dxa"/>
            <w:tcBorders>
              <w:top w:val="single" w:sz="6" w:space="0" w:color="auto"/>
              <w:left w:val="single" w:sz="6" w:space="0" w:color="auto"/>
              <w:bottom w:val="single" w:sz="6" w:space="0" w:color="auto"/>
              <w:right w:val="single" w:sz="6" w:space="0" w:color="auto"/>
            </w:tcBorders>
            <w:hideMark/>
          </w:tcPr>
          <w:p w14:paraId="71552D3C"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r>
      <w:tr w:rsidR="008C1C27" w:rsidRPr="00571440" w14:paraId="564BA37C" w14:textId="77777777">
        <w:trPr>
          <w:trHeight w:val="300"/>
        </w:trPr>
        <w:tc>
          <w:tcPr>
            <w:tcW w:w="2685" w:type="dxa"/>
            <w:tcBorders>
              <w:top w:val="single" w:sz="6" w:space="0" w:color="auto"/>
              <w:left w:val="single" w:sz="6" w:space="0" w:color="auto"/>
              <w:bottom w:val="single" w:sz="6" w:space="0" w:color="auto"/>
              <w:right w:val="single" w:sz="6" w:space="0" w:color="auto"/>
            </w:tcBorders>
            <w:hideMark/>
          </w:tcPr>
          <w:p w14:paraId="25985B07"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Interest payments </w:t>
            </w:r>
          </w:p>
        </w:tc>
        <w:tc>
          <w:tcPr>
            <w:tcW w:w="990" w:type="dxa"/>
            <w:tcBorders>
              <w:top w:val="single" w:sz="6" w:space="0" w:color="auto"/>
              <w:left w:val="single" w:sz="6" w:space="0" w:color="auto"/>
              <w:bottom w:val="single" w:sz="6" w:space="0" w:color="auto"/>
              <w:right w:val="single" w:sz="6" w:space="0" w:color="auto"/>
            </w:tcBorders>
            <w:hideMark/>
          </w:tcPr>
          <w:p w14:paraId="60E8F215"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 </w:t>
            </w:r>
          </w:p>
        </w:tc>
        <w:tc>
          <w:tcPr>
            <w:tcW w:w="1125" w:type="dxa"/>
            <w:tcBorders>
              <w:top w:val="single" w:sz="6" w:space="0" w:color="auto"/>
              <w:left w:val="single" w:sz="6" w:space="0" w:color="auto"/>
              <w:bottom w:val="single" w:sz="6" w:space="0" w:color="auto"/>
              <w:right w:val="single" w:sz="6" w:space="0" w:color="auto"/>
            </w:tcBorders>
            <w:hideMark/>
          </w:tcPr>
          <w:p w14:paraId="639C07F6"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 </w:t>
            </w:r>
          </w:p>
        </w:tc>
        <w:tc>
          <w:tcPr>
            <w:tcW w:w="1125" w:type="dxa"/>
            <w:tcBorders>
              <w:top w:val="single" w:sz="6" w:space="0" w:color="auto"/>
              <w:left w:val="single" w:sz="6" w:space="0" w:color="auto"/>
              <w:bottom w:val="single" w:sz="6" w:space="0" w:color="auto"/>
              <w:right w:val="single" w:sz="6" w:space="0" w:color="auto"/>
            </w:tcBorders>
            <w:hideMark/>
          </w:tcPr>
          <w:p w14:paraId="73EA5DA1"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 </w:t>
            </w:r>
          </w:p>
        </w:tc>
        <w:tc>
          <w:tcPr>
            <w:tcW w:w="990" w:type="dxa"/>
            <w:tcBorders>
              <w:top w:val="single" w:sz="6" w:space="0" w:color="auto"/>
              <w:left w:val="single" w:sz="6" w:space="0" w:color="auto"/>
              <w:bottom w:val="single" w:sz="6" w:space="0" w:color="auto"/>
              <w:right w:val="single" w:sz="6" w:space="0" w:color="auto"/>
            </w:tcBorders>
            <w:hideMark/>
          </w:tcPr>
          <w:p w14:paraId="0116CD99"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 </w:t>
            </w:r>
          </w:p>
        </w:tc>
        <w:tc>
          <w:tcPr>
            <w:tcW w:w="990" w:type="dxa"/>
            <w:tcBorders>
              <w:top w:val="single" w:sz="6" w:space="0" w:color="auto"/>
              <w:left w:val="single" w:sz="6" w:space="0" w:color="auto"/>
              <w:bottom w:val="single" w:sz="6" w:space="0" w:color="auto"/>
              <w:right w:val="single" w:sz="6" w:space="0" w:color="auto"/>
            </w:tcBorders>
            <w:hideMark/>
          </w:tcPr>
          <w:p w14:paraId="62DA0D78"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 </w:t>
            </w:r>
          </w:p>
        </w:tc>
        <w:tc>
          <w:tcPr>
            <w:tcW w:w="1080" w:type="dxa"/>
            <w:tcBorders>
              <w:top w:val="single" w:sz="6" w:space="0" w:color="auto"/>
              <w:left w:val="single" w:sz="6" w:space="0" w:color="auto"/>
              <w:bottom w:val="single" w:sz="6" w:space="0" w:color="auto"/>
              <w:right w:val="single" w:sz="6" w:space="0" w:color="auto"/>
            </w:tcBorders>
            <w:hideMark/>
          </w:tcPr>
          <w:p w14:paraId="624398D9"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 </w:t>
            </w:r>
          </w:p>
        </w:tc>
      </w:tr>
      <w:tr w:rsidR="008C1C27" w:rsidRPr="00571440" w14:paraId="768F2606" w14:textId="77777777">
        <w:trPr>
          <w:trHeight w:val="300"/>
        </w:trPr>
        <w:tc>
          <w:tcPr>
            <w:tcW w:w="2685" w:type="dxa"/>
            <w:tcBorders>
              <w:top w:val="single" w:sz="6" w:space="0" w:color="auto"/>
              <w:left w:val="single" w:sz="6" w:space="0" w:color="auto"/>
              <w:bottom w:val="single" w:sz="6" w:space="0" w:color="auto"/>
              <w:right w:val="single" w:sz="6" w:space="0" w:color="auto"/>
            </w:tcBorders>
            <w:hideMark/>
          </w:tcPr>
          <w:p w14:paraId="2ECBA00B"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Shop refurbishment </w:t>
            </w:r>
          </w:p>
        </w:tc>
        <w:tc>
          <w:tcPr>
            <w:tcW w:w="990" w:type="dxa"/>
            <w:tcBorders>
              <w:top w:val="single" w:sz="6" w:space="0" w:color="auto"/>
              <w:left w:val="single" w:sz="6" w:space="0" w:color="auto"/>
              <w:bottom w:val="single" w:sz="6" w:space="0" w:color="auto"/>
              <w:right w:val="single" w:sz="6" w:space="0" w:color="auto"/>
            </w:tcBorders>
            <w:hideMark/>
          </w:tcPr>
          <w:p w14:paraId="54C79139"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(15) </w:t>
            </w:r>
          </w:p>
        </w:tc>
        <w:tc>
          <w:tcPr>
            <w:tcW w:w="1125" w:type="dxa"/>
            <w:tcBorders>
              <w:top w:val="single" w:sz="6" w:space="0" w:color="auto"/>
              <w:left w:val="single" w:sz="6" w:space="0" w:color="auto"/>
              <w:bottom w:val="single" w:sz="6" w:space="0" w:color="auto"/>
              <w:right w:val="single" w:sz="6" w:space="0" w:color="auto"/>
            </w:tcBorders>
            <w:hideMark/>
          </w:tcPr>
          <w:p w14:paraId="071B1FA3"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(12) </w:t>
            </w:r>
          </w:p>
        </w:tc>
        <w:tc>
          <w:tcPr>
            <w:tcW w:w="1125" w:type="dxa"/>
            <w:tcBorders>
              <w:top w:val="single" w:sz="6" w:space="0" w:color="auto"/>
              <w:left w:val="single" w:sz="6" w:space="0" w:color="auto"/>
              <w:bottom w:val="single" w:sz="6" w:space="0" w:color="auto"/>
              <w:right w:val="single" w:sz="6" w:space="0" w:color="auto"/>
            </w:tcBorders>
            <w:hideMark/>
          </w:tcPr>
          <w:p w14:paraId="36996138"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(10) </w:t>
            </w:r>
          </w:p>
        </w:tc>
        <w:tc>
          <w:tcPr>
            <w:tcW w:w="990" w:type="dxa"/>
            <w:tcBorders>
              <w:top w:val="single" w:sz="6" w:space="0" w:color="auto"/>
              <w:left w:val="single" w:sz="6" w:space="0" w:color="auto"/>
              <w:bottom w:val="single" w:sz="6" w:space="0" w:color="auto"/>
              <w:right w:val="single" w:sz="6" w:space="0" w:color="auto"/>
            </w:tcBorders>
            <w:hideMark/>
          </w:tcPr>
          <w:p w14:paraId="3533733E"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c>
          <w:tcPr>
            <w:tcW w:w="990" w:type="dxa"/>
            <w:tcBorders>
              <w:top w:val="single" w:sz="6" w:space="0" w:color="auto"/>
              <w:left w:val="single" w:sz="6" w:space="0" w:color="auto"/>
              <w:bottom w:val="single" w:sz="6" w:space="0" w:color="auto"/>
              <w:right w:val="single" w:sz="6" w:space="0" w:color="auto"/>
            </w:tcBorders>
            <w:hideMark/>
          </w:tcPr>
          <w:p w14:paraId="11D8D975"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c>
          <w:tcPr>
            <w:tcW w:w="1080" w:type="dxa"/>
            <w:tcBorders>
              <w:top w:val="single" w:sz="6" w:space="0" w:color="auto"/>
              <w:left w:val="single" w:sz="6" w:space="0" w:color="auto"/>
              <w:bottom w:val="single" w:sz="6" w:space="0" w:color="auto"/>
              <w:right w:val="single" w:sz="6" w:space="0" w:color="auto"/>
            </w:tcBorders>
            <w:hideMark/>
          </w:tcPr>
          <w:p w14:paraId="471B1F5E"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r>
      <w:tr w:rsidR="008C1C27" w:rsidRPr="00571440" w14:paraId="7AC80592" w14:textId="77777777">
        <w:trPr>
          <w:trHeight w:val="300"/>
        </w:trPr>
        <w:tc>
          <w:tcPr>
            <w:tcW w:w="2685" w:type="dxa"/>
            <w:tcBorders>
              <w:top w:val="single" w:sz="6" w:space="0" w:color="auto"/>
              <w:left w:val="single" w:sz="6" w:space="0" w:color="auto"/>
              <w:bottom w:val="single" w:sz="6" w:space="0" w:color="auto"/>
              <w:right w:val="single" w:sz="6" w:space="0" w:color="auto"/>
            </w:tcBorders>
            <w:hideMark/>
          </w:tcPr>
          <w:p w14:paraId="6CB29BF4"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Cash surplus (deficit) </w:t>
            </w:r>
          </w:p>
        </w:tc>
        <w:tc>
          <w:tcPr>
            <w:tcW w:w="990" w:type="dxa"/>
            <w:tcBorders>
              <w:top w:val="single" w:sz="6" w:space="0" w:color="auto"/>
              <w:left w:val="single" w:sz="6" w:space="0" w:color="auto"/>
              <w:bottom w:val="single" w:sz="6" w:space="0" w:color="auto"/>
              <w:right w:val="single" w:sz="6" w:space="0" w:color="auto"/>
            </w:tcBorders>
            <w:hideMark/>
          </w:tcPr>
          <w:p w14:paraId="1B15CF83"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15 </w:t>
            </w:r>
          </w:p>
        </w:tc>
        <w:tc>
          <w:tcPr>
            <w:tcW w:w="1125" w:type="dxa"/>
            <w:tcBorders>
              <w:top w:val="single" w:sz="6" w:space="0" w:color="auto"/>
              <w:left w:val="single" w:sz="6" w:space="0" w:color="auto"/>
              <w:bottom w:val="single" w:sz="6" w:space="0" w:color="auto"/>
              <w:right w:val="single" w:sz="6" w:space="0" w:color="auto"/>
            </w:tcBorders>
            <w:hideMark/>
          </w:tcPr>
          <w:p w14:paraId="2EC68F69"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6 </w:t>
            </w:r>
          </w:p>
        </w:tc>
        <w:tc>
          <w:tcPr>
            <w:tcW w:w="1125" w:type="dxa"/>
            <w:tcBorders>
              <w:top w:val="single" w:sz="6" w:space="0" w:color="auto"/>
              <w:left w:val="single" w:sz="6" w:space="0" w:color="auto"/>
              <w:bottom w:val="single" w:sz="6" w:space="0" w:color="auto"/>
              <w:right w:val="single" w:sz="6" w:space="0" w:color="auto"/>
            </w:tcBorders>
            <w:hideMark/>
          </w:tcPr>
          <w:p w14:paraId="1278792D"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28 </w:t>
            </w:r>
          </w:p>
        </w:tc>
        <w:tc>
          <w:tcPr>
            <w:tcW w:w="990" w:type="dxa"/>
            <w:tcBorders>
              <w:top w:val="single" w:sz="6" w:space="0" w:color="auto"/>
              <w:left w:val="single" w:sz="6" w:space="0" w:color="auto"/>
              <w:bottom w:val="single" w:sz="6" w:space="0" w:color="auto"/>
              <w:right w:val="single" w:sz="6" w:space="0" w:color="auto"/>
            </w:tcBorders>
            <w:hideMark/>
          </w:tcPr>
          <w:p w14:paraId="32CD7882"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4 </w:t>
            </w:r>
          </w:p>
        </w:tc>
        <w:tc>
          <w:tcPr>
            <w:tcW w:w="990" w:type="dxa"/>
            <w:tcBorders>
              <w:top w:val="single" w:sz="6" w:space="0" w:color="auto"/>
              <w:left w:val="single" w:sz="6" w:space="0" w:color="auto"/>
              <w:bottom w:val="single" w:sz="6" w:space="0" w:color="auto"/>
              <w:right w:val="single" w:sz="6" w:space="0" w:color="auto"/>
            </w:tcBorders>
            <w:hideMark/>
          </w:tcPr>
          <w:p w14:paraId="0F94DFCE"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2 </w:t>
            </w:r>
          </w:p>
        </w:tc>
        <w:tc>
          <w:tcPr>
            <w:tcW w:w="1080" w:type="dxa"/>
            <w:tcBorders>
              <w:top w:val="single" w:sz="6" w:space="0" w:color="auto"/>
              <w:left w:val="single" w:sz="6" w:space="0" w:color="auto"/>
              <w:bottom w:val="single" w:sz="6" w:space="0" w:color="auto"/>
              <w:right w:val="single" w:sz="6" w:space="0" w:color="auto"/>
            </w:tcBorders>
            <w:hideMark/>
          </w:tcPr>
          <w:p w14:paraId="5D5AADBD"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53 </w:t>
            </w:r>
          </w:p>
        </w:tc>
      </w:tr>
      <w:tr w:rsidR="008C1C27" w:rsidRPr="00571440" w14:paraId="2F8B6D48" w14:textId="77777777">
        <w:trPr>
          <w:trHeight w:val="300"/>
        </w:trPr>
        <w:tc>
          <w:tcPr>
            <w:tcW w:w="2685" w:type="dxa"/>
            <w:tcBorders>
              <w:top w:val="single" w:sz="6" w:space="0" w:color="auto"/>
              <w:left w:val="single" w:sz="6" w:space="0" w:color="auto"/>
              <w:bottom w:val="single" w:sz="6" w:space="0" w:color="auto"/>
              <w:right w:val="single" w:sz="6" w:space="0" w:color="auto"/>
            </w:tcBorders>
            <w:hideMark/>
          </w:tcPr>
          <w:p w14:paraId="668AB10A"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Opening balance </w:t>
            </w:r>
          </w:p>
        </w:tc>
        <w:tc>
          <w:tcPr>
            <w:tcW w:w="990" w:type="dxa"/>
            <w:tcBorders>
              <w:top w:val="single" w:sz="6" w:space="0" w:color="auto"/>
              <w:left w:val="single" w:sz="6" w:space="0" w:color="auto"/>
              <w:bottom w:val="single" w:sz="6" w:space="0" w:color="auto"/>
              <w:right w:val="single" w:sz="6" w:space="0" w:color="auto"/>
            </w:tcBorders>
            <w:hideMark/>
          </w:tcPr>
          <w:p w14:paraId="71B6C856"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50 </w:t>
            </w:r>
          </w:p>
          <w:p w14:paraId="0C30872D"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(min stock level </w:t>
            </w:r>
          </w:p>
        </w:tc>
        <w:tc>
          <w:tcPr>
            <w:tcW w:w="1125" w:type="dxa"/>
            <w:tcBorders>
              <w:top w:val="single" w:sz="6" w:space="0" w:color="auto"/>
              <w:left w:val="single" w:sz="6" w:space="0" w:color="auto"/>
              <w:bottom w:val="single" w:sz="6" w:space="0" w:color="auto"/>
              <w:right w:val="single" w:sz="6" w:space="0" w:color="auto"/>
            </w:tcBorders>
            <w:hideMark/>
          </w:tcPr>
          <w:p w14:paraId="3CBE8D9C"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65 </w:t>
            </w:r>
          </w:p>
        </w:tc>
        <w:tc>
          <w:tcPr>
            <w:tcW w:w="1125" w:type="dxa"/>
            <w:tcBorders>
              <w:top w:val="single" w:sz="6" w:space="0" w:color="auto"/>
              <w:left w:val="single" w:sz="6" w:space="0" w:color="auto"/>
              <w:bottom w:val="single" w:sz="6" w:space="0" w:color="auto"/>
              <w:right w:val="single" w:sz="6" w:space="0" w:color="auto"/>
            </w:tcBorders>
            <w:hideMark/>
          </w:tcPr>
          <w:p w14:paraId="754B5F5A"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71 </w:t>
            </w:r>
          </w:p>
        </w:tc>
        <w:tc>
          <w:tcPr>
            <w:tcW w:w="990" w:type="dxa"/>
            <w:tcBorders>
              <w:top w:val="single" w:sz="6" w:space="0" w:color="auto"/>
              <w:left w:val="single" w:sz="6" w:space="0" w:color="auto"/>
              <w:bottom w:val="single" w:sz="6" w:space="0" w:color="auto"/>
              <w:right w:val="single" w:sz="6" w:space="0" w:color="auto"/>
            </w:tcBorders>
            <w:hideMark/>
          </w:tcPr>
          <w:p w14:paraId="6795FD0C"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99 </w:t>
            </w:r>
          </w:p>
        </w:tc>
        <w:tc>
          <w:tcPr>
            <w:tcW w:w="990" w:type="dxa"/>
            <w:tcBorders>
              <w:top w:val="single" w:sz="6" w:space="0" w:color="auto"/>
              <w:left w:val="single" w:sz="6" w:space="0" w:color="auto"/>
              <w:bottom w:val="single" w:sz="6" w:space="0" w:color="auto"/>
              <w:right w:val="single" w:sz="6" w:space="0" w:color="auto"/>
            </w:tcBorders>
            <w:hideMark/>
          </w:tcPr>
          <w:p w14:paraId="0019B138"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103 </w:t>
            </w:r>
          </w:p>
        </w:tc>
        <w:tc>
          <w:tcPr>
            <w:tcW w:w="1080" w:type="dxa"/>
            <w:tcBorders>
              <w:top w:val="single" w:sz="6" w:space="0" w:color="auto"/>
              <w:left w:val="single" w:sz="6" w:space="0" w:color="auto"/>
              <w:bottom w:val="single" w:sz="6" w:space="0" w:color="auto"/>
              <w:right w:val="single" w:sz="6" w:space="0" w:color="auto"/>
            </w:tcBorders>
            <w:hideMark/>
          </w:tcPr>
          <w:p w14:paraId="74B06E7B"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105 </w:t>
            </w:r>
          </w:p>
        </w:tc>
      </w:tr>
      <w:tr w:rsidR="008C1C27" w:rsidRPr="00571440" w14:paraId="5298E58B" w14:textId="77777777">
        <w:trPr>
          <w:trHeight w:val="300"/>
        </w:trPr>
        <w:tc>
          <w:tcPr>
            <w:tcW w:w="2685" w:type="dxa"/>
            <w:tcBorders>
              <w:top w:val="single" w:sz="6" w:space="0" w:color="auto"/>
              <w:left w:val="single" w:sz="6" w:space="0" w:color="auto"/>
              <w:bottom w:val="single" w:sz="6" w:space="0" w:color="auto"/>
              <w:right w:val="single" w:sz="6" w:space="0" w:color="auto"/>
            </w:tcBorders>
            <w:hideMark/>
          </w:tcPr>
          <w:p w14:paraId="12EC295E"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Closing balance </w:t>
            </w:r>
          </w:p>
        </w:tc>
        <w:tc>
          <w:tcPr>
            <w:tcW w:w="990" w:type="dxa"/>
            <w:tcBorders>
              <w:top w:val="single" w:sz="6" w:space="0" w:color="auto"/>
              <w:left w:val="single" w:sz="6" w:space="0" w:color="auto"/>
              <w:bottom w:val="single" w:sz="6" w:space="0" w:color="auto"/>
              <w:right w:val="single" w:sz="6" w:space="0" w:color="auto"/>
            </w:tcBorders>
            <w:hideMark/>
          </w:tcPr>
          <w:p w14:paraId="08FBB632"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65 </w:t>
            </w:r>
          </w:p>
        </w:tc>
        <w:tc>
          <w:tcPr>
            <w:tcW w:w="1125" w:type="dxa"/>
            <w:tcBorders>
              <w:top w:val="single" w:sz="6" w:space="0" w:color="auto"/>
              <w:left w:val="single" w:sz="6" w:space="0" w:color="auto"/>
              <w:bottom w:val="single" w:sz="6" w:space="0" w:color="auto"/>
              <w:right w:val="single" w:sz="6" w:space="0" w:color="auto"/>
            </w:tcBorders>
            <w:hideMark/>
          </w:tcPr>
          <w:p w14:paraId="3B8954BC"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71 </w:t>
            </w:r>
          </w:p>
        </w:tc>
        <w:tc>
          <w:tcPr>
            <w:tcW w:w="1125" w:type="dxa"/>
            <w:tcBorders>
              <w:top w:val="single" w:sz="6" w:space="0" w:color="auto"/>
              <w:left w:val="single" w:sz="6" w:space="0" w:color="auto"/>
              <w:bottom w:val="single" w:sz="6" w:space="0" w:color="auto"/>
              <w:right w:val="single" w:sz="6" w:space="0" w:color="auto"/>
            </w:tcBorders>
            <w:hideMark/>
          </w:tcPr>
          <w:p w14:paraId="1E848F75"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99 </w:t>
            </w:r>
          </w:p>
        </w:tc>
        <w:tc>
          <w:tcPr>
            <w:tcW w:w="990" w:type="dxa"/>
            <w:tcBorders>
              <w:top w:val="single" w:sz="6" w:space="0" w:color="auto"/>
              <w:left w:val="single" w:sz="6" w:space="0" w:color="auto"/>
              <w:bottom w:val="single" w:sz="6" w:space="0" w:color="auto"/>
              <w:right w:val="single" w:sz="6" w:space="0" w:color="auto"/>
            </w:tcBorders>
            <w:hideMark/>
          </w:tcPr>
          <w:p w14:paraId="5E804934"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103 </w:t>
            </w:r>
          </w:p>
        </w:tc>
        <w:tc>
          <w:tcPr>
            <w:tcW w:w="990" w:type="dxa"/>
            <w:tcBorders>
              <w:top w:val="single" w:sz="6" w:space="0" w:color="auto"/>
              <w:left w:val="single" w:sz="6" w:space="0" w:color="auto"/>
              <w:bottom w:val="single" w:sz="6" w:space="0" w:color="auto"/>
              <w:right w:val="single" w:sz="6" w:space="0" w:color="auto"/>
            </w:tcBorders>
            <w:hideMark/>
          </w:tcPr>
          <w:p w14:paraId="7A853797"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105 </w:t>
            </w:r>
          </w:p>
        </w:tc>
        <w:tc>
          <w:tcPr>
            <w:tcW w:w="1080" w:type="dxa"/>
            <w:tcBorders>
              <w:top w:val="single" w:sz="6" w:space="0" w:color="auto"/>
              <w:left w:val="single" w:sz="6" w:space="0" w:color="auto"/>
              <w:bottom w:val="single" w:sz="6" w:space="0" w:color="auto"/>
              <w:right w:val="single" w:sz="6" w:space="0" w:color="auto"/>
            </w:tcBorders>
            <w:hideMark/>
          </w:tcPr>
          <w:p w14:paraId="63B284AE"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158 </w:t>
            </w:r>
          </w:p>
        </w:tc>
      </w:tr>
    </w:tbl>
    <w:p w14:paraId="4EAAF9A2"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p w14:paraId="6F6AEE05" w14:textId="77777777" w:rsidR="0055323A" w:rsidRPr="00571440" w:rsidRDefault="0055323A" w:rsidP="006C0568">
      <w:pPr>
        <w:spacing w:line="360" w:lineRule="auto"/>
        <w:jc w:val="both"/>
        <w:rPr>
          <w:rFonts w:asciiTheme="minorBidi" w:hAnsiTheme="minorBidi"/>
          <w:b/>
          <w:bCs/>
        </w:rPr>
      </w:pPr>
    </w:p>
    <w:p w14:paraId="78AFEA21" w14:textId="77777777" w:rsidR="0055323A" w:rsidRPr="00571440" w:rsidRDefault="0055323A" w:rsidP="006C0568">
      <w:pPr>
        <w:spacing w:line="360" w:lineRule="auto"/>
        <w:jc w:val="both"/>
        <w:rPr>
          <w:rFonts w:asciiTheme="minorBidi" w:hAnsiTheme="minorBidi"/>
          <w:b/>
          <w:bCs/>
        </w:rPr>
      </w:pPr>
    </w:p>
    <w:p w14:paraId="480182E7" w14:textId="77777777" w:rsidR="00B043EC" w:rsidRPr="00571440" w:rsidRDefault="00B043EC" w:rsidP="006C0568">
      <w:pPr>
        <w:spacing w:line="360" w:lineRule="auto"/>
        <w:jc w:val="both"/>
        <w:rPr>
          <w:rFonts w:asciiTheme="minorBidi" w:hAnsiTheme="minorBidi"/>
          <w:b/>
          <w:bCs/>
        </w:rPr>
      </w:pPr>
    </w:p>
    <w:p w14:paraId="2F809F39" w14:textId="77777777" w:rsidR="00654E48" w:rsidRPr="00571440" w:rsidRDefault="00654E48" w:rsidP="006C0568">
      <w:pPr>
        <w:spacing w:line="360" w:lineRule="auto"/>
        <w:jc w:val="both"/>
        <w:rPr>
          <w:rFonts w:asciiTheme="minorBidi" w:hAnsiTheme="minorBidi"/>
          <w:b/>
          <w:bCs/>
        </w:rPr>
      </w:pPr>
    </w:p>
    <w:p w14:paraId="55F7886D" w14:textId="4257706B"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The budgeted Profit and Loss Account for the six months ending 31 December is: </w:t>
      </w:r>
    </w:p>
    <w:tbl>
      <w:tblPr>
        <w:tblW w:w="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911"/>
        <w:gridCol w:w="2898"/>
        <w:gridCol w:w="3201"/>
      </w:tblGrid>
      <w:tr w:rsidR="008C1C27" w:rsidRPr="00571440" w14:paraId="10CF7CF5" w14:textId="77777777">
        <w:trPr>
          <w:trHeight w:val="300"/>
        </w:trPr>
        <w:tc>
          <w:tcPr>
            <w:tcW w:w="2970" w:type="dxa"/>
            <w:tcBorders>
              <w:top w:val="single" w:sz="6" w:space="0" w:color="auto"/>
              <w:left w:val="single" w:sz="6" w:space="0" w:color="auto"/>
              <w:bottom w:val="single" w:sz="6" w:space="0" w:color="auto"/>
              <w:right w:val="single" w:sz="6" w:space="0" w:color="auto"/>
            </w:tcBorders>
            <w:hideMark/>
          </w:tcPr>
          <w:p w14:paraId="14399BEF"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c>
          <w:tcPr>
            <w:tcW w:w="2970" w:type="dxa"/>
            <w:tcBorders>
              <w:top w:val="single" w:sz="6" w:space="0" w:color="auto"/>
              <w:left w:val="single" w:sz="6" w:space="0" w:color="auto"/>
              <w:bottom w:val="single" w:sz="6" w:space="0" w:color="auto"/>
              <w:right w:val="single" w:sz="6" w:space="0" w:color="auto"/>
            </w:tcBorders>
            <w:hideMark/>
          </w:tcPr>
          <w:p w14:paraId="011FED9B"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£000 </w:t>
            </w:r>
          </w:p>
        </w:tc>
        <w:tc>
          <w:tcPr>
            <w:tcW w:w="3060" w:type="dxa"/>
            <w:tcBorders>
              <w:top w:val="single" w:sz="6" w:space="0" w:color="auto"/>
              <w:left w:val="single" w:sz="6" w:space="0" w:color="auto"/>
              <w:bottom w:val="single" w:sz="6" w:space="0" w:color="auto"/>
              <w:right w:val="single" w:sz="6" w:space="0" w:color="auto"/>
            </w:tcBorders>
            <w:hideMark/>
          </w:tcPr>
          <w:p w14:paraId="40EAF540"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Calculation </w:t>
            </w:r>
          </w:p>
        </w:tc>
      </w:tr>
      <w:tr w:rsidR="008C1C27" w:rsidRPr="00571440" w14:paraId="00ADB703" w14:textId="77777777">
        <w:trPr>
          <w:trHeight w:val="300"/>
        </w:trPr>
        <w:tc>
          <w:tcPr>
            <w:tcW w:w="2970" w:type="dxa"/>
            <w:tcBorders>
              <w:top w:val="single" w:sz="6" w:space="0" w:color="auto"/>
              <w:left w:val="single" w:sz="6" w:space="0" w:color="auto"/>
              <w:bottom w:val="single" w:sz="6" w:space="0" w:color="auto"/>
              <w:right w:val="single" w:sz="6" w:space="0" w:color="auto"/>
            </w:tcBorders>
            <w:hideMark/>
          </w:tcPr>
          <w:p w14:paraId="02F986BE"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Sales </w:t>
            </w:r>
          </w:p>
        </w:tc>
        <w:tc>
          <w:tcPr>
            <w:tcW w:w="2970" w:type="dxa"/>
            <w:tcBorders>
              <w:top w:val="single" w:sz="6" w:space="0" w:color="auto"/>
              <w:left w:val="single" w:sz="6" w:space="0" w:color="auto"/>
              <w:bottom w:val="single" w:sz="6" w:space="0" w:color="auto"/>
              <w:right w:val="single" w:sz="6" w:space="0" w:color="auto"/>
            </w:tcBorders>
            <w:hideMark/>
          </w:tcPr>
          <w:p w14:paraId="39B2E24B"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1470 </w:t>
            </w:r>
          </w:p>
        </w:tc>
        <w:tc>
          <w:tcPr>
            <w:tcW w:w="3060" w:type="dxa"/>
            <w:tcBorders>
              <w:top w:val="single" w:sz="6" w:space="0" w:color="auto"/>
              <w:left w:val="single" w:sz="6" w:space="0" w:color="auto"/>
              <w:bottom w:val="single" w:sz="6" w:space="0" w:color="auto"/>
              <w:right w:val="single" w:sz="6" w:space="0" w:color="auto"/>
            </w:tcBorders>
            <w:hideMark/>
          </w:tcPr>
          <w:p w14:paraId="1EA024BA"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210+230+260+240+250+280 </w:t>
            </w:r>
          </w:p>
        </w:tc>
      </w:tr>
      <w:tr w:rsidR="008C1C27" w:rsidRPr="00571440" w14:paraId="195BF13E" w14:textId="77777777">
        <w:trPr>
          <w:trHeight w:val="300"/>
        </w:trPr>
        <w:tc>
          <w:tcPr>
            <w:tcW w:w="2970" w:type="dxa"/>
            <w:tcBorders>
              <w:top w:val="single" w:sz="6" w:space="0" w:color="auto"/>
              <w:left w:val="single" w:sz="6" w:space="0" w:color="auto"/>
              <w:bottom w:val="single" w:sz="6" w:space="0" w:color="auto"/>
              <w:right w:val="single" w:sz="6" w:space="0" w:color="auto"/>
            </w:tcBorders>
            <w:hideMark/>
          </w:tcPr>
          <w:p w14:paraId="23528D7D"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Cost of goods sold </w:t>
            </w:r>
          </w:p>
        </w:tc>
        <w:tc>
          <w:tcPr>
            <w:tcW w:w="2970" w:type="dxa"/>
            <w:tcBorders>
              <w:top w:val="single" w:sz="6" w:space="0" w:color="auto"/>
              <w:left w:val="single" w:sz="6" w:space="0" w:color="auto"/>
              <w:bottom w:val="single" w:sz="6" w:space="0" w:color="auto"/>
              <w:right w:val="single" w:sz="6" w:space="0" w:color="auto"/>
            </w:tcBorders>
            <w:hideMark/>
          </w:tcPr>
          <w:p w14:paraId="310AAC02"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882 </w:t>
            </w:r>
          </w:p>
        </w:tc>
        <w:tc>
          <w:tcPr>
            <w:tcW w:w="3060" w:type="dxa"/>
            <w:tcBorders>
              <w:top w:val="single" w:sz="6" w:space="0" w:color="auto"/>
              <w:left w:val="single" w:sz="6" w:space="0" w:color="auto"/>
              <w:bottom w:val="single" w:sz="6" w:space="0" w:color="auto"/>
              <w:right w:val="single" w:sz="6" w:space="0" w:color="auto"/>
            </w:tcBorders>
            <w:hideMark/>
          </w:tcPr>
          <w:p w14:paraId="0175A588"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1470 x 60% </w:t>
            </w:r>
          </w:p>
        </w:tc>
      </w:tr>
      <w:tr w:rsidR="008C1C27" w:rsidRPr="00571440" w14:paraId="3536A223" w14:textId="77777777">
        <w:trPr>
          <w:trHeight w:val="300"/>
        </w:trPr>
        <w:tc>
          <w:tcPr>
            <w:tcW w:w="2970" w:type="dxa"/>
            <w:tcBorders>
              <w:top w:val="single" w:sz="6" w:space="0" w:color="auto"/>
              <w:left w:val="single" w:sz="6" w:space="0" w:color="auto"/>
              <w:bottom w:val="single" w:sz="6" w:space="0" w:color="auto"/>
              <w:right w:val="single" w:sz="6" w:space="0" w:color="auto"/>
            </w:tcBorders>
            <w:hideMark/>
          </w:tcPr>
          <w:p w14:paraId="77429467"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Gross profit </w:t>
            </w:r>
          </w:p>
        </w:tc>
        <w:tc>
          <w:tcPr>
            <w:tcW w:w="2970" w:type="dxa"/>
            <w:tcBorders>
              <w:top w:val="single" w:sz="6" w:space="0" w:color="auto"/>
              <w:left w:val="single" w:sz="6" w:space="0" w:color="auto"/>
              <w:bottom w:val="single" w:sz="6" w:space="0" w:color="auto"/>
              <w:right w:val="single" w:sz="6" w:space="0" w:color="auto"/>
            </w:tcBorders>
            <w:hideMark/>
          </w:tcPr>
          <w:p w14:paraId="50441BF1"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588 </w:t>
            </w:r>
          </w:p>
        </w:tc>
        <w:tc>
          <w:tcPr>
            <w:tcW w:w="3060" w:type="dxa"/>
            <w:tcBorders>
              <w:top w:val="single" w:sz="6" w:space="0" w:color="auto"/>
              <w:left w:val="single" w:sz="6" w:space="0" w:color="auto"/>
              <w:bottom w:val="single" w:sz="6" w:space="0" w:color="auto"/>
              <w:right w:val="single" w:sz="6" w:space="0" w:color="auto"/>
            </w:tcBorders>
            <w:hideMark/>
          </w:tcPr>
          <w:p w14:paraId="5FF0D560"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1470 x 40% </w:t>
            </w:r>
          </w:p>
        </w:tc>
      </w:tr>
      <w:tr w:rsidR="008C1C27" w:rsidRPr="00571440" w14:paraId="4CD154DF" w14:textId="77777777">
        <w:trPr>
          <w:trHeight w:val="300"/>
        </w:trPr>
        <w:tc>
          <w:tcPr>
            <w:tcW w:w="2970" w:type="dxa"/>
            <w:tcBorders>
              <w:top w:val="single" w:sz="6" w:space="0" w:color="auto"/>
              <w:left w:val="single" w:sz="6" w:space="0" w:color="auto"/>
              <w:bottom w:val="single" w:sz="6" w:space="0" w:color="auto"/>
              <w:right w:val="single" w:sz="6" w:space="0" w:color="auto"/>
            </w:tcBorders>
            <w:hideMark/>
          </w:tcPr>
          <w:p w14:paraId="0BF6DF87"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Selling expenses </w:t>
            </w:r>
          </w:p>
        </w:tc>
        <w:tc>
          <w:tcPr>
            <w:tcW w:w="2970" w:type="dxa"/>
            <w:tcBorders>
              <w:top w:val="single" w:sz="6" w:space="0" w:color="auto"/>
              <w:left w:val="single" w:sz="6" w:space="0" w:color="auto"/>
              <w:bottom w:val="single" w:sz="6" w:space="0" w:color="auto"/>
              <w:right w:val="single" w:sz="6" w:space="0" w:color="auto"/>
            </w:tcBorders>
            <w:hideMark/>
          </w:tcPr>
          <w:p w14:paraId="18E9E41C"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42 </w:t>
            </w:r>
          </w:p>
        </w:tc>
        <w:tc>
          <w:tcPr>
            <w:tcW w:w="3060" w:type="dxa"/>
            <w:tcBorders>
              <w:top w:val="single" w:sz="6" w:space="0" w:color="auto"/>
              <w:left w:val="single" w:sz="6" w:space="0" w:color="auto"/>
              <w:bottom w:val="single" w:sz="6" w:space="0" w:color="auto"/>
              <w:right w:val="single" w:sz="6" w:space="0" w:color="auto"/>
            </w:tcBorders>
            <w:hideMark/>
          </w:tcPr>
          <w:p w14:paraId="5FE0C423"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5+6+7+8+9+7 </w:t>
            </w:r>
          </w:p>
        </w:tc>
      </w:tr>
      <w:tr w:rsidR="008C1C27" w:rsidRPr="00571440" w14:paraId="157E5297" w14:textId="77777777">
        <w:trPr>
          <w:trHeight w:val="300"/>
        </w:trPr>
        <w:tc>
          <w:tcPr>
            <w:tcW w:w="2970" w:type="dxa"/>
            <w:tcBorders>
              <w:top w:val="single" w:sz="6" w:space="0" w:color="auto"/>
              <w:left w:val="single" w:sz="6" w:space="0" w:color="auto"/>
              <w:bottom w:val="single" w:sz="6" w:space="0" w:color="auto"/>
              <w:right w:val="single" w:sz="6" w:space="0" w:color="auto"/>
            </w:tcBorders>
            <w:hideMark/>
          </w:tcPr>
          <w:p w14:paraId="15B1C6E8"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Admin expenses </w:t>
            </w:r>
          </w:p>
        </w:tc>
        <w:tc>
          <w:tcPr>
            <w:tcW w:w="2970" w:type="dxa"/>
            <w:tcBorders>
              <w:top w:val="single" w:sz="6" w:space="0" w:color="auto"/>
              <w:left w:val="single" w:sz="6" w:space="0" w:color="auto"/>
              <w:bottom w:val="single" w:sz="6" w:space="0" w:color="auto"/>
              <w:right w:val="single" w:sz="6" w:space="0" w:color="auto"/>
            </w:tcBorders>
            <w:hideMark/>
          </w:tcPr>
          <w:p w14:paraId="6028683A"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159 </w:t>
            </w:r>
          </w:p>
        </w:tc>
        <w:tc>
          <w:tcPr>
            <w:tcW w:w="3060" w:type="dxa"/>
            <w:tcBorders>
              <w:top w:val="single" w:sz="6" w:space="0" w:color="auto"/>
              <w:left w:val="single" w:sz="6" w:space="0" w:color="auto"/>
              <w:bottom w:val="single" w:sz="6" w:space="0" w:color="auto"/>
              <w:right w:val="single" w:sz="6" w:space="0" w:color="auto"/>
            </w:tcBorders>
            <w:hideMark/>
          </w:tcPr>
          <w:p w14:paraId="093370E2"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24+25+26+27+28+29 </w:t>
            </w:r>
          </w:p>
        </w:tc>
      </w:tr>
      <w:tr w:rsidR="008C1C27" w:rsidRPr="00571440" w14:paraId="35E95D4A" w14:textId="77777777">
        <w:trPr>
          <w:trHeight w:val="300"/>
        </w:trPr>
        <w:tc>
          <w:tcPr>
            <w:tcW w:w="2970" w:type="dxa"/>
            <w:tcBorders>
              <w:top w:val="single" w:sz="6" w:space="0" w:color="auto"/>
              <w:left w:val="single" w:sz="6" w:space="0" w:color="auto"/>
              <w:bottom w:val="single" w:sz="6" w:space="0" w:color="auto"/>
              <w:right w:val="single" w:sz="6" w:space="0" w:color="auto"/>
            </w:tcBorders>
            <w:hideMark/>
          </w:tcPr>
          <w:p w14:paraId="2A331F15"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Credit card charges </w:t>
            </w:r>
          </w:p>
        </w:tc>
        <w:tc>
          <w:tcPr>
            <w:tcW w:w="2970" w:type="dxa"/>
            <w:tcBorders>
              <w:top w:val="single" w:sz="6" w:space="0" w:color="auto"/>
              <w:left w:val="single" w:sz="6" w:space="0" w:color="auto"/>
              <w:bottom w:val="single" w:sz="6" w:space="0" w:color="auto"/>
              <w:right w:val="single" w:sz="6" w:space="0" w:color="auto"/>
            </w:tcBorders>
            <w:hideMark/>
          </w:tcPr>
          <w:p w14:paraId="063C3343"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12.86 </w:t>
            </w:r>
          </w:p>
        </w:tc>
        <w:tc>
          <w:tcPr>
            <w:tcW w:w="3060" w:type="dxa"/>
            <w:tcBorders>
              <w:top w:val="single" w:sz="6" w:space="0" w:color="auto"/>
              <w:left w:val="single" w:sz="6" w:space="0" w:color="auto"/>
              <w:bottom w:val="single" w:sz="6" w:space="0" w:color="auto"/>
              <w:right w:val="single" w:sz="6" w:space="0" w:color="auto"/>
            </w:tcBorders>
            <w:hideMark/>
          </w:tcPr>
          <w:p w14:paraId="4E874185"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1470 x 35% x 2.5% </w:t>
            </w:r>
          </w:p>
        </w:tc>
      </w:tr>
      <w:tr w:rsidR="008C1C27" w:rsidRPr="00571440" w14:paraId="4C9AA6AF" w14:textId="77777777">
        <w:trPr>
          <w:trHeight w:val="300"/>
        </w:trPr>
        <w:tc>
          <w:tcPr>
            <w:tcW w:w="2970" w:type="dxa"/>
            <w:tcBorders>
              <w:top w:val="single" w:sz="6" w:space="0" w:color="auto"/>
              <w:left w:val="single" w:sz="6" w:space="0" w:color="auto"/>
              <w:bottom w:val="single" w:sz="6" w:space="0" w:color="auto"/>
              <w:right w:val="single" w:sz="6" w:space="0" w:color="auto"/>
            </w:tcBorders>
            <w:hideMark/>
          </w:tcPr>
          <w:p w14:paraId="54ACAEC8"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Operating profit </w:t>
            </w:r>
          </w:p>
        </w:tc>
        <w:tc>
          <w:tcPr>
            <w:tcW w:w="2970" w:type="dxa"/>
            <w:tcBorders>
              <w:top w:val="single" w:sz="6" w:space="0" w:color="auto"/>
              <w:left w:val="single" w:sz="6" w:space="0" w:color="auto"/>
              <w:bottom w:val="single" w:sz="6" w:space="0" w:color="auto"/>
              <w:right w:val="single" w:sz="6" w:space="0" w:color="auto"/>
            </w:tcBorders>
            <w:hideMark/>
          </w:tcPr>
          <w:p w14:paraId="7FBA12C2"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374.14 </w:t>
            </w:r>
          </w:p>
        </w:tc>
        <w:tc>
          <w:tcPr>
            <w:tcW w:w="3060" w:type="dxa"/>
            <w:tcBorders>
              <w:top w:val="single" w:sz="6" w:space="0" w:color="auto"/>
              <w:left w:val="single" w:sz="6" w:space="0" w:color="auto"/>
              <w:bottom w:val="single" w:sz="6" w:space="0" w:color="auto"/>
              <w:right w:val="single" w:sz="6" w:space="0" w:color="auto"/>
            </w:tcBorders>
            <w:hideMark/>
          </w:tcPr>
          <w:p w14:paraId="206E9018"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r>
      <w:tr w:rsidR="008C1C27" w:rsidRPr="00571440" w14:paraId="4E9BB92D" w14:textId="77777777">
        <w:trPr>
          <w:trHeight w:val="300"/>
        </w:trPr>
        <w:tc>
          <w:tcPr>
            <w:tcW w:w="2970" w:type="dxa"/>
            <w:tcBorders>
              <w:top w:val="single" w:sz="6" w:space="0" w:color="auto"/>
              <w:left w:val="single" w:sz="6" w:space="0" w:color="auto"/>
              <w:bottom w:val="single" w:sz="6" w:space="0" w:color="auto"/>
              <w:right w:val="single" w:sz="6" w:space="0" w:color="auto"/>
            </w:tcBorders>
            <w:hideMark/>
          </w:tcPr>
          <w:p w14:paraId="63F969BA"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Interest payable </w:t>
            </w:r>
          </w:p>
        </w:tc>
        <w:tc>
          <w:tcPr>
            <w:tcW w:w="2970" w:type="dxa"/>
            <w:tcBorders>
              <w:top w:val="single" w:sz="6" w:space="0" w:color="auto"/>
              <w:left w:val="single" w:sz="6" w:space="0" w:color="auto"/>
              <w:bottom w:val="single" w:sz="6" w:space="0" w:color="auto"/>
              <w:right w:val="single" w:sz="6" w:space="0" w:color="auto"/>
            </w:tcBorders>
            <w:hideMark/>
          </w:tcPr>
          <w:p w14:paraId="725A02D2"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6 </w:t>
            </w:r>
          </w:p>
        </w:tc>
        <w:tc>
          <w:tcPr>
            <w:tcW w:w="3060" w:type="dxa"/>
            <w:tcBorders>
              <w:top w:val="single" w:sz="6" w:space="0" w:color="auto"/>
              <w:left w:val="single" w:sz="6" w:space="0" w:color="auto"/>
              <w:bottom w:val="single" w:sz="6" w:space="0" w:color="auto"/>
              <w:right w:val="single" w:sz="6" w:space="0" w:color="auto"/>
            </w:tcBorders>
            <w:hideMark/>
          </w:tcPr>
          <w:p w14:paraId="022B34F8"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6 x 5 x 20% </w:t>
            </w:r>
          </w:p>
        </w:tc>
      </w:tr>
      <w:tr w:rsidR="008C1C27" w:rsidRPr="00571440" w14:paraId="7BB1D7FF" w14:textId="77777777">
        <w:trPr>
          <w:trHeight w:val="300"/>
        </w:trPr>
        <w:tc>
          <w:tcPr>
            <w:tcW w:w="2970" w:type="dxa"/>
            <w:tcBorders>
              <w:top w:val="single" w:sz="6" w:space="0" w:color="auto"/>
              <w:left w:val="single" w:sz="6" w:space="0" w:color="auto"/>
              <w:bottom w:val="single" w:sz="6" w:space="0" w:color="auto"/>
              <w:right w:val="single" w:sz="6" w:space="0" w:color="auto"/>
            </w:tcBorders>
            <w:hideMark/>
          </w:tcPr>
          <w:p w14:paraId="471BDE33"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Profit for the period </w:t>
            </w:r>
          </w:p>
        </w:tc>
        <w:tc>
          <w:tcPr>
            <w:tcW w:w="2970" w:type="dxa"/>
            <w:tcBorders>
              <w:top w:val="single" w:sz="6" w:space="0" w:color="auto"/>
              <w:left w:val="single" w:sz="6" w:space="0" w:color="auto"/>
              <w:bottom w:val="single" w:sz="6" w:space="0" w:color="auto"/>
              <w:right w:val="single" w:sz="6" w:space="0" w:color="auto"/>
            </w:tcBorders>
            <w:hideMark/>
          </w:tcPr>
          <w:p w14:paraId="132815C2"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368.14 </w:t>
            </w:r>
          </w:p>
        </w:tc>
        <w:tc>
          <w:tcPr>
            <w:tcW w:w="3060" w:type="dxa"/>
            <w:tcBorders>
              <w:top w:val="single" w:sz="6" w:space="0" w:color="auto"/>
              <w:left w:val="single" w:sz="6" w:space="0" w:color="auto"/>
              <w:bottom w:val="single" w:sz="6" w:space="0" w:color="auto"/>
              <w:right w:val="single" w:sz="6" w:space="0" w:color="auto"/>
            </w:tcBorders>
            <w:hideMark/>
          </w:tcPr>
          <w:p w14:paraId="03D7750B" w14:textId="77777777" w:rsidR="008C1C27" w:rsidRPr="00571440" w:rsidRDefault="008C1C27" w:rsidP="006C0568">
            <w:pPr>
              <w:spacing w:line="360" w:lineRule="auto"/>
              <w:jc w:val="both"/>
              <w:rPr>
                <w:rFonts w:asciiTheme="minorBidi" w:hAnsiTheme="minorBidi"/>
                <w:b/>
                <w:bCs/>
              </w:rPr>
            </w:pPr>
            <w:r w:rsidRPr="00571440">
              <w:rPr>
                <w:rFonts w:asciiTheme="minorBidi" w:hAnsiTheme="minorBidi"/>
                <w:b/>
                <w:bCs/>
              </w:rPr>
              <w:t> </w:t>
            </w:r>
          </w:p>
        </w:tc>
      </w:tr>
    </w:tbl>
    <w:p w14:paraId="183D8AF7" w14:textId="77777777" w:rsidR="004B02EE" w:rsidRDefault="004B02EE" w:rsidP="006C0568">
      <w:pPr>
        <w:spacing w:line="360" w:lineRule="auto"/>
        <w:jc w:val="both"/>
        <w:rPr>
          <w:rFonts w:asciiTheme="minorBidi" w:hAnsiTheme="minorBidi"/>
          <w:b/>
          <w:bCs/>
        </w:rPr>
      </w:pPr>
    </w:p>
    <w:p w14:paraId="41EA8EF8" w14:textId="77777777" w:rsidR="00055C32" w:rsidRDefault="00055C32" w:rsidP="006C0568">
      <w:pPr>
        <w:spacing w:line="360" w:lineRule="auto"/>
        <w:jc w:val="both"/>
        <w:rPr>
          <w:rFonts w:asciiTheme="minorBidi" w:hAnsiTheme="minorBidi"/>
          <w:b/>
          <w:bCs/>
        </w:rPr>
      </w:pPr>
    </w:p>
    <w:p w14:paraId="43CDBA07" w14:textId="77777777" w:rsidR="00055C32" w:rsidRDefault="00055C32" w:rsidP="006C0568">
      <w:pPr>
        <w:spacing w:line="360" w:lineRule="auto"/>
        <w:jc w:val="both"/>
        <w:rPr>
          <w:rFonts w:asciiTheme="minorBidi" w:hAnsiTheme="minorBidi"/>
          <w:b/>
          <w:bCs/>
        </w:rPr>
      </w:pPr>
    </w:p>
    <w:p w14:paraId="623F4F21" w14:textId="77777777" w:rsidR="00055C32" w:rsidRDefault="00055C32" w:rsidP="006C0568">
      <w:pPr>
        <w:spacing w:line="360" w:lineRule="auto"/>
        <w:jc w:val="both"/>
        <w:rPr>
          <w:rFonts w:asciiTheme="minorBidi" w:hAnsiTheme="minorBidi"/>
          <w:b/>
          <w:bCs/>
        </w:rPr>
      </w:pPr>
    </w:p>
    <w:p w14:paraId="679F333F" w14:textId="77777777" w:rsidR="00055C32" w:rsidRDefault="00055C32" w:rsidP="006C0568">
      <w:pPr>
        <w:spacing w:line="360" w:lineRule="auto"/>
        <w:jc w:val="both"/>
        <w:rPr>
          <w:rFonts w:asciiTheme="minorBidi" w:hAnsiTheme="minorBidi"/>
          <w:b/>
          <w:bCs/>
        </w:rPr>
      </w:pPr>
    </w:p>
    <w:p w14:paraId="33BB348B" w14:textId="77777777" w:rsidR="00055C32" w:rsidRDefault="00055C32" w:rsidP="006C0568">
      <w:pPr>
        <w:spacing w:line="360" w:lineRule="auto"/>
        <w:jc w:val="both"/>
        <w:rPr>
          <w:rFonts w:asciiTheme="minorBidi" w:hAnsiTheme="minorBidi"/>
          <w:b/>
          <w:bCs/>
        </w:rPr>
      </w:pPr>
    </w:p>
    <w:p w14:paraId="15252372" w14:textId="77777777" w:rsidR="00055C32" w:rsidRDefault="00055C32" w:rsidP="006C0568">
      <w:pPr>
        <w:spacing w:line="360" w:lineRule="auto"/>
        <w:jc w:val="both"/>
        <w:rPr>
          <w:rFonts w:asciiTheme="minorBidi" w:hAnsiTheme="minorBidi"/>
          <w:b/>
          <w:bCs/>
        </w:rPr>
      </w:pPr>
    </w:p>
    <w:p w14:paraId="013D5030" w14:textId="77777777" w:rsidR="00055C32" w:rsidRDefault="00055C32" w:rsidP="006C0568">
      <w:pPr>
        <w:spacing w:line="360" w:lineRule="auto"/>
        <w:jc w:val="both"/>
        <w:rPr>
          <w:rFonts w:asciiTheme="minorBidi" w:hAnsiTheme="minorBidi"/>
          <w:b/>
          <w:bCs/>
        </w:rPr>
      </w:pPr>
    </w:p>
    <w:p w14:paraId="519270E6" w14:textId="77777777" w:rsidR="00055C32" w:rsidRPr="00571440" w:rsidRDefault="00055C32" w:rsidP="006C0568">
      <w:pPr>
        <w:spacing w:line="360" w:lineRule="auto"/>
        <w:jc w:val="both"/>
        <w:rPr>
          <w:rFonts w:asciiTheme="minorBidi" w:hAnsiTheme="minorBidi"/>
          <w:b/>
          <w:bCs/>
        </w:rPr>
      </w:pPr>
    </w:p>
    <w:p w14:paraId="7158491D" w14:textId="667D6813" w:rsidR="00B02E0C" w:rsidRPr="00571440" w:rsidRDefault="00D60AE8" w:rsidP="006C0568">
      <w:pPr>
        <w:pStyle w:val="Heading4"/>
        <w:spacing w:line="360" w:lineRule="auto"/>
        <w:jc w:val="both"/>
        <w:rPr>
          <w:rFonts w:asciiTheme="minorBidi" w:hAnsiTheme="minorBidi" w:cstheme="minorBidi"/>
          <w:b/>
          <w:bCs/>
          <w:i w:val="0"/>
          <w:iCs w:val="0"/>
          <w:color w:val="auto"/>
        </w:rPr>
      </w:pPr>
      <w:r w:rsidRPr="00571440">
        <w:rPr>
          <w:rFonts w:asciiTheme="minorBidi" w:hAnsiTheme="minorBidi" w:cstheme="minorBidi"/>
          <w:b/>
          <w:bCs/>
          <w:i w:val="0"/>
          <w:iCs w:val="0"/>
          <w:color w:val="auto"/>
        </w:rPr>
        <w:lastRenderedPageBreak/>
        <w:t xml:space="preserve"> </w:t>
      </w:r>
      <w:r w:rsidR="00B02E0C" w:rsidRPr="00571440">
        <w:rPr>
          <w:rFonts w:asciiTheme="minorBidi" w:hAnsiTheme="minorBidi" w:cstheme="minorBidi"/>
          <w:b/>
          <w:bCs/>
          <w:i w:val="0"/>
          <w:iCs w:val="0"/>
          <w:color w:val="auto"/>
        </w:rPr>
        <w:t>3.1 Stock Budget Analysis:</w:t>
      </w:r>
    </w:p>
    <w:p w14:paraId="1335016A" w14:textId="7879BD18" w:rsidR="002F5C3B" w:rsidRPr="00571440" w:rsidRDefault="002F5C3B" w:rsidP="006C0568">
      <w:pPr>
        <w:pStyle w:val="Subtitle"/>
        <w:spacing w:line="360" w:lineRule="auto"/>
        <w:jc w:val="both"/>
        <w:rPr>
          <w:rFonts w:asciiTheme="minorBidi" w:hAnsiTheme="minorBidi" w:cstheme="minorBidi"/>
          <w:sz w:val="24"/>
          <w:szCs w:val="24"/>
        </w:rPr>
      </w:pPr>
    </w:p>
    <w:p w14:paraId="7383FB13"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The stock budget estimates the inventory levels that Silver Stitch Ltd expects to hold during the six-month period. This is especially important for retail organisations because stock represents a major investment of working capital and has a direct effect on both sales performance and cash flow (Kolitz, 2017; Weetman, 2019). If stock levels are too low, the company may lose sales and disappoint customers. If they are too high, cash becomes tied up in unsold goods and storage costs may rise (Atrill and McLaney, 2021).</w:t>
      </w:r>
    </w:p>
    <w:p w14:paraId="2943F141"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Silver Stitch Ltd begins July with opening stock of £100,000. The cost of goods sold is calculated at 60% of sales because the case states that the gross profit margin is 40%. This is a standard budgeting approach because gross profit margins are commonly used to estimate cost of sales and support purchasing decisions (Seal, Garrison and Noreen, 2018; Datar and Rajan, 2017).</w:t>
      </w:r>
    </w:p>
    <w:p w14:paraId="2E8B0D13"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The stock budget shows a steady increase in closing stock, rising from £154,000 in July to £388,000 in December. On one hand, this may suggest that the company is preparing for higher future sales and wants to avoid stock shortages. On the other hand, the continued rise in stock may also indicate that too much capital is being tied up in inventory. This is important because efficient stock control is not only about availability of goods, but also about financial efficiency and working capital management (Drury, 2021; Hansen, Mowen and Heitger, 2019).</w:t>
      </w:r>
    </w:p>
    <w:p w14:paraId="2781702A"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A critical point is that the stock budget appears strong operationally but may create financial pressure elsewhere. Higher stock can support sales, yet it may also worsen liquidity if the goods are not sold quickly enough. Therefore, management should not evaluate the stock budget in isolation. It should be assessed alongside the cash budget to understand whether the company can financially support its increasing inventory levels (Atrill and McLaney, 2018; Walsh, 2008).</w:t>
      </w:r>
    </w:p>
    <w:p w14:paraId="636B9E23" w14:textId="77777777" w:rsidR="00C55D64" w:rsidRDefault="00A350BD" w:rsidP="006C0568">
      <w:pPr>
        <w:pStyle w:val="Heading5"/>
        <w:spacing w:line="360" w:lineRule="auto"/>
        <w:jc w:val="both"/>
        <w:rPr>
          <w:rFonts w:asciiTheme="minorBidi" w:hAnsiTheme="minorBidi" w:cstheme="minorBidi"/>
          <w:b/>
          <w:bCs/>
          <w:color w:val="auto"/>
        </w:rPr>
      </w:pPr>
      <w:r w:rsidRPr="00571440">
        <w:rPr>
          <w:rFonts w:asciiTheme="minorBidi" w:hAnsiTheme="minorBidi" w:cstheme="minorBidi"/>
          <w:b/>
          <w:bCs/>
          <w:color w:val="auto"/>
        </w:rPr>
        <w:t xml:space="preserve">    </w:t>
      </w:r>
    </w:p>
    <w:p w14:paraId="38B05044" w14:textId="77777777" w:rsidR="00055C32" w:rsidRDefault="00055C32" w:rsidP="00055C32"/>
    <w:p w14:paraId="377BC635" w14:textId="77777777" w:rsidR="00055C32" w:rsidRPr="00055C32" w:rsidRDefault="00055C32" w:rsidP="00055C32"/>
    <w:p w14:paraId="2BB8C211" w14:textId="7566FB6D" w:rsidR="002F5C3B" w:rsidRPr="00571440" w:rsidRDefault="00C55D64" w:rsidP="006C0568">
      <w:pPr>
        <w:pStyle w:val="Heading5"/>
        <w:spacing w:line="360" w:lineRule="auto"/>
        <w:jc w:val="both"/>
        <w:rPr>
          <w:rFonts w:asciiTheme="minorBidi" w:hAnsiTheme="minorBidi" w:cstheme="minorBidi"/>
          <w:b/>
          <w:bCs/>
          <w:color w:val="auto"/>
        </w:rPr>
      </w:pPr>
      <w:r w:rsidRPr="00571440">
        <w:rPr>
          <w:rFonts w:asciiTheme="minorBidi" w:hAnsiTheme="minorBidi" w:cstheme="minorBidi"/>
          <w:b/>
          <w:bCs/>
          <w:color w:val="auto"/>
        </w:rPr>
        <w:lastRenderedPageBreak/>
        <w:t xml:space="preserve"> </w:t>
      </w:r>
      <w:r w:rsidR="00FA54C5" w:rsidRPr="00571440">
        <w:rPr>
          <w:rFonts w:asciiTheme="minorBidi" w:hAnsiTheme="minorBidi" w:cstheme="minorBidi"/>
          <w:b/>
          <w:bCs/>
          <w:color w:val="auto"/>
        </w:rPr>
        <w:t>3</w:t>
      </w:r>
      <w:r w:rsidR="008F6D11" w:rsidRPr="00571440">
        <w:rPr>
          <w:rFonts w:asciiTheme="minorBidi" w:hAnsiTheme="minorBidi" w:cstheme="minorBidi"/>
          <w:b/>
          <w:bCs/>
          <w:color w:val="auto"/>
        </w:rPr>
        <w:t>.</w:t>
      </w:r>
      <w:r w:rsidR="00FA54C5" w:rsidRPr="00571440">
        <w:rPr>
          <w:rFonts w:asciiTheme="minorBidi" w:hAnsiTheme="minorBidi" w:cstheme="minorBidi"/>
          <w:b/>
          <w:bCs/>
          <w:color w:val="auto"/>
        </w:rPr>
        <w:t xml:space="preserve">2 </w:t>
      </w:r>
      <w:r w:rsidR="002F5C3B" w:rsidRPr="00571440">
        <w:rPr>
          <w:rFonts w:asciiTheme="minorBidi" w:hAnsiTheme="minorBidi" w:cstheme="minorBidi"/>
          <w:b/>
          <w:bCs/>
          <w:color w:val="auto"/>
        </w:rPr>
        <w:t>Cash Budget Analysis</w:t>
      </w:r>
      <w:r w:rsidR="00AC3D43" w:rsidRPr="00571440">
        <w:rPr>
          <w:rFonts w:asciiTheme="minorBidi" w:hAnsiTheme="minorBidi" w:cstheme="minorBidi"/>
          <w:b/>
          <w:bCs/>
          <w:color w:val="auto"/>
        </w:rPr>
        <w:t>:</w:t>
      </w:r>
    </w:p>
    <w:p w14:paraId="298855BB" w14:textId="77777777" w:rsidR="00A350BD" w:rsidRPr="00571440" w:rsidRDefault="00A350BD" w:rsidP="006C0568">
      <w:pPr>
        <w:spacing w:line="360" w:lineRule="auto"/>
        <w:jc w:val="both"/>
        <w:rPr>
          <w:rFonts w:asciiTheme="minorBidi" w:hAnsiTheme="minorBidi"/>
        </w:rPr>
      </w:pPr>
    </w:p>
    <w:p w14:paraId="69F9D29A"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The cash budget estimates expected cash inflows and outflows during the six-month period. Cash budgeting is extremely important because profitability does not automatically mean good liquidity. A business may report profit while still facing difficulties in paying suppliers, staff or lenders if cash receipts are delayed or cash payments are high (Horner, 2020; Dyson, 2020).</w:t>
      </w:r>
    </w:p>
    <w:p w14:paraId="30114247"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For Silver Stitch Ltd, the main source of cash inflow is sales revenue. All sales proceeds are received in the month of sale, although 35% of customers pay by credit card and the credit card company charges 2.5% of the sales value. This slightly reduces the company’s cash receipts. This detail is important because even small transaction charges can affect liquidity over time, especially in businesses with high sales volume and narrow cash margins (Drury, 2021).</w:t>
      </w:r>
    </w:p>
    <w:p w14:paraId="21285997"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Cash outflows include administration costs, stock purchases, selling expenses, taxation, refurbishment costs, loan repayments and interest. The budget also reflects the effect of timing differences. For example, suppliers allow one month’s credit for stock purchases, meaning goods bought in one month are paid for in the next month. Selling expenses are also paid one month later. These timing differences are a major part of working capital management and can significantly affect short-term liquidity (Atrill and McLaney, 2021; Ryan, 2016).</w:t>
      </w:r>
    </w:p>
    <w:p w14:paraId="2401A763"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 xml:space="preserve">The cash budget shows that the company generates monthly cash surpluses, but several of them are small, especially in October and November. This suggests that the company may be operating with limited cash flexibility. Although there is no monthly cash deficit in the table presented, the small surpluses mean that any unexpected fall in sales or increase in costs could quickly create pressure on liquidity. This is a key weakness because the company already begins from an overdraft position and has been instructed by the bank to eliminate it by the end of December. </w:t>
      </w:r>
    </w:p>
    <w:p w14:paraId="216A8075"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A more critical interpretation is that the company’s cash position appears more fragile than its profit figure suggests. This supports the view that managers should not rely on profit alone when assessing financial health. Cash budgeting provides a more realistic picture of whether the business can meet its obligations at the right time (Seal, Garrison and Noreen, 2018; Friedlob and Plewa, 2018).</w:t>
      </w:r>
    </w:p>
    <w:p w14:paraId="498DEB6E" w14:textId="77777777" w:rsidR="00AC3D43" w:rsidRPr="00571440" w:rsidRDefault="00AC3D43" w:rsidP="006C0568">
      <w:pPr>
        <w:spacing w:line="360" w:lineRule="auto"/>
        <w:jc w:val="both"/>
        <w:rPr>
          <w:rFonts w:asciiTheme="minorBidi" w:hAnsiTheme="minorBidi"/>
        </w:rPr>
      </w:pPr>
    </w:p>
    <w:p w14:paraId="0DCECD11" w14:textId="45966C85" w:rsidR="002F5C3B" w:rsidRPr="00571440" w:rsidRDefault="00A350BD" w:rsidP="006C0568">
      <w:pPr>
        <w:pStyle w:val="Heading6"/>
        <w:spacing w:line="360" w:lineRule="auto"/>
        <w:jc w:val="both"/>
        <w:rPr>
          <w:rFonts w:asciiTheme="minorBidi" w:hAnsiTheme="minorBidi" w:cstheme="minorBidi"/>
          <w:b/>
          <w:bCs/>
          <w:i w:val="0"/>
          <w:iCs w:val="0"/>
          <w:color w:val="auto"/>
        </w:rPr>
      </w:pPr>
      <w:r w:rsidRPr="00571440">
        <w:rPr>
          <w:rFonts w:asciiTheme="minorBidi" w:hAnsiTheme="minorBidi" w:cstheme="minorBidi"/>
          <w:b/>
          <w:bCs/>
          <w:i w:val="0"/>
          <w:iCs w:val="0"/>
          <w:color w:val="auto"/>
        </w:rPr>
        <w:t xml:space="preserve">  </w:t>
      </w:r>
      <w:r w:rsidR="00FA54C5" w:rsidRPr="00571440">
        <w:rPr>
          <w:rFonts w:asciiTheme="minorBidi" w:hAnsiTheme="minorBidi" w:cstheme="minorBidi"/>
          <w:b/>
          <w:bCs/>
          <w:i w:val="0"/>
          <w:iCs w:val="0"/>
          <w:color w:val="auto"/>
        </w:rPr>
        <w:t>3</w:t>
      </w:r>
      <w:r w:rsidR="008F6D11" w:rsidRPr="00571440">
        <w:rPr>
          <w:rFonts w:asciiTheme="minorBidi" w:hAnsiTheme="minorBidi" w:cstheme="minorBidi"/>
          <w:b/>
          <w:bCs/>
          <w:i w:val="0"/>
          <w:iCs w:val="0"/>
          <w:color w:val="auto"/>
        </w:rPr>
        <w:t>.</w:t>
      </w:r>
      <w:r w:rsidR="00FA54C5" w:rsidRPr="00571440">
        <w:rPr>
          <w:rFonts w:asciiTheme="minorBidi" w:hAnsiTheme="minorBidi" w:cstheme="minorBidi"/>
          <w:b/>
          <w:bCs/>
          <w:i w:val="0"/>
          <w:iCs w:val="0"/>
          <w:color w:val="auto"/>
        </w:rPr>
        <w:t>3</w:t>
      </w:r>
      <w:r w:rsidR="008F6D11" w:rsidRPr="00571440">
        <w:rPr>
          <w:rFonts w:asciiTheme="minorBidi" w:hAnsiTheme="minorBidi" w:cstheme="minorBidi"/>
          <w:b/>
          <w:bCs/>
          <w:i w:val="0"/>
          <w:iCs w:val="0"/>
          <w:color w:val="auto"/>
        </w:rPr>
        <w:t xml:space="preserve"> </w:t>
      </w:r>
      <w:r w:rsidR="002F5C3B" w:rsidRPr="00571440">
        <w:rPr>
          <w:rFonts w:asciiTheme="minorBidi" w:hAnsiTheme="minorBidi" w:cstheme="minorBidi"/>
          <w:b/>
          <w:bCs/>
          <w:i w:val="0"/>
          <w:iCs w:val="0"/>
          <w:color w:val="auto"/>
        </w:rPr>
        <w:t>Budgeted Profit and Loss Account Analysis</w:t>
      </w:r>
      <w:r w:rsidR="00AC3D43" w:rsidRPr="00571440">
        <w:rPr>
          <w:rFonts w:asciiTheme="minorBidi" w:hAnsiTheme="minorBidi" w:cstheme="minorBidi"/>
          <w:b/>
          <w:bCs/>
          <w:i w:val="0"/>
          <w:iCs w:val="0"/>
          <w:color w:val="auto"/>
        </w:rPr>
        <w:t>:</w:t>
      </w:r>
    </w:p>
    <w:p w14:paraId="14620A43" w14:textId="77777777" w:rsidR="00A350BD" w:rsidRPr="00571440" w:rsidRDefault="00A350BD" w:rsidP="006C0568">
      <w:pPr>
        <w:spacing w:line="360" w:lineRule="auto"/>
        <w:jc w:val="both"/>
        <w:rPr>
          <w:rFonts w:asciiTheme="minorBidi" w:hAnsiTheme="minorBidi"/>
        </w:rPr>
      </w:pPr>
    </w:p>
    <w:p w14:paraId="519DC05E"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The budgeted profit and loss account summarises expected revenues and expenses for the six-month period and gives an estimate of overall profitability. Total sales are forecast at £1,470,000, with cost of goods sold of £882,000, producing a gross profit of £588,000. This indicates that the company is expected to maintain a healthy gross margin, which is important for a retail business facing ongoing operating costs (Seal, Garrison and Noreen, 2018).</w:t>
      </w:r>
    </w:p>
    <w:p w14:paraId="2BE9C305"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Operating expenses include selling expenses, administration expenses and credit card charges. Administration expenses include depreciation, which is a non-cash expense. Although depreciation does not reduce cash directly, it must still be included in the profit and loss account because it reflects the use of long-term assets over time (Drury, 2021; Libby, Libby and Hodge, 2020).</w:t>
      </w:r>
    </w:p>
    <w:p w14:paraId="41EB6DBC"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After operating expenses and interest, the company is forecast to earn a profit of £365,140. This suggests that Silver Stitch Ltd is financially viable in terms of profitability. However, the critical issue is that profitability and liquidity are not the same. A business can be profitable on paper while still struggling to manage cash, especially when there are loan repayments, refurbishment spending and increasing stock levels (Atrill and McLaney, 2021; Needles, Powers and Crosson, 2014).</w:t>
      </w:r>
    </w:p>
    <w:p w14:paraId="7FDD93BE"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Therefore, while the profit and loss budget is positive, it should not lead management to assume that the business is free from financial risk. The company’s profitability is encouraging, but the cash budget shows that careful control is still needed.</w:t>
      </w:r>
    </w:p>
    <w:p w14:paraId="7279E70B" w14:textId="3BD97DD3" w:rsidR="002F5C3B" w:rsidRDefault="002F5C3B" w:rsidP="006C0568">
      <w:pPr>
        <w:spacing w:line="360" w:lineRule="auto"/>
        <w:jc w:val="both"/>
        <w:rPr>
          <w:rFonts w:asciiTheme="minorBidi" w:hAnsiTheme="minorBidi"/>
        </w:rPr>
      </w:pPr>
    </w:p>
    <w:p w14:paraId="7EEB90FE" w14:textId="77777777" w:rsidR="00055C32" w:rsidRDefault="00055C32" w:rsidP="006C0568">
      <w:pPr>
        <w:spacing w:line="360" w:lineRule="auto"/>
        <w:jc w:val="both"/>
        <w:rPr>
          <w:rFonts w:asciiTheme="minorBidi" w:hAnsiTheme="minorBidi"/>
        </w:rPr>
      </w:pPr>
    </w:p>
    <w:p w14:paraId="102AC743" w14:textId="77777777" w:rsidR="00055C32" w:rsidRDefault="00055C32" w:rsidP="006C0568">
      <w:pPr>
        <w:spacing w:line="360" w:lineRule="auto"/>
        <w:jc w:val="both"/>
        <w:rPr>
          <w:rFonts w:asciiTheme="minorBidi" w:hAnsiTheme="minorBidi"/>
        </w:rPr>
      </w:pPr>
    </w:p>
    <w:p w14:paraId="12B8E332" w14:textId="77777777" w:rsidR="00055C32" w:rsidRDefault="00055C32" w:rsidP="006C0568">
      <w:pPr>
        <w:spacing w:line="360" w:lineRule="auto"/>
        <w:jc w:val="both"/>
        <w:rPr>
          <w:rFonts w:asciiTheme="minorBidi" w:hAnsiTheme="minorBidi"/>
        </w:rPr>
      </w:pPr>
    </w:p>
    <w:p w14:paraId="008B0CDE" w14:textId="77777777" w:rsidR="00055C32" w:rsidRPr="00571440" w:rsidRDefault="00055C32" w:rsidP="006C0568">
      <w:pPr>
        <w:spacing w:line="360" w:lineRule="auto"/>
        <w:jc w:val="both"/>
        <w:rPr>
          <w:rFonts w:asciiTheme="minorBidi" w:hAnsiTheme="minorBidi"/>
        </w:rPr>
      </w:pPr>
    </w:p>
    <w:p w14:paraId="49A17720" w14:textId="11F6572B" w:rsidR="002F5C3B" w:rsidRPr="00571440" w:rsidRDefault="00A350BD" w:rsidP="006C0568">
      <w:pPr>
        <w:pStyle w:val="Heading7"/>
        <w:spacing w:line="360" w:lineRule="auto"/>
        <w:jc w:val="both"/>
        <w:rPr>
          <w:rFonts w:asciiTheme="minorBidi" w:hAnsiTheme="minorBidi" w:cstheme="minorBidi"/>
          <w:b/>
          <w:bCs/>
          <w:color w:val="auto"/>
        </w:rPr>
      </w:pPr>
      <w:r w:rsidRPr="00571440">
        <w:rPr>
          <w:rFonts w:asciiTheme="minorBidi" w:hAnsiTheme="minorBidi" w:cstheme="minorBidi"/>
          <w:b/>
          <w:bCs/>
          <w:color w:val="auto"/>
        </w:rPr>
        <w:lastRenderedPageBreak/>
        <w:t xml:space="preserve"> </w:t>
      </w:r>
      <w:r w:rsidR="00FA54C5" w:rsidRPr="00571440">
        <w:rPr>
          <w:rFonts w:asciiTheme="minorBidi" w:hAnsiTheme="minorBidi" w:cstheme="minorBidi"/>
          <w:b/>
          <w:bCs/>
          <w:color w:val="auto"/>
        </w:rPr>
        <w:t>3</w:t>
      </w:r>
      <w:r w:rsidR="006B26A9" w:rsidRPr="00571440">
        <w:rPr>
          <w:rFonts w:asciiTheme="minorBidi" w:hAnsiTheme="minorBidi" w:cstheme="minorBidi"/>
          <w:b/>
          <w:bCs/>
          <w:color w:val="auto"/>
        </w:rPr>
        <w:t>.4</w:t>
      </w:r>
      <w:r w:rsidR="00B4626B" w:rsidRPr="00571440">
        <w:rPr>
          <w:rFonts w:asciiTheme="minorBidi" w:hAnsiTheme="minorBidi" w:cstheme="minorBidi"/>
          <w:b/>
          <w:bCs/>
          <w:color w:val="auto"/>
        </w:rPr>
        <w:t xml:space="preserve"> </w:t>
      </w:r>
      <w:r w:rsidR="002F5C3B" w:rsidRPr="00571440">
        <w:rPr>
          <w:rFonts w:asciiTheme="minorBidi" w:hAnsiTheme="minorBidi" w:cstheme="minorBidi"/>
          <w:b/>
          <w:bCs/>
          <w:color w:val="auto"/>
        </w:rPr>
        <w:t>Financial Problems Identified</w:t>
      </w:r>
      <w:r w:rsidR="00AC3D43" w:rsidRPr="00571440">
        <w:rPr>
          <w:rFonts w:asciiTheme="minorBidi" w:hAnsiTheme="minorBidi" w:cstheme="minorBidi"/>
          <w:b/>
          <w:bCs/>
          <w:color w:val="auto"/>
        </w:rPr>
        <w:t>:</w:t>
      </w:r>
    </w:p>
    <w:p w14:paraId="7DF0FCF3" w14:textId="77777777" w:rsidR="00A350BD" w:rsidRPr="00571440" w:rsidRDefault="00A350BD" w:rsidP="006C0568">
      <w:pPr>
        <w:spacing w:line="360" w:lineRule="auto"/>
        <w:jc w:val="both"/>
        <w:rPr>
          <w:rFonts w:asciiTheme="minorBidi" w:hAnsiTheme="minorBidi"/>
        </w:rPr>
      </w:pPr>
    </w:p>
    <w:p w14:paraId="5263D047"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Although the budgets suggest that Silver Stitch Ltd will remain profitable during the six-month period, they also reveal several important financial challenges. Identifying these problems is one of the main purposes of budgeting, because budgets are not only forecasting tools but also early warning systems for financial risk (Drury, 2021; Merchant and Van der Stede, 2017).</w:t>
      </w:r>
    </w:p>
    <w:p w14:paraId="5A3A22D6"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The first major issue is liquidity pressure. The company begins with an overdraft of £30,000 and is expected to remove this by the end of December. Even though the business generates positive cash surpluses in the budget period, the monthly figures are modest in some months. This means that the business may not have a large safety margin if sales fall below expectation or if expenses increase unexpectedly. Liquidity is critical because a company that cannot meet short-term obligations may face operational disruption or strained relationships with lenders and suppliers (Atrill and McLaney, 2021; Brealey, Myers and Allen, 2020).</w:t>
      </w:r>
    </w:p>
    <w:p w14:paraId="03574CEE"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The second issue is the significant growth in inventory. Closing stock rises every month and reaches £388,000 by December. This may suggest that management expects stronger future demand, but it may also indicate inefficient stock planning. If goods do not sell quickly enough, the company may be holding too much capital in stock rather than cash. In retail, this is especially risky because consumer demand can change, and unsold clothing may lose value over time due to seasonality or changing trends (Kolitz, 2017; Hansen, Mowen and Heitger, 2019).</w:t>
      </w:r>
    </w:p>
    <w:p w14:paraId="472EEA20"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A third problem is the burden of debt repayment. The company must repay £5,000 per month plus interest. These regular repayments reduce available cash and can limit the business’s flexibility. From a critical perspective, debt is not automatically negative, since it can support business operations and investment. However, where liquidity is already tight, fixed debt commitments can increase financial risk (Horner, 2020; Ryan, 2016).</w:t>
      </w:r>
    </w:p>
    <w:p w14:paraId="6DD8B925"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 xml:space="preserve">The fourth issue is the presence of irregular but significant expenses, such as refurbishment and taxation. These payments create uneven pressure on the company’s cash flow. In particular, refurbishment spending may be strategically useful if it improves store performance and customer experience, but in the short term it </w:t>
      </w:r>
      <w:r w:rsidRPr="00571440">
        <w:rPr>
          <w:rFonts w:asciiTheme="minorBidi" w:hAnsiTheme="minorBidi"/>
        </w:rPr>
        <w:lastRenderedPageBreak/>
        <w:t>reduces available cash. This shows the tension between short-term liquidity and long-term investment. Management therefore needs to balance immediate financial pressure with future operational benefit (Seal, Garrison and Noreen, 2018; Collier, 2015).</w:t>
      </w:r>
    </w:p>
    <w:p w14:paraId="2E43B362"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To address these problems, management should strengthen its cash flow monitoring, review stock purchasing policies and consider whether all planned expenditure is necessary within the same period. Tighter working capital control, especially over stock and cash, would improve financial stability. In addition, management could re-examine the timing of some discretionary expenditure, such as refurbishment, if cash pressure becomes severe (Atrill and McLaney, 2018; Walsh, 2008).</w:t>
      </w:r>
    </w:p>
    <w:p w14:paraId="764582A7"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Overall, the budgets indicate that the company is not facing a profitability crisis, but it is facing a control challenge. Its success will depend on how effectively management controls liquidity, inventory and expenditure over the six-month period.</w:t>
      </w:r>
    </w:p>
    <w:p w14:paraId="100B0A30" w14:textId="77777777" w:rsidR="00E26E48" w:rsidRPr="00E26E48" w:rsidRDefault="00E26E48" w:rsidP="006C0568">
      <w:pPr>
        <w:spacing w:line="360" w:lineRule="auto"/>
        <w:jc w:val="both"/>
        <w:rPr>
          <w:rFonts w:asciiTheme="minorBidi" w:hAnsiTheme="minorBidi"/>
        </w:rPr>
      </w:pPr>
      <w:r w:rsidRPr="00E26E48">
        <w:rPr>
          <w:rFonts w:asciiTheme="minorBidi" w:hAnsiTheme="minorBidi"/>
        </w:rPr>
        <w:t xml:space="preserve">Another important consideration when evaluating the financial position of Silver Stitch Ltd is its capital structure and long-term financial performance. One commonly used indicator is Return on Capital Employed (ROCE), which measures how efficiently a business generates profit from the capital invested in the organisation. A higher ROCE suggests that management is using its financial resources effectively to generate returns and create value for stakeholders (Brealey, Myers and Allen, 2020; Walsh, 2008). However, the presence of loan repayments and interest expenses also highlights the importance of examining the company’s </w:t>
      </w:r>
      <w:r w:rsidRPr="00E729E8">
        <w:rPr>
          <w:rFonts w:asciiTheme="minorBidi" w:hAnsiTheme="minorBidi"/>
        </w:rPr>
        <w:t>gearing level,</w:t>
      </w:r>
      <w:r w:rsidRPr="00E26E48">
        <w:rPr>
          <w:rFonts w:asciiTheme="minorBidi" w:hAnsiTheme="minorBidi"/>
        </w:rPr>
        <w:t xml:space="preserve"> which reflects the proportion of debt compared with equity financing. High gearing may increase financial risk because fixed interest payments must be made regardless of sales performance, which can place pressure on liquidity during periods of weaker trading (Ryan, 2016; Brealey, Myers and Allen, 2020).</w:t>
      </w:r>
    </w:p>
    <w:p w14:paraId="585A2DF1" w14:textId="536124C5" w:rsidR="0001635D" w:rsidRPr="00E26E48" w:rsidRDefault="00E26E48" w:rsidP="00AF540C">
      <w:pPr>
        <w:spacing w:line="360" w:lineRule="auto"/>
        <w:jc w:val="both"/>
        <w:rPr>
          <w:rFonts w:asciiTheme="minorBidi" w:hAnsiTheme="minorBidi"/>
        </w:rPr>
      </w:pPr>
      <w:r w:rsidRPr="00E26E48">
        <w:rPr>
          <w:rFonts w:asciiTheme="minorBidi" w:hAnsiTheme="minorBidi"/>
        </w:rPr>
        <w:t xml:space="preserve">In addition to financial performance, modern organisations are increasingly expected to consider Corporate Social Responsibility (CSR). CSR refers to the responsibility of businesses to operate ethically, contribute positively to society and minimise negative environmental and social impacts. Research suggests that responsible business practices can enhance corporate reputation, improve stakeholder relationships and contribute to long-term sustainability (Parker, 2012; Bhimani et al., 2019). For a retail company such as Silver Stitch Ltd, CSR could involve responsible sourcing of clothing </w:t>
      </w:r>
      <w:r w:rsidRPr="00E26E48">
        <w:rPr>
          <w:rFonts w:asciiTheme="minorBidi" w:hAnsiTheme="minorBidi"/>
        </w:rPr>
        <w:lastRenderedPageBreak/>
        <w:t>materials, fair labour practices within supply chains and environmentally sustainable retail operations.</w:t>
      </w:r>
      <w:r w:rsidR="00AF540C">
        <w:rPr>
          <w:rFonts w:asciiTheme="minorBidi" w:hAnsiTheme="minorBidi"/>
        </w:rPr>
        <w:t xml:space="preserve"> </w:t>
      </w:r>
      <w:r w:rsidR="0001635D" w:rsidRPr="00571440">
        <w:rPr>
          <w:rFonts w:asciiTheme="minorBidi" w:hAnsiTheme="minorBidi"/>
        </w:rPr>
        <w:t xml:space="preserve">Analysing profitability ratios such as ROCE alongside </w:t>
      </w:r>
      <w:r w:rsidR="00352809" w:rsidRPr="00571440">
        <w:rPr>
          <w:rFonts w:asciiTheme="minorBidi" w:hAnsiTheme="minorBidi"/>
        </w:rPr>
        <w:t xml:space="preserve">liquidity </w:t>
      </w:r>
      <w:r w:rsidR="00352809">
        <w:rPr>
          <w:rFonts w:asciiTheme="minorBidi" w:hAnsiTheme="minorBidi"/>
        </w:rPr>
        <w:t>measures</w:t>
      </w:r>
      <w:r w:rsidR="0001635D" w:rsidRPr="00571440">
        <w:rPr>
          <w:rFonts w:asciiTheme="minorBidi" w:hAnsiTheme="minorBidi"/>
        </w:rPr>
        <w:t xml:space="preserve"> helps provide a more balanced assessment of financial performance.</w:t>
      </w:r>
    </w:p>
    <w:p w14:paraId="0B244B94" w14:textId="2A39B4CC" w:rsidR="00767BBC" w:rsidRPr="00571440" w:rsidRDefault="00767BBC" w:rsidP="006C0568">
      <w:pPr>
        <w:pStyle w:val="Heading8"/>
        <w:spacing w:line="360" w:lineRule="auto"/>
        <w:jc w:val="both"/>
        <w:rPr>
          <w:rFonts w:asciiTheme="minorBidi" w:hAnsiTheme="minorBidi" w:cstheme="minorBidi"/>
          <w:b/>
          <w:bCs/>
          <w:i w:val="0"/>
          <w:iCs w:val="0"/>
        </w:rPr>
      </w:pPr>
    </w:p>
    <w:p w14:paraId="14EBBF9A" w14:textId="77777777" w:rsidR="00A27436" w:rsidRPr="00571440" w:rsidRDefault="00A27436" w:rsidP="006C0568">
      <w:pPr>
        <w:spacing w:line="360" w:lineRule="auto"/>
        <w:jc w:val="both"/>
        <w:rPr>
          <w:rFonts w:asciiTheme="minorBidi" w:hAnsiTheme="minorBidi"/>
        </w:rPr>
      </w:pPr>
    </w:p>
    <w:p w14:paraId="40AB5E54" w14:textId="229A60C3" w:rsidR="00242C63" w:rsidRPr="00571440" w:rsidRDefault="00FA54C5" w:rsidP="006C0568">
      <w:pPr>
        <w:pStyle w:val="Heading8"/>
        <w:spacing w:line="360" w:lineRule="auto"/>
        <w:jc w:val="both"/>
        <w:rPr>
          <w:rFonts w:asciiTheme="minorBidi" w:hAnsiTheme="minorBidi" w:cstheme="minorBidi"/>
          <w:b/>
          <w:bCs/>
          <w:i w:val="0"/>
          <w:iCs w:val="0"/>
        </w:rPr>
      </w:pPr>
      <w:r w:rsidRPr="00571440">
        <w:rPr>
          <w:rFonts w:asciiTheme="minorBidi" w:hAnsiTheme="minorBidi" w:cstheme="minorBidi"/>
          <w:b/>
          <w:bCs/>
          <w:i w:val="0"/>
          <w:iCs w:val="0"/>
        </w:rPr>
        <w:t>3</w:t>
      </w:r>
      <w:r w:rsidR="006B26A9" w:rsidRPr="00571440">
        <w:rPr>
          <w:rFonts w:asciiTheme="minorBidi" w:hAnsiTheme="minorBidi" w:cstheme="minorBidi"/>
          <w:b/>
          <w:bCs/>
          <w:i w:val="0"/>
          <w:iCs w:val="0"/>
        </w:rPr>
        <w:t>.5</w:t>
      </w:r>
      <w:r w:rsidRPr="00571440">
        <w:rPr>
          <w:rFonts w:asciiTheme="minorBidi" w:hAnsiTheme="minorBidi" w:cstheme="minorBidi"/>
          <w:b/>
          <w:bCs/>
          <w:i w:val="0"/>
          <w:iCs w:val="0"/>
        </w:rPr>
        <w:t xml:space="preserve"> </w:t>
      </w:r>
      <w:r w:rsidR="002F5C3B" w:rsidRPr="00571440">
        <w:rPr>
          <w:rFonts w:asciiTheme="minorBidi" w:hAnsiTheme="minorBidi" w:cstheme="minorBidi"/>
          <w:b/>
          <w:bCs/>
          <w:i w:val="0"/>
          <w:iCs w:val="0"/>
        </w:rPr>
        <w:t>Budgeting and Budgetary Control</w:t>
      </w:r>
      <w:r w:rsidR="00AC3D43" w:rsidRPr="00571440">
        <w:rPr>
          <w:rFonts w:asciiTheme="minorBidi" w:hAnsiTheme="minorBidi" w:cstheme="minorBidi"/>
          <w:b/>
          <w:bCs/>
          <w:i w:val="0"/>
          <w:iCs w:val="0"/>
        </w:rPr>
        <w:t>:</w:t>
      </w:r>
    </w:p>
    <w:p w14:paraId="2DCA7DAC" w14:textId="77777777" w:rsidR="00A350BD" w:rsidRPr="00571440" w:rsidRDefault="00A350BD" w:rsidP="006C0568">
      <w:pPr>
        <w:spacing w:line="360" w:lineRule="auto"/>
        <w:jc w:val="both"/>
        <w:rPr>
          <w:rFonts w:asciiTheme="minorBidi" w:hAnsiTheme="minorBidi"/>
        </w:rPr>
      </w:pPr>
    </w:p>
    <w:p w14:paraId="78B0703D"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Budgeting is widely recognised as one of the most important tools in management accounting because it supports planning, coordination and control. A budget sets out expectations for a future period and helps managers direct organisational resources towards agreed objectives (Drury, 2021; Garrison, Noreen and Brewer, 2021). However, budgeting is not simply about producing numbers. For a budgeting system to be effective, it must operate within the right organisational conditions.</w:t>
      </w:r>
    </w:p>
    <w:p w14:paraId="23CEB9D7"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 xml:space="preserve">One essential condition is clear organisational objectives. Budgets are most useful when they are linked directly to strategy. If managers do not know what the business is trying to achieve, budgets may become mechanical exercises rather than meaningful planning tools. Kaplan and Norton (2004) argue that financial targets should be connected to wider strategic priorities, not treated separately. In the case of Silver Stitch Ltd, the objective is not only to remain profitable but also to eliminate the overdraft by the end of December. This means the budget must support both profitability and liquidity. </w:t>
      </w:r>
    </w:p>
    <w:p w14:paraId="4CBC3350" w14:textId="7305EFD0" w:rsidR="002F5C3B" w:rsidRPr="00571440" w:rsidRDefault="002F5C3B" w:rsidP="006C0568">
      <w:pPr>
        <w:spacing w:line="360" w:lineRule="auto"/>
        <w:jc w:val="both"/>
        <w:rPr>
          <w:rFonts w:asciiTheme="minorBidi" w:hAnsiTheme="minorBidi"/>
        </w:rPr>
      </w:pPr>
    </w:p>
    <w:p w14:paraId="6B096578"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A second condition is strong management support. Senior managers must take budgeting seriously and use it actively in planning and control. If budgets are prepared only as a formality, staff may not view them as important. Drury (2021) notes that management commitment is vital because it influences the quality of information provided and the seriousness with which targets are monitored.</w:t>
      </w:r>
    </w:p>
    <w:p w14:paraId="7068854C" w14:textId="77777777" w:rsidR="004549D3" w:rsidRPr="00571440" w:rsidRDefault="004549D3" w:rsidP="006C0568">
      <w:pPr>
        <w:spacing w:line="360" w:lineRule="auto"/>
        <w:jc w:val="both"/>
        <w:rPr>
          <w:rFonts w:asciiTheme="minorBidi" w:hAnsiTheme="minorBidi"/>
        </w:rPr>
      </w:pPr>
    </w:p>
    <w:p w14:paraId="41043F38" w14:textId="77777777" w:rsidR="007939E3" w:rsidRPr="00571440" w:rsidRDefault="007939E3" w:rsidP="006C0568">
      <w:pPr>
        <w:spacing w:line="360" w:lineRule="auto"/>
        <w:jc w:val="both"/>
        <w:rPr>
          <w:rFonts w:asciiTheme="minorBidi" w:hAnsiTheme="minorBidi"/>
        </w:rPr>
      </w:pPr>
    </w:p>
    <w:p w14:paraId="481D0D9E" w14:textId="77777777" w:rsidR="007939E3" w:rsidRPr="00571440" w:rsidRDefault="007939E3" w:rsidP="006C0568">
      <w:pPr>
        <w:spacing w:line="360" w:lineRule="auto"/>
        <w:jc w:val="both"/>
        <w:rPr>
          <w:rFonts w:asciiTheme="minorBidi" w:hAnsiTheme="minorBidi"/>
        </w:rPr>
      </w:pPr>
    </w:p>
    <w:p w14:paraId="62868B87" w14:textId="5AFA1C50" w:rsidR="002F5C3B" w:rsidRPr="00571440" w:rsidRDefault="002F5C3B" w:rsidP="006C0568">
      <w:pPr>
        <w:spacing w:line="360" w:lineRule="auto"/>
        <w:jc w:val="both"/>
        <w:rPr>
          <w:rFonts w:asciiTheme="minorBidi" w:hAnsiTheme="minorBidi"/>
        </w:rPr>
      </w:pPr>
      <w:r w:rsidRPr="00571440">
        <w:rPr>
          <w:rFonts w:asciiTheme="minorBidi" w:hAnsiTheme="minorBidi"/>
        </w:rPr>
        <w:lastRenderedPageBreak/>
        <w:t>A third condition is realistic target setting. Budgets should be challenging enough to motivate good performance, but not so unrealistic that employees lose confidence in them. This is particularly important because budgets can affect staff morale and behaviour. Unrealistic targets may create pressure, resistance or manipulation of figures rather than genuine performance improvement (Atrill and McLaney, 2021; Merchant and Van der Stede, 2017).</w:t>
      </w:r>
    </w:p>
    <w:p w14:paraId="48993380" w14:textId="54E77115" w:rsidR="00380814" w:rsidRPr="00571440" w:rsidRDefault="00380814" w:rsidP="006C0568">
      <w:pPr>
        <w:spacing w:line="360" w:lineRule="auto"/>
        <w:jc w:val="both"/>
        <w:rPr>
          <w:rFonts w:asciiTheme="minorBidi" w:hAnsiTheme="minorBidi"/>
        </w:rPr>
      </w:pPr>
      <w:r w:rsidRPr="00571440">
        <w:rPr>
          <w:rFonts w:asciiTheme="minorBidi" w:hAnsiTheme="minorBidi"/>
        </w:rPr>
        <w:t>Budgeting systems are often part of wider performance management frameworks that help organisations monitor objectives and evaluate managerial performance (Otley, 1999).</w:t>
      </w:r>
    </w:p>
    <w:p w14:paraId="5EA39946"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Communication is another key condition. Budgeting works best when departments share information openly. Sales staff, purchasing managers and finance teams all need to contribute accurate information so that the final budget reflects operational reality. Seal, Garrison and Noreen (2018) emphasise that budgets help coordinate departments, but only if the budgeting process itself involves effective communication and cooperation.</w:t>
      </w:r>
    </w:p>
    <w:p w14:paraId="453C0D76"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Budgetary control is the process of comparing actual performance with budgeted performance and then taking corrective action where necessary. This is important because a budget loses value if it is prepared and then ignored. Horner (2020) explains that variance analysis helps managers identify where performance differs from plan and decide whether action is needed. This means that budgeting is not a one-time exercise but an ongoing management process.</w:t>
      </w:r>
    </w:p>
    <w:p w14:paraId="2BDD4B73"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Critically, budgetary control is most effective when it is used to support learning rather than blame. If managers use variances only to criticise employees, staff may become defensive and less willing to provide honest information. In contrast, if variances are analysed constructively, they can help organisations improve forecasting, control spending and respond to change more effectively (Otley, 2016; Parker, 2012).</w:t>
      </w:r>
    </w:p>
    <w:p w14:paraId="63A43D9D"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Therefore, successful budgeting requires more than technical skill. It requires realistic planning, communication, management support and a culture that uses financial information intelligently.</w:t>
      </w:r>
    </w:p>
    <w:p w14:paraId="27CE74CF" w14:textId="77777777" w:rsidR="004549D3" w:rsidRPr="00571440" w:rsidRDefault="004549D3" w:rsidP="006C0568">
      <w:pPr>
        <w:spacing w:line="360" w:lineRule="auto"/>
        <w:jc w:val="both"/>
        <w:rPr>
          <w:rFonts w:asciiTheme="minorBidi" w:hAnsiTheme="minorBidi"/>
        </w:rPr>
      </w:pPr>
    </w:p>
    <w:p w14:paraId="2EDC8AC6" w14:textId="0181EBE9" w:rsidR="002F5C3B" w:rsidRPr="00571440" w:rsidRDefault="002F5C3B" w:rsidP="006C0568">
      <w:pPr>
        <w:spacing w:line="360" w:lineRule="auto"/>
        <w:jc w:val="both"/>
        <w:rPr>
          <w:rFonts w:asciiTheme="minorBidi" w:hAnsiTheme="minorBidi"/>
        </w:rPr>
      </w:pPr>
    </w:p>
    <w:p w14:paraId="6C024C56" w14:textId="6FA83F5D" w:rsidR="004F479D" w:rsidRPr="00571440" w:rsidRDefault="0015210D" w:rsidP="006C0568">
      <w:pPr>
        <w:pStyle w:val="Heading9"/>
        <w:numPr>
          <w:ilvl w:val="1"/>
          <w:numId w:val="1"/>
        </w:numPr>
        <w:spacing w:line="360" w:lineRule="auto"/>
        <w:jc w:val="both"/>
        <w:rPr>
          <w:rFonts w:asciiTheme="minorBidi" w:hAnsiTheme="minorBidi" w:cstheme="minorBidi"/>
          <w:b/>
          <w:bCs/>
          <w:color w:val="auto"/>
        </w:rPr>
      </w:pPr>
      <w:r w:rsidRPr="00571440">
        <w:rPr>
          <w:rFonts w:asciiTheme="minorBidi" w:hAnsiTheme="minorBidi" w:cstheme="minorBidi"/>
          <w:b/>
          <w:bCs/>
          <w:color w:val="auto"/>
        </w:rPr>
        <w:lastRenderedPageBreak/>
        <w:t xml:space="preserve"> </w:t>
      </w:r>
      <w:r w:rsidR="002F5C3B" w:rsidRPr="00571440">
        <w:rPr>
          <w:rFonts w:asciiTheme="minorBidi" w:hAnsiTheme="minorBidi" w:cstheme="minorBidi"/>
          <w:b/>
          <w:bCs/>
          <w:color w:val="auto"/>
        </w:rPr>
        <w:t>Behavioural Issues in Budgeting</w:t>
      </w:r>
      <w:r w:rsidR="00AC3D43" w:rsidRPr="00571440">
        <w:rPr>
          <w:rFonts w:asciiTheme="minorBidi" w:hAnsiTheme="minorBidi" w:cstheme="minorBidi"/>
          <w:b/>
          <w:bCs/>
          <w:color w:val="auto"/>
        </w:rPr>
        <w:t>:</w:t>
      </w:r>
    </w:p>
    <w:p w14:paraId="2CD915BE" w14:textId="77777777" w:rsidR="00242C63" w:rsidRPr="00571440" w:rsidRDefault="00242C63" w:rsidP="006C0568">
      <w:pPr>
        <w:spacing w:line="360" w:lineRule="auto"/>
        <w:jc w:val="both"/>
        <w:rPr>
          <w:rFonts w:asciiTheme="minorBidi" w:hAnsiTheme="minorBidi"/>
        </w:rPr>
      </w:pPr>
    </w:p>
    <w:p w14:paraId="5C34246F"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Although budgeting offers many benefits, it also creates behavioural challenges. These issues are important because budgeting affects people’s responsibilities, targets and performance evaluation. If these human factors are ignored, even technically sound budgets may fail in practice (Drury, 2021; Merchant and Van der Stede, 2017).</w:t>
      </w:r>
    </w:p>
    <w:p w14:paraId="5766AF68"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One common problem is budgetary slack. This happens when managers deliberately underestimate revenues or overestimate costs so that budget targets become easier to achieve. While this may protect individual managers from criticism, it reduces the accuracy and usefulness of the budget as a planning tool (Drury, 2021). Budgetary slack shows that budgeting is not purely a numerical activity; it is also influenced by incentives, trust and organisational culture.</w:t>
      </w:r>
    </w:p>
    <w:p w14:paraId="19641701"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A second behavioural issue is resistance to budgeting. Some employees see budgets as restrictive or controlling, particularly if they feel that budgets are imposed from above without consultation. This can reduce commitment and lower the quality of information provided during the budgeting process (Seal, Garrison and Noreen, 2018). Involving managers and staff in budget preparation can reduce resistance because participation usually improves acceptance and ownership of targets (Atrill and McLaney, 2021).</w:t>
      </w:r>
    </w:p>
    <w:p w14:paraId="2FD33C42"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A third issue is the effect of unrealistic targets on motivation. If targets are too difficult, employees may feel that effort is pointless. If targets are too easy, performance may not improve. This means motivation depends not only on having targets, but on having credible and balanced targets. This reflects wider management control theory, which suggests that performance systems are more effective when they are perceived as fair and achievable (Merchant and Van der Stede, 2017; Kaplan and Atkinson, 2015).</w:t>
      </w:r>
    </w:p>
    <w:p w14:paraId="55BB80F9"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A fourth behavioural issue is short-termism. Budget-based performance measures may encourage managers to focus on short-term results at the expense of long-term value. For example, a manager may delay staff training, reduce marketing or postpone maintenance just to meet the current budget. While this may improve short-term results, it can damage future performance (Horner, 2020; Soin and Collier, 2013).</w:t>
      </w:r>
    </w:p>
    <w:p w14:paraId="154FB7DC"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lastRenderedPageBreak/>
        <w:t>For these reasons, organisations should design budgeting systems that balance control with flexibility. Participation, realistic targets and supportive performance review processes can help reduce dysfunctional behaviour and improve the quality of budgeting.</w:t>
      </w:r>
    </w:p>
    <w:p w14:paraId="2E4D3FE0" w14:textId="0DE0BB66" w:rsidR="002F5C3B" w:rsidRPr="00571440" w:rsidRDefault="002F5C3B" w:rsidP="006C0568">
      <w:pPr>
        <w:spacing w:line="360" w:lineRule="auto"/>
        <w:jc w:val="both"/>
        <w:rPr>
          <w:rFonts w:asciiTheme="minorBidi" w:hAnsiTheme="minorBidi"/>
        </w:rPr>
      </w:pPr>
    </w:p>
    <w:p w14:paraId="64983CC1" w14:textId="0C2528C3" w:rsidR="002F5C3B" w:rsidRPr="00571440" w:rsidRDefault="00B96EFA" w:rsidP="006C0568">
      <w:pPr>
        <w:pStyle w:val="Heading1"/>
        <w:spacing w:line="360" w:lineRule="auto"/>
        <w:jc w:val="both"/>
        <w:rPr>
          <w:rFonts w:asciiTheme="minorBidi" w:hAnsiTheme="minorBidi" w:cstheme="minorBidi"/>
          <w:b/>
          <w:bCs/>
          <w:color w:val="auto"/>
          <w:sz w:val="24"/>
          <w:szCs w:val="24"/>
        </w:rPr>
      </w:pPr>
      <w:r w:rsidRPr="00571440">
        <w:rPr>
          <w:rFonts w:asciiTheme="minorBidi" w:hAnsiTheme="minorBidi" w:cstheme="minorBidi"/>
          <w:b/>
          <w:bCs/>
          <w:color w:val="auto"/>
          <w:sz w:val="24"/>
          <w:szCs w:val="24"/>
        </w:rPr>
        <w:t xml:space="preserve">  </w:t>
      </w:r>
      <w:r w:rsidR="00FA54C5" w:rsidRPr="00571440">
        <w:rPr>
          <w:rFonts w:asciiTheme="minorBidi" w:hAnsiTheme="minorBidi" w:cstheme="minorBidi"/>
          <w:b/>
          <w:bCs/>
          <w:color w:val="auto"/>
          <w:sz w:val="24"/>
          <w:szCs w:val="24"/>
        </w:rPr>
        <w:t>3</w:t>
      </w:r>
      <w:r w:rsidR="005036EB" w:rsidRPr="00571440">
        <w:rPr>
          <w:rFonts w:asciiTheme="minorBidi" w:hAnsiTheme="minorBidi" w:cstheme="minorBidi"/>
          <w:b/>
          <w:bCs/>
          <w:color w:val="auto"/>
          <w:sz w:val="24"/>
          <w:szCs w:val="24"/>
        </w:rPr>
        <w:t>.7</w:t>
      </w:r>
      <w:r w:rsidR="00FA54C5" w:rsidRPr="00571440">
        <w:rPr>
          <w:rFonts w:asciiTheme="minorBidi" w:hAnsiTheme="minorBidi" w:cstheme="minorBidi"/>
          <w:b/>
          <w:bCs/>
          <w:color w:val="auto"/>
          <w:sz w:val="24"/>
          <w:szCs w:val="24"/>
        </w:rPr>
        <w:t xml:space="preserve"> </w:t>
      </w:r>
      <w:r w:rsidR="002F5C3B" w:rsidRPr="00571440">
        <w:rPr>
          <w:rFonts w:asciiTheme="minorBidi" w:hAnsiTheme="minorBidi" w:cstheme="minorBidi"/>
          <w:b/>
          <w:bCs/>
          <w:color w:val="auto"/>
          <w:sz w:val="24"/>
          <w:szCs w:val="24"/>
        </w:rPr>
        <w:t>Critical Evaluation of Traditional Budgeting</w:t>
      </w:r>
      <w:r w:rsidR="00AC3D43" w:rsidRPr="00571440">
        <w:rPr>
          <w:rFonts w:asciiTheme="minorBidi" w:hAnsiTheme="minorBidi" w:cstheme="minorBidi"/>
          <w:b/>
          <w:bCs/>
          <w:color w:val="auto"/>
          <w:sz w:val="24"/>
          <w:szCs w:val="24"/>
        </w:rPr>
        <w:t>:</w:t>
      </w:r>
      <w:r w:rsidRPr="00571440">
        <w:rPr>
          <w:rFonts w:asciiTheme="minorBidi" w:hAnsiTheme="minorBidi" w:cstheme="minorBidi"/>
          <w:b/>
          <w:bCs/>
          <w:color w:val="auto"/>
          <w:sz w:val="24"/>
          <w:szCs w:val="24"/>
        </w:rPr>
        <w:t xml:space="preserve"> </w:t>
      </w:r>
    </w:p>
    <w:p w14:paraId="544BBAC6" w14:textId="77777777" w:rsidR="00B96EFA" w:rsidRPr="00571440" w:rsidRDefault="00B96EFA" w:rsidP="006C0568">
      <w:pPr>
        <w:spacing w:line="360" w:lineRule="auto"/>
        <w:jc w:val="both"/>
        <w:rPr>
          <w:rFonts w:asciiTheme="minorBidi" w:hAnsiTheme="minorBidi"/>
        </w:rPr>
      </w:pPr>
    </w:p>
    <w:p w14:paraId="3F5FA3C9"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Traditional budgeting has been used for many years and remains common in many organisations. It usually involves preparing an annual budget based on historical data, expected future activity and agreed financial targets. This approach has several strengths. It provides structure, supports planning and offers a clear basis for control and accountability (Drury, 2021; Weetman, 2019). For businesses such as Silver Stitch Ltd, a traditional budget is useful because it helps quantify expected performance and highlight financial risks.</w:t>
      </w:r>
    </w:p>
    <w:p w14:paraId="531B3088"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However, traditional budgeting also has important weaknesses, especially in a fast-changing business environment. One major criticism is that it can be too time-consuming. Preparing detailed annual budgets often requires a large amount of managerial time and effort. Hansen, Otley and Van der Stede (2003) note that budgeting processes can become bureaucratic and consume resources without always improving decisions. This raises the question of whether the value of the budget always justifies the time spent preparing it.</w:t>
      </w:r>
    </w:p>
    <w:p w14:paraId="5521BB6E" w14:textId="543E9103" w:rsidR="002F5C3B" w:rsidRPr="00571440" w:rsidRDefault="002F5C3B" w:rsidP="00CE665B">
      <w:pPr>
        <w:spacing w:line="360" w:lineRule="auto"/>
        <w:jc w:val="both"/>
        <w:rPr>
          <w:rFonts w:asciiTheme="minorBidi" w:hAnsiTheme="minorBidi"/>
        </w:rPr>
      </w:pPr>
      <w:r w:rsidRPr="00571440">
        <w:rPr>
          <w:rFonts w:asciiTheme="minorBidi" w:hAnsiTheme="minorBidi"/>
        </w:rPr>
        <w:t>A second criticism is rigidity. Annual budgets are based on assumptions made in advance, but market conditions can change quickly. Retail businesses are especially affected by changing consumer preferences, competition and economic conditions. A fixed annual budget may therefore become outdated before the year ends (Atrill and McLaney, 2021; Horner, 2020). This is a serious limitation because managers may continue to follow targets that no longer reflect business reality.</w:t>
      </w:r>
    </w:p>
    <w:p w14:paraId="32BC2637" w14:textId="796699EA" w:rsidR="006C759B" w:rsidRPr="00571440" w:rsidRDefault="006C759B" w:rsidP="006C0568">
      <w:pPr>
        <w:spacing w:line="360" w:lineRule="auto"/>
        <w:jc w:val="both"/>
        <w:rPr>
          <w:rFonts w:asciiTheme="minorBidi" w:hAnsiTheme="minorBidi"/>
        </w:rPr>
      </w:pPr>
      <w:r w:rsidRPr="00571440">
        <w:rPr>
          <w:rFonts w:asciiTheme="minorBidi" w:hAnsiTheme="minorBidi"/>
        </w:rPr>
        <w:t xml:space="preserve">Traditional budgeting, while providing structure, often struggles with flexibility. As Libby and Lindsay (2010) found, many organisations face difficulty adapting fixed budgets to dynamic environments, prompting a shift toward more flexible models. Additionally, integrating Corporate Social Responsibility (CSR) is crucial. Gond et al. (2012) </w:t>
      </w:r>
      <w:r w:rsidRPr="00571440">
        <w:rPr>
          <w:rFonts w:asciiTheme="minorBidi" w:hAnsiTheme="minorBidi"/>
        </w:rPr>
        <w:lastRenderedPageBreak/>
        <w:t>emphasize that sustainability and strategy can be effectively embedded into management control systems, aligning financial planning with ethical goals.</w:t>
      </w:r>
    </w:p>
    <w:p w14:paraId="0A2045A1" w14:textId="458B3B5C" w:rsidR="002F5C3B" w:rsidRPr="00571440" w:rsidRDefault="002F5C3B" w:rsidP="006C0568">
      <w:pPr>
        <w:spacing w:line="360" w:lineRule="auto"/>
        <w:jc w:val="both"/>
        <w:rPr>
          <w:rFonts w:asciiTheme="minorBidi" w:hAnsiTheme="minorBidi"/>
        </w:rPr>
      </w:pPr>
      <w:r w:rsidRPr="00571440">
        <w:rPr>
          <w:rFonts w:asciiTheme="minorBidi" w:hAnsiTheme="minorBidi"/>
        </w:rPr>
        <w:t>A third criticism is that traditional budgets often rely heavily on historical data. While past performance can be useful, it does not always provide a strong basis for future decisions. This can encourage incremental thinking, where managers simply adjust last year’s figures rather than questioning whether spending patterns are still appropriate (Seal, Garrison and Noreen, 2018;</w:t>
      </w:r>
      <w:r w:rsidR="005F02E7" w:rsidRPr="00571440">
        <w:rPr>
          <w:rFonts w:asciiTheme="minorBidi" w:hAnsiTheme="minorBidi"/>
        </w:rPr>
        <w:t xml:space="preserve"> Bhimani et al., 2019</w:t>
      </w:r>
      <w:r w:rsidRPr="00571440">
        <w:rPr>
          <w:rFonts w:asciiTheme="minorBidi" w:hAnsiTheme="minorBidi"/>
        </w:rPr>
        <w:t>). In dynamic markets, this may reduce innovation and slow strategic change.</w:t>
      </w:r>
    </w:p>
    <w:p w14:paraId="06A6C41E" w14:textId="2B0AB853" w:rsidR="000726E7" w:rsidRPr="00571440" w:rsidRDefault="009C070F" w:rsidP="006C0568">
      <w:pPr>
        <w:spacing w:line="360" w:lineRule="auto"/>
        <w:jc w:val="both"/>
        <w:rPr>
          <w:rFonts w:asciiTheme="minorBidi" w:hAnsiTheme="minorBidi"/>
        </w:rPr>
      </w:pPr>
      <w:r w:rsidRPr="00571440">
        <w:rPr>
          <w:rFonts w:asciiTheme="minorBidi" w:hAnsiTheme="minorBidi"/>
        </w:rPr>
        <w:t>Recent studies suggest that many organisations are reconsidering traditional budgeting systems and exploring more flexible approaches to financial planning and performance management (Libby and Lindsay, 2010).</w:t>
      </w:r>
    </w:p>
    <w:p w14:paraId="131BDCBA"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Traditional budgeting may also encourage dysfunctional behaviour. If performance evaluation is strongly linked to budget achievement, managers may focus on meeting targets rather than making the best long-term decisions for the business. This can lead to budgetary slack, short-termism and underinvestment in areas such as training, technology or customer development (Merchant and Van der Stede, 2017; Hope and Fraser, 2003).</w:t>
      </w:r>
    </w:p>
    <w:p w14:paraId="2EEF77A1"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Because of these weaknesses, many organisations have explored alternatives. One alternative is rolling forecasting, which updates forecasts regularly throughout the year rather than relying on a single annual plan. This can improve responsiveness because managers can revise expectations as conditions change (Shim and Siegel, 2018). Another approach is beyond budgeting, which argues for more adaptive and decentralised performance management systems. Hope and Fraser (2003) suggest that organisations should move away from rigid annual budget targets and towards more flexible forms of planning and control.</w:t>
      </w:r>
    </w:p>
    <w:p w14:paraId="54B19769" w14:textId="77777777" w:rsidR="00055C32" w:rsidRDefault="00571D6C" w:rsidP="006C0568">
      <w:pPr>
        <w:spacing w:line="360" w:lineRule="auto"/>
        <w:jc w:val="both"/>
        <w:rPr>
          <w:rFonts w:asciiTheme="minorBidi" w:hAnsiTheme="minorBidi"/>
        </w:rPr>
      </w:pPr>
      <w:r w:rsidRPr="00571440">
        <w:rPr>
          <w:rFonts w:asciiTheme="minorBidi" w:hAnsiTheme="minorBidi"/>
        </w:rPr>
        <w:t xml:space="preserve">A further weakness is that traditional budgeting can reduce organisational agility. When managers are evaluated mainly on their ability to meet fixed budget targets, they may become reluctant to adapt quickly to new opportunities or changing market </w:t>
      </w:r>
    </w:p>
    <w:p w14:paraId="7B68D981" w14:textId="77777777" w:rsidR="00055C32" w:rsidRDefault="00055C32" w:rsidP="006C0568">
      <w:pPr>
        <w:spacing w:line="360" w:lineRule="auto"/>
        <w:jc w:val="both"/>
        <w:rPr>
          <w:rFonts w:asciiTheme="minorBidi" w:hAnsiTheme="minorBidi"/>
        </w:rPr>
      </w:pPr>
    </w:p>
    <w:p w14:paraId="5A192CE1" w14:textId="3C0A8A4F" w:rsidR="00571D6C" w:rsidRPr="00571440" w:rsidRDefault="00571D6C" w:rsidP="006C0568">
      <w:pPr>
        <w:spacing w:line="360" w:lineRule="auto"/>
        <w:jc w:val="both"/>
        <w:rPr>
          <w:rFonts w:asciiTheme="minorBidi" w:hAnsiTheme="minorBidi"/>
        </w:rPr>
      </w:pPr>
      <w:r w:rsidRPr="00571440">
        <w:rPr>
          <w:rFonts w:asciiTheme="minorBidi" w:hAnsiTheme="minorBidi"/>
        </w:rPr>
        <w:lastRenderedPageBreak/>
        <w:t>conditions. As a result, budgeting systems designed to improve control may unintentionally restrict strategic responsiveness (Hope and Fraser, 2003; Hansen, Otley and Van der Stede, 2003).</w:t>
      </w:r>
    </w:p>
    <w:p w14:paraId="33CD2DD6" w14:textId="77777777" w:rsidR="002F5C3B" w:rsidRPr="00571440" w:rsidRDefault="002F5C3B" w:rsidP="006C0568">
      <w:pPr>
        <w:spacing w:line="360" w:lineRule="auto"/>
        <w:jc w:val="both"/>
        <w:rPr>
          <w:rFonts w:asciiTheme="minorBidi" w:hAnsiTheme="minorBidi"/>
        </w:rPr>
      </w:pPr>
      <w:r w:rsidRPr="00571440">
        <w:rPr>
          <w:rFonts w:asciiTheme="minorBidi" w:hAnsiTheme="minorBidi"/>
        </w:rPr>
        <w:t>Even so, traditional budgeting should not be dismissed completely. It still offers useful discipline, structure and accountability. The real issue is not whether traditional budgeting is entirely good or bad, but whether it is sufficient on its own. In many cases, organisations may benefit from keeping the structure of budgeting while combining it with more flexible tools such as rolling forecasts, variance analysis and regular review meetings (Drury, 2021; CIMA, 2022).</w:t>
      </w:r>
    </w:p>
    <w:p w14:paraId="73689B29" w14:textId="1337399E" w:rsidR="004D6AF6" w:rsidRPr="00571440" w:rsidRDefault="002F5C3B" w:rsidP="00055C32">
      <w:pPr>
        <w:spacing w:line="360" w:lineRule="auto"/>
        <w:jc w:val="both"/>
        <w:rPr>
          <w:rFonts w:asciiTheme="minorBidi" w:hAnsiTheme="minorBidi"/>
        </w:rPr>
      </w:pPr>
      <w:r w:rsidRPr="00571440">
        <w:rPr>
          <w:rFonts w:asciiTheme="minorBidi" w:hAnsiTheme="minorBidi"/>
        </w:rPr>
        <w:t>In the case of Silver Stitch Ltd, traditional budgeting is useful because it clearly reveals the company’s expected profit, stock levels and cash pressures. However, given the small cash surpluses in some months and the pressure to eliminate the overdraft, the company would also benefit from more frequent review and updating of forecasts. This would make the budgeting system more responsive and more strategically useful.</w:t>
      </w:r>
    </w:p>
    <w:p w14:paraId="0BAE3E59" w14:textId="77777777" w:rsidR="00767BBC" w:rsidRPr="00571440" w:rsidRDefault="00767BBC" w:rsidP="006C0568">
      <w:pPr>
        <w:spacing w:line="360" w:lineRule="auto"/>
        <w:jc w:val="both"/>
        <w:rPr>
          <w:rFonts w:asciiTheme="minorBidi" w:hAnsiTheme="minorBidi"/>
        </w:rPr>
      </w:pPr>
    </w:p>
    <w:p w14:paraId="71BA6C69" w14:textId="45CD2BE3" w:rsidR="00B03E9B" w:rsidRDefault="008475EF" w:rsidP="006C0568">
      <w:pPr>
        <w:pStyle w:val="Heading4"/>
        <w:numPr>
          <w:ilvl w:val="0"/>
          <w:numId w:val="1"/>
        </w:numPr>
        <w:spacing w:line="360" w:lineRule="auto"/>
        <w:jc w:val="both"/>
        <w:rPr>
          <w:rFonts w:asciiTheme="minorBidi" w:hAnsiTheme="minorBidi" w:cstheme="minorBidi"/>
          <w:b/>
          <w:bCs/>
          <w:i w:val="0"/>
          <w:iCs w:val="0"/>
          <w:color w:val="auto"/>
        </w:rPr>
      </w:pPr>
      <w:r w:rsidRPr="00571440">
        <w:rPr>
          <w:rFonts w:asciiTheme="minorBidi" w:hAnsiTheme="minorBidi" w:cstheme="minorBidi"/>
          <w:b/>
          <w:bCs/>
          <w:i w:val="0"/>
          <w:iCs w:val="0"/>
          <w:color w:val="auto"/>
        </w:rPr>
        <w:t xml:space="preserve"> </w:t>
      </w:r>
      <w:r w:rsidR="00467910" w:rsidRPr="00571440">
        <w:rPr>
          <w:rFonts w:asciiTheme="minorBidi" w:hAnsiTheme="minorBidi" w:cstheme="minorBidi"/>
          <w:b/>
          <w:bCs/>
          <w:i w:val="0"/>
          <w:iCs w:val="0"/>
          <w:color w:val="auto"/>
        </w:rPr>
        <w:t xml:space="preserve"> </w:t>
      </w:r>
      <w:r w:rsidR="002F5C3B" w:rsidRPr="00571440">
        <w:rPr>
          <w:rFonts w:asciiTheme="minorBidi" w:hAnsiTheme="minorBidi" w:cstheme="minorBidi"/>
          <w:b/>
          <w:bCs/>
          <w:i w:val="0"/>
          <w:iCs w:val="0"/>
          <w:color w:val="auto"/>
        </w:rPr>
        <w:t>Conclusion</w:t>
      </w:r>
      <w:r w:rsidR="00283131" w:rsidRPr="00571440">
        <w:rPr>
          <w:rFonts w:asciiTheme="minorBidi" w:hAnsiTheme="minorBidi" w:cstheme="minorBidi"/>
          <w:b/>
          <w:bCs/>
          <w:i w:val="0"/>
          <w:iCs w:val="0"/>
          <w:color w:val="auto"/>
        </w:rPr>
        <w:t>:</w:t>
      </w:r>
    </w:p>
    <w:p w14:paraId="1F5E7873" w14:textId="77777777" w:rsidR="00AF540C" w:rsidRPr="00AF540C" w:rsidRDefault="00AF540C" w:rsidP="00AF540C"/>
    <w:p w14:paraId="05FBD8C5" w14:textId="77777777" w:rsidR="00AF259D" w:rsidRPr="00571440" w:rsidRDefault="00AF259D" w:rsidP="006C0568">
      <w:pPr>
        <w:spacing w:line="360" w:lineRule="auto"/>
        <w:jc w:val="both"/>
        <w:rPr>
          <w:rFonts w:asciiTheme="minorBidi" w:hAnsiTheme="minorBidi"/>
        </w:rPr>
      </w:pPr>
      <w:r w:rsidRPr="00571440">
        <w:rPr>
          <w:rFonts w:asciiTheme="minorBidi" w:hAnsiTheme="minorBidi"/>
        </w:rPr>
        <w:t>This report analysed the budgeting principles and financial planning of Silver Stitch Ltd for the six-month period ending 31 December. The stock budget, cash budget and budgeted profit and loss account provided important insights into the company’s expected financial performance. The results show that the company is expected to remain profitable, but profitability alone does not remove financial risk.</w:t>
      </w:r>
    </w:p>
    <w:p w14:paraId="29B7AA73" w14:textId="77777777" w:rsidR="00AF259D" w:rsidRPr="00571440" w:rsidRDefault="00AF259D" w:rsidP="006C0568">
      <w:pPr>
        <w:spacing w:line="360" w:lineRule="auto"/>
        <w:jc w:val="both"/>
        <w:rPr>
          <w:rFonts w:asciiTheme="minorBidi" w:hAnsiTheme="minorBidi"/>
        </w:rPr>
      </w:pPr>
      <w:r w:rsidRPr="00571440">
        <w:rPr>
          <w:rFonts w:asciiTheme="minorBidi" w:hAnsiTheme="minorBidi"/>
        </w:rPr>
        <w:t>The analysis identified several important challenges. These include limited liquidity, increasing stock levels, regular loan repayments and the short-term pressure created by refurbishment and taxation payments. These findings demonstrate that effective financial management requires not only profitability but also strong control over cash flow, working capital and expenditure.</w:t>
      </w:r>
    </w:p>
    <w:p w14:paraId="0612D00D" w14:textId="77777777" w:rsidR="00AF259D" w:rsidRPr="00571440" w:rsidRDefault="00AF259D" w:rsidP="006C0568">
      <w:pPr>
        <w:spacing w:line="360" w:lineRule="auto"/>
        <w:jc w:val="both"/>
        <w:rPr>
          <w:rFonts w:asciiTheme="minorBidi" w:hAnsiTheme="minorBidi"/>
        </w:rPr>
      </w:pPr>
      <w:r w:rsidRPr="00571440">
        <w:rPr>
          <w:rFonts w:asciiTheme="minorBidi" w:hAnsiTheme="minorBidi"/>
        </w:rPr>
        <w:t>The report also showed that budgeting and budgetary control are essential tools for planning and performance monitoring. However, successful budgeting depends on realistic targets, management support, good communication and constructive use of variance analysis. Behavioural issues such as budgetary slack, resistance and short-</w:t>
      </w:r>
      <w:r w:rsidRPr="00571440">
        <w:rPr>
          <w:rFonts w:asciiTheme="minorBidi" w:hAnsiTheme="minorBidi"/>
        </w:rPr>
        <w:lastRenderedPageBreak/>
        <w:t>term decision-making must also be recognised because they can reduce the effectiveness of budgeting systems.</w:t>
      </w:r>
    </w:p>
    <w:p w14:paraId="1AC44723" w14:textId="77777777" w:rsidR="00AF259D" w:rsidRPr="00571440" w:rsidRDefault="00AF259D" w:rsidP="006C0568">
      <w:pPr>
        <w:spacing w:line="360" w:lineRule="auto"/>
        <w:jc w:val="both"/>
        <w:rPr>
          <w:rFonts w:asciiTheme="minorBidi" w:hAnsiTheme="minorBidi"/>
        </w:rPr>
      </w:pPr>
      <w:r w:rsidRPr="00571440">
        <w:rPr>
          <w:rFonts w:asciiTheme="minorBidi" w:hAnsiTheme="minorBidi"/>
        </w:rPr>
        <w:t>Furthermore, the evaluation of traditional budgeting highlights that although it provides structure and financial discipline, it may be too rigid in a fast-changing business environment. Organisations that rely solely on fixed annual budgets may struggle to respond quickly to changing market conditions.</w:t>
      </w:r>
    </w:p>
    <w:p w14:paraId="76E9B6F8" w14:textId="77777777" w:rsidR="00AF259D" w:rsidRPr="00571440" w:rsidRDefault="00AF259D" w:rsidP="006C0568">
      <w:pPr>
        <w:spacing w:line="360" w:lineRule="auto"/>
        <w:jc w:val="both"/>
        <w:rPr>
          <w:rFonts w:asciiTheme="minorBidi" w:hAnsiTheme="minorBidi"/>
        </w:rPr>
      </w:pPr>
      <w:r w:rsidRPr="00571440">
        <w:rPr>
          <w:rFonts w:asciiTheme="minorBidi" w:hAnsiTheme="minorBidi"/>
        </w:rPr>
        <w:t>In light of these findings, two key recommendations can be made for Silver Stitch Ltd. First, management should strengthen working capital management by reviewing stock purchasing policies and avoiding excessive growth in inventory levels, which would help reduce the amount of cash tied up in stock and improve liquidity. Second, the company should introduce more frequent financial monitoring, such as rolling cash flow forecasts and regular budget reviews, in order to respond quickly to financial changes and ensure that the overdraft can be eliminated by the end of December.</w:t>
      </w:r>
    </w:p>
    <w:p w14:paraId="7F1D3D34" w14:textId="77777777" w:rsidR="00AF259D" w:rsidRPr="00571440" w:rsidRDefault="00AF259D" w:rsidP="006C0568">
      <w:pPr>
        <w:spacing w:line="360" w:lineRule="auto"/>
        <w:jc w:val="both"/>
        <w:rPr>
          <w:rFonts w:asciiTheme="minorBidi" w:hAnsiTheme="minorBidi"/>
        </w:rPr>
      </w:pPr>
      <w:r w:rsidRPr="00571440">
        <w:rPr>
          <w:rFonts w:asciiTheme="minorBidi" w:hAnsiTheme="minorBidi"/>
        </w:rPr>
        <w:t>Overall, effective budgeting and financial planning remain essential for the financial stability and long-term success of Silver Stitch Ltd. By combining traditional budgeting with stronger financial monitoring and improved working capital control, the company will be better positioned to manage financial risk and support sustainable business growth.</w:t>
      </w:r>
    </w:p>
    <w:p w14:paraId="2B2BBD0C" w14:textId="77777777" w:rsidR="00015347" w:rsidRPr="00571440" w:rsidRDefault="00015347" w:rsidP="006C0568">
      <w:pPr>
        <w:spacing w:line="360" w:lineRule="auto"/>
        <w:jc w:val="both"/>
        <w:rPr>
          <w:rFonts w:asciiTheme="minorBidi" w:hAnsiTheme="minorBidi"/>
        </w:rPr>
      </w:pPr>
    </w:p>
    <w:p w14:paraId="266E859D" w14:textId="77777777" w:rsidR="007939E3" w:rsidRPr="00571440" w:rsidRDefault="007939E3" w:rsidP="006C0568">
      <w:pPr>
        <w:spacing w:line="360" w:lineRule="auto"/>
        <w:jc w:val="both"/>
        <w:rPr>
          <w:rFonts w:asciiTheme="minorBidi" w:hAnsiTheme="minorBidi"/>
          <w:lang w:eastAsia="en-GB"/>
        </w:rPr>
      </w:pPr>
    </w:p>
    <w:p w14:paraId="1FA416A3" w14:textId="77777777" w:rsidR="007939E3" w:rsidRDefault="007939E3" w:rsidP="006C0568">
      <w:pPr>
        <w:spacing w:line="360" w:lineRule="auto"/>
        <w:jc w:val="both"/>
        <w:rPr>
          <w:rFonts w:asciiTheme="minorBidi" w:hAnsiTheme="minorBidi"/>
          <w:lang w:eastAsia="en-GB"/>
        </w:rPr>
      </w:pPr>
    </w:p>
    <w:p w14:paraId="50B2BD93" w14:textId="77777777" w:rsidR="00AF540C" w:rsidRDefault="00AF540C" w:rsidP="006C0568">
      <w:pPr>
        <w:spacing w:line="360" w:lineRule="auto"/>
        <w:jc w:val="both"/>
        <w:rPr>
          <w:rFonts w:asciiTheme="minorBidi" w:hAnsiTheme="minorBidi"/>
          <w:lang w:eastAsia="en-GB"/>
        </w:rPr>
      </w:pPr>
    </w:p>
    <w:p w14:paraId="79D634E1" w14:textId="77777777" w:rsidR="00AF540C" w:rsidRDefault="00AF540C" w:rsidP="006C0568">
      <w:pPr>
        <w:spacing w:line="360" w:lineRule="auto"/>
        <w:jc w:val="both"/>
        <w:rPr>
          <w:rFonts w:asciiTheme="minorBidi" w:hAnsiTheme="minorBidi"/>
          <w:lang w:eastAsia="en-GB"/>
        </w:rPr>
      </w:pPr>
    </w:p>
    <w:p w14:paraId="0561AD3B" w14:textId="77777777" w:rsidR="00AF540C" w:rsidRDefault="00AF540C" w:rsidP="006C0568">
      <w:pPr>
        <w:spacing w:line="360" w:lineRule="auto"/>
        <w:jc w:val="both"/>
        <w:rPr>
          <w:rFonts w:asciiTheme="minorBidi" w:hAnsiTheme="minorBidi"/>
          <w:lang w:eastAsia="en-GB"/>
        </w:rPr>
      </w:pPr>
    </w:p>
    <w:p w14:paraId="0DDA53F7" w14:textId="77777777" w:rsidR="00AF540C" w:rsidRDefault="00AF540C" w:rsidP="006C0568">
      <w:pPr>
        <w:spacing w:line="360" w:lineRule="auto"/>
        <w:jc w:val="both"/>
        <w:rPr>
          <w:rFonts w:asciiTheme="minorBidi" w:hAnsiTheme="minorBidi"/>
          <w:lang w:eastAsia="en-GB"/>
        </w:rPr>
      </w:pPr>
    </w:p>
    <w:p w14:paraId="5D05A623" w14:textId="77777777" w:rsidR="00AF540C" w:rsidRDefault="00AF540C" w:rsidP="006C0568">
      <w:pPr>
        <w:spacing w:line="360" w:lineRule="auto"/>
        <w:jc w:val="both"/>
        <w:rPr>
          <w:rFonts w:asciiTheme="minorBidi" w:hAnsiTheme="minorBidi"/>
          <w:lang w:eastAsia="en-GB"/>
        </w:rPr>
      </w:pPr>
    </w:p>
    <w:p w14:paraId="2FC9412E" w14:textId="77777777" w:rsidR="00AF540C" w:rsidRPr="00571440" w:rsidRDefault="00AF540C" w:rsidP="006C0568">
      <w:pPr>
        <w:spacing w:line="360" w:lineRule="auto"/>
        <w:jc w:val="both"/>
        <w:rPr>
          <w:rFonts w:asciiTheme="minorBidi" w:hAnsiTheme="minorBidi"/>
          <w:lang w:eastAsia="en-GB"/>
        </w:rPr>
      </w:pPr>
    </w:p>
    <w:p w14:paraId="4B3E21AD" w14:textId="4FB1F0BC" w:rsidR="002F5C3B" w:rsidRPr="00571440" w:rsidRDefault="00D64470" w:rsidP="006C0568">
      <w:pPr>
        <w:pStyle w:val="Heading5"/>
        <w:numPr>
          <w:ilvl w:val="0"/>
          <w:numId w:val="1"/>
        </w:numPr>
        <w:spacing w:line="360" w:lineRule="auto"/>
        <w:jc w:val="both"/>
        <w:rPr>
          <w:rFonts w:asciiTheme="minorBidi" w:hAnsiTheme="minorBidi" w:cstheme="minorBidi"/>
          <w:b/>
          <w:bCs/>
          <w:color w:val="auto"/>
        </w:rPr>
      </w:pPr>
      <w:r w:rsidRPr="00571440">
        <w:rPr>
          <w:rFonts w:asciiTheme="minorBidi" w:hAnsiTheme="minorBidi" w:cstheme="minorBidi"/>
          <w:b/>
          <w:bCs/>
          <w:color w:val="auto"/>
        </w:rPr>
        <w:lastRenderedPageBreak/>
        <w:t xml:space="preserve">References </w:t>
      </w:r>
      <w:r w:rsidR="006123A7" w:rsidRPr="00571440">
        <w:rPr>
          <w:rFonts w:asciiTheme="minorBidi" w:hAnsiTheme="minorBidi" w:cstheme="minorBidi"/>
          <w:b/>
          <w:bCs/>
          <w:color w:val="auto"/>
        </w:rPr>
        <w:t>list:</w:t>
      </w:r>
    </w:p>
    <w:p w14:paraId="18956F72" w14:textId="77777777" w:rsidR="00571440" w:rsidRPr="00571440" w:rsidRDefault="00571440" w:rsidP="006C0568">
      <w:pPr>
        <w:spacing w:line="360" w:lineRule="auto"/>
        <w:jc w:val="both"/>
        <w:rPr>
          <w:rFonts w:asciiTheme="minorBidi" w:hAnsiTheme="minorBidi"/>
        </w:rPr>
      </w:pPr>
    </w:p>
    <w:p w14:paraId="37E12781"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Atrill, P. and McLaney, E. (2018) </w:t>
      </w:r>
      <w:r w:rsidRPr="00571440">
        <w:rPr>
          <w:rFonts w:asciiTheme="minorBidi" w:hAnsiTheme="minorBidi"/>
          <w:i/>
          <w:iCs/>
        </w:rPr>
        <w:t>Accounting and finance for non-specialists</w:t>
      </w:r>
      <w:r w:rsidRPr="00571440">
        <w:rPr>
          <w:rFonts w:asciiTheme="minorBidi" w:hAnsiTheme="minorBidi"/>
        </w:rPr>
        <w:t>. 11th edn. Harlow: Pearson.</w:t>
      </w:r>
    </w:p>
    <w:p w14:paraId="53B55774"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Atrill, P. and McLaney, E. (2021) </w:t>
      </w:r>
      <w:r w:rsidRPr="00571440">
        <w:rPr>
          <w:rFonts w:asciiTheme="minorBidi" w:hAnsiTheme="minorBidi"/>
          <w:i/>
          <w:iCs/>
        </w:rPr>
        <w:t>Management accounting for decision makers</w:t>
      </w:r>
      <w:r w:rsidRPr="00571440">
        <w:rPr>
          <w:rFonts w:asciiTheme="minorBidi" w:hAnsiTheme="minorBidi"/>
        </w:rPr>
        <w:t>. 10th edn. Harlow: Pearson.</w:t>
      </w:r>
    </w:p>
    <w:p w14:paraId="6EE8E3F1"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Bhimani, A., Horngren, C., Datar, S. and Rajan, M. (2019) </w:t>
      </w:r>
      <w:r w:rsidRPr="00571440">
        <w:rPr>
          <w:rFonts w:asciiTheme="minorBidi" w:hAnsiTheme="minorBidi"/>
          <w:i/>
          <w:iCs/>
        </w:rPr>
        <w:t>Management and cost accounting</w:t>
      </w:r>
      <w:r w:rsidRPr="00571440">
        <w:rPr>
          <w:rFonts w:asciiTheme="minorBidi" w:hAnsiTheme="minorBidi"/>
        </w:rPr>
        <w:t>. Harlow: Pearson.</w:t>
      </w:r>
    </w:p>
    <w:p w14:paraId="777D767B"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Brealey, R., Myers, S. and Allen, F. (2020) </w:t>
      </w:r>
      <w:r w:rsidRPr="00571440">
        <w:rPr>
          <w:rFonts w:asciiTheme="minorBidi" w:hAnsiTheme="minorBidi"/>
          <w:i/>
          <w:iCs/>
        </w:rPr>
        <w:t>Principles of corporate finance</w:t>
      </w:r>
      <w:r w:rsidRPr="00571440">
        <w:rPr>
          <w:rFonts w:asciiTheme="minorBidi" w:hAnsiTheme="minorBidi"/>
        </w:rPr>
        <w:t>. 13th edn. New York: McGraw-Hill.</w:t>
      </w:r>
    </w:p>
    <w:p w14:paraId="2337361C"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Chartered Institute of Management Accountants (2022) </w:t>
      </w:r>
      <w:r w:rsidRPr="00571440">
        <w:rPr>
          <w:rFonts w:asciiTheme="minorBidi" w:hAnsiTheme="minorBidi"/>
          <w:i/>
          <w:iCs/>
        </w:rPr>
        <w:t>Budgeting and financial planning practices</w:t>
      </w:r>
      <w:r w:rsidRPr="00571440">
        <w:rPr>
          <w:rFonts w:asciiTheme="minorBidi" w:hAnsiTheme="minorBidi"/>
        </w:rPr>
        <w:t>. London: CIMA.</w:t>
      </w:r>
    </w:p>
    <w:p w14:paraId="18239988"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Collier, P. (2015) </w:t>
      </w:r>
      <w:r w:rsidRPr="00571440">
        <w:rPr>
          <w:rFonts w:asciiTheme="minorBidi" w:hAnsiTheme="minorBidi"/>
          <w:i/>
          <w:iCs/>
        </w:rPr>
        <w:t>Accounting for managers</w:t>
      </w:r>
      <w:r w:rsidRPr="00571440">
        <w:rPr>
          <w:rFonts w:asciiTheme="minorBidi" w:hAnsiTheme="minorBidi"/>
        </w:rPr>
        <w:t>. 4th edn. Chichester: Wiley.</w:t>
      </w:r>
    </w:p>
    <w:p w14:paraId="28C5A337"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Datar, S. and Rajan, M. (2017) </w:t>
      </w:r>
      <w:r w:rsidRPr="00571440">
        <w:rPr>
          <w:rFonts w:asciiTheme="minorBidi" w:hAnsiTheme="minorBidi"/>
          <w:i/>
          <w:iCs/>
        </w:rPr>
        <w:t>Cost accounting: a managerial emphasis</w:t>
      </w:r>
      <w:r w:rsidRPr="00571440">
        <w:rPr>
          <w:rFonts w:asciiTheme="minorBidi" w:hAnsiTheme="minorBidi"/>
        </w:rPr>
        <w:t>. London: Pearson.</w:t>
      </w:r>
    </w:p>
    <w:p w14:paraId="41134049"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Drury, C. (2021) </w:t>
      </w:r>
      <w:r w:rsidRPr="00571440">
        <w:rPr>
          <w:rFonts w:asciiTheme="minorBidi" w:hAnsiTheme="minorBidi"/>
          <w:i/>
          <w:iCs/>
        </w:rPr>
        <w:t>Management and cost accounting</w:t>
      </w:r>
      <w:r w:rsidRPr="00571440">
        <w:rPr>
          <w:rFonts w:asciiTheme="minorBidi" w:hAnsiTheme="minorBidi"/>
        </w:rPr>
        <w:t>. 11th edn. London: Cengage Learning.</w:t>
      </w:r>
    </w:p>
    <w:p w14:paraId="1A95F90D"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Dyson, J. (2020) </w:t>
      </w:r>
      <w:r w:rsidRPr="00571440">
        <w:rPr>
          <w:rFonts w:asciiTheme="minorBidi" w:hAnsiTheme="minorBidi"/>
          <w:i/>
          <w:iCs/>
        </w:rPr>
        <w:t>Accounting for non-accounting students</w:t>
      </w:r>
      <w:r w:rsidRPr="00571440">
        <w:rPr>
          <w:rFonts w:asciiTheme="minorBidi" w:hAnsiTheme="minorBidi"/>
        </w:rPr>
        <w:t>. 10th edn. Harlow: Pearson.</w:t>
      </w:r>
    </w:p>
    <w:p w14:paraId="06803AF9"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Friedlob, G. and Plewa, F. (2018) </w:t>
      </w:r>
      <w:r w:rsidRPr="00571440">
        <w:rPr>
          <w:rFonts w:asciiTheme="minorBidi" w:hAnsiTheme="minorBidi"/>
          <w:i/>
          <w:iCs/>
        </w:rPr>
        <w:t>Understanding financial statements</w:t>
      </w:r>
      <w:r w:rsidRPr="00571440">
        <w:rPr>
          <w:rFonts w:asciiTheme="minorBidi" w:hAnsiTheme="minorBidi"/>
        </w:rPr>
        <w:t>. Hoboken: Wiley.</w:t>
      </w:r>
    </w:p>
    <w:p w14:paraId="00630E5F"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Garrison, R., Noreen, E. and Brewer, P. (2021) </w:t>
      </w:r>
      <w:r w:rsidRPr="00571440">
        <w:rPr>
          <w:rFonts w:asciiTheme="minorBidi" w:hAnsiTheme="minorBidi"/>
          <w:i/>
          <w:iCs/>
        </w:rPr>
        <w:t>Managerial accounting</w:t>
      </w:r>
      <w:r w:rsidRPr="00571440">
        <w:rPr>
          <w:rFonts w:asciiTheme="minorBidi" w:hAnsiTheme="minorBidi"/>
        </w:rPr>
        <w:t>. 17th edn. New York: McGraw-Hill.</w:t>
      </w:r>
    </w:p>
    <w:p w14:paraId="732AF08E" w14:textId="77777777" w:rsidR="00571440" w:rsidRPr="00320D6B" w:rsidRDefault="00571440" w:rsidP="006C0568">
      <w:pPr>
        <w:spacing w:line="360" w:lineRule="auto"/>
        <w:jc w:val="both"/>
        <w:rPr>
          <w:rFonts w:asciiTheme="minorBidi" w:hAnsiTheme="minorBidi"/>
        </w:rPr>
      </w:pPr>
      <w:r w:rsidRPr="00320D6B">
        <w:rPr>
          <w:rFonts w:asciiTheme="minorBidi" w:hAnsiTheme="minorBidi"/>
        </w:rPr>
        <w:t>Gond, J-P., Grubnic, S., Herzig, C. and Moon, J. (2012) ‘Configuring management control systems: Theorizing the integration of strategy and sustainability’, Management Accounting Research, 23(3), pp. 205–223. doi:10.1016/j.mar.2012.06.003.</w:t>
      </w:r>
    </w:p>
    <w:p w14:paraId="515B7192"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Hansen, D., Mowen, M. and Heitger, D. (2019) </w:t>
      </w:r>
      <w:r w:rsidRPr="00571440">
        <w:rPr>
          <w:rFonts w:asciiTheme="minorBidi" w:hAnsiTheme="minorBidi"/>
          <w:i/>
          <w:iCs/>
        </w:rPr>
        <w:t>Cost management: accounting and control</w:t>
      </w:r>
      <w:r w:rsidRPr="00571440">
        <w:rPr>
          <w:rFonts w:asciiTheme="minorBidi" w:hAnsiTheme="minorBidi"/>
        </w:rPr>
        <w:t>. Boston: Cengage.</w:t>
      </w:r>
    </w:p>
    <w:p w14:paraId="3C20CB2D"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lastRenderedPageBreak/>
        <w:t xml:space="preserve">Hansen, S., Otley, D. and Van der Stede, W. (2003) ‘Practice developments in budgeting: an overview and research perspective’, </w:t>
      </w:r>
      <w:r w:rsidRPr="00571440">
        <w:rPr>
          <w:rFonts w:asciiTheme="minorBidi" w:hAnsiTheme="minorBidi"/>
          <w:i/>
          <w:iCs/>
        </w:rPr>
        <w:t>Management Accounting Research</w:t>
      </w:r>
      <w:r w:rsidRPr="00571440">
        <w:rPr>
          <w:rFonts w:asciiTheme="minorBidi" w:hAnsiTheme="minorBidi"/>
        </w:rPr>
        <w:t>, 14(1), pp. 95–116.</w:t>
      </w:r>
    </w:p>
    <w:p w14:paraId="511F4EB8"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Hope, J. and Fraser, R. (2003) </w:t>
      </w:r>
      <w:r w:rsidRPr="00571440">
        <w:rPr>
          <w:rFonts w:asciiTheme="minorBidi" w:hAnsiTheme="minorBidi"/>
          <w:i/>
          <w:iCs/>
        </w:rPr>
        <w:t>Beyond budgeting: how managers can break free from the annual performance trap</w:t>
      </w:r>
      <w:r w:rsidRPr="00571440">
        <w:rPr>
          <w:rFonts w:asciiTheme="minorBidi" w:hAnsiTheme="minorBidi"/>
        </w:rPr>
        <w:t>. Boston: Harvard Business School Press.</w:t>
      </w:r>
    </w:p>
    <w:p w14:paraId="391BCCB9"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Horner, D. (2020) </w:t>
      </w:r>
      <w:r w:rsidRPr="00571440">
        <w:rPr>
          <w:rFonts w:asciiTheme="minorBidi" w:hAnsiTheme="minorBidi"/>
          <w:i/>
          <w:iCs/>
        </w:rPr>
        <w:t>Accounting for non-accountants</w:t>
      </w:r>
      <w:r w:rsidRPr="00571440">
        <w:rPr>
          <w:rFonts w:asciiTheme="minorBidi" w:hAnsiTheme="minorBidi"/>
        </w:rPr>
        <w:t>. 12th edn. London: Kogan Page.</w:t>
      </w:r>
    </w:p>
    <w:p w14:paraId="7A89B3EA"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Kaplan, R. and Atkinson, A. (2015) </w:t>
      </w:r>
      <w:r w:rsidRPr="00571440">
        <w:rPr>
          <w:rFonts w:asciiTheme="minorBidi" w:hAnsiTheme="minorBidi"/>
          <w:i/>
          <w:iCs/>
        </w:rPr>
        <w:t>Advanced management accounting</w:t>
      </w:r>
      <w:r w:rsidRPr="00571440">
        <w:rPr>
          <w:rFonts w:asciiTheme="minorBidi" w:hAnsiTheme="minorBidi"/>
        </w:rPr>
        <w:t>. 3rd edn. Harlow: Pearson.</w:t>
      </w:r>
    </w:p>
    <w:p w14:paraId="0FC808A1"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Kaplan, R. and Norton, D. (2004) </w:t>
      </w:r>
      <w:r w:rsidRPr="00571440">
        <w:rPr>
          <w:rFonts w:asciiTheme="minorBidi" w:hAnsiTheme="minorBidi"/>
          <w:i/>
          <w:iCs/>
        </w:rPr>
        <w:t>Strategy maps</w:t>
      </w:r>
      <w:r w:rsidRPr="00571440">
        <w:rPr>
          <w:rFonts w:asciiTheme="minorBidi" w:hAnsiTheme="minorBidi"/>
        </w:rPr>
        <w:t>. Boston: Harvard Business School Press.</w:t>
      </w:r>
    </w:p>
    <w:p w14:paraId="07FFBC44"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Kolitz, D. (2017) </w:t>
      </w:r>
      <w:r w:rsidRPr="00571440">
        <w:rPr>
          <w:rFonts w:asciiTheme="minorBidi" w:hAnsiTheme="minorBidi"/>
          <w:i/>
          <w:iCs/>
        </w:rPr>
        <w:t>Financial accounting: a concepts-based introduction</w:t>
      </w:r>
      <w:r w:rsidRPr="00571440">
        <w:rPr>
          <w:rFonts w:asciiTheme="minorBidi" w:hAnsiTheme="minorBidi"/>
        </w:rPr>
        <w:t>. Oxon: Routledge.</w:t>
      </w:r>
    </w:p>
    <w:p w14:paraId="78E643E2"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Libby, R., Libby, P. and Hodge, F. (2020) </w:t>
      </w:r>
      <w:r w:rsidRPr="00571440">
        <w:rPr>
          <w:rFonts w:asciiTheme="minorBidi" w:hAnsiTheme="minorBidi"/>
          <w:i/>
          <w:iCs/>
        </w:rPr>
        <w:t>Financial accounting</w:t>
      </w:r>
      <w:r w:rsidRPr="00571440">
        <w:rPr>
          <w:rFonts w:asciiTheme="minorBidi" w:hAnsiTheme="minorBidi"/>
        </w:rPr>
        <w:t>. 10th edn. New York: McGraw-Hill.</w:t>
      </w:r>
    </w:p>
    <w:p w14:paraId="56CB204F" w14:textId="09F8F1B2" w:rsidR="00571440" w:rsidRPr="00320D6B" w:rsidRDefault="00571440" w:rsidP="006C0568">
      <w:pPr>
        <w:spacing w:line="360" w:lineRule="auto"/>
        <w:jc w:val="both"/>
        <w:rPr>
          <w:rFonts w:asciiTheme="minorBidi" w:hAnsiTheme="minorBidi"/>
        </w:rPr>
      </w:pPr>
      <w:r w:rsidRPr="00320D6B">
        <w:rPr>
          <w:rFonts w:asciiTheme="minorBidi" w:hAnsiTheme="minorBidi"/>
        </w:rPr>
        <w:t>Libby, T. and Lindsay, R.M. (2010) ‘Beyond budgeting or budgeting reconsidered? A survey of North-American budgeting practice’, Management Accounting Research, 21(1), pp. 56–75. doi:10.1016/j.mar.2009.10.003.</w:t>
      </w:r>
    </w:p>
    <w:p w14:paraId="49A361B2"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Merchant, K. and Van der Stede, W. (2017) </w:t>
      </w:r>
      <w:r w:rsidRPr="00571440">
        <w:rPr>
          <w:rFonts w:asciiTheme="minorBidi" w:hAnsiTheme="minorBidi"/>
          <w:i/>
          <w:iCs/>
        </w:rPr>
        <w:t>Management control systems</w:t>
      </w:r>
      <w:r w:rsidRPr="00571440">
        <w:rPr>
          <w:rFonts w:asciiTheme="minorBidi" w:hAnsiTheme="minorBidi"/>
        </w:rPr>
        <w:t>. 4th edn. Harlow: Pearson.</w:t>
      </w:r>
    </w:p>
    <w:p w14:paraId="1BE7D231"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Needles, B., Powers, M. and Crosson, S. (2014) </w:t>
      </w:r>
      <w:r w:rsidRPr="00571440">
        <w:rPr>
          <w:rFonts w:asciiTheme="minorBidi" w:hAnsiTheme="minorBidi"/>
          <w:i/>
          <w:iCs/>
        </w:rPr>
        <w:t>Financial and managerial accounting</w:t>
      </w:r>
      <w:r w:rsidRPr="00571440">
        <w:rPr>
          <w:rFonts w:asciiTheme="minorBidi" w:hAnsiTheme="minorBidi"/>
        </w:rPr>
        <w:t>. Boston: Cengage.</w:t>
      </w:r>
    </w:p>
    <w:p w14:paraId="27776430"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Otley, D. (1999) ‘Performance management: a framework for management control systems research’, </w:t>
      </w:r>
      <w:r w:rsidRPr="00571440">
        <w:rPr>
          <w:rFonts w:asciiTheme="minorBidi" w:hAnsiTheme="minorBidi"/>
          <w:i/>
          <w:iCs/>
        </w:rPr>
        <w:t>Management Accounting Research</w:t>
      </w:r>
      <w:r w:rsidRPr="00571440">
        <w:rPr>
          <w:rFonts w:asciiTheme="minorBidi" w:hAnsiTheme="minorBidi"/>
        </w:rPr>
        <w:t>, 10(4), pp. 363–382.</w:t>
      </w:r>
    </w:p>
    <w:p w14:paraId="2A4B5CBB"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Otley, D. (2016) ‘The contingency theory of management accounting and control: 1980–2014’, </w:t>
      </w:r>
      <w:r w:rsidRPr="00571440">
        <w:rPr>
          <w:rFonts w:asciiTheme="minorBidi" w:hAnsiTheme="minorBidi"/>
          <w:i/>
          <w:iCs/>
        </w:rPr>
        <w:t>Management Accounting Research</w:t>
      </w:r>
      <w:r w:rsidRPr="00571440">
        <w:rPr>
          <w:rFonts w:asciiTheme="minorBidi" w:hAnsiTheme="minorBidi"/>
        </w:rPr>
        <w:t>, 31, pp. 45–62.</w:t>
      </w:r>
    </w:p>
    <w:p w14:paraId="28313CDD"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Parker, L. (2012) ‘Qualitative management accounting research: assessing deliverables and relevance’, </w:t>
      </w:r>
      <w:r w:rsidRPr="00571440">
        <w:rPr>
          <w:rFonts w:asciiTheme="minorBidi" w:hAnsiTheme="minorBidi"/>
          <w:i/>
          <w:iCs/>
        </w:rPr>
        <w:t>Accounting, Auditing &amp; Accountability Journal</w:t>
      </w:r>
      <w:r w:rsidRPr="00571440">
        <w:rPr>
          <w:rFonts w:asciiTheme="minorBidi" w:hAnsiTheme="minorBidi"/>
        </w:rPr>
        <w:t>, 25(1), pp. 54–87.</w:t>
      </w:r>
    </w:p>
    <w:p w14:paraId="03F8B657"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Ryan, B. (2016) </w:t>
      </w:r>
      <w:r w:rsidRPr="00571440">
        <w:rPr>
          <w:rFonts w:asciiTheme="minorBidi" w:hAnsiTheme="minorBidi"/>
          <w:i/>
          <w:iCs/>
        </w:rPr>
        <w:t>Finance and accounting for business</w:t>
      </w:r>
      <w:r w:rsidRPr="00571440">
        <w:rPr>
          <w:rFonts w:asciiTheme="minorBidi" w:hAnsiTheme="minorBidi"/>
        </w:rPr>
        <w:t>. London: Cengage Learning.</w:t>
      </w:r>
    </w:p>
    <w:p w14:paraId="7777E917"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lastRenderedPageBreak/>
        <w:t xml:space="preserve">Seal, W., Garrison, R. and Noreen, E. (2018) </w:t>
      </w:r>
      <w:r w:rsidRPr="00571440">
        <w:rPr>
          <w:rFonts w:asciiTheme="minorBidi" w:hAnsiTheme="minorBidi"/>
          <w:i/>
          <w:iCs/>
        </w:rPr>
        <w:t>Management accounting</w:t>
      </w:r>
      <w:r w:rsidRPr="00571440">
        <w:rPr>
          <w:rFonts w:asciiTheme="minorBidi" w:hAnsiTheme="minorBidi"/>
        </w:rPr>
        <w:t>. 6th edn. London: McGraw-Hill.</w:t>
      </w:r>
    </w:p>
    <w:p w14:paraId="4E360E1E"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Shim, J. and Siegel, J. (2018) </w:t>
      </w:r>
      <w:r w:rsidRPr="00571440">
        <w:rPr>
          <w:rFonts w:asciiTheme="minorBidi" w:hAnsiTheme="minorBidi"/>
          <w:i/>
          <w:iCs/>
        </w:rPr>
        <w:t>Budgeting basics and beyond</w:t>
      </w:r>
      <w:r w:rsidRPr="00571440">
        <w:rPr>
          <w:rFonts w:asciiTheme="minorBidi" w:hAnsiTheme="minorBidi"/>
        </w:rPr>
        <w:t>. 5th edn. Hoboken: Wiley.</w:t>
      </w:r>
    </w:p>
    <w:p w14:paraId="0AC86AFF"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Soin, K. and Collier, P. (2013) ‘Risk and management accounting’, </w:t>
      </w:r>
      <w:r w:rsidRPr="00571440">
        <w:rPr>
          <w:rFonts w:asciiTheme="minorBidi" w:hAnsiTheme="minorBidi"/>
          <w:i/>
          <w:iCs/>
        </w:rPr>
        <w:t>Management Accounting Research</w:t>
      </w:r>
      <w:r w:rsidRPr="00571440">
        <w:rPr>
          <w:rFonts w:asciiTheme="minorBidi" w:hAnsiTheme="minorBidi"/>
        </w:rPr>
        <w:t>, 24(2), pp. 82–87.</w:t>
      </w:r>
    </w:p>
    <w:p w14:paraId="45BD60CC"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Walsh, C. (2008) </w:t>
      </w:r>
      <w:r w:rsidRPr="00571440">
        <w:rPr>
          <w:rFonts w:asciiTheme="minorBidi" w:hAnsiTheme="minorBidi"/>
          <w:i/>
          <w:iCs/>
        </w:rPr>
        <w:t>Key management ratios</w:t>
      </w:r>
      <w:r w:rsidRPr="00571440">
        <w:rPr>
          <w:rFonts w:asciiTheme="minorBidi" w:hAnsiTheme="minorBidi"/>
        </w:rPr>
        <w:t>. 4th edn. Harlow: Pearson.</w:t>
      </w:r>
    </w:p>
    <w:p w14:paraId="0D3759BD"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Weetman, P. (2019) </w:t>
      </w:r>
      <w:r w:rsidRPr="00571440">
        <w:rPr>
          <w:rFonts w:asciiTheme="minorBidi" w:hAnsiTheme="minorBidi"/>
          <w:i/>
          <w:iCs/>
        </w:rPr>
        <w:t>Financial and management accounting</w:t>
      </w:r>
      <w:r w:rsidRPr="00571440">
        <w:rPr>
          <w:rFonts w:asciiTheme="minorBidi" w:hAnsiTheme="minorBidi"/>
        </w:rPr>
        <w:t>. 8th edn. Harlow: Pearson.</w:t>
      </w:r>
    </w:p>
    <w:p w14:paraId="1F7A6328" w14:textId="77777777" w:rsidR="00571440" w:rsidRPr="00571440" w:rsidRDefault="00571440" w:rsidP="006C0568">
      <w:pPr>
        <w:spacing w:line="360" w:lineRule="auto"/>
        <w:jc w:val="both"/>
        <w:rPr>
          <w:rFonts w:asciiTheme="minorBidi" w:hAnsiTheme="minorBidi"/>
        </w:rPr>
      </w:pPr>
      <w:r w:rsidRPr="00571440">
        <w:rPr>
          <w:rFonts w:asciiTheme="minorBidi" w:hAnsiTheme="minorBidi"/>
        </w:rPr>
        <w:t xml:space="preserve">Wild, J. (2019) </w:t>
      </w:r>
      <w:r w:rsidRPr="00571440">
        <w:rPr>
          <w:rFonts w:asciiTheme="minorBidi" w:hAnsiTheme="minorBidi"/>
          <w:i/>
          <w:iCs/>
        </w:rPr>
        <w:t>Financial accounting: information for decisions</w:t>
      </w:r>
      <w:r w:rsidRPr="00571440">
        <w:rPr>
          <w:rFonts w:asciiTheme="minorBidi" w:hAnsiTheme="minorBidi"/>
        </w:rPr>
        <w:t>. New York: McGraw-Hill.</w:t>
      </w:r>
    </w:p>
    <w:sectPr w:rsidR="00571440" w:rsidRPr="00571440" w:rsidSect="00B3223F">
      <w:footerReference w:type="default" r:id="rId10"/>
      <w:pgSz w:w="11906" w:h="16838"/>
      <w:pgMar w:top="1440" w:right="1440" w:bottom="1440" w:left="1440" w:header="708" w:footer="708" w:gutter="0"/>
      <w:pgBorders w:display="firstPage" w:offsetFrom="page">
        <w:top w:val="dotted" w:sz="8" w:space="24" w:color="auto"/>
        <w:left w:val="dotted" w:sz="8" w:space="24" w:color="auto"/>
        <w:bottom w:val="dotted" w:sz="8" w:space="24" w:color="auto"/>
        <w:right w:val="dotted"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A9DC40" w14:textId="77777777" w:rsidR="00F00A6F" w:rsidRDefault="00F00A6F" w:rsidP="00487E7A">
      <w:pPr>
        <w:spacing w:after="0" w:line="240" w:lineRule="auto"/>
      </w:pPr>
      <w:r>
        <w:separator/>
      </w:r>
    </w:p>
  </w:endnote>
  <w:endnote w:type="continuationSeparator" w:id="0">
    <w:p w14:paraId="4BC458AB" w14:textId="77777777" w:rsidR="00F00A6F" w:rsidRDefault="00F00A6F" w:rsidP="00487E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317358"/>
      <w:docPartObj>
        <w:docPartGallery w:val="Page Numbers (Bottom of Page)"/>
        <w:docPartUnique/>
      </w:docPartObj>
    </w:sdtPr>
    <w:sdtContent>
      <w:p w14:paraId="3504F866" w14:textId="757AD479" w:rsidR="00487E7A" w:rsidRDefault="00487E7A">
        <w:pPr>
          <w:pStyle w:val="Footer"/>
          <w:jc w:val="center"/>
        </w:pPr>
        <w:r>
          <w:fldChar w:fldCharType="begin"/>
        </w:r>
        <w:r>
          <w:instrText>PAGE   \* MERGEFORMAT</w:instrText>
        </w:r>
        <w:r>
          <w:fldChar w:fldCharType="separate"/>
        </w:r>
        <w:r>
          <w:t>2</w:t>
        </w:r>
        <w:r>
          <w:fldChar w:fldCharType="end"/>
        </w:r>
      </w:p>
    </w:sdtContent>
  </w:sdt>
  <w:p w14:paraId="5C9AEA5F" w14:textId="77777777" w:rsidR="00487E7A" w:rsidRDefault="00487E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B9B7A2" w14:textId="77777777" w:rsidR="00F00A6F" w:rsidRDefault="00F00A6F" w:rsidP="00487E7A">
      <w:pPr>
        <w:spacing w:after="0" w:line="240" w:lineRule="auto"/>
      </w:pPr>
      <w:r>
        <w:separator/>
      </w:r>
    </w:p>
  </w:footnote>
  <w:footnote w:type="continuationSeparator" w:id="0">
    <w:p w14:paraId="2A05EF66" w14:textId="77777777" w:rsidR="00F00A6F" w:rsidRDefault="00F00A6F" w:rsidP="00487E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7060A7"/>
    <w:multiLevelType w:val="multilevel"/>
    <w:tmpl w:val="B06A7EF8"/>
    <w:lvl w:ilvl="0">
      <w:start w:val="1"/>
      <w:numFmt w:val="decimal"/>
      <w:lvlText w:val="%1."/>
      <w:lvlJc w:val="left"/>
      <w:pPr>
        <w:ind w:left="720" w:hanging="360"/>
      </w:pPr>
      <w:rPr>
        <w:rFonts w:hint="default"/>
      </w:rPr>
    </w:lvl>
    <w:lvl w:ilvl="1">
      <w:start w:val="6"/>
      <w:numFmt w:val="decimal"/>
      <w:isLgl/>
      <w:lvlText w:val="%1.%2"/>
      <w:lvlJc w:val="left"/>
      <w:pPr>
        <w:ind w:left="538"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4010975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68B"/>
    <w:rsid w:val="00001DBA"/>
    <w:rsid w:val="00002F56"/>
    <w:rsid w:val="0000450F"/>
    <w:rsid w:val="00015347"/>
    <w:rsid w:val="0001635D"/>
    <w:rsid w:val="000230BD"/>
    <w:rsid w:val="000359EE"/>
    <w:rsid w:val="00050F2C"/>
    <w:rsid w:val="00055C32"/>
    <w:rsid w:val="00064010"/>
    <w:rsid w:val="000726E7"/>
    <w:rsid w:val="00072D29"/>
    <w:rsid w:val="00073163"/>
    <w:rsid w:val="0008732B"/>
    <w:rsid w:val="00093E11"/>
    <w:rsid w:val="00095B06"/>
    <w:rsid w:val="000D26B5"/>
    <w:rsid w:val="000D462B"/>
    <w:rsid w:val="000E7256"/>
    <w:rsid w:val="001140C9"/>
    <w:rsid w:val="001244EC"/>
    <w:rsid w:val="0015210D"/>
    <w:rsid w:val="00171C74"/>
    <w:rsid w:val="00194F37"/>
    <w:rsid w:val="001C082B"/>
    <w:rsid w:val="001C4377"/>
    <w:rsid w:val="001E46A5"/>
    <w:rsid w:val="00203BA1"/>
    <w:rsid w:val="00242C63"/>
    <w:rsid w:val="002436C7"/>
    <w:rsid w:val="002505FC"/>
    <w:rsid w:val="00283131"/>
    <w:rsid w:val="002C3E35"/>
    <w:rsid w:val="002C5099"/>
    <w:rsid w:val="002F5C3B"/>
    <w:rsid w:val="002F7600"/>
    <w:rsid w:val="00305F2D"/>
    <w:rsid w:val="00320D6B"/>
    <w:rsid w:val="00327CFE"/>
    <w:rsid w:val="00343EF9"/>
    <w:rsid w:val="00345D8C"/>
    <w:rsid w:val="00352809"/>
    <w:rsid w:val="00361C13"/>
    <w:rsid w:val="00380814"/>
    <w:rsid w:val="003950F1"/>
    <w:rsid w:val="003A15FA"/>
    <w:rsid w:val="003B3DF2"/>
    <w:rsid w:val="003B73D4"/>
    <w:rsid w:val="003E645E"/>
    <w:rsid w:val="003F0573"/>
    <w:rsid w:val="00434FEE"/>
    <w:rsid w:val="00444B69"/>
    <w:rsid w:val="004549D3"/>
    <w:rsid w:val="00467910"/>
    <w:rsid w:val="004742A6"/>
    <w:rsid w:val="00487E7A"/>
    <w:rsid w:val="004A0931"/>
    <w:rsid w:val="004A370D"/>
    <w:rsid w:val="004A7C9A"/>
    <w:rsid w:val="004B02EE"/>
    <w:rsid w:val="004D6AF6"/>
    <w:rsid w:val="004F33DB"/>
    <w:rsid w:val="004F479D"/>
    <w:rsid w:val="005036EB"/>
    <w:rsid w:val="00504C20"/>
    <w:rsid w:val="00521949"/>
    <w:rsid w:val="005412C5"/>
    <w:rsid w:val="0055323A"/>
    <w:rsid w:val="00554F81"/>
    <w:rsid w:val="00571440"/>
    <w:rsid w:val="00571D6C"/>
    <w:rsid w:val="00573817"/>
    <w:rsid w:val="00576F98"/>
    <w:rsid w:val="0059198D"/>
    <w:rsid w:val="005976D7"/>
    <w:rsid w:val="005C3E3A"/>
    <w:rsid w:val="005C5871"/>
    <w:rsid w:val="005D0921"/>
    <w:rsid w:val="005E1DD7"/>
    <w:rsid w:val="005E20FB"/>
    <w:rsid w:val="005F02E7"/>
    <w:rsid w:val="005F3840"/>
    <w:rsid w:val="00604394"/>
    <w:rsid w:val="006123A7"/>
    <w:rsid w:val="0061602F"/>
    <w:rsid w:val="006252DB"/>
    <w:rsid w:val="00627C4C"/>
    <w:rsid w:val="00654E48"/>
    <w:rsid w:val="00672828"/>
    <w:rsid w:val="006842D5"/>
    <w:rsid w:val="006B26A9"/>
    <w:rsid w:val="006C0568"/>
    <w:rsid w:val="006C5FFB"/>
    <w:rsid w:val="006C759B"/>
    <w:rsid w:val="006D397D"/>
    <w:rsid w:val="006F0D4C"/>
    <w:rsid w:val="00741024"/>
    <w:rsid w:val="00767BBC"/>
    <w:rsid w:val="007939E3"/>
    <w:rsid w:val="007C3000"/>
    <w:rsid w:val="007E3A9B"/>
    <w:rsid w:val="00807725"/>
    <w:rsid w:val="00835D05"/>
    <w:rsid w:val="00837F23"/>
    <w:rsid w:val="008475EF"/>
    <w:rsid w:val="00853C7D"/>
    <w:rsid w:val="00887CA4"/>
    <w:rsid w:val="00893351"/>
    <w:rsid w:val="00893FA0"/>
    <w:rsid w:val="008B74A0"/>
    <w:rsid w:val="008C1C27"/>
    <w:rsid w:val="008F4B46"/>
    <w:rsid w:val="008F6D11"/>
    <w:rsid w:val="009024B9"/>
    <w:rsid w:val="009157D9"/>
    <w:rsid w:val="0092118C"/>
    <w:rsid w:val="00935242"/>
    <w:rsid w:val="00990BD8"/>
    <w:rsid w:val="009A7ABF"/>
    <w:rsid w:val="009B0BAE"/>
    <w:rsid w:val="009C070F"/>
    <w:rsid w:val="009D550E"/>
    <w:rsid w:val="00A23E64"/>
    <w:rsid w:val="00A27436"/>
    <w:rsid w:val="00A350BD"/>
    <w:rsid w:val="00A52EFF"/>
    <w:rsid w:val="00A6769C"/>
    <w:rsid w:val="00A73D09"/>
    <w:rsid w:val="00A74F66"/>
    <w:rsid w:val="00A96C6F"/>
    <w:rsid w:val="00AA3E5D"/>
    <w:rsid w:val="00AB7D32"/>
    <w:rsid w:val="00AC2B77"/>
    <w:rsid w:val="00AC3D43"/>
    <w:rsid w:val="00AE2D82"/>
    <w:rsid w:val="00AF18CF"/>
    <w:rsid w:val="00AF259D"/>
    <w:rsid w:val="00AF2968"/>
    <w:rsid w:val="00AF540C"/>
    <w:rsid w:val="00B02E0C"/>
    <w:rsid w:val="00B03E9B"/>
    <w:rsid w:val="00B043EC"/>
    <w:rsid w:val="00B231E8"/>
    <w:rsid w:val="00B3223F"/>
    <w:rsid w:val="00B4626B"/>
    <w:rsid w:val="00B55E59"/>
    <w:rsid w:val="00B743EC"/>
    <w:rsid w:val="00B96EFA"/>
    <w:rsid w:val="00BE1049"/>
    <w:rsid w:val="00C55D64"/>
    <w:rsid w:val="00CB0495"/>
    <w:rsid w:val="00CC1D29"/>
    <w:rsid w:val="00CE665B"/>
    <w:rsid w:val="00D057A7"/>
    <w:rsid w:val="00D114BF"/>
    <w:rsid w:val="00D1736A"/>
    <w:rsid w:val="00D50744"/>
    <w:rsid w:val="00D60AE8"/>
    <w:rsid w:val="00D613C5"/>
    <w:rsid w:val="00D64470"/>
    <w:rsid w:val="00D67247"/>
    <w:rsid w:val="00DF34CA"/>
    <w:rsid w:val="00DF437E"/>
    <w:rsid w:val="00DF6C0A"/>
    <w:rsid w:val="00E0481A"/>
    <w:rsid w:val="00E23607"/>
    <w:rsid w:val="00E26E48"/>
    <w:rsid w:val="00E4049F"/>
    <w:rsid w:val="00E404B8"/>
    <w:rsid w:val="00E50FFD"/>
    <w:rsid w:val="00E54330"/>
    <w:rsid w:val="00E60511"/>
    <w:rsid w:val="00E729E8"/>
    <w:rsid w:val="00EA0FD7"/>
    <w:rsid w:val="00EA1C45"/>
    <w:rsid w:val="00EA6B03"/>
    <w:rsid w:val="00EB368B"/>
    <w:rsid w:val="00EF275A"/>
    <w:rsid w:val="00F00A6F"/>
    <w:rsid w:val="00F079BA"/>
    <w:rsid w:val="00F2745F"/>
    <w:rsid w:val="00F405AB"/>
    <w:rsid w:val="00F75732"/>
    <w:rsid w:val="00F77B08"/>
    <w:rsid w:val="00F85839"/>
    <w:rsid w:val="00FA54C5"/>
    <w:rsid w:val="00FD3A7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96C3F"/>
  <w15:chartTrackingRefBased/>
  <w15:docId w15:val="{C9DF9F99-C9B0-4CDF-9BEC-D736140BD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49F"/>
  </w:style>
  <w:style w:type="paragraph" w:styleId="Heading1">
    <w:name w:val="heading 1"/>
    <w:basedOn w:val="Normal"/>
    <w:next w:val="Normal"/>
    <w:link w:val="Heading1Char"/>
    <w:uiPriority w:val="9"/>
    <w:qFormat/>
    <w:rsid w:val="00EB36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36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B36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B36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B36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EB36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EB36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EB36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EB36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6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36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B36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B36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B368B"/>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EB36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EB368B"/>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EB36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EB368B"/>
    <w:rPr>
      <w:rFonts w:eastAsiaTheme="majorEastAsia" w:cstheme="majorBidi"/>
      <w:color w:val="272727" w:themeColor="text1" w:themeTint="D8"/>
    </w:rPr>
  </w:style>
  <w:style w:type="paragraph" w:styleId="Title">
    <w:name w:val="Title"/>
    <w:basedOn w:val="Normal"/>
    <w:next w:val="Normal"/>
    <w:link w:val="TitleChar"/>
    <w:uiPriority w:val="10"/>
    <w:qFormat/>
    <w:rsid w:val="00EB36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36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36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36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368B"/>
    <w:pPr>
      <w:spacing w:before="160"/>
      <w:jc w:val="center"/>
    </w:pPr>
    <w:rPr>
      <w:i/>
      <w:iCs/>
      <w:color w:val="404040" w:themeColor="text1" w:themeTint="BF"/>
    </w:rPr>
  </w:style>
  <w:style w:type="character" w:customStyle="1" w:styleId="QuoteChar">
    <w:name w:val="Quote Char"/>
    <w:basedOn w:val="DefaultParagraphFont"/>
    <w:link w:val="Quote"/>
    <w:uiPriority w:val="29"/>
    <w:rsid w:val="00EB368B"/>
    <w:rPr>
      <w:i/>
      <w:iCs/>
      <w:color w:val="404040" w:themeColor="text1" w:themeTint="BF"/>
    </w:rPr>
  </w:style>
  <w:style w:type="paragraph" w:styleId="ListParagraph">
    <w:name w:val="List Paragraph"/>
    <w:basedOn w:val="Normal"/>
    <w:uiPriority w:val="34"/>
    <w:qFormat/>
    <w:rsid w:val="00EB368B"/>
    <w:pPr>
      <w:ind w:left="720"/>
      <w:contextualSpacing/>
    </w:pPr>
  </w:style>
  <w:style w:type="character" w:styleId="IntenseEmphasis">
    <w:name w:val="Intense Emphasis"/>
    <w:basedOn w:val="DefaultParagraphFont"/>
    <w:uiPriority w:val="21"/>
    <w:qFormat/>
    <w:rsid w:val="00EB368B"/>
    <w:rPr>
      <w:i/>
      <w:iCs/>
      <w:color w:val="0F4761" w:themeColor="accent1" w:themeShade="BF"/>
    </w:rPr>
  </w:style>
  <w:style w:type="paragraph" w:styleId="IntenseQuote">
    <w:name w:val="Intense Quote"/>
    <w:basedOn w:val="Normal"/>
    <w:next w:val="Normal"/>
    <w:link w:val="IntenseQuoteChar"/>
    <w:uiPriority w:val="30"/>
    <w:qFormat/>
    <w:rsid w:val="00EB36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368B"/>
    <w:rPr>
      <w:i/>
      <w:iCs/>
      <w:color w:val="0F4761" w:themeColor="accent1" w:themeShade="BF"/>
    </w:rPr>
  </w:style>
  <w:style w:type="character" w:styleId="IntenseReference">
    <w:name w:val="Intense Reference"/>
    <w:basedOn w:val="DefaultParagraphFont"/>
    <w:uiPriority w:val="32"/>
    <w:qFormat/>
    <w:rsid w:val="00EB368B"/>
    <w:rPr>
      <w:b/>
      <w:bCs/>
      <w:smallCaps/>
      <w:color w:val="0F4761" w:themeColor="accent1" w:themeShade="BF"/>
      <w:spacing w:val="5"/>
    </w:rPr>
  </w:style>
  <w:style w:type="paragraph" w:styleId="TOCHeading">
    <w:name w:val="TOC Heading"/>
    <w:basedOn w:val="Heading1"/>
    <w:next w:val="Normal"/>
    <w:uiPriority w:val="39"/>
    <w:unhideWhenUsed/>
    <w:qFormat/>
    <w:rsid w:val="00AC2B77"/>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487E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E7A"/>
  </w:style>
  <w:style w:type="paragraph" w:styleId="Footer">
    <w:name w:val="footer"/>
    <w:basedOn w:val="Normal"/>
    <w:link w:val="FooterChar"/>
    <w:uiPriority w:val="99"/>
    <w:unhideWhenUsed/>
    <w:rsid w:val="00487E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E7A"/>
  </w:style>
  <w:style w:type="paragraph" w:styleId="TOC1">
    <w:name w:val="toc 1"/>
    <w:basedOn w:val="Normal"/>
    <w:next w:val="Normal"/>
    <w:autoRedefine/>
    <w:uiPriority w:val="39"/>
    <w:unhideWhenUsed/>
    <w:rsid w:val="000D26B5"/>
    <w:pPr>
      <w:spacing w:after="100"/>
    </w:pPr>
  </w:style>
  <w:style w:type="paragraph" w:styleId="TOC2">
    <w:name w:val="toc 2"/>
    <w:basedOn w:val="Normal"/>
    <w:next w:val="Normal"/>
    <w:autoRedefine/>
    <w:uiPriority w:val="39"/>
    <w:unhideWhenUsed/>
    <w:rsid w:val="000D26B5"/>
    <w:pPr>
      <w:spacing w:after="100"/>
      <w:ind w:left="240"/>
    </w:pPr>
  </w:style>
  <w:style w:type="paragraph" w:styleId="TOC3">
    <w:name w:val="toc 3"/>
    <w:basedOn w:val="Normal"/>
    <w:next w:val="Normal"/>
    <w:autoRedefine/>
    <w:uiPriority w:val="39"/>
    <w:unhideWhenUsed/>
    <w:rsid w:val="000D26B5"/>
    <w:pPr>
      <w:spacing w:after="100"/>
      <w:ind w:left="480"/>
    </w:pPr>
  </w:style>
  <w:style w:type="character" w:styleId="Hyperlink">
    <w:name w:val="Hyperlink"/>
    <w:basedOn w:val="DefaultParagraphFont"/>
    <w:uiPriority w:val="99"/>
    <w:unhideWhenUsed/>
    <w:rsid w:val="000D26B5"/>
    <w:rPr>
      <w:color w:val="467886" w:themeColor="hyperlink"/>
      <w:u w:val="single"/>
    </w:rPr>
  </w:style>
  <w:style w:type="character" w:customStyle="1" w:styleId="NoSpacingChar">
    <w:name w:val="No Spacing Char"/>
    <w:basedOn w:val="DefaultParagraphFont"/>
    <w:link w:val="NoSpacing"/>
    <w:uiPriority w:val="1"/>
    <w:locked/>
    <w:rsid w:val="00E23607"/>
    <w:rPr>
      <w:rFonts w:ascii="SimSun" w:eastAsiaTheme="minorEastAsia" w:hAnsi="SimSun"/>
      <w:lang w:val="en-US"/>
    </w:rPr>
  </w:style>
  <w:style w:type="paragraph" w:styleId="NoSpacing">
    <w:name w:val="No Spacing"/>
    <w:link w:val="NoSpacingChar"/>
    <w:uiPriority w:val="1"/>
    <w:qFormat/>
    <w:rsid w:val="00E23607"/>
    <w:pPr>
      <w:spacing w:after="0" w:line="240" w:lineRule="auto"/>
    </w:pPr>
    <w:rPr>
      <w:rFonts w:ascii="SimSun" w:eastAsiaTheme="minorEastAsia" w:hAnsi="SimSu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2.jpg@01CE9E6C.1FCD7C2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8B032825D6C4FA99C24F92BD7EEE4AD"/>
        <w:category>
          <w:name w:val="General"/>
          <w:gallery w:val="placeholder"/>
        </w:category>
        <w:types>
          <w:type w:val="bbPlcHdr"/>
        </w:types>
        <w:behaviors>
          <w:behavior w:val="content"/>
        </w:behaviors>
        <w:guid w:val="{235A509C-68D0-4A50-A9B5-38FF307A7135}"/>
      </w:docPartPr>
      <w:docPartBody>
        <w:p w:rsidR="0098687D" w:rsidRDefault="00BA7880" w:rsidP="00BA7880">
          <w:pPr>
            <w:pStyle w:val="F8B032825D6C4FA99C24F92BD7EEE4AD"/>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880"/>
    <w:rsid w:val="00444B69"/>
    <w:rsid w:val="00561962"/>
    <w:rsid w:val="005F1704"/>
    <w:rsid w:val="00607C1D"/>
    <w:rsid w:val="00893351"/>
    <w:rsid w:val="008B7EB2"/>
    <w:rsid w:val="0098687D"/>
    <w:rsid w:val="00AA017F"/>
    <w:rsid w:val="00BA788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8B032825D6C4FA99C24F92BD7EEE4AD">
    <w:name w:val="F8B032825D6C4FA99C24F92BD7EEE4AD"/>
    <w:rsid w:val="00BA78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2026-03-20T00:00:00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22</Pages>
  <Words>5365</Words>
  <Characters>30586</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Principles and Concepts of Finance – BMSW5012</vt:lpstr>
    </vt:vector>
  </TitlesOfParts>
  <Company/>
  <LinksUpToDate>false</LinksUpToDate>
  <CharactersWithSpaces>35880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and Concepts of Finance – BMSW5012</dc:title>
  <dc:subject>Budgeting Principles and Approaches (Financial Analysis of Silver Stitch)</dc:subject>
  <dc:creator>Salma Farache</dc:creator>
  <cp:keywords/>
  <dc:description/>
  <cp:lastModifiedBy>Salma Farache</cp:lastModifiedBy>
  <cp:revision>98</cp:revision>
  <dcterms:created xsi:type="dcterms:W3CDTF">2026-03-12T01:16:00Z</dcterms:created>
  <dcterms:modified xsi:type="dcterms:W3CDTF">2026-03-18T20:07:00Z</dcterms:modified>
</cp:coreProperties>
</file>