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B9184B" w14:textId="77777777" w:rsidR="00AA3BA7" w:rsidRDefault="00FD491F">
      <w:pPr>
        <w:tabs>
          <w:tab w:val="left" w:pos="720"/>
        </w:tabs>
        <w:ind w:left="720" w:hanging="360"/>
        <w:jc w:val="right"/>
        <w:rPr>
          <w:rFonts w:cs="Calibri"/>
          <w:b/>
          <w:bCs/>
          <w:sz w:val="28"/>
          <w:szCs w:val="28"/>
          <w:u w:val="single"/>
        </w:rPr>
      </w:pPr>
      <w:r>
        <w:rPr>
          <w:rFonts w:cs="Calibri"/>
          <w:b/>
          <w:bCs/>
          <w:sz w:val="28"/>
          <w:szCs w:val="28"/>
          <w:u w:val="single"/>
        </w:rPr>
        <w:t>Amelia Harwood</w:t>
      </w:r>
    </w:p>
    <w:p w14:paraId="14E5F228" w14:textId="77777777" w:rsidR="00AA3BA7" w:rsidRDefault="00FD491F">
      <w:pPr>
        <w:tabs>
          <w:tab w:val="left" w:pos="720"/>
        </w:tabs>
        <w:ind w:left="720" w:hanging="360"/>
        <w:jc w:val="right"/>
        <w:rPr>
          <w:rFonts w:cs="Calibri"/>
          <w:b/>
          <w:bCs/>
          <w:sz w:val="28"/>
          <w:szCs w:val="28"/>
          <w:u w:val="single"/>
        </w:rPr>
      </w:pPr>
      <w:r>
        <w:rPr>
          <w:rFonts w:cs="Calibri"/>
          <w:b/>
          <w:bCs/>
          <w:sz w:val="28"/>
          <w:szCs w:val="28"/>
          <w:u w:val="single"/>
        </w:rPr>
        <w:t>1900806</w:t>
      </w:r>
    </w:p>
    <w:p w14:paraId="54879423" w14:textId="77777777" w:rsidR="00AA3BA7" w:rsidRDefault="00FD491F">
      <w:pPr>
        <w:tabs>
          <w:tab w:val="left" w:pos="720"/>
        </w:tabs>
        <w:ind w:left="720" w:hanging="360"/>
        <w:rPr>
          <w:rFonts w:cs="Calibri"/>
          <w:b/>
          <w:bCs/>
          <w:sz w:val="28"/>
          <w:szCs w:val="28"/>
          <w:u w:val="single"/>
        </w:rPr>
      </w:pPr>
      <w:r>
        <w:rPr>
          <w:rFonts w:cs="Calibri"/>
          <w:b/>
          <w:bCs/>
          <w:sz w:val="28"/>
          <w:szCs w:val="28"/>
          <w:u w:val="single"/>
        </w:rPr>
        <w:t>Previous Targets:</w:t>
      </w:r>
    </w:p>
    <w:p w14:paraId="704AF7FA" w14:textId="77777777" w:rsidR="00AA3BA7" w:rsidRDefault="00FD491F">
      <w:pPr>
        <w:pStyle w:val="NormalWeb"/>
        <w:numPr>
          <w:ilvl w:val="0"/>
          <w:numId w:val="1"/>
        </w:numPr>
        <w:shd w:val="clear" w:color="auto" w:fill="FFFFFF"/>
        <w:spacing w:before="0" w:after="0"/>
        <w:rPr>
          <w:rFonts w:ascii="Calibri" w:hAnsi="Calibri" w:cs="Calibri"/>
          <w:sz w:val="28"/>
          <w:szCs w:val="28"/>
        </w:rPr>
      </w:pPr>
      <w:r>
        <w:rPr>
          <w:rFonts w:ascii="Calibri" w:hAnsi="Calibri" w:cs="Calibri"/>
          <w:sz w:val="28"/>
          <w:szCs w:val="28"/>
        </w:rPr>
        <w:t>To define terms (concisely) imagining that the reader will not know.</w:t>
      </w:r>
    </w:p>
    <w:p w14:paraId="071815EE" w14:textId="77777777" w:rsidR="00AA3BA7" w:rsidRDefault="00AA3BA7">
      <w:pPr>
        <w:pStyle w:val="NormalWeb"/>
        <w:shd w:val="clear" w:color="auto" w:fill="FFFFFF"/>
        <w:spacing w:before="0" w:after="0"/>
        <w:ind w:left="1080"/>
        <w:rPr>
          <w:rFonts w:ascii="Calibri" w:hAnsi="Calibri" w:cs="Calibri"/>
          <w:sz w:val="28"/>
          <w:szCs w:val="28"/>
        </w:rPr>
      </w:pPr>
    </w:p>
    <w:p w14:paraId="420DF259" w14:textId="77777777" w:rsidR="00AA3BA7" w:rsidRDefault="00FD491F">
      <w:pPr>
        <w:pStyle w:val="NormalWeb"/>
        <w:numPr>
          <w:ilvl w:val="0"/>
          <w:numId w:val="1"/>
        </w:numPr>
        <w:shd w:val="clear" w:color="auto" w:fill="FFFFFF"/>
        <w:spacing w:before="0" w:after="0"/>
        <w:rPr>
          <w:rFonts w:ascii="Calibri" w:hAnsi="Calibri" w:cs="Calibri"/>
          <w:sz w:val="28"/>
          <w:szCs w:val="28"/>
        </w:rPr>
      </w:pPr>
      <w:r>
        <w:rPr>
          <w:rFonts w:ascii="Calibri" w:hAnsi="Calibri" w:cs="Calibri"/>
          <w:sz w:val="28"/>
          <w:szCs w:val="28"/>
        </w:rPr>
        <w:t>To consider paragraphing and the provision of a title for assignments.</w:t>
      </w:r>
    </w:p>
    <w:p w14:paraId="2C172496" w14:textId="77777777" w:rsidR="00AA3BA7" w:rsidRDefault="00AA3BA7">
      <w:pPr>
        <w:tabs>
          <w:tab w:val="left" w:pos="720"/>
        </w:tabs>
        <w:rPr>
          <w:rFonts w:cs="Calibri"/>
          <w:b/>
          <w:bCs/>
          <w:sz w:val="28"/>
          <w:szCs w:val="28"/>
          <w:u w:val="single"/>
        </w:rPr>
      </w:pPr>
    </w:p>
    <w:p w14:paraId="0EE369AF" w14:textId="77777777" w:rsidR="00AA3BA7" w:rsidRDefault="00FD491F">
      <w:pPr>
        <w:tabs>
          <w:tab w:val="left" w:pos="720"/>
        </w:tabs>
        <w:rPr>
          <w:rFonts w:cs="Calibri"/>
          <w:b/>
          <w:bCs/>
          <w:sz w:val="28"/>
          <w:szCs w:val="28"/>
          <w:u w:val="single"/>
        </w:rPr>
      </w:pPr>
      <w:r>
        <w:rPr>
          <w:rFonts w:cs="Calibri"/>
          <w:b/>
          <w:bCs/>
          <w:sz w:val="28"/>
          <w:szCs w:val="28"/>
          <w:u w:val="single"/>
        </w:rPr>
        <w:t xml:space="preserve">ECAD4009 – Cycle 1: Learners, Schools and </w:t>
      </w:r>
      <w:r>
        <w:rPr>
          <w:rFonts w:cs="Calibri"/>
          <w:b/>
          <w:bCs/>
          <w:sz w:val="28"/>
          <w:szCs w:val="28"/>
          <w:u w:val="single"/>
        </w:rPr>
        <w:t>Communities: Where am I teaching?</w:t>
      </w:r>
    </w:p>
    <w:p w14:paraId="455A1439" w14:textId="77777777" w:rsidR="00AA3BA7" w:rsidRPr="00961C7A" w:rsidRDefault="00FD491F">
      <w:pPr>
        <w:rPr>
          <w:rFonts w:cs="Calibri"/>
          <w:sz w:val="24"/>
          <w:szCs w:val="24"/>
          <w:u w:val="single"/>
        </w:rPr>
      </w:pPr>
      <w:r w:rsidRPr="00961C7A">
        <w:rPr>
          <w:rFonts w:cs="Calibri"/>
          <w:sz w:val="24"/>
          <w:szCs w:val="24"/>
          <w:u w:val="single"/>
        </w:rPr>
        <w:t>Component 2: A personal, reflective report discussing previous assumptions and beliefs about topics covered within the module.</w:t>
      </w:r>
    </w:p>
    <w:p w14:paraId="2BC6AAA5" w14:textId="77777777" w:rsidR="00AA3BA7" w:rsidRPr="00961C7A" w:rsidRDefault="00AA3BA7">
      <w:pPr>
        <w:rPr>
          <w:rFonts w:cs="Calibri"/>
          <w:sz w:val="24"/>
          <w:szCs w:val="24"/>
        </w:rPr>
      </w:pPr>
      <w:bookmarkStart w:id="0" w:name="_GoBack"/>
      <w:bookmarkEnd w:id="0"/>
    </w:p>
    <w:p w14:paraId="7F8D50E8" w14:textId="235206CC" w:rsidR="00AA3BA7" w:rsidRPr="00961C7A" w:rsidRDefault="00FD491F">
      <w:pPr>
        <w:rPr>
          <w:rFonts w:cs="Calibri"/>
          <w:sz w:val="24"/>
          <w:szCs w:val="24"/>
        </w:rPr>
      </w:pPr>
      <w:r w:rsidRPr="00961C7A">
        <w:rPr>
          <w:rFonts w:cs="Calibri"/>
          <w:sz w:val="24"/>
          <w:szCs w:val="24"/>
        </w:rPr>
        <w:t xml:space="preserve">As a student-teacher, I accept that I had many assumptions and beliefs about the role of a </w:t>
      </w:r>
      <w:r w:rsidRPr="00961C7A">
        <w:rPr>
          <w:rFonts w:cs="Calibri"/>
          <w:sz w:val="24"/>
          <w:szCs w:val="24"/>
        </w:rPr>
        <w:t>primary school teacher and working within a Foundation Phase environment. Pollard (2014) understands that many teachers make many assumptions about their pupils and their teaching practice, however, he recommends teachers spend more time being a reflective</w:t>
      </w:r>
      <w:r w:rsidRPr="00961C7A">
        <w:rPr>
          <w:rFonts w:cs="Calibri"/>
          <w:sz w:val="24"/>
          <w:szCs w:val="24"/>
        </w:rPr>
        <w:t xml:space="preserve"> practitioner and seriously considering how much they know about children’s thoughts and experience. This advice gives a greater value to this account as it allows me to challenge my assumptions and engage with literature and experience to either support o</w:t>
      </w:r>
      <w:r w:rsidRPr="00961C7A">
        <w:rPr>
          <w:rFonts w:cs="Calibri"/>
          <w:sz w:val="24"/>
          <w:szCs w:val="24"/>
        </w:rPr>
        <w:t>r disprove my previous assumptions.  One of my main assumptions was that schools being inclusive environments would be positive for all pupils. From</w:t>
      </w:r>
      <w:r w:rsidRPr="00961C7A">
        <w:rPr>
          <w:rFonts w:cs="Calibri"/>
          <w:sz w:val="24"/>
          <w:szCs w:val="24"/>
        </w:rPr>
        <w:t xml:space="preserve"> </w:t>
      </w:r>
      <w:r w:rsidR="00961C7A">
        <w:rPr>
          <w:rFonts w:cs="Calibri"/>
          <w:sz w:val="24"/>
          <w:szCs w:val="24"/>
        </w:rPr>
        <w:t xml:space="preserve">observational </w:t>
      </w:r>
      <w:r w:rsidRPr="00961C7A">
        <w:rPr>
          <w:rFonts w:cs="Calibri"/>
          <w:sz w:val="24"/>
          <w:szCs w:val="24"/>
        </w:rPr>
        <w:t>experience in schools</w:t>
      </w:r>
      <w:r w:rsidRPr="00961C7A">
        <w:rPr>
          <w:rFonts w:cs="Calibri"/>
          <w:sz w:val="24"/>
          <w:szCs w:val="24"/>
        </w:rPr>
        <w:t>, the subject of additional learning ne</w:t>
      </w:r>
      <w:r w:rsidRPr="00961C7A">
        <w:rPr>
          <w:rFonts w:cs="Calibri"/>
          <w:sz w:val="24"/>
          <w:szCs w:val="24"/>
        </w:rPr>
        <w:t xml:space="preserve">eds </w:t>
      </w:r>
      <w:r w:rsidR="00961C7A">
        <w:rPr>
          <w:rFonts w:cs="Calibri"/>
          <w:sz w:val="24"/>
          <w:szCs w:val="24"/>
        </w:rPr>
        <w:t>seems to be</w:t>
      </w:r>
      <w:r w:rsidRPr="00961C7A">
        <w:rPr>
          <w:rFonts w:cs="Calibri"/>
          <w:sz w:val="24"/>
          <w:szCs w:val="24"/>
        </w:rPr>
        <w:t xml:space="preserve"> a prominent factor of teaching and learning. </w:t>
      </w:r>
      <w:r w:rsidRPr="00961C7A">
        <w:rPr>
          <w:rFonts w:cs="Calibri"/>
          <w:sz w:val="24"/>
          <w:szCs w:val="24"/>
        </w:rPr>
        <w:t>Both the success and criticisms of the concept o</w:t>
      </w:r>
      <w:r w:rsidRPr="00961C7A">
        <w:rPr>
          <w:rFonts w:cs="Calibri"/>
          <w:sz w:val="24"/>
          <w:szCs w:val="24"/>
        </w:rPr>
        <w:t xml:space="preserve">f inclusive education as well as the current policies and practice have been documented by authors such as Armstrong, A.C. et al (2010). Another belief I had was that standards of literacy is a large influence in primary schools and could </w:t>
      </w:r>
      <w:proofErr w:type="gramStart"/>
      <w:r w:rsidRPr="00961C7A">
        <w:rPr>
          <w:rFonts w:cs="Calibri"/>
          <w:sz w:val="24"/>
          <w:szCs w:val="24"/>
        </w:rPr>
        <w:t>be seen as</w:t>
      </w:r>
      <w:proofErr w:type="gramEnd"/>
      <w:r w:rsidRPr="00961C7A">
        <w:rPr>
          <w:rFonts w:cs="Calibri"/>
          <w:sz w:val="24"/>
          <w:szCs w:val="24"/>
        </w:rPr>
        <w:t xml:space="preserve"> very i</w:t>
      </w:r>
      <w:r w:rsidRPr="00961C7A">
        <w:rPr>
          <w:rFonts w:cs="Calibri"/>
          <w:sz w:val="24"/>
          <w:szCs w:val="24"/>
        </w:rPr>
        <w:t>nfluential to pupils’ overall academic attainment. This assumption would be especially influential to areas with a high level of poverty and deprivation. This idea had been brought to my attention through the discovery of the Donaldson Report (2015) in whi</w:t>
      </w:r>
      <w:r w:rsidRPr="00961C7A">
        <w:rPr>
          <w:rFonts w:cs="Calibri"/>
          <w:sz w:val="24"/>
          <w:szCs w:val="24"/>
        </w:rPr>
        <w:t>ch there has been extensive discussion about the teaching of literacy as a cross-curricular responsibility. In addition, I was aware of a disappointing statistic for literacy levels in Wales following the PISA 2015 report (</w:t>
      </w:r>
      <w:proofErr w:type="spellStart"/>
      <w:r w:rsidRPr="00961C7A">
        <w:rPr>
          <w:rFonts w:cs="Calibri"/>
          <w:sz w:val="24"/>
          <w:szCs w:val="24"/>
        </w:rPr>
        <w:t>Jerrim</w:t>
      </w:r>
      <w:proofErr w:type="spellEnd"/>
      <w:r w:rsidRPr="00961C7A">
        <w:rPr>
          <w:rFonts w:cs="Calibri"/>
          <w:sz w:val="24"/>
          <w:szCs w:val="24"/>
        </w:rPr>
        <w:t xml:space="preserve"> and Shure, 2016). The repo</w:t>
      </w:r>
      <w:r w:rsidRPr="00961C7A">
        <w:rPr>
          <w:rFonts w:cs="Calibri"/>
          <w:sz w:val="24"/>
          <w:szCs w:val="24"/>
        </w:rPr>
        <w:t xml:space="preserve">rt showed that Wales’ literacy levels have been stagnant and showed no real improvement since 2006. This is disappointing considering the developments in research and practice that have been made in the past decade. The final belief that will be discussed </w:t>
      </w:r>
      <w:r w:rsidRPr="00961C7A">
        <w:rPr>
          <w:rFonts w:cs="Calibri"/>
          <w:sz w:val="24"/>
          <w:szCs w:val="24"/>
        </w:rPr>
        <w:t>in this account will be my belief that teachers can have impacts on all aspects of development, especially in cases where parents are very busy or in compromised situations.</w:t>
      </w:r>
    </w:p>
    <w:p w14:paraId="6B65D3BB" w14:textId="77777777" w:rsidR="00AA3BA7" w:rsidRPr="00961C7A" w:rsidRDefault="00FD491F">
      <w:pPr>
        <w:rPr>
          <w:sz w:val="24"/>
          <w:szCs w:val="24"/>
        </w:rPr>
      </w:pPr>
      <w:r w:rsidRPr="00961C7A">
        <w:rPr>
          <w:rFonts w:cs="Calibri"/>
          <w:sz w:val="24"/>
          <w:szCs w:val="24"/>
        </w:rPr>
        <w:t>When children come from disadvantaged backgrounds, I have witnessed teachers and s</w:t>
      </w:r>
      <w:r w:rsidRPr="00961C7A">
        <w:rPr>
          <w:rFonts w:cs="Calibri"/>
          <w:sz w:val="24"/>
          <w:szCs w:val="24"/>
        </w:rPr>
        <w:t>chools taking an active role in ensuring the child’s development as much as possible within a school environment. A report on the government’s current initiatives around this topic (David Egan, 2013) explains that the government are working both within sch</w:t>
      </w:r>
      <w:r w:rsidRPr="00961C7A">
        <w:rPr>
          <w:rFonts w:cs="Calibri"/>
          <w:sz w:val="24"/>
          <w:szCs w:val="24"/>
        </w:rPr>
        <w:t xml:space="preserve">ools to support </w:t>
      </w:r>
      <w:r w:rsidRPr="00961C7A">
        <w:rPr>
          <w:rFonts w:cs="Calibri"/>
          <w:sz w:val="24"/>
          <w:szCs w:val="24"/>
        </w:rPr>
        <w:lastRenderedPageBreak/>
        <w:t>teachers whilst supporting parents and families through community interventions. This supports the idea that children may need intervention within school settings to allow then to gain equal opportunities.</w:t>
      </w:r>
    </w:p>
    <w:p w14:paraId="3C78AC16" w14:textId="09CBEE63" w:rsidR="00AA3BA7" w:rsidRPr="00961C7A" w:rsidRDefault="00FD491F">
      <w:pPr>
        <w:rPr>
          <w:sz w:val="24"/>
          <w:szCs w:val="24"/>
        </w:rPr>
      </w:pPr>
      <w:r w:rsidRPr="00961C7A">
        <w:rPr>
          <w:rFonts w:cs="Calibri"/>
          <w:sz w:val="24"/>
          <w:szCs w:val="24"/>
          <w:u w:val="single"/>
        </w:rPr>
        <w:t>Inclusive Education is positive fo</w:t>
      </w:r>
      <w:r w:rsidRPr="00961C7A">
        <w:rPr>
          <w:rFonts w:cs="Calibri"/>
          <w:sz w:val="24"/>
          <w:szCs w:val="24"/>
          <w:u w:val="single"/>
        </w:rPr>
        <w:t>r all learners</w:t>
      </w:r>
      <w:r w:rsidR="00A47546" w:rsidRPr="00961C7A">
        <w:rPr>
          <w:rFonts w:cs="Calibri"/>
          <w:sz w:val="24"/>
          <w:szCs w:val="24"/>
          <w:u w:val="single"/>
        </w:rPr>
        <w:t xml:space="preserve"> in schools with high levels of ALN</w:t>
      </w:r>
    </w:p>
    <w:p w14:paraId="7C6EAB45" w14:textId="173F1BE1" w:rsidR="00AA3BA7" w:rsidRPr="00961C7A" w:rsidRDefault="00FD491F">
      <w:pPr>
        <w:rPr>
          <w:sz w:val="24"/>
          <w:szCs w:val="24"/>
        </w:rPr>
      </w:pPr>
      <w:r w:rsidRPr="00961C7A">
        <w:rPr>
          <w:rFonts w:cs="Calibri"/>
          <w:sz w:val="24"/>
          <w:szCs w:val="24"/>
        </w:rPr>
        <w:t>One bridging day experience was focused on the classroom being an inclusive and enabling environment. My placement class has a range of different additional learning needs some with a statement or diagnosis and some pupils who present concer</w:t>
      </w:r>
      <w:r w:rsidRPr="00961C7A">
        <w:rPr>
          <w:rFonts w:cs="Calibri"/>
          <w:sz w:val="24"/>
          <w:szCs w:val="24"/>
        </w:rPr>
        <w:t>ning behaviours. After a discussion with the class teacher, I focussed on the learning experience of one pupil whose behaviour concerned teaching staff. The child was very particular about set daily routines and felt most comfortable when completing famili</w:t>
      </w:r>
      <w:r w:rsidRPr="00961C7A">
        <w:rPr>
          <w:rFonts w:cs="Calibri"/>
          <w:sz w:val="24"/>
          <w:szCs w:val="24"/>
        </w:rPr>
        <w:t>ar activities. The child was very keen to seek attention and reassurance from both adults and peers, however, the child struggled to maintain conversation and interactions. The staff ensure that the pupil is given reassurance throughout the day and make th</w:t>
      </w:r>
      <w:r w:rsidRPr="00961C7A">
        <w:rPr>
          <w:rFonts w:cs="Calibri"/>
          <w:sz w:val="24"/>
          <w:szCs w:val="24"/>
        </w:rPr>
        <w:t xml:space="preserve">e other children aware of this pupil’s preferences and needs. This practice complies the government’s strategy (Armstrong, A.C. et al. 2010) that implies teachers need to consider strategies and skills that will meet the needs of a child with ALN. This </w:t>
      </w:r>
      <w:proofErr w:type="gramStart"/>
      <w:r w:rsidRPr="00961C7A">
        <w:rPr>
          <w:rFonts w:cs="Calibri"/>
          <w:sz w:val="24"/>
          <w:szCs w:val="24"/>
        </w:rPr>
        <w:t>par</w:t>
      </w:r>
      <w:r w:rsidRPr="00961C7A">
        <w:rPr>
          <w:rFonts w:cs="Calibri"/>
          <w:sz w:val="24"/>
          <w:szCs w:val="24"/>
        </w:rPr>
        <w:t>ticular child</w:t>
      </w:r>
      <w:proofErr w:type="gramEnd"/>
      <w:r w:rsidRPr="00961C7A">
        <w:rPr>
          <w:rFonts w:cs="Calibri"/>
          <w:sz w:val="24"/>
          <w:szCs w:val="24"/>
        </w:rPr>
        <w:t xml:space="preserve"> did not have a statement of ALN, but the teaching staff felt it was beneficial to still consider the pupil’s difficulties and try to accommodate. </w:t>
      </w:r>
      <w:r w:rsidRPr="00961C7A">
        <w:rPr>
          <w:rFonts w:cs="Calibri"/>
          <w:sz w:val="24"/>
          <w:szCs w:val="24"/>
          <w:lang w:val="en-US"/>
        </w:rPr>
        <w:t>Clough, P. &amp; Corbett, J (2000) discuss their concern surrounding the labels that people attach t</w:t>
      </w:r>
      <w:r w:rsidRPr="00961C7A">
        <w:rPr>
          <w:rFonts w:cs="Calibri"/>
          <w:sz w:val="24"/>
          <w:szCs w:val="24"/>
          <w:lang w:val="en-US"/>
        </w:rPr>
        <w:t>o children with difficulties. These theorists take the understanding that with or without a formal diagnosis or statement, every child should be supported to allow them to feel a valued and able learner. On the other hand, some teachers can find it very ch</w:t>
      </w:r>
      <w:r w:rsidRPr="00961C7A">
        <w:rPr>
          <w:rFonts w:cs="Calibri"/>
          <w:sz w:val="24"/>
          <w:szCs w:val="24"/>
          <w:lang w:val="en-US"/>
        </w:rPr>
        <w:t>allenging to engage with inclusive education (</w:t>
      </w:r>
      <w:r w:rsidRPr="00961C7A">
        <w:rPr>
          <w:rFonts w:cs="Calibri"/>
          <w:color w:val="000000"/>
          <w:sz w:val="24"/>
          <w:szCs w:val="24"/>
        </w:rPr>
        <w:t>Ewing, Donna L., 2018). Many teachers have substantial concerns that inclusive education in mainstream schools can be time-consuming and therefore have negative implications on the other pupils</w:t>
      </w:r>
      <w:r w:rsidR="00961C7A">
        <w:rPr>
          <w:rFonts w:cs="Calibri"/>
          <w:color w:val="000000"/>
          <w:sz w:val="24"/>
          <w:szCs w:val="24"/>
        </w:rPr>
        <w:t xml:space="preserve">. </w:t>
      </w:r>
      <w:r w:rsidRPr="00961C7A">
        <w:rPr>
          <w:rFonts w:cs="Calibri"/>
          <w:color w:val="000000"/>
          <w:sz w:val="24"/>
          <w:szCs w:val="24"/>
        </w:rPr>
        <w:t>In terms of this assumption, I feel I was co</w:t>
      </w:r>
      <w:r w:rsidRPr="00961C7A">
        <w:rPr>
          <w:rFonts w:cs="Calibri"/>
          <w:color w:val="000000"/>
          <w:sz w:val="24"/>
          <w:szCs w:val="24"/>
        </w:rPr>
        <w:t>rrect in most aspects in that children with ALN are entitled to support. However, I can now consider the effect that this may have on other pupils within the class.</w:t>
      </w:r>
    </w:p>
    <w:p w14:paraId="3CAD69C2" w14:textId="77777777" w:rsidR="00AA3BA7" w:rsidRPr="00961C7A" w:rsidRDefault="00AA3BA7">
      <w:pPr>
        <w:rPr>
          <w:rFonts w:cs="Calibri"/>
          <w:sz w:val="24"/>
          <w:szCs w:val="24"/>
        </w:rPr>
      </w:pPr>
    </w:p>
    <w:p w14:paraId="63BEFC55" w14:textId="77777777" w:rsidR="00AA3BA7" w:rsidRPr="00961C7A" w:rsidRDefault="00FD491F">
      <w:pPr>
        <w:rPr>
          <w:rFonts w:cs="Calibri"/>
          <w:sz w:val="24"/>
          <w:szCs w:val="24"/>
          <w:u w:val="single"/>
        </w:rPr>
      </w:pPr>
      <w:r w:rsidRPr="00961C7A">
        <w:rPr>
          <w:rFonts w:cs="Calibri"/>
          <w:sz w:val="24"/>
          <w:szCs w:val="24"/>
          <w:u w:val="single"/>
        </w:rPr>
        <w:t xml:space="preserve">Literacy levels are a prominent concern for primary schools in disadvantaged </w:t>
      </w:r>
      <w:r w:rsidRPr="00961C7A">
        <w:rPr>
          <w:rFonts w:cs="Calibri"/>
          <w:sz w:val="24"/>
          <w:szCs w:val="24"/>
          <w:u w:val="single"/>
        </w:rPr>
        <w:t>communities</w:t>
      </w:r>
    </w:p>
    <w:p w14:paraId="30E3464F" w14:textId="3C93ABD2" w:rsidR="00AA3BA7" w:rsidRPr="00961C7A" w:rsidRDefault="00FD491F">
      <w:pPr>
        <w:rPr>
          <w:rFonts w:cs="Calibri"/>
          <w:sz w:val="24"/>
          <w:szCs w:val="24"/>
        </w:rPr>
      </w:pPr>
      <w:r w:rsidRPr="00961C7A">
        <w:rPr>
          <w:rFonts w:cs="Calibri"/>
          <w:sz w:val="24"/>
          <w:szCs w:val="24"/>
        </w:rPr>
        <w:t>Through research, I found that Plan UK (2017) gives a clear message that improving young children’s literacy skills can have major benefits on not only the pupils’ future achievements but also the development of the community. The website expla</w:t>
      </w:r>
      <w:r w:rsidRPr="00961C7A">
        <w:rPr>
          <w:rFonts w:cs="Calibri"/>
          <w:sz w:val="24"/>
          <w:szCs w:val="24"/>
        </w:rPr>
        <w:t xml:space="preserve">ins that through improving literacy levels pupils are more likely to go onto further education and get better-paid jobs which through generations could drastically improve levels of poverty and deprivation one family at a time. This is especially true for </w:t>
      </w:r>
      <w:r w:rsidRPr="00961C7A">
        <w:rPr>
          <w:rFonts w:cs="Calibri"/>
          <w:sz w:val="24"/>
          <w:szCs w:val="24"/>
        </w:rPr>
        <w:t xml:space="preserve">women and girls who become empowered by education and the prospect of a career which then motivates them to become financially stable before starting a family. Cambourne (2018) states that children need to be immersed in language to develop all aspects of </w:t>
      </w:r>
      <w:r w:rsidRPr="00961C7A">
        <w:rPr>
          <w:rFonts w:cs="Calibri"/>
          <w:sz w:val="24"/>
          <w:szCs w:val="24"/>
        </w:rPr>
        <w:t>literacy and language skills. He believes children need to be demonstrating engagement and taking responsibility for their own use and response to language. Within school environments, I have seen practice where children are able to choose their own readin</w:t>
      </w:r>
      <w:r w:rsidRPr="00961C7A">
        <w:rPr>
          <w:rFonts w:cs="Calibri"/>
          <w:sz w:val="24"/>
          <w:szCs w:val="24"/>
        </w:rPr>
        <w:t xml:space="preserve">g books which motivates them to read at home and with parents as it’s a </w:t>
      </w:r>
      <w:proofErr w:type="gramStart"/>
      <w:r w:rsidRPr="00961C7A">
        <w:rPr>
          <w:rFonts w:cs="Calibri"/>
          <w:sz w:val="24"/>
          <w:szCs w:val="24"/>
        </w:rPr>
        <w:t>topic</w:t>
      </w:r>
      <w:proofErr w:type="gramEnd"/>
      <w:r w:rsidRPr="00961C7A">
        <w:rPr>
          <w:rFonts w:cs="Calibri"/>
          <w:sz w:val="24"/>
          <w:szCs w:val="24"/>
        </w:rPr>
        <w:t xml:space="preserve"> they find interesting. These strategies align with </w:t>
      </w:r>
      <w:r w:rsidR="00E565AB">
        <w:rPr>
          <w:rFonts w:cs="Calibri"/>
          <w:sz w:val="24"/>
          <w:szCs w:val="24"/>
        </w:rPr>
        <w:t xml:space="preserve">Donaldson’s </w:t>
      </w:r>
      <w:r w:rsidRPr="00961C7A">
        <w:rPr>
          <w:rFonts w:cs="Calibri"/>
          <w:sz w:val="24"/>
          <w:szCs w:val="24"/>
        </w:rPr>
        <w:t>Pedagogical Principles</w:t>
      </w:r>
      <w:r w:rsidR="00752DF6" w:rsidRPr="00961C7A">
        <w:rPr>
          <w:rFonts w:cs="Calibri"/>
          <w:sz w:val="24"/>
          <w:szCs w:val="24"/>
        </w:rPr>
        <w:t xml:space="preserve"> (</w:t>
      </w:r>
      <w:r w:rsidR="00752DF6" w:rsidRPr="00961C7A">
        <w:rPr>
          <w:rFonts w:cs="Calibri"/>
          <w:sz w:val="24"/>
          <w:szCs w:val="24"/>
        </w:rPr>
        <w:t>Impact Wales</w:t>
      </w:r>
      <w:r w:rsidR="00752DF6" w:rsidRPr="00961C7A">
        <w:rPr>
          <w:rFonts w:cs="Calibri"/>
          <w:sz w:val="24"/>
          <w:szCs w:val="24"/>
        </w:rPr>
        <w:t xml:space="preserve">, 2018) </w:t>
      </w:r>
      <w:r w:rsidRPr="00961C7A">
        <w:rPr>
          <w:rFonts w:cs="Calibri"/>
          <w:sz w:val="24"/>
          <w:szCs w:val="24"/>
        </w:rPr>
        <w:t>as they demonstrate children using collaboration, taking responsibility for their own learning and b</w:t>
      </w:r>
      <w:r w:rsidRPr="00961C7A">
        <w:rPr>
          <w:rFonts w:cs="Calibri"/>
          <w:sz w:val="24"/>
          <w:szCs w:val="24"/>
        </w:rPr>
        <w:t xml:space="preserve">eing exposed to a broad range of learning </w:t>
      </w:r>
      <w:r w:rsidRPr="00961C7A">
        <w:rPr>
          <w:rFonts w:cs="Calibri"/>
          <w:sz w:val="24"/>
          <w:szCs w:val="24"/>
        </w:rPr>
        <w:lastRenderedPageBreak/>
        <w:t xml:space="preserve">strategies. Therefore, I know my belief has been supported as I can see the evidence behind the choice to prioritise literacy and language in primary schools, especially those in disadvantaged communities. </w:t>
      </w:r>
    </w:p>
    <w:p w14:paraId="1A0D2117" w14:textId="77777777" w:rsidR="00AA3BA7" w:rsidRPr="00961C7A" w:rsidRDefault="00AA3BA7">
      <w:pPr>
        <w:rPr>
          <w:rFonts w:cs="Calibri"/>
          <w:sz w:val="24"/>
          <w:szCs w:val="24"/>
          <w:u w:val="single"/>
        </w:rPr>
      </w:pPr>
    </w:p>
    <w:p w14:paraId="04BB2169" w14:textId="77777777" w:rsidR="00AA3BA7" w:rsidRPr="00961C7A" w:rsidRDefault="00FD491F">
      <w:pPr>
        <w:rPr>
          <w:rFonts w:cs="Calibri"/>
          <w:sz w:val="24"/>
          <w:szCs w:val="24"/>
          <w:u w:val="single"/>
        </w:rPr>
      </w:pPr>
      <w:r w:rsidRPr="00961C7A">
        <w:rPr>
          <w:rFonts w:cs="Calibri"/>
          <w:sz w:val="24"/>
          <w:szCs w:val="24"/>
          <w:u w:val="single"/>
        </w:rPr>
        <w:t>Teache</w:t>
      </w:r>
      <w:r w:rsidRPr="00961C7A">
        <w:rPr>
          <w:rFonts w:cs="Calibri"/>
          <w:sz w:val="24"/>
          <w:szCs w:val="24"/>
          <w:u w:val="single"/>
        </w:rPr>
        <w:t>rs can have impacts on all aspects of development, especially in cases where parents are busy or in compromised situations.</w:t>
      </w:r>
    </w:p>
    <w:p w14:paraId="19FD7983" w14:textId="13746E32" w:rsidR="00AA3BA7" w:rsidRPr="00961C7A" w:rsidRDefault="00FD491F">
      <w:pPr>
        <w:rPr>
          <w:rFonts w:asciiTheme="minorHAnsi" w:hAnsiTheme="minorHAnsi" w:cstheme="minorHAnsi"/>
          <w:sz w:val="24"/>
          <w:szCs w:val="24"/>
        </w:rPr>
      </w:pPr>
      <w:r w:rsidRPr="00961C7A">
        <w:rPr>
          <w:rFonts w:cs="Calibri"/>
          <w:sz w:val="24"/>
          <w:szCs w:val="24"/>
        </w:rPr>
        <w:t xml:space="preserve">Through experience in schools, it has become apparent to me that in modern times where parents are very busy for </w:t>
      </w:r>
      <w:proofErr w:type="gramStart"/>
      <w:r w:rsidRPr="00961C7A">
        <w:rPr>
          <w:rFonts w:cs="Calibri"/>
          <w:sz w:val="24"/>
          <w:szCs w:val="24"/>
        </w:rPr>
        <w:t>a number of</w:t>
      </w:r>
      <w:proofErr w:type="gramEnd"/>
      <w:r w:rsidRPr="00961C7A">
        <w:rPr>
          <w:rFonts w:cs="Calibri"/>
          <w:sz w:val="24"/>
          <w:szCs w:val="24"/>
        </w:rPr>
        <w:t xml:space="preserve"> differe</w:t>
      </w:r>
      <w:r w:rsidRPr="00961C7A">
        <w:rPr>
          <w:rFonts w:cs="Calibri"/>
          <w:sz w:val="24"/>
          <w:szCs w:val="24"/>
        </w:rPr>
        <w:t>nt reasons, teachers must ensure that every child is being supported enough to be motivated and engaged in school. Teachers now play an influential part in supporting children’s emotional development and wellbeing (Seth-Smith, 2006).  A multitude of school</w:t>
      </w:r>
      <w:r w:rsidRPr="00961C7A">
        <w:rPr>
          <w:rFonts w:cs="Calibri"/>
          <w:sz w:val="24"/>
          <w:szCs w:val="24"/>
        </w:rPr>
        <w:t xml:space="preserve">s are helping children to get a better understanding of their emotions and feelings as they may not be recognised or prioritised at home. </w:t>
      </w:r>
      <w:r w:rsidRPr="00961C7A">
        <w:rPr>
          <w:rFonts w:cs="Calibri"/>
          <w:sz w:val="24"/>
          <w:szCs w:val="24"/>
        </w:rPr>
        <w:t>Vygotsky’s theory of the zone of proximal development states that children have a level of understanding that can be reached with the assistance of a more knowledgeable other</w:t>
      </w:r>
      <w:r w:rsidR="00752DF6" w:rsidRPr="00961C7A">
        <w:rPr>
          <w:rFonts w:cs="Calibri"/>
          <w:sz w:val="24"/>
          <w:szCs w:val="24"/>
        </w:rPr>
        <w:t xml:space="preserve"> </w:t>
      </w:r>
      <w:hyperlink r:id="rId7" w:history="1">
        <w:r w:rsidR="00752DF6" w:rsidRPr="00961C7A">
          <w:rPr>
            <w:rStyle w:val="Hyperlink"/>
            <w:rFonts w:cs="Calibri"/>
            <w:color w:val="auto"/>
            <w:sz w:val="24"/>
            <w:szCs w:val="24"/>
            <w:u w:val="none"/>
          </w:rPr>
          <w:t xml:space="preserve"> </w:t>
        </w:r>
        <w:r w:rsidR="00752DF6" w:rsidRPr="00961C7A">
          <w:rPr>
            <w:rStyle w:val="Hyperlink"/>
            <w:rFonts w:cs="Calibri"/>
            <w:color w:val="auto"/>
            <w:sz w:val="24"/>
            <w:szCs w:val="24"/>
            <w:u w:val="none"/>
          </w:rPr>
          <w:t>(</w:t>
        </w:r>
        <w:proofErr w:type="spellStart"/>
        <w:r w:rsidR="00752DF6" w:rsidRPr="00961C7A">
          <w:rPr>
            <w:rStyle w:val="Hyperlink"/>
            <w:rFonts w:cs="Calibri"/>
            <w:color w:val="auto"/>
            <w:sz w:val="24"/>
            <w:szCs w:val="24"/>
            <w:u w:val="none"/>
          </w:rPr>
          <w:t>Sincero</w:t>
        </w:r>
        <w:proofErr w:type="spellEnd"/>
      </w:hyperlink>
      <w:r w:rsidR="00752DF6" w:rsidRPr="00961C7A">
        <w:rPr>
          <w:rFonts w:cs="Calibri"/>
          <w:sz w:val="24"/>
          <w:szCs w:val="24"/>
        </w:rPr>
        <w:t>, S</w:t>
      </w:r>
      <w:r w:rsidR="00752DF6" w:rsidRPr="00961C7A">
        <w:rPr>
          <w:rFonts w:cs="Calibri"/>
          <w:sz w:val="24"/>
          <w:szCs w:val="24"/>
          <w:shd w:val="clear" w:color="auto" w:fill="FFFFFF"/>
        </w:rPr>
        <w:t>, 2012</w:t>
      </w:r>
      <w:r w:rsidR="00752DF6" w:rsidRPr="00961C7A">
        <w:rPr>
          <w:rFonts w:cs="Calibri"/>
          <w:sz w:val="24"/>
          <w:szCs w:val="24"/>
          <w:shd w:val="clear" w:color="auto" w:fill="FFFFFF"/>
        </w:rPr>
        <w:t>)</w:t>
      </w:r>
      <w:r w:rsidRPr="00961C7A">
        <w:rPr>
          <w:rFonts w:cs="Calibri"/>
          <w:sz w:val="24"/>
          <w:szCs w:val="24"/>
        </w:rPr>
        <w:t xml:space="preserve">. In many cases, the more knowledgeable other </w:t>
      </w:r>
      <w:r w:rsidRPr="00961C7A">
        <w:rPr>
          <w:rFonts w:cs="Calibri"/>
          <w:sz w:val="24"/>
          <w:szCs w:val="24"/>
        </w:rPr>
        <w:t>will be either the class teacher or a supporting staff member. Therefore, Vygotsky’s theory upholds the notion that teachers have a vast impact on children’s learning and understanding of both academic and personal concepts. Furthermore, this can be applie</w:t>
      </w:r>
      <w:r w:rsidRPr="00961C7A">
        <w:rPr>
          <w:rFonts w:cs="Calibri"/>
          <w:sz w:val="24"/>
          <w:szCs w:val="24"/>
        </w:rPr>
        <w:t>d to the ideas of a child’s understanding of their own life, if a child can discuss their own problems or issues then an adult can support the child by giving relevant concepts to allow the child to relate current problems to previous understandings. Withi</w:t>
      </w:r>
      <w:r w:rsidRPr="00961C7A">
        <w:rPr>
          <w:rFonts w:cs="Calibri"/>
          <w:sz w:val="24"/>
          <w:szCs w:val="24"/>
        </w:rPr>
        <w:t xml:space="preserve">n my placement school, there is a parent group run by teaching assistants to allow parents an opportunity to discuss parenting problems, the group then feedback with their own experiences. This could potentially allow parents to value and understand their </w:t>
      </w:r>
      <w:r w:rsidRPr="00961C7A">
        <w:rPr>
          <w:rFonts w:cs="Calibri"/>
          <w:sz w:val="24"/>
          <w:szCs w:val="24"/>
        </w:rPr>
        <w:t xml:space="preserve">child’s </w:t>
      </w:r>
      <w:r w:rsidRPr="00961C7A">
        <w:rPr>
          <w:rFonts w:asciiTheme="minorHAnsi" w:hAnsiTheme="minorHAnsi" w:cstheme="minorHAnsi"/>
          <w:sz w:val="24"/>
          <w:szCs w:val="24"/>
        </w:rPr>
        <w:t xml:space="preserve">development better and then address this more directly with their child. </w:t>
      </w:r>
    </w:p>
    <w:p w14:paraId="1133A335" w14:textId="77777777" w:rsidR="00E565AB" w:rsidRDefault="00BE366E" w:rsidP="00BE366E">
      <w:pPr>
        <w:suppressAutoHyphens w:val="0"/>
        <w:autoSpaceDN/>
        <w:spacing w:after="0" w:line="240" w:lineRule="auto"/>
        <w:textAlignment w:val="auto"/>
        <w:rPr>
          <w:rFonts w:asciiTheme="minorHAnsi" w:eastAsia="Times New Roman" w:hAnsiTheme="minorHAnsi" w:cstheme="minorHAnsi"/>
          <w:color w:val="0E101A"/>
          <w:sz w:val="24"/>
          <w:szCs w:val="24"/>
          <w:lang w:eastAsia="en-GB"/>
        </w:rPr>
      </w:pPr>
      <w:r w:rsidRPr="00BE366E">
        <w:rPr>
          <w:rFonts w:asciiTheme="minorHAnsi" w:eastAsia="Times New Roman" w:hAnsiTheme="minorHAnsi" w:cstheme="minorHAnsi"/>
          <w:color w:val="0E101A"/>
          <w:sz w:val="24"/>
          <w:szCs w:val="24"/>
          <w:u w:val="single"/>
          <w:lang w:eastAsia="en-GB"/>
        </w:rPr>
        <w:t>The impact of these beliefs and my professional development targets</w:t>
      </w:r>
    </w:p>
    <w:p w14:paraId="4AAD6CB5" w14:textId="7F94D312" w:rsidR="00BE366E" w:rsidRPr="00BE366E" w:rsidRDefault="00E565AB" w:rsidP="00BE366E">
      <w:pPr>
        <w:suppressAutoHyphens w:val="0"/>
        <w:autoSpaceDN/>
        <w:spacing w:after="0" w:line="240" w:lineRule="auto"/>
        <w:textAlignment w:val="auto"/>
        <w:rPr>
          <w:rFonts w:asciiTheme="minorHAnsi" w:eastAsia="Times New Roman" w:hAnsiTheme="minorHAnsi" w:cstheme="minorHAnsi"/>
          <w:color w:val="0E101A"/>
          <w:sz w:val="24"/>
          <w:szCs w:val="24"/>
          <w:lang w:eastAsia="en-GB"/>
        </w:rPr>
      </w:pPr>
      <w:r>
        <w:rPr>
          <w:rFonts w:asciiTheme="minorHAnsi" w:eastAsia="Times New Roman" w:hAnsiTheme="minorHAnsi" w:cstheme="minorHAnsi"/>
          <w:color w:val="0E101A"/>
          <w:sz w:val="24"/>
          <w:szCs w:val="24"/>
          <w:lang w:eastAsia="en-GB"/>
        </w:rPr>
        <w:t xml:space="preserve">In conclusion, </w:t>
      </w:r>
      <w:r w:rsidR="00BE366E" w:rsidRPr="00BE366E">
        <w:rPr>
          <w:rFonts w:asciiTheme="minorHAnsi" w:eastAsia="Times New Roman" w:hAnsiTheme="minorHAnsi" w:cstheme="minorHAnsi"/>
          <w:color w:val="0E101A"/>
          <w:sz w:val="24"/>
          <w:szCs w:val="24"/>
          <w:lang w:eastAsia="en-GB"/>
        </w:rPr>
        <w:t xml:space="preserve">I now feel confident in my beliefs </w:t>
      </w:r>
      <w:r>
        <w:rPr>
          <w:rFonts w:asciiTheme="minorHAnsi" w:eastAsia="Times New Roman" w:hAnsiTheme="minorHAnsi" w:cstheme="minorHAnsi"/>
          <w:color w:val="0E101A"/>
          <w:sz w:val="24"/>
          <w:szCs w:val="24"/>
          <w:lang w:eastAsia="en-GB"/>
        </w:rPr>
        <w:t>as I</w:t>
      </w:r>
      <w:r w:rsidR="00BE366E" w:rsidRPr="00BE366E">
        <w:rPr>
          <w:rFonts w:asciiTheme="minorHAnsi" w:eastAsia="Times New Roman" w:hAnsiTheme="minorHAnsi" w:cstheme="minorHAnsi"/>
          <w:color w:val="0E101A"/>
          <w:sz w:val="24"/>
          <w:szCs w:val="24"/>
          <w:lang w:eastAsia="en-GB"/>
        </w:rPr>
        <w:t xml:space="preserve"> am more equipped to make accurately informed assumptions in my future practice. Practitioners from the Reggio Emilia approach are constantly encouraged to reflect on their beliefs and practice and to make use of these reflections in future planning (Vakil S, Freeman R, Swim T J. 2003). When successful, this strategy can be rewarding for both teachers and pupils in that they find common goals and strategies to manage different challenges and situations</w:t>
      </w:r>
      <w:r>
        <w:rPr>
          <w:rFonts w:asciiTheme="minorHAnsi" w:eastAsia="Times New Roman" w:hAnsiTheme="minorHAnsi" w:cstheme="minorHAnsi"/>
          <w:color w:val="0E101A"/>
          <w:sz w:val="24"/>
          <w:szCs w:val="24"/>
          <w:lang w:eastAsia="en-GB"/>
        </w:rPr>
        <w:t xml:space="preserve"> within their community</w:t>
      </w:r>
      <w:r w:rsidR="00BE366E" w:rsidRPr="00BE366E">
        <w:rPr>
          <w:rFonts w:asciiTheme="minorHAnsi" w:eastAsia="Times New Roman" w:hAnsiTheme="minorHAnsi" w:cstheme="minorHAnsi"/>
          <w:color w:val="0E101A"/>
          <w:sz w:val="24"/>
          <w:szCs w:val="24"/>
          <w:lang w:eastAsia="en-GB"/>
        </w:rPr>
        <w:t>. There are standards for QTS (</w:t>
      </w:r>
      <w:proofErr w:type="spellStart"/>
      <w:r w:rsidR="00BE366E" w:rsidRPr="00BE366E">
        <w:rPr>
          <w:rFonts w:asciiTheme="minorHAnsi" w:eastAsia="Times New Roman" w:hAnsiTheme="minorHAnsi" w:cstheme="minorHAnsi"/>
          <w:color w:val="0E101A"/>
          <w:sz w:val="24"/>
          <w:szCs w:val="24"/>
          <w:lang w:eastAsia="en-GB"/>
        </w:rPr>
        <w:t>Yr</w:t>
      </w:r>
      <w:proofErr w:type="spellEnd"/>
      <w:r w:rsidR="00BE366E" w:rsidRPr="00BE366E">
        <w:rPr>
          <w:rFonts w:asciiTheme="minorHAnsi" w:eastAsia="Times New Roman" w:hAnsiTheme="minorHAnsi" w:cstheme="minorHAnsi"/>
          <w:color w:val="0E101A"/>
          <w:sz w:val="24"/>
          <w:szCs w:val="24"/>
          <w:lang w:eastAsia="en-GB"/>
        </w:rPr>
        <w:t xml:space="preserve"> </w:t>
      </w:r>
      <w:proofErr w:type="spellStart"/>
      <w:r w:rsidR="00BE366E" w:rsidRPr="00BE366E">
        <w:rPr>
          <w:rFonts w:asciiTheme="minorHAnsi" w:eastAsia="Times New Roman" w:hAnsiTheme="minorHAnsi" w:cstheme="minorHAnsi"/>
          <w:color w:val="0E101A"/>
          <w:sz w:val="24"/>
          <w:szCs w:val="24"/>
          <w:lang w:eastAsia="en-GB"/>
        </w:rPr>
        <w:t>Athrofa</w:t>
      </w:r>
      <w:proofErr w:type="spellEnd"/>
      <w:r w:rsidR="00BE366E" w:rsidRPr="00BE366E">
        <w:rPr>
          <w:rFonts w:asciiTheme="minorHAnsi" w:eastAsia="Times New Roman" w:hAnsiTheme="minorHAnsi" w:cstheme="minorHAnsi"/>
          <w:color w:val="0E101A"/>
          <w:sz w:val="24"/>
          <w:szCs w:val="24"/>
          <w:lang w:eastAsia="en-GB"/>
        </w:rPr>
        <w:t>, 2019) which link with both my current beliefs</w:t>
      </w:r>
      <w:r>
        <w:rPr>
          <w:rFonts w:asciiTheme="minorHAnsi" w:eastAsia="Times New Roman" w:hAnsiTheme="minorHAnsi" w:cstheme="minorHAnsi"/>
          <w:color w:val="0E101A"/>
          <w:sz w:val="24"/>
          <w:szCs w:val="24"/>
          <w:lang w:eastAsia="en-GB"/>
        </w:rPr>
        <w:t>.</w:t>
      </w:r>
      <w:r w:rsidR="00BE366E" w:rsidRPr="00BE366E">
        <w:rPr>
          <w:rFonts w:asciiTheme="minorHAnsi" w:eastAsia="Times New Roman" w:hAnsiTheme="minorHAnsi" w:cstheme="minorHAnsi"/>
          <w:color w:val="0E101A"/>
          <w:sz w:val="24"/>
          <w:szCs w:val="24"/>
          <w:lang w:eastAsia="en-GB"/>
        </w:rPr>
        <w:t xml:space="preserve"> </w:t>
      </w:r>
      <w:r>
        <w:rPr>
          <w:rFonts w:asciiTheme="minorHAnsi" w:eastAsia="Times New Roman" w:hAnsiTheme="minorHAnsi" w:cstheme="minorHAnsi"/>
          <w:color w:val="0E101A"/>
          <w:sz w:val="24"/>
          <w:szCs w:val="24"/>
          <w:lang w:eastAsia="en-GB"/>
        </w:rPr>
        <w:t>O</w:t>
      </w:r>
      <w:r w:rsidR="00BE366E" w:rsidRPr="00BE366E">
        <w:rPr>
          <w:rFonts w:asciiTheme="minorHAnsi" w:eastAsia="Times New Roman" w:hAnsiTheme="minorHAnsi" w:cstheme="minorHAnsi"/>
          <w:color w:val="0E101A"/>
          <w:sz w:val="24"/>
          <w:szCs w:val="24"/>
          <w:lang w:eastAsia="en-GB"/>
        </w:rPr>
        <w:t xml:space="preserve">ne of the standards explains that a student-teacher should have high expectations for learners and ensure that all learners needs are constantly being met. I understand more about inclusive education and understand its implications on both pupils with ALN and those without. It is my goal to be mindful </w:t>
      </w:r>
      <w:r>
        <w:rPr>
          <w:rFonts w:asciiTheme="minorHAnsi" w:eastAsia="Times New Roman" w:hAnsiTheme="minorHAnsi" w:cstheme="minorHAnsi"/>
          <w:color w:val="0E101A"/>
          <w:sz w:val="24"/>
          <w:szCs w:val="24"/>
          <w:lang w:eastAsia="en-GB"/>
        </w:rPr>
        <w:t>of</w:t>
      </w:r>
      <w:r w:rsidR="00BE366E" w:rsidRPr="00BE366E">
        <w:rPr>
          <w:rFonts w:asciiTheme="minorHAnsi" w:eastAsia="Times New Roman" w:hAnsiTheme="minorHAnsi" w:cstheme="minorHAnsi"/>
          <w:color w:val="0E101A"/>
          <w:sz w:val="24"/>
          <w:szCs w:val="24"/>
          <w:lang w:eastAsia="en-GB"/>
        </w:rPr>
        <w:t xml:space="preserve"> the implications of my practice on all pupils within my class and placement school. After becoming more familiar with literacy in primary school and its impact on pupils’ future learning, I know that children need to be motivated and responsible for their learning. </w:t>
      </w:r>
      <w:proofErr w:type="spellStart"/>
      <w:r w:rsidR="00BE366E" w:rsidRPr="00BE366E">
        <w:rPr>
          <w:rFonts w:asciiTheme="minorHAnsi" w:eastAsia="Times New Roman" w:hAnsiTheme="minorHAnsi" w:cstheme="minorHAnsi"/>
          <w:color w:val="0E101A"/>
          <w:sz w:val="24"/>
          <w:szCs w:val="24"/>
          <w:lang w:eastAsia="en-GB"/>
        </w:rPr>
        <w:t>Yr</w:t>
      </w:r>
      <w:proofErr w:type="spellEnd"/>
      <w:r w:rsidR="00BE366E" w:rsidRPr="00BE366E">
        <w:rPr>
          <w:rFonts w:asciiTheme="minorHAnsi" w:eastAsia="Times New Roman" w:hAnsiTheme="minorHAnsi" w:cstheme="minorHAnsi"/>
          <w:color w:val="0E101A"/>
          <w:sz w:val="24"/>
          <w:szCs w:val="24"/>
          <w:lang w:eastAsia="en-GB"/>
        </w:rPr>
        <w:t xml:space="preserve"> </w:t>
      </w:r>
      <w:proofErr w:type="spellStart"/>
      <w:r w:rsidR="00BE366E" w:rsidRPr="00BE366E">
        <w:rPr>
          <w:rFonts w:asciiTheme="minorHAnsi" w:eastAsia="Times New Roman" w:hAnsiTheme="minorHAnsi" w:cstheme="minorHAnsi"/>
          <w:color w:val="0E101A"/>
          <w:sz w:val="24"/>
          <w:szCs w:val="24"/>
          <w:lang w:eastAsia="en-GB"/>
        </w:rPr>
        <w:t>Athrofa</w:t>
      </w:r>
      <w:proofErr w:type="spellEnd"/>
      <w:r w:rsidR="00BE366E" w:rsidRPr="00BE366E">
        <w:rPr>
          <w:rFonts w:asciiTheme="minorHAnsi" w:eastAsia="Times New Roman" w:hAnsiTheme="minorHAnsi" w:cstheme="minorHAnsi"/>
          <w:color w:val="0E101A"/>
          <w:sz w:val="24"/>
          <w:szCs w:val="24"/>
          <w:lang w:eastAsia="en-GB"/>
        </w:rPr>
        <w:t xml:space="preserve"> (2019) QTS standards mentions the need to provide suitable levels of challenge for a range of different learner abilities and to inspire pupils to be motived to learn and develop. I will ensure that I aim to provide appropriate levels of challenge to inspire learners to take responsibility for their learning. Finally, I know have strong beliefs </w:t>
      </w:r>
      <w:r w:rsidR="00BE366E" w:rsidRPr="00BE366E">
        <w:rPr>
          <w:rFonts w:asciiTheme="minorHAnsi" w:eastAsia="Times New Roman" w:hAnsiTheme="minorHAnsi" w:cstheme="minorHAnsi"/>
          <w:color w:val="0E101A"/>
          <w:sz w:val="24"/>
          <w:szCs w:val="24"/>
          <w:lang w:eastAsia="en-GB"/>
        </w:rPr>
        <w:lastRenderedPageBreak/>
        <w:t>in my understanding of the role a teacher may need to take in ensuring pupils are fully supported where socio-economic or other sorts of disadvantages may be present in their lives. The QTS standards (</w:t>
      </w:r>
      <w:proofErr w:type="spellStart"/>
      <w:r w:rsidR="00BE366E" w:rsidRPr="00BE366E">
        <w:rPr>
          <w:rFonts w:asciiTheme="minorHAnsi" w:eastAsia="Times New Roman" w:hAnsiTheme="minorHAnsi" w:cstheme="minorHAnsi"/>
          <w:color w:val="0E101A"/>
          <w:sz w:val="24"/>
          <w:szCs w:val="24"/>
          <w:lang w:eastAsia="en-GB"/>
        </w:rPr>
        <w:t>Yr</w:t>
      </w:r>
      <w:proofErr w:type="spellEnd"/>
      <w:r w:rsidR="00BE366E" w:rsidRPr="00BE366E">
        <w:rPr>
          <w:rFonts w:asciiTheme="minorHAnsi" w:eastAsia="Times New Roman" w:hAnsiTheme="minorHAnsi" w:cstheme="minorHAnsi"/>
          <w:color w:val="0E101A"/>
          <w:sz w:val="24"/>
          <w:szCs w:val="24"/>
          <w:lang w:eastAsia="en-GB"/>
        </w:rPr>
        <w:t xml:space="preserve"> </w:t>
      </w:r>
      <w:proofErr w:type="spellStart"/>
      <w:r w:rsidR="00BE366E" w:rsidRPr="00BE366E">
        <w:rPr>
          <w:rFonts w:asciiTheme="minorHAnsi" w:eastAsia="Times New Roman" w:hAnsiTheme="minorHAnsi" w:cstheme="minorHAnsi"/>
          <w:color w:val="0E101A"/>
          <w:sz w:val="24"/>
          <w:szCs w:val="24"/>
          <w:lang w:eastAsia="en-GB"/>
        </w:rPr>
        <w:t>Athrofa</w:t>
      </w:r>
      <w:proofErr w:type="spellEnd"/>
      <w:r w:rsidR="00BE366E" w:rsidRPr="00BE366E">
        <w:rPr>
          <w:rFonts w:asciiTheme="minorHAnsi" w:eastAsia="Times New Roman" w:hAnsiTheme="minorHAnsi" w:cstheme="minorHAnsi"/>
          <w:color w:val="0E101A"/>
          <w:sz w:val="24"/>
          <w:szCs w:val="24"/>
          <w:lang w:eastAsia="en-GB"/>
        </w:rPr>
        <w:t>, 2019) imply that there are numerous benefits to pupils’ wellbeing and academic performance when they are provided with high standards of learning and experience. Therefore, it is my target to ensure pupils are equipped with full understanding from high-quality learning to ensure they are supported both academically and personally.</w:t>
      </w:r>
    </w:p>
    <w:p w14:paraId="65475638" w14:textId="77777777" w:rsidR="00AA3BA7" w:rsidRPr="00961C7A" w:rsidRDefault="00AA3BA7">
      <w:pPr>
        <w:rPr>
          <w:rFonts w:asciiTheme="minorHAnsi" w:hAnsiTheme="minorHAnsi" w:cstheme="minorHAnsi"/>
          <w:bCs/>
          <w:i/>
          <w:sz w:val="24"/>
          <w:szCs w:val="24"/>
          <w:lang w:val="en-IE"/>
        </w:rPr>
      </w:pPr>
    </w:p>
    <w:p w14:paraId="1666ACA6" w14:textId="77777777" w:rsidR="00AA3BA7" w:rsidRPr="00961C7A" w:rsidRDefault="00AA3BA7">
      <w:pPr>
        <w:ind w:left="360"/>
        <w:rPr>
          <w:rFonts w:asciiTheme="minorHAnsi" w:hAnsiTheme="minorHAnsi" w:cstheme="minorHAnsi"/>
          <w:sz w:val="24"/>
          <w:szCs w:val="24"/>
          <w:lang w:val="en-US"/>
        </w:rPr>
      </w:pPr>
    </w:p>
    <w:p w14:paraId="7BFA2668" w14:textId="77777777" w:rsidR="00AA3BA7" w:rsidRPr="00961C7A" w:rsidRDefault="00FD491F">
      <w:pPr>
        <w:ind w:left="360"/>
        <w:rPr>
          <w:rFonts w:cs="Calibri"/>
          <w:sz w:val="24"/>
          <w:szCs w:val="24"/>
          <w:u w:val="single"/>
          <w:lang w:val="en-US"/>
        </w:rPr>
      </w:pPr>
      <w:r w:rsidRPr="00961C7A">
        <w:rPr>
          <w:rFonts w:cs="Calibri"/>
          <w:sz w:val="24"/>
          <w:szCs w:val="24"/>
          <w:u w:val="single"/>
          <w:lang w:val="en-US"/>
        </w:rPr>
        <w:t>References</w:t>
      </w:r>
    </w:p>
    <w:p w14:paraId="300C44A8" w14:textId="77777777" w:rsidR="005323B6" w:rsidRPr="00961C7A" w:rsidRDefault="005323B6">
      <w:pPr>
        <w:ind w:left="360"/>
        <w:rPr>
          <w:sz w:val="24"/>
          <w:szCs w:val="24"/>
        </w:rPr>
      </w:pPr>
      <w:r w:rsidRPr="00961C7A">
        <w:rPr>
          <w:rFonts w:cs="Calibri"/>
          <w:sz w:val="24"/>
          <w:szCs w:val="24"/>
          <w:lang w:val="en-US"/>
        </w:rPr>
        <w:t>Armstrong, A.C. et al., 2010. Inclusive education: international policy &amp; practice, London; Thousand Oaks, Calif.: Sage.</w:t>
      </w:r>
    </w:p>
    <w:p w14:paraId="61B29F38" w14:textId="77777777" w:rsidR="005323B6" w:rsidRPr="00961C7A" w:rsidRDefault="005323B6">
      <w:pPr>
        <w:ind w:left="360"/>
        <w:rPr>
          <w:sz w:val="24"/>
          <w:szCs w:val="24"/>
        </w:rPr>
      </w:pPr>
      <w:r w:rsidRPr="00961C7A">
        <w:rPr>
          <w:rFonts w:cs="Calibri"/>
          <w:sz w:val="24"/>
          <w:szCs w:val="24"/>
        </w:rPr>
        <w:t>Cambourne, B. (2018). </w:t>
      </w:r>
      <w:r w:rsidRPr="00961C7A">
        <w:rPr>
          <w:rFonts w:cs="Calibri"/>
          <w:i/>
          <w:iCs/>
          <w:sz w:val="24"/>
          <w:szCs w:val="24"/>
        </w:rPr>
        <w:t>Cambourne’s Model of Literacy Learning.</w:t>
      </w:r>
      <w:r w:rsidRPr="00961C7A">
        <w:rPr>
          <w:rFonts w:cs="Calibri"/>
          <w:sz w:val="24"/>
          <w:szCs w:val="24"/>
        </w:rPr>
        <w:t> Available: http://www.cambournesconditionsoflearning.com.au/conditions-of-learning-blog-spot. Last accessed 9th February 2020.</w:t>
      </w:r>
    </w:p>
    <w:p w14:paraId="1C931E68" w14:textId="77777777" w:rsidR="005323B6" w:rsidRPr="00961C7A" w:rsidRDefault="005323B6">
      <w:pPr>
        <w:ind w:left="360"/>
        <w:rPr>
          <w:rFonts w:cs="Calibri"/>
          <w:sz w:val="24"/>
          <w:szCs w:val="24"/>
          <w:lang w:val="en-US"/>
        </w:rPr>
      </w:pPr>
      <w:r w:rsidRPr="00961C7A">
        <w:rPr>
          <w:rFonts w:cs="Calibri"/>
          <w:sz w:val="24"/>
          <w:szCs w:val="24"/>
          <w:lang w:val="en-US"/>
        </w:rPr>
        <w:t>Clough, P. &amp; Corbett, J., 2000. Theories of inclusive education: a student's guide, London Thousand Oaks, Calif.: Chapman Sage.</w:t>
      </w:r>
    </w:p>
    <w:p w14:paraId="5302474F" w14:textId="77777777" w:rsidR="005323B6" w:rsidRPr="00961C7A" w:rsidRDefault="005323B6">
      <w:pPr>
        <w:ind w:left="360"/>
        <w:rPr>
          <w:sz w:val="24"/>
          <w:szCs w:val="24"/>
        </w:rPr>
      </w:pPr>
      <w:r w:rsidRPr="00961C7A">
        <w:rPr>
          <w:rFonts w:cs="Calibri"/>
          <w:color w:val="000000"/>
          <w:sz w:val="24"/>
          <w:szCs w:val="24"/>
        </w:rPr>
        <w:t>David Egan. (2013). </w:t>
      </w:r>
      <w:r w:rsidRPr="00961C7A">
        <w:rPr>
          <w:rFonts w:cs="Calibri"/>
          <w:i/>
          <w:iCs/>
          <w:color w:val="000000"/>
          <w:sz w:val="24"/>
          <w:szCs w:val="24"/>
        </w:rPr>
        <w:t>Poverty and Low Educational Achievement in Wales: Student, Family and Community Interventions.</w:t>
      </w:r>
      <w:r w:rsidRPr="00961C7A">
        <w:rPr>
          <w:rFonts w:cs="Calibri"/>
          <w:color w:val="000000"/>
          <w:sz w:val="24"/>
          <w:szCs w:val="24"/>
        </w:rPr>
        <w:t> Available: https://www.jrf.org.uk/sites/default/files/jrf/migrated/files/wales-education-poverty-summary.pdf. Last accessed 10th February 2020.</w:t>
      </w:r>
    </w:p>
    <w:p w14:paraId="19767F23" w14:textId="77777777" w:rsidR="005323B6" w:rsidRPr="00961C7A" w:rsidRDefault="005323B6">
      <w:pPr>
        <w:ind w:left="360"/>
        <w:rPr>
          <w:sz w:val="24"/>
          <w:szCs w:val="24"/>
        </w:rPr>
      </w:pPr>
      <w:r w:rsidRPr="00961C7A">
        <w:rPr>
          <w:rFonts w:cs="Calibri"/>
          <w:color w:val="000000"/>
          <w:sz w:val="24"/>
          <w:szCs w:val="24"/>
        </w:rPr>
        <w:t xml:space="preserve">Donaldson, A. (2015). </w:t>
      </w:r>
      <w:r w:rsidRPr="00961C7A">
        <w:rPr>
          <w:rFonts w:cs="Calibri"/>
          <w:i/>
          <w:iCs/>
          <w:color w:val="000000"/>
          <w:sz w:val="24"/>
          <w:szCs w:val="24"/>
        </w:rPr>
        <w:t>Successful Futures</w:t>
      </w:r>
      <w:r w:rsidRPr="00961C7A">
        <w:rPr>
          <w:rFonts w:cs="Calibri"/>
          <w:color w:val="000000"/>
          <w:sz w:val="24"/>
          <w:szCs w:val="24"/>
        </w:rPr>
        <w:t>. Independent Review of Curriculum and Assessment Arrangements in Wales</w:t>
      </w:r>
    </w:p>
    <w:p w14:paraId="71F82898" w14:textId="77777777" w:rsidR="005323B6" w:rsidRPr="00961C7A" w:rsidRDefault="005323B6">
      <w:pPr>
        <w:ind w:left="360"/>
        <w:rPr>
          <w:rFonts w:cs="Calibri"/>
          <w:color w:val="000000"/>
          <w:sz w:val="24"/>
          <w:szCs w:val="24"/>
        </w:rPr>
      </w:pPr>
      <w:r w:rsidRPr="00961C7A">
        <w:rPr>
          <w:rFonts w:cs="Calibri"/>
          <w:color w:val="000000"/>
          <w:sz w:val="24"/>
          <w:szCs w:val="24"/>
        </w:rPr>
        <w:t>Ewing, Donna L., 2018. Teachers’ attitudes towards inclusive education: a critical review of published questionnaires. Educational Psychology in Practice, 34(2), pp.150–166.</w:t>
      </w:r>
    </w:p>
    <w:p w14:paraId="583A48FA" w14:textId="77777777" w:rsidR="005323B6" w:rsidRPr="00961C7A" w:rsidRDefault="005323B6">
      <w:pPr>
        <w:ind w:left="360"/>
        <w:rPr>
          <w:sz w:val="24"/>
          <w:szCs w:val="24"/>
        </w:rPr>
      </w:pPr>
      <w:r w:rsidRPr="00961C7A">
        <w:rPr>
          <w:rFonts w:cs="Calibri"/>
          <w:sz w:val="24"/>
          <w:szCs w:val="24"/>
        </w:rPr>
        <w:t>Impact Wales. (2018). </w:t>
      </w:r>
      <w:r w:rsidRPr="00961C7A">
        <w:rPr>
          <w:rFonts w:cs="Calibri"/>
          <w:i/>
          <w:iCs/>
          <w:sz w:val="24"/>
          <w:szCs w:val="24"/>
        </w:rPr>
        <w:t>Donaldson's 12 Pedagogical Principles.</w:t>
      </w:r>
      <w:r w:rsidRPr="00961C7A">
        <w:rPr>
          <w:rFonts w:cs="Calibri"/>
          <w:sz w:val="24"/>
          <w:szCs w:val="24"/>
        </w:rPr>
        <w:t> Available: https://www.impact.wales/wp-content/uploads/2018/01/12-Pedagogical-Principles-1.pdf. Last accessed 10th February 2020.</w:t>
      </w:r>
    </w:p>
    <w:p w14:paraId="4F0E7F1A" w14:textId="77777777" w:rsidR="005323B6" w:rsidRPr="00961C7A" w:rsidRDefault="005323B6">
      <w:pPr>
        <w:ind w:left="360"/>
        <w:rPr>
          <w:sz w:val="24"/>
          <w:szCs w:val="24"/>
        </w:rPr>
      </w:pPr>
      <w:proofErr w:type="spellStart"/>
      <w:r w:rsidRPr="00961C7A">
        <w:rPr>
          <w:rFonts w:cs="Calibri"/>
          <w:color w:val="000000"/>
          <w:sz w:val="24"/>
          <w:szCs w:val="24"/>
        </w:rPr>
        <w:t>Jerrim</w:t>
      </w:r>
      <w:proofErr w:type="spellEnd"/>
      <w:r w:rsidRPr="00961C7A">
        <w:rPr>
          <w:rFonts w:cs="Calibri"/>
          <w:color w:val="000000"/>
          <w:sz w:val="24"/>
          <w:szCs w:val="24"/>
        </w:rPr>
        <w:t xml:space="preserve"> and Shure. (2016). </w:t>
      </w:r>
      <w:r w:rsidRPr="00961C7A">
        <w:rPr>
          <w:rFonts w:cs="Calibri"/>
          <w:i/>
          <w:iCs/>
          <w:color w:val="000000"/>
          <w:sz w:val="24"/>
          <w:szCs w:val="24"/>
        </w:rPr>
        <w:t>Achievement of 15-YearOlds in Wales: PISA 2015 National Report.</w:t>
      </w:r>
      <w:r w:rsidRPr="00961C7A">
        <w:rPr>
          <w:rFonts w:cs="Calibri"/>
          <w:color w:val="000000"/>
          <w:sz w:val="24"/>
          <w:szCs w:val="24"/>
        </w:rPr>
        <w:t> Available: https://dera.ioe.ac.uk/27969/1/161206-pisa-2015-en.pdf. Last accessed 10th February 2020.</w:t>
      </w:r>
    </w:p>
    <w:p w14:paraId="7A2EF1F1" w14:textId="77777777" w:rsidR="005323B6" w:rsidRPr="00961C7A" w:rsidRDefault="005323B6">
      <w:pPr>
        <w:ind w:left="360"/>
        <w:rPr>
          <w:sz w:val="24"/>
          <w:szCs w:val="24"/>
        </w:rPr>
      </w:pPr>
      <w:r w:rsidRPr="00961C7A">
        <w:rPr>
          <w:rFonts w:cs="Calibri"/>
          <w:sz w:val="24"/>
          <w:szCs w:val="24"/>
        </w:rPr>
        <w:t>Plan UK. (2017). </w:t>
      </w:r>
      <w:r w:rsidRPr="00961C7A">
        <w:rPr>
          <w:rFonts w:cs="Calibri"/>
          <w:i/>
          <w:iCs/>
          <w:sz w:val="24"/>
          <w:szCs w:val="24"/>
        </w:rPr>
        <w:t>The Importance of Education; 5 ways Literacy Improves Lives.</w:t>
      </w:r>
      <w:r w:rsidRPr="00961C7A">
        <w:rPr>
          <w:rFonts w:cs="Calibri"/>
          <w:sz w:val="24"/>
          <w:szCs w:val="24"/>
        </w:rPr>
        <w:t> Available: https://plan-uk.org/blogs/the-importance-of-education-how-literacy-improves-lives. Last accessed 10th February 2020.</w:t>
      </w:r>
    </w:p>
    <w:p w14:paraId="7604A129" w14:textId="77777777" w:rsidR="005323B6" w:rsidRPr="00961C7A" w:rsidRDefault="005323B6">
      <w:pPr>
        <w:ind w:left="360"/>
        <w:rPr>
          <w:sz w:val="24"/>
          <w:szCs w:val="24"/>
        </w:rPr>
      </w:pPr>
      <w:r w:rsidRPr="00961C7A">
        <w:rPr>
          <w:rFonts w:cs="Calibri"/>
          <w:sz w:val="24"/>
          <w:szCs w:val="24"/>
          <w:shd w:val="clear" w:color="auto" w:fill="FFFFFF"/>
        </w:rPr>
        <w:t>Pollard, A., 2014. </w:t>
      </w:r>
      <w:r w:rsidRPr="00961C7A">
        <w:rPr>
          <w:rFonts w:cs="Calibri"/>
          <w:i/>
          <w:iCs/>
          <w:sz w:val="24"/>
          <w:szCs w:val="24"/>
          <w:shd w:val="clear" w:color="auto" w:fill="FFFFFF"/>
        </w:rPr>
        <w:t>Readings for reflective teaching in schools</w:t>
      </w:r>
      <w:r w:rsidRPr="00961C7A">
        <w:rPr>
          <w:rFonts w:cs="Calibri"/>
          <w:sz w:val="24"/>
          <w:szCs w:val="24"/>
          <w:shd w:val="clear" w:color="auto" w:fill="FFFFFF"/>
        </w:rPr>
        <w:t> Second., London: Bloomsbury Academic.</w:t>
      </w:r>
    </w:p>
    <w:p w14:paraId="2AA7906A" w14:textId="35635234" w:rsidR="005323B6" w:rsidRPr="00961C7A" w:rsidRDefault="005323B6">
      <w:pPr>
        <w:ind w:left="360"/>
        <w:rPr>
          <w:sz w:val="24"/>
          <w:szCs w:val="24"/>
        </w:rPr>
      </w:pPr>
      <w:r w:rsidRPr="00961C7A">
        <w:rPr>
          <w:rFonts w:cs="Calibri"/>
          <w:sz w:val="24"/>
          <w:szCs w:val="24"/>
        </w:rPr>
        <w:t>Seth-Smith. (2006). Emotional Development and Learning the Concept of Emotional Intelligence. </w:t>
      </w:r>
      <w:r w:rsidRPr="00961C7A">
        <w:rPr>
          <w:rFonts w:cs="Calibri"/>
          <w:i/>
          <w:iCs/>
          <w:sz w:val="24"/>
          <w:szCs w:val="24"/>
        </w:rPr>
        <w:t>How do Teachers Influence Children’s Emotional Development?</w:t>
      </w:r>
      <w:r w:rsidRPr="00961C7A">
        <w:rPr>
          <w:rFonts w:cs="Calibri"/>
          <w:sz w:val="24"/>
          <w:szCs w:val="24"/>
        </w:rPr>
        <w:t xml:space="preserve"> 1 (1), p12-18.</w:t>
      </w:r>
    </w:p>
    <w:p w14:paraId="795C0959" w14:textId="6D499BD4" w:rsidR="005323B6" w:rsidRPr="00961C7A" w:rsidRDefault="005323B6">
      <w:pPr>
        <w:ind w:left="360"/>
        <w:rPr>
          <w:sz w:val="24"/>
          <w:szCs w:val="24"/>
        </w:rPr>
      </w:pPr>
      <w:hyperlink r:id="rId8" w:history="1">
        <w:r w:rsidRPr="00961C7A">
          <w:rPr>
            <w:rStyle w:val="Hyperlink"/>
            <w:rFonts w:cs="Calibri"/>
            <w:color w:val="auto"/>
            <w:sz w:val="24"/>
            <w:szCs w:val="24"/>
            <w:u w:val="none"/>
          </w:rPr>
          <w:t xml:space="preserve"> Sincero</w:t>
        </w:r>
      </w:hyperlink>
      <w:r w:rsidRPr="00961C7A">
        <w:rPr>
          <w:rFonts w:cs="Calibri"/>
          <w:sz w:val="24"/>
          <w:szCs w:val="24"/>
        </w:rPr>
        <w:t>, S</w:t>
      </w:r>
      <w:r w:rsidRPr="00961C7A">
        <w:rPr>
          <w:rFonts w:cs="Calibri"/>
          <w:sz w:val="24"/>
          <w:szCs w:val="24"/>
          <w:shd w:val="clear" w:color="auto" w:fill="FFFFFF"/>
        </w:rPr>
        <w:t> (Nov 4, 2012). Zone of Proximal Development. Retrieved Feb 08, 2020 from Explorable.com: </w:t>
      </w:r>
      <w:hyperlink r:id="rId9" w:history="1">
        <w:r w:rsidRPr="00961C7A">
          <w:rPr>
            <w:rStyle w:val="Hyperlink"/>
            <w:rFonts w:cs="Calibri"/>
            <w:color w:val="auto"/>
            <w:sz w:val="24"/>
            <w:szCs w:val="24"/>
          </w:rPr>
          <w:t>https://explorable.com/zone-of-proximal-development</w:t>
        </w:r>
      </w:hyperlink>
      <w:r w:rsidRPr="00961C7A">
        <w:rPr>
          <w:rFonts w:cs="Calibri"/>
          <w:sz w:val="24"/>
          <w:szCs w:val="24"/>
        </w:rPr>
        <w:t>. Last Accessed 10</w:t>
      </w:r>
      <w:r w:rsidRPr="00961C7A">
        <w:rPr>
          <w:rFonts w:cs="Calibri"/>
          <w:sz w:val="24"/>
          <w:szCs w:val="24"/>
          <w:vertAlign w:val="superscript"/>
        </w:rPr>
        <w:t>th</w:t>
      </w:r>
      <w:r w:rsidRPr="00961C7A">
        <w:rPr>
          <w:rFonts w:cs="Calibri"/>
          <w:sz w:val="24"/>
          <w:szCs w:val="24"/>
        </w:rPr>
        <w:t xml:space="preserve"> February 2020.</w:t>
      </w:r>
    </w:p>
    <w:p w14:paraId="5ADF892D" w14:textId="77777777" w:rsidR="005323B6" w:rsidRPr="00961C7A" w:rsidRDefault="005323B6">
      <w:pPr>
        <w:ind w:left="360"/>
        <w:rPr>
          <w:sz w:val="24"/>
          <w:szCs w:val="24"/>
        </w:rPr>
      </w:pPr>
      <w:r w:rsidRPr="00961C7A">
        <w:rPr>
          <w:rFonts w:cs="Calibri"/>
          <w:sz w:val="24"/>
          <w:szCs w:val="24"/>
          <w:lang w:val="en-US"/>
        </w:rPr>
        <w:t>Vakil S, Freeman R, Swim T J. (2003). The Reggio Emilia Approach and Inclusive Early Childhood Programs. </w:t>
      </w:r>
      <w:r w:rsidRPr="00961C7A">
        <w:rPr>
          <w:rFonts w:cs="Calibri"/>
          <w:i/>
          <w:iCs/>
          <w:sz w:val="24"/>
          <w:szCs w:val="24"/>
          <w:lang w:val="en-US"/>
        </w:rPr>
        <w:t>Early Childhood Education Journal</w:t>
      </w:r>
      <w:r w:rsidRPr="00961C7A">
        <w:rPr>
          <w:rFonts w:cs="Calibri"/>
          <w:sz w:val="24"/>
          <w:szCs w:val="24"/>
          <w:lang w:val="en-US"/>
        </w:rPr>
        <w:t>. 30 (Issue 3), pp 187–192.</w:t>
      </w:r>
    </w:p>
    <w:p w14:paraId="4C9E6847" w14:textId="77777777" w:rsidR="005323B6" w:rsidRPr="00961C7A" w:rsidRDefault="005323B6">
      <w:pPr>
        <w:ind w:left="360"/>
        <w:rPr>
          <w:sz w:val="24"/>
          <w:szCs w:val="24"/>
        </w:rPr>
      </w:pPr>
      <w:proofErr w:type="spellStart"/>
      <w:r w:rsidRPr="00961C7A">
        <w:rPr>
          <w:rFonts w:cs="Calibri"/>
          <w:sz w:val="24"/>
          <w:szCs w:val="24"/>
          <w:shd w:val="clear" w:color="auto" w:fill="FFFFFF"/>
        </w:rPr>
        <w:t>Yr</w:t>
      </w:r>
      <w:proofErr w:type="spellEnd"/>
      <w:r w:rsidRPr="00961C7A">
        <w:rPr>
          <w:rFonts w:cs="Calibri"/>
          <w:sz w:val="24"/>
          <w:szCs w:val="24"/>
          <w:shd w:val="clear" w:color="auto" w:fill="FFFFFF"/>
        </w:rPr>
        <w:t xml:space="preserve"> </w:t>
      </w:r>
      <w:proofErr w:type="spellStart"/>
      <w:r w:rsidRPr="00961C7A">
        <w:rPr>
          <w:rFonts w:cs="Calibri"/>
          <w:sz w:val="24"/>
          <w:szCs w:val="24"/>
          <w:shd w:val="clear" w:color="auto" w:fill="FFFFFF"/>
        </w:rPr>
        <w:t>Athrofa</w:t>
      </w:r>
      <w:proofErr w:type="spellEnd"/>
      <w:r w:rsidRPr="00961C7A">
        <w:rPr>
          <w:rFonts w:cs="Calibri"/>
          <w:sz w:val="24"/>
          <w:szCs w:val="24"/>
          <w:shd w:val="clear" w:color="auto" w:fill="FFFFFF"/>
        </w:rPr>
        <w:t xml:space="preserve"> (2019). </w:t>
      </w:r>
      <w:r w:rsidRPr="00961C7A">
        <w:rPr>
          <w:rFonts w:cs="Calibri"/>
          <w:i/>
          <w:iCs/>
          <w:sz w:val="24"/>
          <w:szCs w:val="24"/>
        </w:rPr>
        <w:t>Professional Standards for Teaching and Leadership.</w:t>
      </w:r>
      <w:r w:rsidRPr="00961C7A">
        <w:rPr>
          <w:rFonts w:cs="Calibri"/>
          <w:sz w:val="24"/>
          <w:szCs w:val="24"/>
          <w:shd w:val="clear" w:color="auto" w:fill="FFFFFF"/>
        </w:rPr>
        <w:t xml:space="preserve"> Available: https://v3.pebblepad.co.uk/spa/#/file/kwhG4ZpZ8d3sxwyqss6mW6gGWy?historyId=t9rwH6kP9H. Last accessed 12th February </w:t>
      </w:r>
      <w:r w:rsidRPr="00961C7A">
        <w:rPr>
          <w:rFonts w:cs="Calibri"/>
          <w:color w:val="000000"/>
          <w:sz w:val="24"/>
          <w:szCs w:val="24"/>
          <w:shd w:val="clear" w:color="auto" w:fill="FFFFFF"/>
        </w:rPr>
        <w:t>2020.</w:t>
      </w:r>
    </w:p>
    <w:sectPr w:rsidR="005323B6" w:rsidRPr="00961C7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0115BF" w14:textId="77777777" w:rsidR="00000000" w:rsidRDefault="00FD491F">
      <w:pPr>
        <w:spacing w:after="0" w:line="240" w:lineRule="auto"/>
      </w:pPr>
      <w:r>
        <w:separator/>
      </w:r>
    </w:p>
  </w:endnote>
  <w:endnote w:type="continuationSeparator" w:id="0">
    <w:p w14:paraId="48471C00" w14:textId="77777777" w:rsidR="00000000" w:rsidRDefault="00FD4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3A463" w14:textId="77777777" w:rsidR="00000000" w:rsidRDefault="00FD491F">
      <w:pPr>
        <w:spacing w:after="0" w:line="240" w:lineRule="auto"/>
      </w:pPr>
      <w:r>
        <w:rPr>
          <w:color w:val="000000"/>
        </w:rPr>
        <w:separator/>
      </w:r>
    </w:p>
  </w:footnote>
  <w:footnote w:type="continuationSeparator" w:id="0">
    <w:p w14:paraId="27E17282" w14:textId="77777777" w:rsidR="00000000" w:rsidRDefault="00FD4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BC57B9"/>
    <w:multiLevelType w:val="multilevel"/>
    <w:tmpl w:val="304AF7A0"/>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A3BA7"/>
    <w:rsid w:val="001A186C"/>
    <w:rsid w:val="005323B6"/>
    <w:rsid w:val="005F7400"/>
    <w:rsid w:val="00752DF6"/>
    <w:rsid w:val="00961C7A"/>
    <w:rsid w:val="009D4EFD"/>
    <w:rsid w:val="00A47546"/>
    <w:rsid w:val="00AA3BA7"/>
    <w:rsid w:val="00B77D65"/>
    <w:rsid w:val="00BE366E"/>
    <w:rsid w:val="00D002FD"/>
    <w:rsid w:val="00E565AB"/>
    <w:rsid w:val="00FD4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6E345"/>
  <w15:docId w15:val="{2B7EDBC5-D2A0-4ECB-8488-80DD5B98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68265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xplorable.com/users/sarah" TargetMode="External"/><Relationship Id="rId3" Type="http://schemas.openxmlformats.org/officeDocument/2006/relationships/settings" Target="settings.xml"/><Relationship Id="rId7" Type="http://schemas.openxmlformats.org/officeDocument/2006/relationships/hyperlink" Target="https://explorable.com/users/sara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xplorable.com/zone-of-proximal-developmen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Harwood (1900806)</dc:creator>
  <dc:description/>
  <cp:lastModifiedBy>Amelia Harwood (1900806)</cp:lastModifiedBy>
  <cp:revision>2</cp:revision>
  <dcterms:created xsi:type="dcterms:W3CDTF">2020-02-13T16:41:00Z</dcterms:created>
  <dcterms:modified xsi:type="dcterms:W3CDTF">2020-02-13T16:41:00Z</dcterms:modified>
</cp:coreProperties>
</file>