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DDB52" w14:textId="77777777" w:rsidR="005E1618" w:rsidRDefault="005E1618" w:rsidP="005E1618">
      <w:pPr>
        <w:pStyle w:val="NormalWeb"/>
        <w:spacing w:before="0" w:beforeAutospacing="0" w:after="0" w:afterAutospacing="0"/>
        <w:ind w:left="-180" w:right="-334"/>
      </w:pPr>
      <w:r>
        <w:rPr>
          <w:noProof/>
        </w:rPr>
        <w:drawing>
          <wp:inline distT="0" distB="0" distL="0" distR="0" wp14:anchorId="62BAF7E6" wp14:editId="39C5123D">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4213AAD6" w14:textId="77777777" w:rsidR="005E1618" w:rsidRDefault="005E1618" w:rsidP="005E1618">
      <w:pPr>
        <w:pStyle w:val="NormalWeb"/>
        <w:spacing w:before="0" w:beforeAutospacing="0" w:after="0" w:afterAutospacing="0"/>
        <w:ind w:left="-180" w:right="-334"/>
      </w:pPr>
    </w:p>
    <w:p w14:paraId="078DA99D" w14:textId="77777777" w:rsidR="005E1618" w:rsidRDefault="005E1618" w:rsidP="005E1618">
      <w:pPr>
        <w:pStyle w:val="NormalWeb"/>
        <w:spacing w:before="0" w:beforeAutospacing="0" w:after="0" w:afterAutospacing="0"/>
        <w:ind w:left="-180" w:right="-334"/>
      </w:pPr>
    </w:p>
    <w:p w14:paraId="60B0A5A7" w14:textId="77777777" w:rsidR="005E1618" w:rsidRDefault="005E1618" w:rsidP="005E161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3CFEBA7" w14:textId="77777777" w:rsidR="005E1618" w:rsidRPr="00230F35" w:rsidRDefault="005E1618" w:rsidP="005E161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A906CC4" w14:textId="77777777" w:rsidR="005E1618" w:rsidRPr="00230F35" w:rsidRDefault="005E1618" w:rsidP="005E1618">
      <w:pPr>
        <w:rPr>
          <w:rFonts w:ascii="Arial" w:hAnsi="Arial" w:cs="Arial"/>
          <w:sz w:val="28"/>
          <w:szCs w:val="28"/>
          <w:lang w:val="cy-GB"/>
        </w:rPr>
      </w:pPr>
    </w:p>
    <w:p w14:paraId="61A961DC" w14:textId="77777777" w:rsidR="005E1618" w:rsidRDefault="005E1618" w:rsidP="005E1618">
      <w:pPr>
        <w:pStyle w:val="Heading3"/>
        <w:jc w:val="center"/>
        <w:rPr>
          <w:lang w:val="cy-GB"/>
        </w:rPr>
      </w:pPr>
      <w:r>
        <w:rPr>
          <w:lang w:val="cy-GB"/>
        </w:rPr>
        <w:t>THIS SHEET MUST BE THE FIRST PAGE OF THE ASSIGNMENT YOU ARE SUBMITTING  (DO NOT SEND AS A SEPARATE FILE)</w:t>
      </w:r>
    </w:p>
    <w:p w14:paraId="3A1C19C7" w14:textId="77777777" w:rsidR="005E1618" w:rsidRDefault="005E1618" w:rsidP="005E161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E1618" w:rsidRPr="00230F35" w14:paraId="51ADE8E8" w14:textId="77777777" w:rsidTr="00B467A6">
        <w:trPr>
          <w:trHeight w:val="614"/>
        </w:trPr>
        <w:tc>
          <w:tcPr>
            <w:tcW w:w="8856" w:type="dxa"/>
            <w:gridSpan w:val="5"/>
          </w:tcPr>
          <w:p w14:paraId="6315AD80" w14:textId="77777777" w:rsidR="005E1618" w:rsidRPr="00230F35" w:rsidRDefault="005E1618" w:rsidP="00B467A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5E1618" w:rsidRPr="00230F35" w14:paraId="60C83FFE" w14:textId="77777777" w:rsidTr="00B467A6">
        <w:trPr>
          <w:trHeight w:val="718"/>
        </w:trPr>
        <w:tc>
          <w:tcPr>
            <w:tcW w:w="8856" w:type="dxa"/>
            <w:gridSpan w:val="5"/>
          </w:tcPr>
          <w:p w14:paraId="17CCEB38" w14:textId="77777777" w:rsidR="005E1618" w:rsidRDefault="005E1618" w:rsidP="00B46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Kim </w:t>
            </w:r>
            <w:proofErr w:type="spellStart"/>
            <w:r>
              <w:rPr>
                <w:rFonts w:ascii="Arial" w:hAnsi="Arial" w:cs="Arial"/>
                <w:sz w:val="22"/>
                <w:szCs w:val="22"/>
              </w:rPr>
              <w:t>Harrer</w:t>
            </w:r>
            <w:proofErr w:type="spellEnd"/>
          </w:p>
          <w:p w14:paraId="2B687C24" w14:textId="77777777" w:rsidR="005E1618" w:rsidRPr="00230F35" w:rsidRDefault="005E1618" w:rsidP="00B467A6">
            <w:pPr>
              <w:pStyle w:val="NormalWeb"/>
              <w:spacing w:before="0" w:beforeAutospacing="0" w:after="0" w:afterAutospacing="0"/>
              <w:ind w:right="34"/>
              <w:rPr>
                <w:rFonts w:ascii="Arial" w:hAnsi="Arial" w:cs="Arial"/>
                <w:sz w:val="22"/>
                <w:szCs w:val="22"/>
              </w:rPr>
            </w:pPr>
          </w:p>
          <w:p w14:paraId="626F3EC7" w14:textId="77777777" w:rsidR="005E1618" w:rsidRPr="00230F35" w:rsidRDefault="005E1618" w:rsidP="00B46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1814398@student.uwtsd.ac.uk</w:t>
            </w:r>
          </w:p>
        </w:tc>
      </w:tr>
      <w:tr w:rsidR="005E1618" w:rsidRPr="00230F35" w14:paraId="1127427B" w14:textId="77777777" w:rsidTr="00B467A6">
        <w:trPr>
          <w:trHeight w:val="849"/>
        </w:trPr>
        <w:tc>
          <w:tcPr>
            <w:tcW w:w="4788" w:type="dxa"/>
          </w:tcPr>
          <w:p w14:paraId="7D4BDC18" w14:textId="4B26C400" w:rsidR="005E1618" w:rsidRPr="00230F35" w:rsidRDefault="005E1618" w:rsidP="00B46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HPCA7003</w:t>
            </w:r>
          </w:p>
          <w:p w14:paraId="62478957" w14:textId="77777777" w:rsidR="005E1618" w:rsidRPr="00230F35" w:rsidRDefault="005E1618" w:rsidP="00B467A6">
            <w:pPr>
              <w:pStyle w:val="NormalWeb"/>
              <w:spacing w:before="0" w:beforeAutospacing="0" w:after="0" w:afterAutospacing="0"/>
              <w:ind w:right="34"/>
              <w:rPr>
                <w:rFonts w:ascii="Arial" w:hAnsi="Arial" w:cs="Arial"/>
                <w:sz w:val="22"/>
                <w:szCs w:val="22"/>
              </w:rPr>
            </w:pPr>
          </w:p>
          <w:p w14:paraId="6D6CBBEC" w14:textId="0D00086C" w:rsidR="005E1618" w:rsidRDefault="005E1618" w:rsidP="00B46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History of Astrology</w:t>
            </w:r>
          </w:p>
          <w:p w14:paraId="7F724D75" w14:textId="77777777" w:rsidR="005E1618" w:rsidRDefault="005E1618" w:rsidP="00B467A6">
            <w:pPr>
              <w:pStyle w:val="NormalWeb"/>
              <w:spacing w:before="0" w:beforeAutospacing="0" w:after="0" w:afterAutospacing="0"/>
              <w:ind w:right="34"/>
              <w:rPr>
                <w:rFonts w:ascii="Arial" w:hAnsi="Arial" w:cs="Arial"/>
                <w:sz w:val="22"/>
                <w:szCs w:val="22"/>
              </w:rPr>
            </w:pPr>
          </w:p>
          <w:p w14:paraId="5F12841A" w14:textId="77777777" w:rsidR="005E1618" w:rsidRPr="00230F35" w:rsidRDefault="005E1618" w:rsidP="00B467A6">
            <w:pPr>
              <w:pStyle w:val="NormalWeb"/>
              <w:spacing w:before="0" w:beforeAutospacing="0" w:after="0" w:afterAutospacing="0"/>
              <w:ind w:right="34"/>
              <w:rPr>
                <w:rFonts w:ascii="Arial" w:hAnsi="Arial" w:cs="Arial"/>
                <w:sz w:val="22"/>
                <w:szCs w:val="22"/>
              </w:rPr>
            </w:pPr>
          </w:p>
        </w:tc>
        <w:tc>
          <w:tcPr>
            <w:tcW w:w="2266" w:type="dxa"/>
            <w:gridSpan w:val="3"/>
          </w:tcPr>
          <w:p w14:paraId="6462CA5C" w14:textId="77777777" w:rsidR="005E1618" w:rsidRPr="00230F35" w:rsidRDefault="005E1618" w:rsidP="00B46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1814398</w:t>
            </w:r>
          </w:p>
        </w:tc>
        <w:tc>
          <w:tcPr>
            <w:tcW w:w="1802" w:type="dxa"/>
          </w:tcPr>
          <w:p w14:paraId="3CFA215C" w14:textId="77777777" w:rsidR="005E1618" w:rsidRPr="00230F35" w:rsidRDefault="005E1618" w:rsidP="00B46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2DE9C83" w14:textId="77777777" w:rsidR="005E1618" w:rsidRPr="00230F35" w:rsidRDefault="005E1618" w:rsidP="00B467A6">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5E1618" w:rsidRPr="00230F35" w14:paraId="52889711" w14:textId="77777777" w:rsidTr="00B467A6">
        <w:trPr>
          <w:trHeight w:val="1139"/>
        </w:trPr>
        <w:tc>
          <w:tcPr>
            <w:tcW w:w="8856" w:type="dxa"/>
            <w:gridSpan w:val="5"/>
          </w:tcPr>
          <w:p w14:paraId="2A2E29F3" w14:textId="4927A1A4" w:rsidR="005E1618" w:rsidRPr="00230F35" w:rsidRDefault="005E1618" w:rsidP="00B46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Did medieval astrology (1100-1400) assume that the future was negotiable or fixed?</w:t>
            </w:r>
          </w:p>
          <w:p w14:paraId="480C0AC5" w14:textId="77777777" w:rsidR="005E1618" w:rsidRPr="00230F35" w:rsidRDefault="005E1618" w:rsidP="00B467A6">
            <w:pPr>
              <w:pStyle w:val="NormalWeb"/>
              <w:spacing w:before="0" w:beforeAutospacing="0" w:after="0" w:afterAutospacing="0"/>
              <w:ind w:right="34"/>
              <w:rPr>
                <w:rFonts w:ascii="Arial" w:hAnsi="Arial" w:cs="Arial"/>
                <w:sz w:val="22"/>
                <w:szCs w:val="22"/>
              </w:rPr>
            </w:pPr>
          </w:p>
          <w:p w14:paraId="110609F3" w14:textId="77777777" w:rsidR="005E1618" w:rsidRDefault="005E1618" w:rsidP="00B467A6">
            <w:pPr>
              <w:pStyle w:val="NormalWeb"/>
              <w:spacing w:before="0" w:beforeAutospacing="0" w:after="0" w:afterAutospacing="0"/>
              <w:ind w:right="34"/>
              <w:rPr>
                <w:rFonts w:ascii="Arial" w:hAnsi="Arial" w:cs="Arial"/>
                <w:sz w:val="22"/>
                <w:szCs w:val="22"/>
              </w:rPr>
            </w:pPr>
          </w:p>
          <w:p w14:paraId="2FB875B6" w14:textId="25AB396E" w:rsidR="005E1618" w:rsidRPr="00230F35" w:rsidRDefault="005E1618" w:rsidP="00B46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F26BFB">
              <w:rPr>
                <w:rFonts w:ascii="Arial" w:hAnsi="Arial" w:cs="Arial"/>
                <w:sz w:val="22"/>
                <w:szCs w:val="22"/>
              </w:rPr>
              <w:t>20</w:t>
            </w:r>
            <w:r>
              <w:rPr>
                <w:rFonts w:ascii="Arial" w:hAnsi="Arial" w:cs="Arial"/>
                <w:sz w:val="22"/>
                <w:szCs w:val="22"/>
              </w:rPr>
              <w:t>/</w:t>
            </w:r>
            <w:r w:rsidR="00F26BFB">
              <w:rPr>
                <w:rFonts w:ascii="Arial" w:hAnsi="Arial" w:cs="Arial"/>
                <w:sz w:val="22"/>
                <w:szCs w:val="22"/>
              </w:rPr>
              <w:t>04</w:t>
            </w:r>
            <w:r>
              <w:rPr>
                <w:rFonts w:ascii="Arial" w:hAnsi="Arial" w:cs="Arial"/>
                <w:sz w:val="22"/>
                <w:szCs w:val="22"/>
              </w:rPr>
              <w:t>/20</w:t>
            </w:r>
            <w:r w:rsidR="00F26BFB">
              <w:rPr>
                <w:rFonts w:ascii="Arial" w:hAnsi="Arial" w:cs="Arial"/>
                <w:sz w:val="22"/>
                <w:szCs w:val="22"/>
              </w:rPr>
              <w:t>20</w:t>
            </w:r>
          </w:p>
        </w:tc>
      </w:tr>
      <w:tr w:rsidR="005E1618" w:rsidRPr="00230F35" w14:paraId="056C34AC" w14:textId="77777777" w:rsidTr="00B467A6">
        <w:trPr>
          <w:trHeight w:val="978"/>
        </w:trPr>
        <w:tc>
          <w:tcPr>
            <w:tcW w:w="8856" w:type="dxa"/>
            <w:gridSpan w:val="5"/>
            <w:tcBorders>
              <w:bottom w:val="single" w:sz="4" w:space="0" w:color="000000"/>
            </w:tcBorders>
          </w:tcPr>
          <w:p w14:paraId="5D1839BF" w14:textId="1EFC663D" w:rsidR="005E1618" w:rsidRPr="00230F35" w:rsidRDefault="005E1618" w:rsidP="00B467A6">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Pr>
                <w:rFonts w:ascii="Arial" w:hAnsi="Arial" w:cs="Arial"/>
              </w:rPr>
              <w:fldChar w:fldCharType="begin">
                <w:ffData>
                  <w:name w:val="Check14"/>
                  <w:enabled/>
                  <w:calcOnExit w:val="0"/>
                  <w:checkBox>
                    <w:sizeAuto/>
                    <w:default w:val="1"/>
                  </w:checkBox>
                </w:ffData>
              </w:fldChar>
            </w:r>
            <w:bookmarkStart w:id="0" w:name="Check14"/>
            <w:r>
              <w:rPr>
                <w:rFonts w:ascii="Arial" w:hAnsi="Arial" w:cs="Arial"/>
              </w:rPr>
              <w:instrText xml:space="preserve"> FORMCHECKBOX </w:instrText>
            </w:r>
            <w:r>
              <w:rPr>
                <w:rFonts w:ascii="Arial" w:hAnsi="Arial" w:cs="Arial"/>
              </w:rPr>
            </w:r>
            <w:r>
              <w:rPr>
                <w:rFonts w:ascii="Arial" w:hAnsi="Arial" w:cs="Arial"/>
              </w:rPr>
              <w:fldChar w:fldCharType="end"/>
            </w:r>
            <w:bookmarkEnd w:id="0"/>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1" w:name="Check15"/>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4"/>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5E1618" w:rsidRPr="00230F35" w14:paraId="2E0D3932" w14:textId="77777777" w:rsidTr="00B467A6">
        <w:trPr>
          <w:trHeight w:val="978"/>
        </w:trPr>
        <w:tc>
          <w:tcPr>
            <w:tcW w:w="8856" w:type="dxa"/>
            <w:gridSpan w:val="5"/>
            <w:shd w:val="clear" w:color="auto" w:fill="D9D9D9"/>
          </w:tcPr>
          <w:p w14:paraId="232D6D9F" w14:textId="77777777" w:rsidR="005E1618" w:rsidRPr="00230F35" w:rsidRDefault="005E1618" w:rsidP="00B46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0D33D03" w14:textId="77777777" w:rsidR="005E1618" w:rsidRDefault="005E1618" w:rsidP="00B467A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w:t>
            </w:r>
          </w:p>
          <w:p w14:paraId="62D8642B" w14:textId="77777777" w:rsidR="005E1618" w:rsidRDefault="005E1618" w:rsidP="00B467A6">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Kimberley M. </w:t>
            </w:r>
            <w:proofErr w:type="spellStart"/>
            <w:r>
              <w:rPr>
                <w:rFonts w:ascii="Arial" w:hAnsi="Arial" w:cs="Arial"/>
                <w:sz w:val="22"/>
                <w:szCs w:val="22"/>
              </w:rPr>
              <w:t>Harrer</w:t>
            </w:r>
            <w:proofErr w:type="spellEnd"/>
          </w:p>
          <w:p w14:paraId="2287BBC9" w14:textId="77777777" w:rsidR="005E1618" w:rsidRDefault="005E1618" w:rsidP="00B467A6">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4C3BD2A7" w14:textId="77777777" w:rsidR="005E1618" w:rsidRPr="00230F35" w:rsidRDefault="005E1618" w:rsidP="00B467A6">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E1618" w:rsidRPr="00230F35" w14:paraId="278E3CAB" w14:textId="77777777" w:rsidTr="00B467A6">
        <w:trPr>
          <w:trHeight w:val="3972"/>
        </w:trPr>
        <w:tc>
          <w:tcPr>
            <w:tcW w:w="8856" w:type="dxa"/>
            <w:gridSpan w:val="5"/>
          </w:tcPr>
          <w:p w14:paraId="4C57F58D" w14:textId="77777777" w:rsidR="005E1618" w:rsidRDefault="005E1618" w:rsidP="00B467A6">
            <w:pPr>
              <w:rPr>
                <w:rFonts w:ascii="Arial" w:hAnsi="Arial"/>
                <w:b/>
              </w:rPr>
            </w:pPr>
          </w:p>
          <w:p w14:paraId="6573F983" w14:textId="77777777" w:rsidR="005E1618" w:rsidRPr="00116CE6" w:rsidRDefault="005E1618" w:rsidP="00B467A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E1618" w:rsidRPr="00116CE6" w14:paraId="4712ED37" w14:textId="77777777" w:rsidTr="00B467A6">
              <w:tc>
                <w:tcPr>
                  <w:tcW w:w="6970" w:type="dxa"/>
                </w:tcPr>
                <w:p w14:paraId="2D3807E2" w14:textId="77777777" w:rsidR="005E1618" w:rsidRPr="00116CE6" w:rsidRDefault="005E1618" w:rsidP="00B467A6">
                  <w:pPr>
                    <w:rPr>
                      <w:rFonts w:ascii="Arial" w:hAnsi="Arial"/>
                      <w:sz w:val="20"/>
                      <w:szCs w:val="20"/>
                    </w:rPr>
                  </w:pPr>
                </w:p>
                <w:p w14:paraId="59933527" w14:textId="77777777" w:rsidR="005E1618" w:rsidRPr="00116CE6" w:rsidRDefault="005E1618" w:rsidP="00B467A6">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F6B0104" w14:textId="77777777" w:rsidR="005E1618" w:rsidRPr="00116CE6" w:rsidRDefault="005E1618" w:rsidP="00B467A6">
                  <w:pPr>
                    <w:rPr>
                      <w:rFonts w:ascii="Arial" w:hAnsi="Arial"/>
                      <w:sz w:val="20"/>
                      <w:szCs w:val="20"/>
                    </w:rPr>
                  </w:pPr>
                </w:p>
              </w:tc>
            </w:tr>
            <w:tr w:rsidR="005E1618" w:rsidRPr="00116CE6" w14:paraId="712F9590" w14:textId="77777777" w:rsidTr="00B467A6">
              <w:tc>
                <w:tcPr>
                  <w:tcW w:w="6970" w:type="dxa"/>
                </w:tcPr>
                <w:p w14:paraId="3C232D13" w14:textId="77777777" w:rsidR="005E1618" w:rsidRPr="00116CE6" w:rsidRDefault="005E1618" w:rsidP="00B467A6">
                  <w:pPr>
                    <w:rPr>
                      <w:rFonts w:ascii="Arial" w:hAnsi="Arial"/>
                      <w:sz w:val="20"/>
                      <w:szCs w:val="20"/>
                    </w:rPr>
                  </w:pPr>
                </w:p>
                <w:p w14:paraId="2C85006E" w14:textId="77777777" w:rsidR="005E1618" w:rsidRPr="00116CE6" w:rsidRDefault="005E1618" w:rsidP="00B467A6">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56E3D3A" w14:textId="77777777" w:rsidR="005E1618" w:rsidRPr="00116CE6" w:rsidRDefault="005E1618" w:rsidP="00B467A6">
                  <w:pPr>
                    <w:rPr>
                      <w:rFonts w:ascii="Arial" w:hAnsi="Arial"/>
                      <w:sz w:val="20"/>
                      <w:szCs w:val="20"/>
                    </w:rPr>
                  </w:pPr>
                </w:p>
              </w:tc>
            </w:tr>
            <w:tr w:rsidR="005E1618" w:rsidRPr="00116CE6" w14:paraId="751AA05D" w14:textId="77777777" w:rsidTr="00B467A6">
              <w:tc>
                <w:tcPr>
                  <w:tcW w:w="6970" w:type="dxa"/>
                </w:tcPr>
                <w:p w14:paraId="498997B1" w14:textId="77777777" w:rsidR="005E1618" w:rsidRPr="00116CE6" w:rsidRDefault="005E1618" w:rsidP="00B467A6">
                  <w:pPr>
                    <w:rPr>
                      <w:rFonts w:ascii="Arial" w:hAnsi="Arial"/>
                      <w:sz w:val="20"/>
                      <w:szCs w:val="20"/>
                    </w:rPr>
                  </w:pPr>
                </w:p>
                <w:p w14:paraId="3E8D4E2C" w14:textId="77777777" w:rsidR="005E1618" w:rsidRPr="00116CE6" w:rsidRDefault="005E1618" w:rsidP="00B467A6">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DFCC4E7" w14:textId="77777777" w:rsidR="005E1618" w:rsidRPr="00116CE6" w:rsidRDefault="005E1618" w:rsidP="00B467A6">
                  <w:pPr>
                    <w:rPr>
                      <w:rFonts w:ascii="Arial" w:hAnsi="Arial"/>
                      <w:sz w:val="20"/>
                      <w:szCs w:val="20"/>
                    </w:rPr>
                  </w:pPr>
                </w:p>
              </w:tc>
            </w:tr>
            <w:tr w:rsidR="005E1618" w:rsidRPr="00116CE6" w14:paraId="66F215F9" w14:textId="77777777" w:rsidTr="00B467A6">
              <w:tc>
                <w:tcPr>
                  <w:tcW w:w="6970" w:type="dxa"/>
                </w:tcPr>
                <w:p w14:paraId="198716CF" w14:textId="77777777" w:rsidR="005E1618" w:rsidRDefault="005E1618" w:rsidP="00B467A6">
                  <w:pPr>
                    <w:rPr>
                      <w:rFonts w:ascii="Arial" w:hAnsi="Arial"/>
                      <w:sz w:val="20"/>
                      <w:szCs w:val="20"/>
                    </w:rPr>
                  </w:pPr>
                </w:p>
                <w:p w14:paraId="6E82C2F6" w14:textId="77777777" w:rsidR="005E1618" w:rsidRPr="00022345" w:rsidRDefault="005E1618" w:rsidP="00B467A6">
                  <w:pPr>
                    <w:rPr>
                      <w:rFonts w:ascii="Arial" w:hAnsi="Arial"/>
                      <w:b/>
                      <w:sz w:val="20"/>
                      <w:szCs w:val="20"/>
                    </w:rPr>
                  </w:pPr>
                  <w:r w:rsidRPr="00022345">
                    <w:rPr>
                      <w:rFonts w:ascii="Arial" w:hAnsi="Arial"/>
                      <w:b/>
                      <w:sz w:val="20"/>
                      <w:szCs w:val="20"/>
                    </w:rPr>
                    <w:t>Final Mark</w:t>
                  </w:r>
                </w:p>
                <w:p w14:paraId="297E4750" w14:textId="77777777" w:rsidR="005E1618" w:rsidRPr="00116CE6" w:rsidRDefault="005E1618" w:rsidP="00B467A6">
                  <w:pPr>
                    <w:rPr>
                      <w:rFonts w:ascii="Arial" w:hAnsi="Arial"/>
                      <w:sz w:val="20"/>
                      <w:szCs w:val="20"/>
                    </w:rPr>
                  </w:pPr>
                </w:p>
              </w:tc>
              <w:tc>
                <w:tcPr>
                  <w:tcW w:w="1660" w:type="dxa"/>
                </w:tcPr>
                <w:p w14:paraId="6C8289EC" w14:textId="77777777" w:rsidR="005E1618" w:rsidRPr="00116CE6" w:rsidRDefault="005E1618" w:rsidP="00B467A6">
                  <w:pPr>
                    <w:rPr>
                      <w:rFonts w:ascii="Arial" w:hAnsi="Arial"/>
                      <w:sz w:val="20"/>
                      <w:szCs w:val="20"/>
                    </w:rPr>
                  </w:pPr>
                </w:p>
              </w:tc>
            </w:tr>
          </w:tbl>
          <w:p w14:paraId="7041D961" w14:textId="77777777" w:rsidR="005E1618" w:rsidRDefault="005E1618" w:rsidP="00B467A6">
            <w:pPr>
              <w:pStyle w:val="NormalWeb"/>
              <w:spacing w:before="0" w:beforeAutospacing="0" w:after="0" w:afterAutospacing="0"/>
              <w:ind w:left="142" w:right="34"/>
              <w:rPr>
                <w:rFonts w:ascii="Arial" w:hAnsi="Arial" w:cs="Arial"/>
                <w:b/>
                <w:sz w:val="22"/>
                <w:szCs w:val="22"/>
              </w:rPr>
            </w:pPr>
          </w:p>
          <w:p w14:paraId="293D5BF8" w14:textId="77777777" w:rsidR="005E1618" w:rsidRPr="00230F35" w:rsidRDefault="005E1618" w:rsidP="00B467A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1FE0B24" w14:textId="77777777" w:rsidR="005E1618" w:rsidRDefault="005E1618" w:rsidP="00B467A6">
            <w:pPr>
              <w:pStyle w:val="NormalWeb"/>
              <w:spacing w:before="0" w:beforeAutospacing="0" w:after="0" w:afterAutospacing="0"/>
              <w:rPr>
                <w:rFonts w:ascii="Arial" w:hAnsi="Arial" w:cs="Arial"/>
                <w:b/>
                <w:sz w:val="22"/>
                <w:szCs w:val="22"/>
              </w:rPr>
            </w:pPr>
          </w:p>
          <w:p w14:paraId="79FE39F1" w14:textId="77777777" w:rsidR="005E1618" w:rsidRDefault="005E1618" w:rsidP="00B467A6">
            <w:pPr>
              <w:pStyle w:val="NormalWeb"/>
              <w:spacing w:before="0" w:beforeAutospacing="0" w:after="0" w:afterAutospacing="0"/>
              <w:rPr>
                <w:rFonts w:ascii="Arial" w:hAnsi="Arial" w:cs="Arial"/>
                <w:b/>
                <w:sz w:val="22"/>
                <w:szCs w:val="22"/>
              </w:rPr>
            </w:pPr>
          </w:p>
          <w:p w14:paraId="2901D8E6" w14:textId="77777777" w:rsidR="005E1618" w:rsidRDefault="005E1618" w:rsidP="00B467A6">
            <w:pPr>
              <w:pStyle w:val="NormalWeb"/>
              <w:spacing w:before="0" w:beforeAutospacing="0" w:after="0" w:afterAutospacing="0"/>
              <w:rPr>
                <w:rFonts w:ascii="Arial" w:hAnsi="Arial" w:cs="Arial"/>
                <w:b/>
                <w:sz w:val="22"/>
                <w:szCs w:val="22"/>
              </w:rPr>
            </w:pPr>
          </w:p>
          <w:p w14:paraId="46EABD41" w14:textId="77777777" w:rsidR="005E1618" w:rsidRDefault="005E1618" w:rsidP="00B467A6">
            <w:pPr>
              <w:pStyle w:val="NormalWeb"/>
              <w:spacing w:before="0" w:beforeAutospacing="0" w:after="0" w:afterAutospacing="0"/>
              <w:rPr>
                <w:rFonts w:ascii="Arial" w:hAnsi="Arial" w:cs="Arial"/>
                <w:b/>
                <w:sz w:val="22"/>
                <w:szCs w:val="22"/>
              </w:rPr>
            </w:pPr>
          </w:p>
          <w:p w14:paraId="366B4E51" w14:textId="77777777" w:rsidR="005E1618" w:rsidRDefault="005E1618" w:rsidP="00B467A6">
            <w:pPr>
              <w:pStyle w:val="NormalWeb"/>
              <w:spacing w:before="0" w:beforeAutospacing="0" w:after="0" w:afterAutospacing="0"/>
              <w:rPr>
                <w:rFonts w:ascii="Arial" w:hAnsi="Arial" w:cs="Arial"/>
                <w:b/>
                <w:sz w:val="22"/>
                <w:szCs w:val="22"/>
              </w:rPr>
            </w:pPr>
          </w:p>
          <w:p w14:paraId="4DA83BE3" w14:textId="77777777" w:rsidR="005E1618" w:rsidRPr="00230F35" w:rsidRDefault="005E1618" w:rsidP="00B467A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A0E51B9" w14:textId="77777777" w:rsidR="005E1618" w:rsidRDefault="005E1618" w:rsidP="00B467A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2621361" w14:textId="77777777" w:rsidR="005E1618" w:rsidRPr="00001C3B" w:rsidRDefault="005E1618" w:rsidP="00B467A6">
            <w:pPr>
              <w:pStyle w:val="NormalWeb"/>
              <w:rPr>
                <w:rFonts w:ascii="Arial" w:hAnsi="Arial" w:cs="Arial"/>
                <w:sz w:val="22"/>
                <w:szCs w:val="22"/>
              </w:rPr>
            </w:pPr>
          </w:p>
        </w:tc>
      </w:tr>
      <w:tr w:rsidR="005E1618" w:rsidRPr="00230F35" w14:paraId="75F439B1" w14:textId="77777777" w:rsidTr="00B467A6">
        <w:trPr>
          <w:trHeight w:val="492"/>
        </w:trPr>
        <w:tc>
          <w:tcPr>
            <w:tcW w:w="6768" w:type="dxa"/>
            <w:gridSpan w:val="3"/>
          </w:tcPr>
          <w:p w14:paraId="16BA2A17" w14:textId="77777777" w:rsidR="005E1618" w:rsidRPr="00230F35" w:rsidRDefault="005E1618" w:rsidP="00B467A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EED7025" w14:textId="77777777" w:rsidR="005E1618" w:rsidRPr="00230F35" w:rsidRDefault="005E1618" w:rsidP="00B467A6">
            <w:pPr>
              <w:pStyle w:val="NormalWeb"/>
              <w:spacing w:after="0"/>
              <w:ind w:left="142" w:right="34"/>
              <w:rPr>
                <w:rFonts w:ascii="Arial" w:hAnsi="Arial" w:cs="Arial"/>
                <w:sz w:val="22"/>
                <w:szCs w:val="22"/>
              </w:rPr>
            </w:pPr>
            <w:r w:rsidRPr="00230F35">
              <w:rPr>
                <w:rFonts w:ascii="Arial" w:hAnsi="Arial" w:cs="Arial"/>
                <w:sz w:val="22"/>
                <w:szCs w:val="22"/>
              </w:rPr>
              <w:t>Date:</w:t>
            </w:r>
          </w:p>
        </w:tc>
      </w:tr>
      <w:tr w:rsidR="005E1618" w:rsidRPr="002F467C" w14:paraId="3925B7DC" w14:textId="77777777" w:rsidTr="00B467A6">
        <w:tc>
          <w:tcPr>
            <w:tcW w:w="8856" w:type="dxa"/>
            <w:gridSpan w:val="5"/>
          </w:tcPr>
          <w:p w14:paraId="35563E0D" w14:textId="77777777" w:rsidR="005E1618" w:rsidRPr="00230F35" w:rsidRDefault="005E1618" w:rsidP="00B467A6">
            <w:pPr>
              <w:pStyle w:val="NormalWeb"/>
              <w:spacing w:before="0" w:beforeAutospacing="0" w:after="0" w:afterAutospacing="0"/>
              <w:ind w:right="-334"/>
              <w:rPr>
                <w:rFonts w:ascii="Arial" w:hAnsi="Arial" w:cs="Arial"/>
                <w:bCs/>
                <w:i/>
                <w:sz w:val="22"/>
                <w:szCs w:val="22"/>
              </w:rPr>
            </w:pPr>
          </w:p>
          <w:p w14:paraId="48975136" w14:textId="77777777" w:rsidR="005E1618" w:rsidRPr="00230F35" w:rsidRDefault="005E1618" w:rsidP="00B467A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013724F" w14:textId="77777777" w:rsidR="005E1618" w:rsidRPr="00230F35" w:rsidRDefault="005E1618" w:rsidP="00B467A6">
            <w:pPr>
              <w:pStyle w:val="NormalWeb"/>
              <w:spacing w:before="0" w:beforeAutospacing="0" w:after="0" w:afterAutospacing="0"/>
              <w:ind w:right="-334"/>
              <w:rPr>
                <w:rFonts w:ascii="Arial" w:hAnsi="Arial" w:cs="Arial"/>
                <w:b/>
                <w:bCs/>
                <w:sz w:val="22"/>
                <w:szCs w:val="22"/>
              </w:rPr>
            </w:pPr>
          </w:p>
          <w:p w14:paraId="35153DE8"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AF4B4D7"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68CA617D"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370AD9E5"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3655E5BB"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185B11F9"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78CD4B87"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76D78495"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450642C9"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1C3D0033" w14:textId="77777777" w:rsidR="005E1618" w:rsidRDefault="005E1618" w:rsidP="00B467A6">
            <w:pPr>
              <w:pStyle w:val="NormalWeb"/>
              <w:spacing w:before="0" w:beforeAutospacing="0" w:after="0" w:afterAutospacing="0"/>
              <w:ind w:right="-334"/>
              <w:rPr>
                <w:rFonts w:ascii="Arial" w:hAnsi="Arial" w:cs="Arial"/>
                <w:bCs/>
                <w:sz w:val="22"/>
                <w:szCs w:val="22"/>
              </w:rPr>
            </w:pPr>
          </w:p>
          <w:p w14:paraId="6B3D5C92"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2C154826"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477D9E10"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tc>
      </w:tr>
      <w:tr w:rsidR="005E1618" w:rsidRPr="002F467C" w14:paraId="5B691122" w14:textId="77777777" w:rsidTr="00B467A6">
        <w:trPr>
          <w:trHeight w:val="720"/>
        </w:trPr>
        <w:tc>
          <w:tcPr>
            <w:tcW w:w="5211" w:type="dxa"/>
            <w:gridSpan w:val="2"/>
          </w:tcPr>
          <w:p w14:paraId="770B49E9"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071F6B6E"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5E1618" w:rsidRPr="002F467C" w14:paraId="57CDB9F7" w14:textId="77777777" w:rsidTr="00B467A6">
        <w:trPr>
          <w:trHeight w:val="720"/>
        </w:trPr>
        <w:tc>
          <w:tcPr>
            <w:tcW w:w="8856" w:type="dxa"/>
            <w:gridSpan w:val="5"/>
          </w:tcPr>
          <w:p w14:paraId="68C32BB4" w14:textId="77777777" w:rsidR="005E1618" w:rsidRPr="00B34964" w:rsidRDefault="005E1618" w:rsidP="00B467A6">
            <w:pPr>
              <w:rPr>
                <w:rFonts w:ascii="Arial" w:hAnsi="Arial" w:cs="Arial"/>
                <w:b/>
              </w:rPr>
            </w:pPr>
            <w:r w:rsidRPr="00B34964">
              <w:rPr>
                <w:rFonts w:ascii="Arial" w:hAnsi="Arial" w:cs="Arial"/>
                <w:b/>
              </w:rPr>
              <w:t>External Examiner’s comments (if relevant)</w:t>
            </w:r>
          </w:p>
          <w:p w14:paraId="227076E1"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4F8D4B16"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7A86716A"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12B9FB54"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03EB76E6"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7B3CFD90"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6DD87D5D"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254E42F6"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466B99AE" w14:textId="77777777" w:rsidR="005E1618" w:rsidRDefault="005E1618" w:rsidP="00B467A6">
            <w:pPr>
              <w:pStyle w:val="NormalWeb"/>
              <w:spacing w:before="0" w:beforeAutospacing="0" w:after="0" w:afterAutospacing="0"/>
              <w:ind w:right="-334"/>
              <w:rPr>
                <w:rFonts w:ascii="Arial" w:hAnsi="Arial" w:cs="Arial"/>
                <w:bCs/>
                <w:sz w:val="22"/>
                <w:szCs w:val="22"/>
              </w:rPr>
            </w:pPr>
          </w:p>
          <w:p w14:paraId="28F37889"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p w14:paraId="1F63EED2" w14:textId="77777777" w:rsidR="005E1618" w:rsidRPr="00230F35" w:rsidRDefault="005E1618" w:rsidP="00B467A6">
            <w:pPr>
              <w:pStyle w:val="NormalWeb"/>
              <w:spacing w:before="0" w:beforeAutospacing="0" w:after="0" w:afterAutospacing="0"/>
              <w:ind w:right="-334"/>
              <w:rPr>
                <w:rFonts w:ascii="Arial" w:hAnsi="Arial" w:cs="Arial"/>
                <w:bCs/>
                <w:sz w:val="22"/>
                <w:szCs w:val="22"/>
              </w:rPr>
            </w:pPr>
          </w:p>
        </w:tc>
      </w:tr>
      <w:tr w:rsidR="005E1618" w:rsidRPr="002F467C" w14:paraId="6167B5EC" w14:textId="77777777" w:rsidTr="00B467A6">
        <w:trPr>
          <w:trHeight w:val="720"/>
        </w:trPr>
        <w:tc>
          <w:tcPr>
            <w:tcW w:w="5211" w:type="dxa"/>
            <w:gridSpan w:val="2"/>
          </w:tcPr>
          <w:p w14:paraId="0A64241B" w14:textId="77777777" w:rsidR="005E1618" w:rsidRPr="00230F35" w:rsidRDefault="005E1618" w:rsidP="00B467A6">
            <w:pPr>
              <w:rPr>
                <w:rFonts w:ascii="Arial" w:hAnsi="Arial" w:cs="Arial"/>
              </w:rPr>
            </w:pPr>
            <w:r w:rsidRPr="00230F35">
              <w:rPr>
                <w:rFonts w:ascii="Arial" w:hAnsi="Arial" w:cs="Arial"/>
              </w:rPr>
              <w:t>External Examiner’s Signature:</w:t>
            </w:r>
          </w:p>
        </w:tc>
        <w:tc>
          <w:tcPr>
            <w:tcW w:w="3645" w:type="dxa"/>
            <w:gridSpan w:val="3"/>
          </w:tcPr>
          <w:p w14:paraId="3EC9DE73" w14:textId="77777777" w:rsidR="005E1618" w:rsidRPr="00230F35" w:rsidRDefault="005E1618" w:rsidP="00B467A6">
            <w:pPr>
              <w:rPr>
                <w:rFonts w:ascii="Arial" w:hAnsi="Arial" w:cs="Arial"/>
              </w:rPr>
            </w:pPr>
            <w:r w:rsidRPr="00230F35">
              <w:rPr>
                <w:rFonts w:ascii="Arial" w:hAnsi="Arial" w:cs="Arial"/>
              </w:rPr>
              <w:t>Date:</w:t>
            </w:r>
          </w:p>
        </w:tc>
      </w:tr>
    </w:tbl>
    <w:p w14:paraId="381B271C" w14:textId="28527CB2" w:rsidR="00300CB1" w:rsidRDefault="00300CB1"/>
    <w:p w14:paraId="7F8674D4" w14:textId="643CE3BF" w:rsidR="0023428A" w:rsidRPr="0023428A" w:rsidRDefault="0023428A" w:rsidP="0023428A"/>
    <w:p w14:paraId="0EFA049C" w14:textId="288F8F91" w:rsidR="0023428A" w:rsidRPr="0023428A" w:rsidRDefault="0023428A" w:rsidP="0023428A"/>
    <w:p w14:paraId="26837EAD" w14:textId="1D9F73E3" w:rsidR="0023428A" w:rsidRPr="0023428A" w:rsidRDefault="0023428A" w:rsidP="0023428A"/>
    <w:p w14:paraId="092D986B" w14:textId="353D0941" w:rsidR="0023428A" w:rsidRPr="0023428A" w:rsidRDefault="0023428A" w:rsidP="0023428A"/>
    <w:p w14:paraId="0198C7ED" w14:textId="5D3A833F" w:rsidR="0023428A" w:rsidRPr="0023428A" w:rsidRDefault="0023428A" w:rsidP="0023428A"/>
    <w:p w14:paraId="28C9F1EA" w14:textId="66525DC5" w:rsidR="0023428A" w:rsidRPr="0023428A" w:rsidRDefault="0023428A" w:rsidP="0023428A"/>
    <w:p w14:paraId="00E43E83" w14:textId="4F3EE94D" w:rsidR="0023428A" w:rsidRPr="0023428A" w:rsidRDefault="0023428A" w:rsidP="0023428A"/>
    <w:p w14:paraId="3B891447" w14:textId="14DBBCEA" w:rsidR="0023428A" w:rsidRPr="0023428A" w:rsidRDefault="0023428A" w:rsidP="0023428A"/>
    <w:p w14:paraId="4CEB1DAC" w14:textId="72DE1FF4" w:rsidR="0023428A" w:rsidRPr="0023428A" w:rsidRDefault="0023428A" w:rsidP="0023428A"/>
    <w:p w14:paraId="4E7CD6FD" w14:textId="265091C9" w:rsidR="0023428A" w:rsidRPr="0023428A" w:rsidRDefault="0023428A" w:rsidP="0023428A"/>
    <w:p w14:paraId="7BF598BE" w14:textId="17F1B13B" w:rsidR="0023428A" w:rsidRPr="0023428A" w:rsidRDefault="0023428A" w:rsidP="0023428A"/>
    <w:p w14:paraId="2E28CFD2" w14:textId="6EB96548" w:rsidR="0023428A" w:rsidRDefault="0023428A" w:rsidP="0023428A"/>
    <w:p w14:paraId="596F6B9F" w14:textId="3C5356F1" w:rsidR="0023428A" w:rsidRDefault="0023428A" w:rsidP="0023428A">
      <w:pPr>
        <w:tabs>
          <w:tab w:val="left" w:pos="2700"/>
        </w:tabs>
      </w:pPr>
      <w:r>
        <w:tab/>
      </w:r>
    </w:p>
    <w:p w14:paraId="643B23B4" w14:textId="4BD5AD85" w:rsidR="0023428A" w:rsidRDefault="0023428A" w:rsidP="0023428A">
      <w:pPr>
        <w:tabs>
          <w:tab w:val="left" w:pos="2700"/>
        </w:tabs>
      </w:pPr>
    </w:p>
    <w:p w14:paraId="5F6EAE31" w14:textId="341D76B4" w:rsidR="0023428A" w:rsidRDefault="0023428A" w:rsidP="0023428A">
      <w:pPr>
        <w:tabs>
          <w:tab w:val="left" w:pos="2700"/>
        </w:tabs>
      </w:pPr>
    </w:p>
    <w:p w14:paraId="695F9641" w14:textId="131424AA" w:rsidR="0023428A" w:rsidRDefault="0023428A" w:rsidP="0023428A">
      <w:pPr>
        <w:tabs>
          <w:tab w:val="left" w:pos="2700"/>
        </w:tabs>
      </w:pPr>
    </w:p>
    <w:p w14:paraId="06CF5A90" w14:textId="5BD200C1" w:rsidR="0023428A" w:rsidRDefault="0023428A" w:rsidP="0023428A">
      <w:pPr>
        <w:tabs>
          <w:tab w:val="left" w:pos="2700"/>
        </w:tabs>
      </w:pPr>
    </w:p>
    <w:p w14:paraId="0334008B" w14:textId="77777777" w:rsidR="00A419B6" w:rsidRDefault="00A419B6" w:rsidP="00C331F0">
      <w:pPr>
        <w:tabs>
          <w:tab w:val="left" w:pos="2700"/>
        </w:tabs>
        <w:jc w:val="center"/>
        <w:sectPr w:rsidR="00A419B6">
          <w:pgSz w:w="12240" w:h="15840"/>
          <w:pgMar w:top="1440" w:right="1440" w:bottom="1440" w:left="1440" w:header="720" w:footer="720" w:gutter="0"/>
          <w:cols w:space="720"/>
          <w:docGrid w:linePitch="360"/>
        </w:sectPr>
      </w:pPr>
    </w:p>
    <w:p w14:paraId="38A40F67" w14:textId="7ACF7121" w:rsidR="0023428A" w:rsidRDefault="00C331F0" w:rsidP="00C331F0">
      <w:pPr>
        <w:tabs>
          <w:tab w:val="left" w:pos="2700"/>
        </w:tabs>
        <w:jc w:val="center"/>
      </w:pPr>
      <w:r>
        <w:lastRenderedPageBreak/>
        <w:t>Did medieval astrology (1100-1400) assume that the future was negotiable or fixed?</w:t>
      </w:r>
    </w:p>
    <w:p w14:paraId="5AE545BD" w14:textId="65815A37" w:rsidR="00C331F0" w:rsidRPr="000571C9" w:rsidRDefault="00C331F0" w:rsidP="00C331F0">
      <w:pPr>
        <w:tabs>
          <w:tab w:val="left" w:pos="2700"/>
        </w:tabs>
        <w:jc w:val="center"/>
        <w:rPr>
          <w:b/>
          <w:bCs/>
        </w:rPr>
      </w:pPr>
      <w:r w:rsidRPr="000571C9">
        <w:rPr>
          <w:b/>
          <w:bCs/>
        </w:rPr>
        <w:t>Word Count:</w:t>
      </w:r>
      <w:r w:rsidR="00E7221D">
        <w:rPr>
          <w:b/>
          <w:bCs/>
        </w:rPr>
        <w:t xml:space="preserve"> 3,571</w:t>
      </w:r>
    </w:p>
    <w:p w14:paraId="026FDA02" w14:textId="573EF4E9" w:rsidR="00C331F0" w:rsidRPr="000571C9" w:rsidRDefault="00C47AD2" w:rsidP="00C331F0">
      <w:pPr>
        <w:tabs>
          <w:tab w:val="left" w:pos="2700"/>
        </w:tabs>
        <w:rPr>
          <w:b/>
          <w:bCs/>
        </w:rPr>
      </w:pPr>
      <w:r w:rsidRPr="000571C9">
        <w:rPr>
          <w:b/>
          <w:bCs/>
        </w:rPr>
        <w:t xml:space="preserve"> Introduction</w:t>
      </w:r>
    </w:p>
    <w:p w14:paraId="7ECE9C01" w14:textId="51FEEECF" w:rsidR="00321538" w:rsidRDefault="00C47AD2" w:rsidP="00C331F0">
      <w:pPr>
        <w:tabs>
          <w:tab w:val="left" w:pos="2700"/>
        </w:tabs>
      </w:pPr>
      <w:r>
        <w:t xml:space="preserve">     </w:t>
      </w:r>
      <w:r w:rsidR="00496610">
        <w:t xml:space="preserve">      </w:t>
      </w:r>
      <w:r>
        <w:t xml:space="preserve"> The medieval period was a</w:t>
      </w:r>
      <w:r w:rsidR="00EC088E">
        <w:t xml:space="preserve">n exceptional time when </w:t>
      </w:r>
      <w:r>
        <w:t>ide</w:t>
      </w:r>
      <w:r w:rsidR="0099432E">
        <w:t>as</w:t>
      </w:r>
      <w:r>
        <w:t xml:space="preserve"> were </w:t>
      </w:r>
      <w:r w:rsidR="0099432E">
        <w:t>forged</w:t>
      </w:r>
      <w:r>
        <w:t>, approved, retracted, condemned, and re</w:t>
      </w:r>
      <w:r w:rsidR="007D475C">
        <w:t>-</w:t>
      </w:r>
      <w:r>
        <w:t>appro</w:t>
      </w:r>
      <w:r w:rsidR="007D475C">
        <w:t>ached</w:t>
      </w:r>
      <w:r w:rsidR="00146624">
        <w:t xml:space="preserve"> continually</w:t>
      </w:r>
      <w:r w:rsidR="007D475C">
        <w:t xml:space="preserve">.  </w:t>
      </w:r>
      <w:r w:rsidR="0099432E">
        <w:t>Astrology and its utility were no exceptions.  M</w:t>
      </w:r>
      <w:r w:rsidR="00C341B1">
        <w:t>edieval philosophy drew</w:t>
      </w:r>
      <w:r w:rsidR="004E110F">
        <w:t xml:space="preserve"> on both modern</w:t>
      </w:r>
      <w:r w:rsidR="003158C9">
        <w:t xml:space="preserve"> </w:t>
      </w:r>
      <w:r w:rsidR="004E110F">
        <w:t xml:space="preserve">and </w:t>
      </w:r>
      <w:r w:rsidR="003158C9">
        <w:t>classical thought, merging ideas</w:t>
      </w:r>
      <w:r w:rsidR="00910E45">
        <w:t xml:space="preserve"> that reached </w:t>
      </w:r>
      <w:r w:rsidR="00EC088E">
        <w:t>back to the likes of</w:t>
      </w:r>
      <w:r w:rsidR="003158C9">
        <w:t xml:space="preserve"> Ptolemy </w:t>
      </w:r>
      <w:r w:rsidR="00321538">
        <w:t xml:space="preserve">with modern </w:t>
      </w:r>
      <w:r w:rsidR="003158C9">
        <w:t>Christian theology</w:t>
      </w:r>
      <w:r w:rsidR="00321538">
        <w:t xml:space="preserve"> developed by Albertus Magnus</w:t>
      </w:r>
      <w:r w:rsidR="00EC088E">
        <w:t xml:space="preserve"> and St. </w:t>
      </w:r>
      <w:r w:rsidR="00321538">
        <w:t xml:space="preserve">Augustine.  </w:t>
      </w:r>
      <w:r w:rsidR="00EC088E">
        <w:t xml:space="preserve">According to Charles Mosely, “the </w:t>
      </w:r>
      <w:proofErr w:type="spellStart"/>
      <w:r w:rsidR="00EC088E">
        <w:t>oculocentricity</w:t>
      </w:r>
      <w:proofErr w:type="spellEnd"/>
      <w:r w:rsidR="00EC088E">
        <w:t xml:space="preserve"> of medieval culture is beyond question…religion had been precisely about…looking for what lay beyond language”</w:t>
      </w:r>
      <w:r w:rsidR="0099432E">
        <w:t>, and instead thought</w:t>
      </w:r>
      <w:r w:rsidR="00EC088E">
        <w:t xml:space="preserve"> “in terms of images, of icons, in terms of music, or action” in order to </w:t>
      </w:r>
      <w:r w:rsidR="0099432E">
        <w:t>grasp</w:t>
      </w:r>
      <w:r w:rsidR="00EC088E">
        <w:t xml:space="preserve"> information and make sense of the world around them.</w:t>
      </w:r>
      <w:r w:rsidR="00B6157C">
        <w:rPr>
          <w:rStyle w:val="FootnoteReference"/>
        </w:rPr>
        <w:footnoteReference w:id="1"/>
      </w:r>
      <w:r w:rsidR="00EC088E">
        <w:t xml:space="preserve">  </w:t>
      </w:r>
      <w:r w:rsidR="00B6157C">
        <w:t xml:space="preserve">The use of a visual medium, specifically iconography, made </w:t>
      </w:r>
      <w:r w:rsidR="00EC088E">
        <w:t>it possible to disseminate the tenets of faith</w:t>
      </w:r>
      <w:r w:rsidR="00B6157C">
        <w:t xml:space="preserve"> in a way that could be absorbed by the community at large and </w:t>
      </w:r>
      <w:r w:rsidR="0099432E">
        <w:t xml:space="preserve">present the </w:t>
      </w:r>
      <w:r w:rsidR="00496610">
        <w:t xml:space="preserve">interpenetrative </w:t>
      </w:r>
      <w:r w:rsidR="00B6157C">
        <w:t>relationship between astrology, free will, and divine providence</w:t>
      </w:r>
      <w:r w:rsidR="0099432E">
        <w:t xml:space="preserve"> as coexistent and cooperative.</w:t>
      </w:r>
    </w:p>
    <w:p w14:paraId="7836155D" w14:textId="107C109D" w:rsidR="00125F00" w:rsidRPr="000571C9" w:rsidRDefault="00E7221D" w:rsidP="00C331F0">
      <w:pPr>
        <w:tabs>
          <w:tab w:val="left" w:pos="2700"/>
        </w:tabs>
        <w:rPr>
          <w:b/>
          <w:bCs/>
        </w:rPr>
      </w:pPr>
      <w:r>
        <w:rPr>
          <w:b/>
          <w:bCs/>
        </w:rPr>
        <w:t xml:space="preserve">Claudius </w:t>
      </w:r>
      <w:r w:rsidR="00125F00" w:rsidRPr="000571C9">
        <w:rPr>
          <w:b/>
          <w:bCs/>
        </w:rPr>
        <w:t>Ptolemy</w:t>
      </w:r>
    </w:p>
    <w:p w14:paraId="4297C7C7" w14:textId="043761D3" w:rsidR="00125F00" w:rsidRDefault="00125F00" w:rsidP="00C331F0">
      <w:pPr>
        <w:tabs>
          <w:tab w:val="left" w:pos="2700"/>
        </w:tabs>
      </w:pPr>
      <w:r>
        <w:t xml:space="preserve">     </w:t>
      </w:r>
      <w:r w:rsidR="00496610">
        <w:t xml:space="preserve">      </w:t>
      </w:r>
      <w:r>
        <w:t xml:space="preserve"> A</w:t>
      </w:r>
      <w:r w:rsidR="00066380">
        <w:t>lthough he was a member of the Classical category of philosophy, a</w:t>
      </w:r>
      <w:r>
        <w:t xml:space="preserve"> major influence on medieval philosophy was Claudius Ptolemy (100</w:t>
      </w:r>
      <w:r w:rsidR="00D512E0">
        <w:t xml:space="preserve"> – </w:t>
      </w:r>
      <w:r>
        <w:t>170 AD)</w:t>
      </w:r>
      <w:r w:rsidR="00D512E0">
        <w:t>.  Along with being a mathematician, astronomer, and geographer, Ptolemy was also well-known for his astrological acumen. Ptolemy extolled the benefits of astrology in predicting weather, natural phenomena such as the tides, and the seasons for agricultural purposes.  In his ‘</w:t>
      </w:r>
      <w:proofErr w:type="spellStart"/>
      <w:r w:rsidR="00D512E0">
        <w:t>Tetrabiblos</w:t>
      </w:r>
      <w:proofErr w:type="spellEnd"/>
      <w:r w:rsidR="00D512E0">
        <w:t>’, Ptolemy laid out what he believed to be the ultimate structure of the cosmos, saying “a certain power emanating from the eternal ethereal substance is dispersed through and permeates the whole region about the earth”</w:t>
      </w:r>
      <w:r w:rsidR="005C0F1A">
        <w:t xml:space="preserve"> as well as every celestial body in between the ethereal and the earthly realms.</w:t>
      </w:r>
      <w:r w:rsidR="004D40AC" w:rsidRPr="004D40AC">
        <w:rPr>
          <w:rStyle w:val="FootnoteReference"/>
        </w:rPr>
        <w:t xml:space="preserve"> </w:t>
      </w:r>
      <w:r w:rsidR="004D40AC">
        <w:rPr>
          <w:rStyle w:val="FootnoteReference"/>
        </w:rPr>
        <w:footnoteReference w:id="2"/>
      </w:r>
      <w:r w:rsidR="005C0F1A">
        <w:t xml:space="preserve">  As everything was connected in his model by the “eternal substance”</w:t>
      </w:r>
      <w:r w:rsidR="000571C9">
        <w:t xml:space="preserve">, </w:t>
      </w:r>
      <w:r w:rsidR="005C0F1A">
        <w:t xml:space="preserve">or divinity, any </w:t>
      </w:r>
      <w:r w:rsidR="00066380">
        <w:t>motion</w:t>
      </w:r>
      <w:r w:rsidR="005C0F1A">
        <w:t xml:space="preserve"> produced </w:t>
      </w:r>
      <w:r w:rsidR="00066380">
        <w:t>within</w:t>
      </w:r>
      <w:r w:rsidR="005C0F1A">
        <w:t xml:space="preserve"> that substance triggered a natural chain-reaction of changes throughout the cosmos, ultimately </w:t>
      </w:r>
      <w:r w:rsidR="000571C9">
        <w:t>influencing</w:t>
      </w:r>
      <w:r w:rsidR="005C0F1A">
        <w:t xml:space="preserve"> life on earth.  </w:t>
      </w:r>
      <w:r w:rsidR="00A35093">
        <w:t>Because weather changes and natural phenomena could be predicted with close attention to the heavens, why then, Ptolemy asked, could we not for an individual “perceive the general quality of his temperament from the ambient at the time of his birth…and predict occasional events” in his life based on the positions of the planets at</w:t>
      </w:r>
      <w:r w:rsidR="000571C9">
        <w:t xml:space="preserve"> his</w:t>
      </w:r>
      <w:r w:rsidR="00A35093">
        <w:t xml:space="preserve"> birth?</w:t>
      </w:r>
      <w:r w:rsidR="004D40AC" w:rsidRPr="004D40AC">
        <w:rPr>
          <w:rStyle w:val="FootnoteReference"/>
        </w:rPr>
        <w:t xml:space="preserve"> </w:t>
      </w:r>
      <w:r w:rsidR="004D40AC">
        <w:rPr>
          <w:rStyle w:val="FootnoteReference"/>
        </w:rPr>
        <w:footnoteReference w:id="3"/>
      </w:r>
      <w:r w:rsidR="00A35093">
        <w:t xml:space="preserve"> </w:t>
      </w:r>
      <w:r w:rsidR="000571C9">
        <w:t>How could</w:t>
      </w:r>
      <w:r w:rsidR="00A35093">
        <w:t xml:space="preserve"> those positions have no effect on human behavior or individual outcomes?</w:t>
      </w:r>
      <w:r w:rsidR="001744F1">
        <w:t xml:space="preserve"> </w:t>
      </w:r>
    </w:p>
    <w:p w14:paraId="3914934C" w14:textId="20F7E46E" w:rsidR="00CD6D93" w:rsidRPr="000571C9" w:rsidRDefault="00CD6D93" w:rsidP="00C331F0">
      <w:pPr>
        <w:tabs>
          <w:tab w:val="left" w:pos="2700"/>
        </w:tabs>
        <w:rPr>
          <w:b/>
          <w:bCs/>
        </w:rPr>
      </w:pPr>
      <w:r w:rsidRPr="000571C9">
        <w:rPr>
          <w:b/>
          <w:bCs/>
        </w:rPr>
        <w:t>St. Augustine</w:t>
      </w:r>
    </w:p>
    <w:p w14:paraId="30A14FEA" w14:textId="263B957C" w:rsidR="007435E1" w:rsidRDefault="001744F1" w:rsidP="007435E1">
      <w:pPr>
        <w:tabs>
          <w:tab w:val="left" w:pos="2700"/>
        </w:tabs>
      </w:pPr>
      <w:r>
        <w:t xml:space="preserve">      </w:t>
      </w:r>
      <w:r w:rsidR="00496610">
        <w:t xml:space="preserve">      </w:t>
      </w:r>
      <w:r>
        <w:t xml:space="preserve">When taken up by medieval thinkers, the main concern was not so much whether predictions could be made as it was what the presence of predictions indicated about </w:t>
      </w:r>
      <w:r w:rsidR="00141D73">
        <w:t>God’s supremacy</w:t>
      </w:r>
      <w:r>
        <w:t>.  Specifically, medieval philosophers were concerned with whether the use of astrology could refute or uphold the</w:t>
      </w:r>
      <w:r w:rsidR="00141D73">
        <w:t xml:space="preserve"> </w:t>
      </w:r>
      <w:r>
        <w:t xml:space="preserve">Christian </w:t>
      </w:r>
      <w:r w:rsidR="007272C4">
        <w:t>tenets</w:t>
      </w:r>
      <w:r>
        <w:t xml:space="preserve"> of</w:t>
      </w:r>
      <w:r w:rsidR="00141D73">
        <w:t xml:space="preserve"> </w:t>
      </w:r>
      <w:r>
        <w:t xml:space="preserve">free will and divine providence.  </w:t>
      </w:r>
      <w:r w:rsidR="00141D73">
        <w:t xml:space="preserve">In his ‘On the Free Will’, for example, St. </w:t>
      </w:r>
      <w:r>
        <w:t>Augustine (354 – 480 AD)</w:t>
      </w:r>
      <w:r w:rsidR="00141D73">
        <w:t xml:space="preserve"> expresse</w:t>
      </w:r>
      <w:r w:rsidR="00A82BCC">
        <w:t>d</w:t>
      </w:r>
      <w:r w:rsidR="00141D73">
        <w:t xml:space="preserve"> his belief that free will </w:t>
      </w:r>
      <w:r w:rsidR="00A82BCC">
        <w:t xml:space="preserve">was a logical truth of existence, for “if man </w:t>
      </w:r>
      <w:r w:rsidR="00A82BCC">
        <w:lastRenderedPageBreak/>
        <w:t>did not have free will, both punishment and reward would be unjust”.</w:t>
      </w:r>
      <w:r w:rsidR="004D40AC" w:rsidRPr="004D40AC">
        <w:rPr>
          <w:rStyle w:val="FootnoteReference"/>
        </w:rPr>
        <w:t xml:space="preserve"> </w:t>
      </w:r>
      <w:r w:rsidR="004D40AC">
        <w:rPr>
          <w:rStyle w:val="FootnoteReference"/>
        </w:rPr>
        <w:footnoteReference w:id="4"/>
      </w:r>
      <w:r w:rsidR="00A82BCC">
        <w:t xml:space="preserve">  Free will </w:t>
      </w:r>
      <w:r w:rsidR="00141D73">
        <w:t>and divine providence coexist</w:t>
      </w:r>
      <w:r w:rsidR="00166B67">
        <w:t xml:space="preserve">, </w:t>
      </w:r>
      <w:r w:rsidR="00A82BCC">
        <w:t>but, he warn</w:t>
      </w:r>
      <w:r w:rsidR="007435E1">
        <w:t>ed</w:t>
      </w:r>
      <w:r w:rsidR="00A82BCC">
        <w:t>,</w:t>
      </w:r>
      <w:r w:rsidR="00166B67">
        <w:t xml:space="preserve"> </w:t>
      </w:r>
      <w:r w:rsidR="000571C9">
        <w:t>“</w:t>
      </w:r>
      <w:r w:rsidR="00166B67">
        <w:t>it is not to be believed that, because sin is committed by it…God gave free will for sin”.</w:t>
      </w:r>
      <w:r w:rsidR="004D40AC">
        <w:rPr>
          <w:rStyle w:val="FootnoteReference"/>
        </w:rPr>
        <w:footnoteReference w:id="5"/>
      </w:r>
      <w:r w:rsidR="00166B67">
        <w:t xml:space="preserve">  According to Augustine, man has a choice to use his free will for good purposes or for sin.  The man who chooses to do good with his free will is rewarded while the man who sins is punished and </w:t>
      </w:r>
      <w:r w:rsidR="001F5798">
        <w:t>asked</w:t>
      </w:r>
      <w:r w:rsidR="00166B67">
        <w:t xml:space="preserve"> “why have you not used your free will for the purpose for which I gave it to you, that is, for doing rightly?”</w:t>
      </w:r>
      <w:r w:rsidR="004D40AC">
        <w:t>.</w:t>
      </w:r>
      <w:r w:rsidR="00166B67">
        <w:rPr>
          <w:rStyle w:val="FootnoteReference"/>
        </w:rPr>
        <w:footnoteReference w:id="6"/>
      </w:r>
      <w:r w:rsidR="00166B67">
        <w:t xml:space="preserve"> Augustine’s interpretation of free will as a </w:t>
      </w:r>
      <w:r w:rsidR="00A82BCC">
        <w:t>catalyst</w:t>
      </w:r>
      <w:r w:rsidR="00166B67">
        <w:t xml:space="preserve"> for good or a use for evil implies that humans have </w:t>
      </w:r>
      <w:r w:rsidR="000571C9">
        <w:t xml:space="preserve">some </w:t>
      </w:r>
      <w:r w:rsidR="00166B67">
        <w:t xml:space="preserve">control over their individual outcomes. </w:t>
      </w:r>
    </w:p>
    <w:p w14:paraId="33D34C10" w14:textId="675C9F2E" w:rsidR="00A72748" w:rsidRDefault="007435E1" w:rsidP="007435E1">
      <w:pPr>
        <w:tabs>
          <w:tab w:val="left" w:pos="2700"/>
        </w:tabs>
      </w:pPr>
      <w:r>
        <w:t xml:space="preserve">     </w:t>
      </w:r>
      <w:r w:rsidR="00496610">
        <w:t xml:space="preserve">      </w:t>
      </w:r>
      <w:r>
        <w:t xml:space="preserve"> Augustine applied more stirring rhetoric directly to astrology in his ‘Confessions’.  </w:t>
      </w:r>
      <w:r w:rsidR="001804EF">
        <w:t>Employing</w:t>
      </w:r>
      <w:r>
        <w:t xml:space="preserve"> a</w:t>
      </w:r>
      <w:r w:rsidR="001804EF">
        <w:t xml:space="preserve"> literary</w:t>
      </w:r>
      <w:r>
        <w:t xml:space="preserve"> style reminiscent of Plato’s Republic</w:t>
      </w:r>
      <w:r w:rsidR="009942F7">
        <w:t>, Augustin</w:t>
      </w:r>
      <w:r w:rsidR="001804EF">
        <w:t>e</w:t>
      </w:r>
      <w:r w:rsidR="009942F7">
        <w:t>, in this work, uses the literary technique of dialogue to convey his (and</w:t>
      </w:r>
      <w:r w:rsidR="001804EF">
        <w:t>,</w:t>
      </w:r>
      <w:r w:rsidR="009942F7">
        <w:t xml:space="preserve"> </w:t>
      </w:r>
      <w:r w:rsidR="001804EF">
        <w:t>by extension,</w:t>
      </w:r>
      <w:r w:rsidR="009942F7">
        <w:t xml:space="preserve"> Christianity’s) </w:t>
      </w:r>
      <w:r w:rsidR="001804EF">
        <w:t>arguments against divination of any kind – astrology in particular</w:t>
      </w:r>
      <w:r w:rsidR="009942F7">
        <w:t>.  The story describes a more personal journey with astrology in which he was a believer in the predictive power of astronomy who then came to understand that it left no space for humans’ God-granted free will.</w:t>
      </w:r>
      <w:r>
        <w:t xml:space="preserve">  When </w:t>
      </w:r>
      <w:r w:rsidR="001D2E86">
        <w:t>speaking with another character, he asked</w:t>
      </w:r>
      <w:r>
        <w:t xml:space="preserve"> why some predictions by astrologers come to fruition</w:t>
      </w:r>
      <w:r w:rsidR="001D2E86">
        <w:t xml:space="preserve">. </w:t>
      </w:r>
      <w:r>
        <w:t xml:space="preserve"> Augustine was told </w:t>
      </w:r>
      <w:r w:rsidR="001D2E86">
        <w:t xml:space="preserve">the practice of prediction by astrologers </w:t>
      </w:r>
      <w:r w:rsidR="000571C9">
        <w:t>w</w:t>
      </w:r>
      <w:r w:rsidR="001D2E86">
        <w:t xml:space="preserve">as “a complete sham” and that </w:t>
      </w:r>
      <w:r>
        <w:t>“the force of chance, all-pervasive in the universe, brought this about”.</w:t>
      </w:r>
      <w:r w:rsidR="004D40AC" w:rsidRPr="004D40AC">
        <w:rPr>
          <w:rStyle w:val="FootnoteReference"/>
        </w:rPr>
        <w:t xml:space="preserve"> </w:t>
      </w:r>
      <w:r w:rsidR="004D40AC">
        <w:rPr>
          <w:rStyle w:val="FootnoteReference"/>
        </w:rPr>
        <w:footnoteReference w:id="7"/>
      </w:r>
      <w:r>
        <w:t xml:space="preserve"> </w:t>
      </w:r>
      <w:r w:rsidR="009942F7">
        <w:t xml:space="preserve"> </w:t>
      </w:r>
      <w:r w:rsidR="001804EF">
        <w:t xml:space="preserve">Here, choice is replaced, and ostensibly made synonymous, with chance.  </w:t>
      </w:r>
      <w:r w:rsidR="001D2E86">
        <w:t>Chance is embedded into the cosmos itself in this concept</w:t>
      </w:r>
      <w:r w:rsidR="00484164">
        <w:t xml:space="preserve"> and makes the reading of an individual’s horoscopic future unreliable</w:t>
      </w:r>
      <w:r w:rsidR="001D2E86">
        <w:t>.</w:t>
      </w:r>
      <w:r w:rsidR="00484164">
        <w:t xml:space="preserve"> Although celestial objects align and can be interpreted based on those alignments, within the cosmos lay the element of chance, within humans lay the element of choice.  These elements cooperate to ensure God’s promise of free will.  To be clear, i</w:t>
      </w:r>
      <w:r w:rsidR="001804EF">
        <w:t>t is not that Augustine entirely disavowed astrology and its uses</w:t>
      </w:r>
      <w:r w:rsidR="003673F6">
        <w:t xml:space="preserve">.  In fact, he expressed hesitancy in </w:t>
      </w:r>
      <w:r w:rsidR="001D2E86">
        <w:t>relinquishing his belief in astrological predictions.  Augustine wanted to find “absolute proof…to assure me beyond doubt that the things people said they had predicted…were only predicted by luck or blind chance, and not through their skill in astrology”</w:t>
      </w:r>
      <w:r w:rsidR="00484164">
        <w:t>,</w:t>
      </w:r>
      <w:r w:rsidR="001D2E86">
        <w:t xml:space="preserve"> </w:t>
      </w:r>
      <w:r w:rsidR="001804EF">
        <w:t xml:space="preserve"> but his </w:t>
      </w:r>
      <w:r w:rsidR="00484164">
        <w:t xml:space="preserve">ultimate </w:t>
      </w:r>
      <w:r w:rsidR="001804EF">
        <w:t xml:space="preserve">directive was to </w:t>
      </w:r>
      <w:r w:rsidR="003673F6">
        <w:t>find the role of free will i</w:t>
      </w:r>
      <w:r w:rsidR="00A72748">
        <w:t>n its predictive capacity</w:t>
      </w:r>
      <w:r w:rsidR="003673F6">
        <w:t>.</w:t>
      </w:r>
      <w:r w:rsidR="004D40AC" w:rsidRPr="004D40AC">
        <w:rPr>
          <w:rStyle w:val="FootnoteReference"/>
        </w:rPr>
        <w:t xml:space="preserve"> </w:t>
      </w:r>
      <w:r w:rsidR="004D40AC">
        <w:rPr>
          <w:rStyle w:val="FootnoteReference"/>
        </w:rPr>
        <w:footnoteReference w:id="8"/>
      </w:r>
    </w:p>
    <w:p w14:paraId="5F23336B" w14:textId="7AC57A3A" w:rsidR="00CD6D93" w:rsidRPr="00496610" w:rsidRDefault="00CD6D93" w:rsidP="007435E1">
      <w:pPr>
        <w:tabs>
          <w:tab w:val="left" w:pos="2700"/>
        </w:tabs>
        <w:rPr>
          <w:b/>
          <w:bCs/>
        </w:rPr>
      </w:pPr>
      <w:r w:rsidRPr="00496610">
        <w:rPr>
          <w:b/>
          <w:bCs/>
        </w:rPr>
        <w:t>Albertus Magnus</w:t>
      </w:r>
    </w:p>
    <w:p w14:paraId="607AA494" w14:textId="3BC21089" w:rsidR="00496610" w:rsidRPr="00E7221D" w:rsidRDefault="00A72748" w:rsidP="00C331F0">
      <w:pPr>
        <w:tabs>
          <w:tab w:val="left" w:pos="2700"/>
        </w:tabs>
      </w:pPr>
      <w:r>
        <w:t xml:space="preserve">      </w:t>
      </w:r>
      <w:r w:rsidR="00496610">
        <w:t xml:space="preserve">      </w:t>
      </w:r>
      <w:r w:rsidR="00484164">
        <w:t xml:space="preserve">This directive dominated theological debate </w:t>
      </w:r>
      <w:r>
        <w:t>throughout</w:t>
      </w:r>
      <w:r w:rsidR="00484164">
        <w:t xml:space="preserve"> the medieval period</w:t>
      </w:r>
      <w:r>
        <w:t xml:space="preserve"> and was eventually taken up by </w:t>
      </w:r>
      <w:r w:rsidR="00484164">
        <w:t>Albertus Magnus</w:t>
      </w:r>
      <w:r>
        <w:t xml:space="preserve"> </w:t>
      </w:r>
      <w:r w:rsidR="00EF516D">
        <w:t>(1193 – 1280 AD)</w:t>
      </w:r>
      <w:r w:rsidR="00484164">
        <w:t xml:space="preserve">.  </w:t>
      </w:r>
      <w:r w:rsidR="004D40AC">
        <w:t>Albertus charged himself wit</w:t>
      </w:r>
      <w:r w:rsidR="00212C28">
        <w:t>h</w:t>
      </w:r>
      <w:r w:rsidR="004D40AC">
        <w:t xml:space="preserve"> reconciling Aristotelian cosmology with Christian theology – which he saw as </w:t>
      </w:r>
      <w:r w:rsidR="00D1353C">
        <w:t>having a very simple solution</w:t>
      </w:r>
      <w:r w:rsidR="004D40AC">
        <w:t xml:space="preserve">.  </w:t>
      </w:r>
      <w:r w:rsidR="00D1353C">
        <w:t>As the Aristotelian cosmological model asserted that “planets, like people…</w:t>
      </w:r>
      <w:r w:rsidR="00DE44C1">
        <w:t>are animated by soul”, which he felt was in harmony with his own beliefs in a Christian cosmos organized, orchestrated, and overseen by God.</w:t>
      </w:r>
      <w:r w:rsidR="00DE44C1">
        <w:rPr>
          <w:rStyle w:val="FootnoteReference"/>
        </w:rPr>
        <w:footnoteReference w:id="9"/>
      </w:r>
      <w:r w:rsidR="00DE44C1">
        <w:t xml:space="preserve">  </w:t>
      </w:r>
      <w:r w:rsidR="001A460A">
        <w:t xml:space="preserve">His model, much like Ptolemy’s, assumed that </w:t>
      </w:r>
      <w:r w:rsidR="00CD6D93">
        <w:t xml:space="preserve">the </w:t>
      </w:r>
      <w:r w:rsidR="001A460A">
        <w:t>planets</w:t>
      </w:r>
      <w:r w:rsidR="00677725">
        <w:t>’ motion was directed by</w:t>
      </w:r>
      <w:r w:rsidR="001A460A">
        <w:t xml:space="preserve"> the Prime Mover</w:t>
      </w:r>
      <w:r w:rsidR="00677725">
        <w:t xml:space="preserve"> </w:t>
      </w:r>
      <w:r w:rsidR="001A460A">
        <w:t xml:space="preserve">and lacked agency in terms of </w:t>
      </w:r>
      <w:r w:rsidR="00677725">
        <w:t xml:space="preserve">divining </w:t>
      </w:r>
      <w:r w:rsidR="001A460A">
        <w:t xml:space="preserve">human life.  </w:t>
      </w:r>
      <w:r w:rsidR="00677725">
        <w:t>As was Augustine, Albertus was aware of astrology’s practical uses in agriculture. Going beyond Augustine, he also felt that celestial events could be taken as signs or omens.  However, a</w:t>
      </w:r>
      <w:r w:rsidR="004D40AC">
        <w:t xml:space="preserve">ccording to Nicholas Campion, </w:t>
      </w:r>
      <w:r w:rsidR="00677725">
        <w:t xml:space="preserve">although </w:t>
      </w:r>
      <w:r w:rsidR="004D40AC">
        <w:t xml:space="preserve">“his attitude to astrology was </w:t>
      </w:r>
      <w:r w:rsidR="004D40AC">
        <w:lastRenderedPageBreak/>
        <w:t xml:space="preserve">strongly </w:t>
      </w:r>
      <w:proofErr w:type="spellStart"/>
      <w:r w:rsidR="004D40AC">
        <w:t>favourable</w:t>
      </w:r>
      <w:proofErr w:type="spellEnd"/>
      <w:r w:rsidR="004D40AC">
        <w:t xml:space="preserve"> – he regarded it as demonstrably true</w:t>
      </w:r>
      <w:r w:rsidR="001A460A">
        <w:t>”,</w:t>
      </w:r>
      <w:r w:rsidR="004D40AC">
        <w:t xml:space="preserve"> he </w:t>
      </w:r>
      <w:r w:rsidR="001A460A">
        <w:t>would not accept any idea which suggested a lack of free will</w:t>
      </w:r>
      <w:r w:rsidR="00CD6D93">
        <w:t>, opting for a more natural astrology rather than divinatory</w:t>
      </w:r>
      <w:r w:rsidR="004D40AC">
        <w:t>.</w:t>
      </w:r>
      <w:r w:rsidR="004D40AC">
        <w:rPr>
          <w:rStyle w:val="FootnoteReference"/>
        </w:rPr>
        <w:footnoteReference w:id="10"/>
      </w:r>
      <w:r w:rsidR="004D40AC">
        <w:t xml:space="preserve">  </w:t>
      </w:r>
    </w:p>
    <w:p w14:paraId="5104566D" w14:textId="1A9BA7A2" w:rsidR="00C47AD2" w:rsidRPr="00496610" w:rsidRDefault="00C47AD2" w:rsidP="00C331F0">
      <w:pPr>
        <w:tabs>
          <w:tab w:val="left" w:pos="2700"/>
        </w:tabs>
        <w:rPr>
          <w:b/>
          <w:bCs/>
        </w:rPr>
      </w:pPr>
      <w:r w:rsidRPr="00496610">
        <w:rPr>
          <w:b/>
          <w:bCs/>
        </w:rPr>
        <w:t>Medieval Iconography</w:t>
      </w:r>
    </w:p>
    <w:p w14:paraId="489154C7" w14:textId="511B3CEB" w:rsidR="00CD6D93" w:rsidRDefault="00496610" w:rsidP="00C331F0">
      <w:pPr>
        <w:tabs>
          <w:tab w:val="left" w:pos="2700"/>
        </w:tabs>
      </w:pPr>
      <w:r>
        <w:t xml:space="preserve">            </w:t>
      </w:r>
      <w:r w:rsidR="00410E6C">
        <w:t xml:space="preserve">With a </w:t>
      </w:r>
      <w:r w:rsidR="000471B9">
        <w:t>diverse audience</w:t>
      </w:r>
      <w:r w:rsidR="00B93927">
        <w:t xml:space="preserve"> of varying levels of literacy</w:t>
      </w:r>
      <w:r w:rsidR="00410E6C">
        <w:t xml:space="preserve">, religious leaders of the medieval period needed a medium other than written language to </w:t>
      </w:r>
      <w:r w:rsidR="000471B9">
        <w:t xml:space="preserve">clearly </w:t>
      </w:r>
      <w:r w:rsidR="00410E6C">
        <w:t xml:space="preserve">convey their ideological messages as well as the morals of the </w:t>
      </w:r>
      <w:r>
        <w:t>B</w:t>
      </w:r>
      <w:r w:rsidR="00410E6C">
        <w:t xml:space="preserve">ible.  In his ‘Iconography and Ideology: Uncovering Social Meanings in Western Medieval Christian Art’, Johnathan J.G. Alexander says that medieval art, much like advertising, functioned as “a representational system that is directly aimed by its makers at us and that both reflects our social </w:t>
      </w:r>
      <w:proofErr w:type="spellStart"/>
      <w:r w:rsidR="00410E6C" w:rsidRPr="00496610">
        <w:t>organisations</w:t>
      </w:r>
      <w:proofErr w:type="spellEnd"/>
      <w:r w:rsidR="00410E6C">
        <w:t>, our life styles and values, and also manipulates them’.</w:t>
      </w:r>
      <w:r w:rsidR="00410E6C">
        <w:rPr>
          <w:rStyle w:val="FootnoteReference"/>
        </w:rPr>
        <w:footnoteReference w:id="11"/>
      </w:r>
      <w:r w:rsidR="00410E6C">
        <w:t xml:space="preserve">  Art was a way of accessing the masses</w:t>
      </w:r>
      <w:r w:rsidR="000471B9">
        <w:t>, and cognitive theory of the time posited that “memory stored the ‘intention’ of an image, not simply the image itself”</w:t>
      </w:r>
      <w:r w:rsidR="00410E6C">
        <w:t>.</w:t>
      </w:r>
      <w:r w:rsidR="000471B9">
        <w:rPr>
          <w:rStyle w:val="FootnoteReference"/>
        </w:rPr>
        <w:footnoteReference w:id="12"/>
      </w:r>
      <w:r w:rsidR="00410E6C">
        <w:t xml:space="preserve">  Consequently, the style and method of the work was deliberate.  </w:t>
      </w:r>
      <w:r w:rsidR="005135F6">
        <w:t>The simplicity, repetition, and apparent “lack of creativity” commonly seen in works of art from then were purposeful and part of a deliberate practice of religious communication</w:t>
      </w:r>
      <w:r w:rsidR="000471B9">
        <w:t>.</w:t>
      </w:r>
      <w:r w:rsidR="00B93927">
        <w:rPr>
          <w:rStyle w:val="FootnoteReference"/>
        </w:rPr>
        <w:footnoteReference w:id="13"/>
      </w:r>
      <w:r w:rsidR="000471B9">
        <w:t xml:space="preserve">  </w:t>
      </w:r>
      <w:r w:rsidR="005135F6">
        <w:t>Rather than</w:t>
      </w:r>
      <w:r w:rsidR="000471B9">
        <w:t xml:space="preserve"> </w:t>
      </w:r>
      <w:r w:rsidR="005135F6">
        <w:t xml:space="preserve">attempting verisimilitude in their works, medieval artists utilized icons </w:t>
      </w:r>
      <w:r w:rsidR="00B93927">
        <w:t>which were a “sophisticated symbolic system” which requires the viewer to engage with higher-order thinking, moving beyond the canvas “toward the archetype”</w:t>
      </w:r>
      <w:r w:rsidR="00D367F5">
        <w:t xml:space="preserve"> for a deeper understanding of abstract concepts such as morality and duty as well as free will and divine providence</w:t>
      </w:r>
      <w:r w:rsidR="00B93927">
        <w:t>.</w:t>
      </w:r>
      <w:r w:rsidR="00B93927">
        <w:rPr>
          <w:rStyle w:val="FootnoteReference"/>
        </w:rPr>
        <w:footnoteReference w:id="14"/>
      </w:r>
    </w:p>
    <w:p w14:paraId="6CDFE076" w14:textId="5D953961" w:rsidR="00D36321" w:rsidRPr="00496610" w:rsidRDefault="00D36321" w:rsidP="00C331F0">
      <w:pPr>
        <w:tabs>
          <w:tab w:val="left" w:pos="2700"/>
        </w:tabs>
        <w:rPr>
          <w:b/>
          <w:bCs/>
        </w:rPr>
      </w:pPr>
      <w:r w:rsidRPr="00496610">
        <w:rPr>
          <w:b/>
          <w:bCs/>
        </w:rPr>
        <w:t>The Heavenly Ladder</w:t>
      </w:r>
    </w:p>
    <w:p w14:paraId="254FA7E8" w14:textId="623AD58C" w:rsidR="0070464A" w:rsidRDefault="00D367F5" w:rsidP="0070464A">
      <w:pPr>
        <w:tabs>
          <w:tab w:val="left" w:pos="2700"/>
        </w:tabs>
      </w:pPr>
      <w:r>
        <w:t xml:space="preserve">     </w:t>
      </w:r>
      <w:r w:rsidR="00496610">
        <w:t xml:space="preserve">      </w:t>
      </w:r>
      <w:r>
        <w:t xml:space="preserve"> As discussed earlier, </w:t>
      </w:r>
      <w:r w:rsidR="00815B87">
        <w:t xml:space="preserve">astrology, </w:t>
      </w:r>
      <w:r>
        <w:t xml:space="preserve">free will, and divine providence </w:t>
      </w:r>
      <w:r w:rsidR="00815B87">
        <w:t>were viewed as</w:t>
      </w:r>
      <w:r>
        <w:t xml:space="preserve"> </w:t>
      </w:r>
      <w:r w:rsidR="00496610">
        <w:t>interwoven</w:t>
      </w:r>
      <w:r>
        <w:t xml:space="preserve"> </w:t>
      </w:r>
      <w:r w:rsidR="00815B87">
        <w:t xml:space="preserve">during the medieval period.  Religious leaders and thinkers regularly attempted to use each to prove the other (the practice of astrology proves the presence of free will, </w:t>
      </w:r>
      <w:proofErr w:type="spellStart"/>
      <w:r w:rsidR="00815B87">
        <w:t>etc</w:t>
      </w:r>
      <w:proofErr w:type="spellEnd"/>
      <w:r w:rsidR="00815B87">
        <w:t xml:space="preserve">) and rectify any apparent disproof of God’s ultimate power.  </w:t>
      </w:r>
      <w:r w:rsidR="00B467A6">
        <w:t>In fact, a</w:t>
      </w:r>
      <w:r w:rsidR="001F1F8F">
        <w:t>strology was so intrinsic to the concepts (and proof) of free will and divine providence</w:t>
      </w:r>
      <w:r w:rsidR="00B467A6">
        <w:t xml:space="preserve"> </w:t>
      </w:r>
      <w:r w:rsidR="00815B87">
        <w:t xml:space="preserve">that </w:t>
      </w:r>
      <w:r w:rsidR="001F1F8F">
        <w:t>it</w:t>
      </w:r>
      <w:r w:rsidR="00B467A6">
        <w:t>s relationship to religion</w:t>
      </w:r>
      <w:r w:rsidR="001F1F8F">
        <w:t xml:space="preserve"> was</w:t>
      </w:r>
      <w:r w:rsidR="00815B87">
        <w:t xml:space="preserve"> implicitly represented in art </w:t>
      </w:r>
      <w:r w:rsidR="001F1F8F">
        <w:t xml:space="preserve">of which it was not the explicit topic.  </w:t>
      </w:r>
      <w:r w:rsidR="00B467A6">
        <w:t>The image below, for example, is a</w:t>
      </w:r>
      <w:r w:rsidR="00EF549E">
        <w:t xml:space="preserve"> </w:t>
      </w:r>
      <w:r w:rsidR="00B467A6">
        <w:t>depiction o</w:t>
      </w:r>
      <w:r w:rsidR="00EF549E">
        <w:t xml:space="preserve">f the </w:t>
      </w:r>
      <w:r w:rsidR="00EF549E" w:rsidRPr="00EF549E">
        <w:rPr>
          <w:i/>
          <w:iCs/>
        </w:rPr>
        <w:t xml:space="preserve">Scala </w:t>
      </w:r>
      <w:proofErr w:type="spellStart"/>
      <w:r w:rsidR="00EF549E" w:rsidRPr="00EF549E">
        <w:rPr>
          <w:i/>
          <w:iCs/>
        </w:rPr>
        <w:t>Paradisi</w:t>
      </w:r>
      <w:proofErr w:type="spellEnd"/>
      <w:r w:rsidR="00EF549E">
        <w:rPr>
          <w:i/>
          <w:iCs/>
        </w:rPr>
        <w:t xml:space="preserve"> </w:t>
      </w:r>
      <w:r w:rsidR="00EF549E">
        <w:t xml:space="preserve">or </w:t>
      </w:r>
      <w:r w:rsidR="00EF549E" w:rsidRPr="00496610">
        <w:rPr>
          <w:i/>
          <w:iCs/>
        </w:rPr>
        <w:t>Divine Ladder</w:t>
      </w:r>
      <w:r w:rsidR="00EF549E">
        <w:t xml:space="preserve"> from</w:t>
      </w:r>
      <w:r w:rsidR="00263E0A">
        <w:t xml:space="preserve"> </w:t>
      </w:r>
      <w:r w:rsidR="00EF549E">
        <w:t>the 12</w:t>
      </w:r>
      <w:r w:rsidR="00EF549E" w:rsidRPr="00EF549E">
        <w:rPr>
          <w:vertAlign w:val="superscript"/>
        </w:rPr>
        <w:t>th</w:t>
      </w:r>
      <w:r w:rsidR="00EF549E">
        <w:t xml:space="preserve">century.  </w:t>
      </w:r>
      <w:r w:rsidR="00A064B3">
        <w:t xml:space="preserve">This painting is based on the book ‘The Heavenly Ladder’ written by St. John </w:t>
      </w:r>
      <w:proofErr w:type="spellStart"/>
      <w:r w:rsidR="00A064B3">
        <w:t>Climacus</w:t>
      </w:r>
      <w:proofErr w:type="spellEnd"/>
      <w:r w:rsidR="00A064B3">
        <w:t xml:space="preserve">.  The purpose of this book was to be a “spiritual guide” which </w:t>
      </w:r>
      <w:r w:rsidR="00256FA7">
        <w:t>was structured to reflect the rungs of a ladder.</w:t>
      </w:r>
      <w:r w:rsidR="00256FA7">
        <w:rPr>
          <w:rStyle w:val="FootnoteReference"/>
        </w:rPr>
        <w:footnoteReference w:id="15"/>
      </w:r>
      <w:r w:rsidR="00256FA7">
        <w:t xml:space="preserve">  It described</w:t>
      </w:r>
      <w:r w:rsidR="00A064B3">
        <w:t xml:space="preserve"> a process of steps one must take dedicatedly with focus and integrity in order to reach the realm of God. </w:t>
      </w:r>
      <w:r w:rsidR="00256FA7">
        <w:t xml:space="preserve"> As with many medieval texts, the targeted audience was largely illiterate, so “paintings and sculpture</w:t>
      </w:r>
      <w:r w:rsidR="00C33418">
        <w:t xml:space="preserve"> [were] the books of the unlearned”.</w:t>
      </w:r>
      <w:r w:rsidR="00C33418">
        <w:rPr>
          <w:rStyle w:val="FootnoteReference"/>
        </w:rPr>
        <w:footnoteReference w:id="16"/>
      </w:r>
      <w:r w:rsidR="00C33418">
        <w:t xml:space="preserve">  </w:t>
      </w:r>
      <w:r w:rsidR="00614126">
        <w:t>In this way, t</w:t>
      </w:r>
      <w:r w:rsidR="00256FA7">
        <w:t xml:space="preserve">he use of images was essential to adhere to the moral imperative </w:t>
      </w:r>
      <w:r w:rsidR="00112C40">
        <w:t xml:space="preserve">in </w:t>
      </w:r>
      <w:r w:rsidR="00256FA7">
        <w:t>Christianity to spread the word of God.</w:t>
      </w:r>
    </w:p>
    <w:p w14:paraId="45E8F2C9" w14:textId="3D15C845" w:rsidR="00B77EE8" w:rsidRDefault="00294DDB" w:rsidP="000A1FFE">
      <w:pPr>
        <w:tabs>
          <w:tab w:val="left" w:pos="2700"/>
        </w:tabs>
      </w:pPr>
      <w:r>
        <w:rPr>
          <w:noProof/>
        </w:rPr>
        <w:lastRenderedPageBreak/>
        <mc:AlternateContent>
          <mc:Choice Requires="wps">
            <w:drawing>
              <wp:anchor distT="0" distB="0" distL="114300" distR="114300" simplePos="0" relativeHeight="251660288" behindDoc="0" locked="0" layoutInCell="1" allowOverlap="1" wp14:anchorId="56BD44E0" wp14:editId="664F8EAC">
                <wp:simplePos x="0" y="0"/>
                <wp:positionH relativeFrom="column">
                  <wp:posOffset>524510</wp:posOffset>
                </wp:positionH>
                <wp:positionV relativeFrom="paragraph">
                  <wp:posOffset>1312545</wp:posOffset>
                </wp:positionV>
                <wp:extent cx="47625" cy="174625"/>
                <wp:effectExtent l="0" t="0" r="9525" b="0"/>
                <wp:wrapTopAndBottom/>
                <wp:docPr id="5" name="Text Box 5"/>
                <wp:cNvGraphicFramePr/>
                <a:graphic xmlns:a="http://schemas.openxmlformats.org/drawingml/2006/main">
                  <a:graphicData uri="http://schemas.microsoft.com/office/word/2010/wordprocessingShape">
                    <wps:wsp>
                      <wps:cNvSpPr txBox="1"/>
                      <wps:spPr>
                        <a:xfrm flipH="1">
                          <a:off x="0" y="0"/>
                          <a:ext cx="47625" cy="174625"/>
                        </a:xfrm>
                        <a:prstGeom prst="rect">
                          <a:avLst/>
                        </a:prstGeom>
                        <a:solidFill>
                          <a:prstClr val="white"/>
                        </a:solidFill>
                        <a:ln>
                          <a:noFill/>
                        </a:ln>
                      </wps:spPr>
                      <wps:txbx>
                        <w:txbxContent>
                          <w:p w14:paraId="28F1FF2C" w14:textId="0978D4D9" w:rsidR="003C1136" w:rsidRPr="000A1FFE" w:rsidRDefault="003C1136" w:rsidP="00294DDB">
                            <w:pPr>
                              <w:pStyle w:val="Caption"/>
                              <w:rPr>
                                <w:i w:val="0"/>
                                <w:iCs w:val="0"/>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BD44E0" id="_x0000_t202" coordsize="21600,21600" o:spt="202" path="m,l,21600r21600,l21600,xe">
                <v:stroke joinstyle="miter"/>
                <v:path gradientshapeok="t" o:connecttype="rect"/>
              </v:shapetype>
              <v:shape id="Text Box 5" o:spid="_x0000_s1026" type="#_x0000_t202" style="position:absolute;margin-left:41.3pt;margin-top:103.35pt;width:3.75pt;height:13.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" stroked="f">
                <v:textbox inset="0,0,0,0">
                  <w:txbxContent>
                    <w:p w14:paraId="28F1FF2C" w14:textId="0978D4D9" w:rsidR="003C1136" w:rsidRPr="000A1FFE" w:rsidRDefault="003C1136" w:rsidP="00294DDB">
                      <w:pPr>
                        <w:pStyle w:val="Caption"/>
                        <w:rPr>
                          <w:i w:val="0"/>
                          <w:iCs w:val="0"/>
                          <w:noProof/>
                        </w:rPr>
                      </w:pPr>
                    </w:p>
                  </w:txbxContent>
                </v:textbox>
                <w10:wrap type="topAndBottom"/>
              </v:shape>
            </w:pict>
          </mc:Fallback>
        </mc:AlternateContent>
      </w:r>
      <w:r w:rsidR="00496610">
        <w:t xml:space="preserve">            </w:t>
      </w:r>
      <w:r w:rsidR="0064371D">
        <w:t xml:space="preserve">In this </w:t>
      </w:r>
      <w:r w:rsidR="00112C40">
        <w:t>piece</w:t>
      </w:r>
      <w:r w:rsidR="0064371D">
        <w:t xml:space="preserve">, </w:t>
      </w:r>
      <w:r w:rsidR="0073496F">
        <w:t>a steady stream of men ascend</w:t>
      </w:r>
      <w:r w:rsidR="003B7D27">
        <w:t>s</w:t>
      </w:r>
      <w:r w:rsidR="0073496F">
        <w:t xml:space="preserve"> a ladder leading to an opening in the heavens in which waits Jesus Christ.</w:t>
      </w:r>
      <w:r w:rsidR="00063D81">
        <w:t xml:space="preserve">  Although the ascent appears chaotic, clamoring even, with men being pulled down by fallen angels </w:t>
      </w:r>
      <w:r w:rsidR="003B7D27">
        <w:t xml:space="preserve">with ropes </w:t>
      </w:r>
      <w:r w:rsidR="00063D81">
        <w:t xml:space="preserve">along the way, the men’s gazes </w:t>
      </w:r>
      <w:r w:rsidR="00DA25BA">
        <w:t>are undistracted and</w:t>
      </w:r>
      <w:r w:rsidR="00280651">
        <w:t xml:space="preserve"> </w:t>
      </w:r>
      <w:r w:rsidR="00063D81">
        <w:t>remain</w:t>
      </w:r>
      <w:r w:rsidR="00703CFC">
        <w:t xml:space="preserve"> lovingly</w:t>
      </w:r>
      <w:r w:rsidR="00063D81">
        <w:t xml:space="preserve"> </w:t>
      </w:r>
      <w:r w:rsidR="00496610">
        <w:t xml:space="preserve">and desperately </w:t>
      </w:r>
      <w:r w:rsidR="00063D81">
        <w:t xml:space="preserve">fixed </w:t>
      </w:r>
      <w:r w:rsidR="00E9680B">
        <w:t>upward toward</w:t>
      </w:r>
      <w:r w:rsidR="00063D81">
        <w:t xml:space="preserve"> Jesus.  Regarding the function of Christian images in the medieval period, Alexander says that images afforded “visual role mode</w:t>
      </w:r>
      <w:r w:rsidR="003B7D27">
        <w:t>l</w:t>
      </w:r>
      <w:r w:rsidR="00063D81">
        <w:t xml:space="preserve">s” and “served as markers with </w:t>
      </w:r>
      <w:r w:rsidR="00A419B6">
        <w:rPr>
          <w:noProof/>
        </w:rPr>
        <w:drawing>
          <wp:anchor distT="0" distB="0" distL="114300" distR="114300" simplePos="0" relativeHeight="251658240" behindDoc="0" locked="0" layoutInCell="1" allowOverlap="1" wp14:anchorId="0B72A7B1" wp14:editId="0FD69428">
            <wp:simplePos x="0" y="0"/>
            <wp:positionH relativeFrom="column">
              <wp:posOffset>982980</wp:posOffset>
            </wp:positionH>
            <wp:positionV relativeFrom="page">
              <wp:posOffset>948438</wp:posOffset>
            </wp:positionV>
            <wp:extent cx="3993515" cy="4981575"/>
            <wp:effectExtent l="0" t="0" r="6985"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ala Paradisi.jpg"/>
                    <pic:cNvPicPr/>
                  </pic:nvPicPr>
                  <pic:blipFill>
                    <a:blip r:embed="rId8">
                      <a:extLst>
                        <a:ext uri="{28A0092B-C50C-407E-A947-70E740481C1C}">
                          <a14:useLocalDpi xmlns:a14="http://schemas.microsoft.com/office/drawing/2010/main" val="0"/>
                        </a:ext>
                      </a:extLst>
                    </a:blip>
                    <a:stretch>
                      <a:fillRect/>
                    </a:stretch>
                  </pic:blipFill>
                  <pic:spPr>
                    <a:xfrm>
                      <a:off x="0" y="0"/>
                      <a:ext cx="3993515" cy="4981575"/>
                    </a:xfrm>
                    <a:prstGeom prst="rect">
                      <a:avLst/>
                    </a:prstGeom>
                  </pic:spPr>
                </pic:pic>
              </a:graphicData>
            </a:graphic>
            <wp14:sizeRelH relativeFrom="margin">
              <wp14:pctWidth>0</wp14:pctWidth>
            </wp14:sizeRelH>
            <wp14:sizeRelV relativeFrom="margin">
              <wp14:pctHeight>0</wp14:pctHeight>
            </wp14:sizeRelV>
          </wp:anchor>
        </w:drawing>
      </w:r>
      <w:r w:rsidR="00063D81">
        <w:t>resonances within the social practices of medieval society”.</w:t>
      </w:r>
      <w:r w:rsidR="00063D81">
        <w:rPr>
          <w:rStyle w:val="FootnoteReference"/>
        </w:rPr>
        <w:footnoteReference w:id="17"/>
      </w:r>
      <w:r w:rsidR="003B7D27">
        <w:t xml:space="preserve">  Viewers of this piece would understand the message of precarity in the journey to Heaven</w:t>
      </w:r>
      <w:r w:rsidR="00DA25BA">
        <w:t xml:space="preserve"> as translated by this image</w:t>
      </w:r>
      <w:r w:rsidR="003B7D27">
        <w:t xml:space="preserve">.  </w:t>
      </w:r>
      <w:r w:rsidR="00E9680B">
        <w:t>This precarity stems from the presence of those dark,</w:t>
      </w:r>
      <w:r w:rsidR="000A1FFE">
        <w:t xml:space="preserve"> </w:t>
      </w:r>
      <w:r w:rsidR="00250278">
        <w:rPr>
          <w:noProof/>
        </w:rPr>
        <mc:AlternateContent>
          <mc:Choice Requires="wps">
            <w:drawing>
              <wp:anchor distT="0" distB="0" distL="114300" distR="114300" simplePos="0" relativeHeight="251662336" behindDoc="0" locked="0" layoutInCell="1" allowOverlap="1" wp14:anchorId="098B396C" wp14:editId="79896638">
                <wp:simplePos x="0" y="0"/>
                <wp:positionH relativeFrom="column">
                  <wp:posOffset>667634</wp:posOffset>
                </wp:positionH>
                <wp:positionV relativeFrom="paragraph">
                  <wp:posOffset>4952586</wp:posOffset>
                </wp:positionV>
                <wp:extent cx="4372610" cy="429260"/>
                <wp:effectExtent l="0" t="0" r="8890" b="8890"/>
                <wp:wrapTopAndBottom/>
                <wp:docPr id="8" name="Text Box 8"/>
                <wp:cNvGraphicFramePr/>
                <a:graphic xmlns:a="http://schemas.openxmlformats.org/drawingml/2006/main">
                  <a:graphicData uri="http://schemas.microsoft.com/office/word/2010/wordprocessingShape">
                    <wps:wsp>
                      <wps:cNvSpPr txBox="1"/>
                      <wps:spPr>
                        <a:xfrm>
                          <a:off x="0" y="0"/>
                          <a:ext cx="4372610" cy="429260"/>
                        </a:xfrm>
                        <a:prstGeom prst="rect">
                          <a:avLst/>
                        </a:prstGeom>
                        <a:solidFill>
                          <a:prstClr val="white"/>
                        </a:solidFill>
                        <a:ln>
                          <a:noFill/>
                        </a:ln>
                      </wps:spPr>
                      <wps:txbx>
                        <w:txbxContent>
                          <w:p w14:paraId="64B489FF" w14:textId="7D1EEE0C" w:rsidR="00A419B6" w:rsidRPr="00A419B6" w:rsidRDefault="003C1136" w:rsidP="00A419B6">
                            <w:pPr>
                              <w:pStyle w:val="Caption"/>
                              <w:rPr>
                                <w:i w:val="0"/>
                                <w:iCs w:val="0"/>
                              </w:rPr>
                            </w:pPr>
                            <w:r w:rsidRPr="000A1FFE">
                              <w:rPr>
                                <w:i w:val="0"/>
                                <w:iCs w:val="0"/>
                              </w:rPr>
                              <w:t xml:space="preserve">Figure </w:t>
                            </w:r>
                            <w:r w:rsidRPr="000A1FFE">
                              <w:rPr>
                                <w:i w:val="0"/>
                                <w:iCs w:val="0"/>
                              </w:rPr>
                              <w:fldChar w:fldCharType="begin"/>
                            </w:r>
                            <w:r w:rsidRPr="000A1FFE">
                              <w:rPr>
                                <w:i w:val="0"/>
                                <w:iCs w:val="0"/>
                              </w:rPr>
                              <w:instrText xml:space="preserve"> SEQ Figure \* ARABIC </w:instrText>
                            </w:r>
                            <w:r w:rsidRPr="000A1FFE">
                              <w:rPr>
                                <w:i w:val="0"/>
                                <w:iCs w:val="0"/>
                              </w:rPr>
                              <w:fldChar w:fldCharType="separate"/>
                            </w:r>
                            <w:r>
                              <w:rPr>
                                <w:i w:val="0"/>
                                <w:iCs w:val="0"/>
                                <w:noProof/>
                              </w:rPr>
                              <w:t>1</w:t>
                            </w:r>
                            <w:r w:rsidRPr="000A1FFE">
                              <w:rPr>
                                <w:i w:val="0"/>
                                <w:iCs w:val="0"/>
                              </w:rPr>
                              <w:fldChar w:fldCharType="end"/>
                            </w:r>
                            <w:r w:rsidRPr="000A1FFE">
                              <w:rPr>
                                <w:i w:val="0"/>
                                <w:iCs w:val="0"/>
                              </w:rPr>
                              <w:t xml:space="preserve"> Anonymous-Byzantine, </w:t>
                            </w:r>
                            <w:r w:rsidRPr="000A1FFE">
                              <w:t xml:space="preserve">Depiction of Divine Ascent as described in the work of the same name by St. John </w:t>
                            </w:r>
                            <w:proofErr w:type="spellStart"/>
                            <w:r w:rsidRPr="000A1FFE">
                              <w:t>Climacus</w:t>
                            </w:r>
                            <w:proofErr w:type="spellEnd"/>
                            <w:r w:rsidRPr="000A1FFE">
                              <w:rPr>
                                <w:i w:val="0"/>
                                <w:iCs w:val="0"/>
                              </w:rPr>
                              <w:t xml:space="preserve">, </w:t>
                            </w:r>
                            <w:r>
                              <w:rPr>
                                <w:i w:val="0"/>
                                <w:iCs w:val="0"/>
                              </w:rPr>
                              <w:t xml:space="preserve">c. </w:t>
                            </w:r>
                            <w:r w:rsidRPr="000A1FFE">
                              <w:rPr>
                                <w:i w:val="0"/>
                                <w:iCs w:val="0"/>
                              </w:rPr>
                              <w:t>late 12</w:t>
                            </w:r>
                            <w:r w:rsidRPr="000A1FFE">
                              <w:rPr>
                                <w:i w:val="0"/>
                                <w:iCs w:val="0"/>
                                <w:vertAlign w:val="superscript"/>
                              </w:rPr>
                              <w:t>th</w:t>
                            </w:r>
                            <w:r w:rsidRPr="000A1FFE">
                              <w:rPr>
                                <w:i w:val="0"/>
                                <w:iCs w:val="0"/>
                              </w:rPr>
                              <w:t xml:space="preserve"> century, St. Catherine’s Monastery, South Sinai Governorate, Egypt. </w:t>
                            </w:r>
                            <w:r w:rsidRPr="000A1FFE">
                              <w:t>Image</w:t>
                            </w:r>
                            <w:r w:rsidRPr="000A1FFE">
                              <w:rPr>
                                <w:i w:val="0"/>
                                <w:iCs w:val="0"/>
                              </w:rPr>
                              <w:t>: The Warburg Institute</w:t>
                            </w:r>
                            <w:r>
                              <w:rPr>
                                <w:i w:val="0"/>
                                <w:iCs w:val="0"/>
                              </w:rPr>
                              <w:t xml:space="preserve"> Iconographic Database</w:t>
                            </w:r>
                            <w:r w:rsidRPr="000A1FFE">
                              <w:rPr>
                                <w:i w:val="0"/>
                                <w:iCs w:val="0"/>
                              </w:rPr>
                              <w:t>.</w:t>
                            </w:r>
                          </w:p>
                          <w:p w14:paraId="0D7EC5CF" w14:textId="3BD3BEC6" w:rsidR="003C1136" w:rsidRPr="00380A6D" w:rsidRDefault="003C1136" w:rsidP="00250278">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8B396C" id="Text Box 8" o:spid="_x0000_s1027" type="#_x0000_t202" style="position:absolute;margin-left:52.55pt;margin-top:389.95pt;width:344.3pt;height:33.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" stroked="f">
                <v:textbox inset="0,0,0,0">
                  <w:txbxContent>
                    <w:p w14:paraId="64B489FF" w14:textId="7D1EEE0C" w:rsidR="00A419B6" w:rsidRPr="00A419B6" w:rsidRDefault="003C1136" w:rsidP="00A419B6">
                      <w:pPr>
                        <w:pStyle w:val="Caption"/>
                        <w:rPr>
                          <w:i w:val="0"/>
                          <w:iCs w:val="0"/>
                        </w:rPr>
                      </w:pPr>
                      <w:r w:rsidRPr="000A1FFE">
                        <w:rPr>
                          <w:i w:val="0"/>
                          <w:iCs w:val="0"/>
                        </w:rPr>
                        <w:t xml:space="preserve">Figure </w:t>
                      </w:r>
                      <w:r w:rsidRPr="000A1FFE">
                        <w:rPr>
                          <w:i w:val="0"/>
                          <w:iCs w:val="0"/>
                        </w:rPr>
                        <w:fldChar w:fldCharType="begin"/>
                      </w:r>
                      <w:r w:rsidRPr="000A1FFE">
                        <w:rPr>
                          <w:i w:val="0"/>
                          <w:iCs w:val="0"/>
                        </w:rPr>
                        <w:instrText xml:space="preserve"> SEQ Figure \* ARABIC </w:instrText>
                      </w:r>
                      <w:r w:rsidRPr="000A1FFE">
                        <w:rPr>
                          <w:i w:val="0"/>
                          <w:iCs w:val="0"/>
                        </w:rPr>
                        <w:fldChar w:fldCharType="separate"/>
                      </w:r>
                      <w:r>
                        <w:rPr>
                          <w:i w:val="0"/>
                          <w:iCs w:val="0"/>
                          <w:noProof/>
                        </w:rPr>
                        <w:t>1</w:t>
                      </w:r>
                      <w:r w:rsidRPr="000A1FFE">
                        <w:rPr>
                          <w:i w:val="0"/>
                          <w:iCs w:val="0"/>
                        </w:rPr>
                        <w:fldChar w:fldCharType="end"/>
                      </w:r>
                      <w:r w:rsidRPr="000A1FFE">
                        <w:rPr>
                          <w:i w:val="0"/>
                          <w:iCs w:val="0"/>
                        </w:rPr>
                        <w:t xml:space="preserve"> Anonymous-Byzantine, </w:t>
                      </w:r>
                      <w:r w:rsidRPr="000A1FFE">
                        <w:t xml:space="preserve">Depiction of Divine Ascent as described in the work of the same name by St. John </w:t>
                      </w:r>
                      <w:proofErr w:type="spellStart"/>
                      <w:r w:rsidRPr="000A1FFE">
                        <w:t>Climacus</w:t>
                      </w:r>
                      <w:proofErr w:type="spellEnd"/>
                      <w:r w:rsidRPr="000A1FFE">
                        <w:rPr>
                          <w:i w:val="0"/>
                          <w:iCs w:val="0"/>
                        </w:rPr>
                        <w:t xml:space="preserve">, </w:t>
                      </w:r>
                      <w:r>
                        <w:rPr>
                          <w:i w:val="0"/>
                          <w:iCs w:val="0"/>
                        </w:rPr>
                        <w:t xml:space="preserve">c. </w:t>
                      </w:r>
                      <w:r w:rsidRPr="000A1FFE">
                        <w:rPr>
                          <w:i w:val="0"/>
                          <w:iCs w:val="0"/>
                        </w:rPr>
                        <w:t>late 12</w:t>
                      </w:r>
                      <w:r w:rsidRPr="000A1FFE">
                        <w:rPr>
                          <w:i w:val="0"/>
                          <w:iCs w:val="0"/>
                          <w:vertAlign w:val="superscript"/>
                        </w:rPr>
                        <w:t>th</w:t>
                      </w:r>
                      <w:r w:rsidRPr="000A1FFE">
                        <w:rPr>
                          <w:i w:val="0"/>
                          <w:iCs w:val="0"/>
                        </w:rPr>
                        <w:t xml:space="preserve"> century, St. Catherine’s Monastery, South Sinai Governorate, Egypt. </w:t>
                      </w:r>
                      <w:r w:rsidRPr="000A1FFE">
                        <w:t>Image</w:t>
                      </w:r>
                      <w:r w:rsidRPr="000A1FFE">
                        <w:rPr>
                          <w:i w:val="0"/>
                          <w:iCs w:val="0"/>
                        </w:rPr>
                        <w:t>: The Warburg Institute</w:t>
                      </w:r>
                      <w:r>
                        <w:rPr>
                          <w:i w:val="0"/>
                          <w:iCs w:val="0"/>
                        </w:rPr>
                        <w:t xml:space="preserve"> Iconographic Database</w:t>
                      </w:r>
                      <w:r w:rsidRPr="000A1FFE">
                        <w:rPr>
                          <w:i w:val="0"/>
                          <w:iCs w:val="0"/>
                        </w:rPr>
                        <w:t>.</w:t>
                      </w:r>
                    </w:p>
                    <w:p w14:paraId="0D7EC5CF" w14:textId="3BD3BEC6" w:rsidR="003C1136" w:rsidRPr="00380A6D" w:rsidRDefault="003C1136" w:rsidP="00250278">
                      <w:pPr>
                        <w:pStyle w:val="Caption"/>
                        <w:rPr>
                          <w:noProof/>
                        </w:rPr>
                      </w:pPr>
                    </w:p>
                  </w:txbxContent>
                </v:textbox>
                <w10:wrap type="topAndBottom"/>
              </v:shape>
            </w:pict>
          </mc:Fallback>
        </mc:AlternateContent>
      </w:r>
      <w:r w:rsidR="00E9680B">
        <w:t xml:space="preserve">winged figures who seem to display a certain </w:t>
      </w:r>
      <w:r w:rsidR="00DA25BA">
        <w:t>indifference</w:t>
      </w:r>
      <w:r w:rsidR="00E9680B">
        <w:t xml:space="preserve"> about the</w:t>
      </w:r>
      <w:r w:rsidR="00DA25BA">
        <w:t>ir work as though</w:t>
      </w:r>
      <w:r w:rsidR="0077667F">
        <w:t xml:space="preserve"> it was a monotonous day-job</w:t>
      </w:r>
      <w:r w:rsidR="00E9680B">
        <w:t>.  The</w:t>
      </w:r>
      <w:r w:rsidR="00703CFC">
        <w:t xml:space="preserve"> figures carrying bows and arrows</w:t>
      </w:r>
      <w:r w:rsidR="00E9680B">
        <w:t xml:space="preserve"> can be interpreted as Augustine’s </w:t>
      </w:r>
      <w:r w:rsidR="00035589">
        <w:t>concept</w:t>
      </w:r>
      <w:r w:rsidR="00E9680B">
        <w:t xml:space="preserve"> of chance</w:t>
      </w:r>
      <w:r w:rsidR="00703CFC">
        <w:t xml:space="preserve"> while the figures with ropes can be seen as his concept of consequence of choice</w:t>
      </w:r>
      <w:r w:rsidR="00E9680B">
        <w:t>.</w:t>
      </w:r>
      <w:r w:rsidR="00035589">
        <w:t xml:space="preserve">  </w:t>
      </w:r>
      <w:r w:rsidR="00644010">
        <w:t xml:space="preserve">As one </w:t>
      </w:r>
      <w:r w:rsidR="00496610">
        <w:t xml:space="preserve">metaphorically </w:t>
      </w:r>
      <w:r w:rsidR="00644010">
        <w:t xml:space="preserve">climbs the ladder to heaven (walks a righteous path, chooses good over sin, </w:t>
      </w:r>
      <w:proofErr w:type="spellStart"/>
      <w:r w:rsidR="00644010">
        <w:t>etc</w:t>
      </w:r>
      <w:proofErr w:type="spellEnd"/>
      <w:r w:rsidR="00644010">
        <w:t xml:space="preserve">), there are moments of faltering.  When an individual chooses to wield his free will for the purposes of sin, no matter how momentary the weakness, the consequences fell his soul swiftly.  The </w:t>
      </w:r>
      <w:r w:rsidR="00644010">
        <w:lastRenderedPageBreak/>
        <w:t>arrows being launched at the men on the ladder can be seen as an external force.  A force which chooses when to strike, stealing agency from any individual attempting to live a life</w:t>
      </w:r>
      <w:r w:rsidR="008656AD">
        <w:t xml:space="preserve"> over which he has control</w:t>
      </w:r>
      <w:r w:rsidR="00644010">
        <w:t xml:space="preserve">.  Those arrows, however, and the figures carrying them, can also be seen as </w:t>
      </w:r>
      <w:r w:rsidR="008E6030">
        <w:t>lying</w:t>
      </w:r>
      <w:r w:rsidR="00644010">
        <w:t xml:space="preserve"> in wait to swoop in at the moment of misstep </w:t>
      </w:r>
      <w:r w:rsidR="00B77EE8">
        <w:t>–</w:t>
      </w:r>
      <w:r w:rsidR="00644010">
        <w:t xml:space="preserve"> at the moment when free will is used by someone for sin.  </w:t>
      </w:r>
      <w:r w:rsidR="008E6030">
        <w:t>Once the choice to sin is made, the ropes pull those souls mercilessly into the unknown hole of darkness.</w:t>
      </w:r>
    </w:p>
    <w:p w14:paraId="16FFFF75" w14:textId="5B3B8FFD" w:rsidR="00AC7536" w:rsidRDefault="00B77EE8" w:rsidP="000A1FFE">
      <w:pPr>
        <w:tabs>
          <w:tab w:val="left" w:pos="2700"/>
        </w:tabs>
      </w:pPr>
      <w:r>
        <w:t xml:space="preserve">            </w:t>
      </w:r>
      <w:r w:rsidR="008E6030">
        <w:t xml:space="preserve">Jesus’ presence at the top of the ladder, beckoning the climbers, is reminiscent of Magnus.  It is as though he is overseeing and orchestrating the </w:t>
      </w:r>
      <w:r w:rsidR="008656AD">
        <w:t>journey</w:t>
      </w:r>
      <w:r w:rsidR="008E6030">
        <w:t>, but the responsibility for the outcome</w:t>
      </w:r>
      <w:r w:rsidR="00294DDB">
        <w:t>s</w:t>
      </w:r>
      <w:r w:rsidR="008E6030">
        <w:t xml:space="preserve"> of actions is placed squarely on the shoulders of men and their free will</w:t>
      </w:r>
      <w:r w:rsidR="008656AD">
        <w:t>. T</w:t>
      </w:r>
      <w:r w:rsidR="008E6030">
        <w:t>heir position on the ladder</w:t>
      </w:r>
      <w:r w:rsidR="008656AD">
        <w:t xml:space="preserve"> in relation to the divine and the structure and direction of the ladder itself</w:t>
      </w:r>
      <w:r w:rsidR="008E6030">
        <w:t xml:space="preserve"> </w:t>
      </w:r>
      <w:r w:rsidR="008656AD">
        <w:t xml:space="preserve">contain no </w:t>
      </w:r>
      <w:proofErr w:type="spellStart"/>
      <w:r w:rsidR="008656AD">
        <w:t>prognosticatory</w:t>
      </w:r>
      <w:proofErr w:type="spellEnd"/>
      <w:r w:rsidR="008656AD">
        <w:t xml:space="preserve"> power</w:t>
      </w:r>
      <w:r w:rsidR="008E6030">
        <w:t>.  This interpretation parallels</w:t>
      </w:r>
      <w:r w:rsidR="008656AD">
        <w:t>, and even serves as a microcosm of,</w:t>
      </w:r>
      <w:r w:rsidR="008E6030">
        <w:t xml:space="preserve"> Magnus’ </w:t>
      </w:r>
      <w:r w:rsidR="008656AD">
        <w:t>astrology.  The positions and motions of the planets – much like the positions of the ladder’s rungs – cannot determine the future of an individual’s journey</w:t>
      </w:r>
      <w:r w:rsidR="008E6030">
        <w:t xml:space="preserve">. </w:t>
      </w:r>
      <w:r w:rsidR="008656AD">
        <w:t xml:space="preserve">It is the choices one </w:t>
      </w:r>
      <w:r w:rsidR="00294DDB">
        <w:t xml:space="preserve">makes </w:t>
      </w:r>
      <w:r w:rsidR="008656AD">
        <w:t>on his way which changes the course of the future.</w:t>
      </w:r>
    </w:p>
    <w:p w14:paraId="27B47260" w14:textId="77777777" w:rsidR="00AC7536" w:rsidRPr="00B77EE8" w:rsidRDefault="00AC7536" w:rsidP="00AC7536">
      <w:pPr>
        <w:tabs>
          <w:tab w:val="left" w:pos="2700"/>
        </w:tabs>
        <w:rPr>
          <w:b/>
          <w:bCs/>
        </w:rPr>
      </w:pPr>
      <w:r w:rsidRPr="00B77EE8">
        <w:rPr>
          <w:b/>
          <w:bCs/>
        </w:rPr>
        <w:t>The Wheel of Fortune</w:t>
      </w:r>
    </w:p>
    <w:p w14:paraId="20E2611E" w14:textId="33CF2F7C" w:rsidR="00AC7536" w:rsidRDefault="00AC7536" w:rsidP="000A1FFE">
      <w:pPr>
        <w:tabs>
          <w:tab w:val="left" w:pos="2700"/>
        </w:tabs>
      </w:pPr>
      <w:r>
        <w:t xml:space="preserve">      Still popular today, a common icon of the medieval period was the Wheel of Fortune</w:t>
      </w:r>
      <w:r w:rsidR="0057288D">
        <w:t xml:space="preserve">.  </w:t>
      </w:r>
      <w:r w:rsidR="00630355">
        <w:t>The main image in fortune’s depiction is Lady Fortune.  From serving as “an instrument of divine justice” to becoming “the embodiment of chance”, this Lady has been depicted in many roles with many different capacities and capabilities.</w:t>
      </w:r>
      <w:r w:rsidR="00630355">
        <w:rPr>
          <w:rStyle w:val="FootnoteReference"/>
        </w:rPr>
        <w:footnoteReference w:id="18"/>
      </w:r>
      <w:r w:rsidR="00630355">
        <w:t xml:space="preserve">  As an icon, these many different roles can be extended to the broader relationship between free will, divine providence, and astrology. </w:t>
      </w:r>
      <w:r>
        <w:t xml:space="preserve">What is remarkable about this particular icon </w:t>
      </w:r>
      <w:r w:rsidR="001C16D4">
        <w:t>is the deliberate changes in its aesthetic over time to reflect the socio-political-theological shifts “in the balance of interpretation” in terms of the plausibility of free will and divine providence</w:t>
      </w:r>
      <w:r w:rsidR="00B77EE8">
        <w:t>’s cooperation</w:t>
      </w:r>
      <w:r w:rsidR="001C16D4">
        <w:t>, and the attempts to reconcile the two.</w:t>
      </w:r>
      <w:r w:rsidR="001C16D4">
        <w:rPr>
          <w:rStyle w:val="FootnoteReference"/>
        </w:rPr>
        <w:footnoteReference w:id="19"/>
      </w:r>
      <w:r w:rsidR="001C16D4">
        <w:t xml:space="preserve">  </w:t>
      </w:r>
    </w:p>
    <w:p w14:paraId="4DC12D14" w14:textId="626FC87D" w:rsidR="002D041E" w:rsidRDefault="0057288D" w:rsidP="002D041E">
      <w:pPr>
        <w:tabs>
          <w:tab w:val="left" w:pos="2700"/>
        </w:tabs>
      </w:pPr>
      <w:r>
        <w:t xml:space="preserve">      </w:t>
      </w:r>
      <w:r w:rsidR="00630355">
        <w:t>The two images below are roughly from the same time period (mid-15</w:t>
      </w:r>
      <w:r w:rsidR="00630355" w:rsidRPr="00630355">
        <w:rPr>
          <w:vertAlign w:val="superscript"/>
        </w:rPr>
        <w:t>th</w:t>
      </w:r>
      <w:r w:rsidR="00630355">
        <w:t xml:space="preserve"> century)</w:t>
      </w:r>
      <w:r w:rsidR="00A8160F">
        <w:t>, and although they ultimately display the same theological stance,</w:t>
      </w:r>
      <w:r w:rsidR="00630355">
        <w:t xml:space="preserve"> </w:t>
      </w:r>
      <w:r w:rsidR="00A8160F">
        <w:t>t</w:t>
      </w:r>
      <w:r w:rsidR="00630355">
        <w:t xml:space="preserve">he role of Lady Fortune </w:t>
      </w:r>
      <w:r w:rsidR="00A8160F">
        <w:t xml:space="preserve">and those positioned on her wheel </w:t>
      </w:r>
      <w:r w:rsidR="00630355">
        <w:t>in them</w:t>
      </w:r>
      <w:r w:rsidR="00A8160F">
        <w:t xml:space="preserve"> differs </w:t>
      </w:r>
      <w:r w:rsidR="00630355">
        <w:t xml:space="preserve">greatly.  The first image (Figure 2) is from the frontispiece of </w:t>
      </w:r>
      <w:r w:rsidR="005E2A3F">
        <w:t>Boethius’ ‘On the consolation of Philosophy’.  On the left we see Boethius listening to the teachings of Lady Philosophy</w:t>
      </w:r>
      <w:r w:rsidR="00CA6B44">
        <w:t>.  On the right</w:t>
      </w:r>
      <w:r w:rsidR="00AB23D5">
        <w:t>,</w:t>
      </w:r>
      <w:r w:rsidR="00CA6B44">
        <w:t xml:space="preserve"> Lady Fortune spins her wheel while eyeing Boethius</w:t>
      </w:r>
      <w:r w:rsidR="00A8160F">
        <w:t xml:space="preserve"> from a distance</w:t>
      </w:r>
      <w:r w:rsidR="00CA6B44">
        <w:t xml:space="preserve">.  </w:t>
      </w:r>
      <w:r w:rsidR="00AB23D5">
        <w:t xml:space="preserve">The figures on Lady Fortune’s wheel </w:t>
      </w:r>
      <w:r w:rsidR="00A8160F">
        <w:t>are clearly</w:t>
      </w:r>
      <w:r w:rsidR="00AB23D5">
        <w:t xml:space="preserve"> at the mercy of her turning rather than </w:t>
      </w:r>
      <w:r w:rsidR="00A8160F">
        <w:t>wielding</w:t>
      </w:r>
      <w:r w:rsidR="00AB23D5">
        <w:t xml:space="preserve"> their</w:t>
      </w:r>
      <w:r w:rsidR="00A8160F">
        <w:t xml:space="preserve"> own</w:t>
      </w:r>
      <w:r w:rsidR="00AB23D5">
        <w:t xml:space="preserve"> will.  Even though the work itself is still, the motion of the wheel is more than evident in the helpless positions of those seated there</w:t>
      </w:r>
      <w:r w:rsidR="00A8160F">
        <w:t xml:space="preserve"> – the ascending figure looking expectantly upward toward the king sitting stoically upright and erect at the top, then the downward-facing and submissive figure </w:t>
      </w:r>
      <w:r w:rsidR="003C1136">
        <w:t>plummeting</w:t>
      </w:r>
      <w:r w:rsidR="00A8160F">
        <w:t xml:space="preserve"> toward the bottom of the wheel where there sits a deeply pathetic and traumatized figure who has succumbed, crown and all, to the cycle of fortune</w:t>
      </w:r>
      <w:r w:rsidR="00AB23D5">
        <w:t>.  According to Samuel C. Chew, this particular depiction of Lady</w:t>
      </w:r>
      <w:r w:rsidR="00B77EE8">
        <w:t xml:space="preserve"> </w:t>
      </w:r>
      <w:r w:rsidR="00AB23D5">
        <w:t>Fortune does not show her actions as “whimsical and incalculable” but as “the agent of God’s justice”.</w:t>
      </w:r>
      <w:r w:rsidR="00AB23D5">
        <w:rPr>
          <w:rStyle w:val="FootnoteReference"/>
        </w:rPr>
        <w:footnoteReference w:id="20"/>
      </w:r>
      <w:r w:rsidR="00AB23D5">
        <w:t xml:space="preserve">  </w:t>
      </w:r>
      <w:r w:rsidR="00EA45FB">
        <w:t>It is in this sense that the</w:t>
      </w:r>
      <w:r w:rsidR="00AB23D5">
        <w:t xml:space="preserve"> wheel </w:t>
      </w:r>
      <w:r w:rsidR="00EA45FB">
        <w:t>echoes Augustine’s argument for the relevance of astrology</w:t>
      </w:r>
      <w:r w:rsidR="00644F2C">
        <w:t>, t</w:t>
      </w:r>
      <w:r w:rsidR="00EA45FB">
        <w:t xml:space="preserve">hat the presence of divine providence proves </w:t>
      </w:r>
      <w:r w:rsidR="00644F2C">
        <w:t xml:space="preserve">the existence of </w:t>
      </w:r>
      <w:r w:rsidR="00EA45FB">
        <w:t xml:space="preserve">free will and vice versa.  At first glance it seems, as mentioned before, that the figures seated on Lady Fortune’s wheel have no agency and are locked in its </w:t>
      </w:r>
      <w:r w:rsidR="002D041E">
        <w:t xml:space="preserve">spinning </w:t>
      </w:r>
      <w:r w:rsidR="002D041E">
        <w:lastRenderedPageBreak/>
        <w:t>motion.  However, if divine justice is working through Lady Fortune, free will</w:t>
      </w:r>
      <w:r w:rsidR="00644F2C">
        <w:t>, according to Augustine,</w:t>
      </w:r>
      <w:r w:rsidR="002D041E">
        <w:t xml:space="preserve"> is also present and involved in the wheel’s motion regardless of its momentum just as it influences the outcome of someone’s fate regardless of sidereal positioning.</w:t>
      </w:r>
    </w:p>
    <w:p w14:paraId="7D2A129D" w14:textId="507A11E7" w:rsidR="002D041E" w:rsidRDefault="002D041E" w:rsidP="00F07F22">
      <w:pPr>
        <w:tabs>
          <w:tab w:val="left" w:pos="2700"/>
        </w:tabs>
      </w:pPr>
      <w:r>
        <w:rPr>
          <w:noProof/>
        </w:rPr>
        <w:drawing>
          <wp:anchor distT="0" distB="0" distL="114300" distR="114300" simplePos="0" relativeHeight="251663360" behindDoc="0" locked="0" layoutInCell="1" allowOverlap="1" wp14:anchorId="044C0AC7" wp14:editId="3B6FCAFD">
            <wp:simplePos x="0" y="0"/>
            <wp:positionH relativeFrom="column">
              <wp:posOffset>-6781</wp:posOffset>
            </wp:positionH>
            <wp:positionV relativeFrom="page">
              <wp:posOffset>1064583</wp:posOffset>
            </wp:positionV>
            <wp:extent cx="5943600" cy="594360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rontspiece_Boethius_Lady Philosophy.jpg"/>
                    <pic:cNvPicPr/>
                  </pic:nvPicPr>
                  <pic:blipFill>
                    <a:blip r:embed="rId9">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anchor>
        </w:drawing>
      </w:r>
    </w:p>
    <w:p w14:paraId="3E8E0087" w14:textId="660F4F02" w:rsidR="002D041E" w:rsidRPr="002D041E" w:rsidRDefault="002D041E" w:rsidP="002D041E">
      <w:pPr>
        <w:pStyle w:val="Caption"/>
        <w:rPr>
          <w:i w:val="0"/>
          <w:iCs w:val="0"/>
        </w:rPr>
      </w:pPr>
      <w:r w:rsidRPr="008E61B1">
        <w:rPr>
          <w:i w:val="0"/>
          <w:iCs w:val="0"/>
        </w:rPr>
        <w:t xml:space="preserve">Figure </w:t>
      </w:r>
      <w:r w:rsidR="00E355AF">
        <w:rPr>
          <w:i w:val="0"/>
          <w:iCs w:val="0"/>
        </w:rPr>
        <w:t>2</w:t>
      </w:r>
      <w:r w:rsidRPr="008E61B1">
        <w:rPr>
          <w:i w:val="0"/>
          <w:iCs w:val="0"/>
        </w:rPr>
        <w:t>. M</w:t>
      </w:r>
      <w:r>
        <w:rPr>
          <w:i w:val="0"/>
          <w:iCs w:val="0"/>
        </w:rPr>
        <w:t>320</w:t>
      </w:r>
      <w:r w:rsidRPr="008E61B1">
        <w:rPr>
          <w:i w:val="0"/>
          <w:iCs w:val="0"/>
        </w:rPr>
        <w:t xml:space="preserve">, Maître de </w:t>
      </w:r>
      <w:proofErr w:type="spellStart"/>
      <w:r w:rsidRPr="008E61B1">
        <w:rPr>
          <w:i w:val="0"/>
          <w:iCs w:val="0"/>
        </w:rPr>
        <w:t>Coëtivy</w:t>
      </w:r>
      <w:proofErr w:type="spellEnd"/>
      <w:r w:rsidRPr="008E61B1">
        <w:rPr>
          <w:i w:val="0"/>
          <w:iCs w:val="0"/>
        </w:rPr>
        <w:t xml:space="preserve"> (Active 1450-1500),</w:t>
      </w:r>
      <w:r w:rsidRPr="008E61B1">
        <w:t xml:space="preserve"> </w:t>
      </w:r>
      <w:r>
        <w:t xml:space="preserve">Frontispiece of Book II of Boethius’ ‘De </w:t>
      </w:r>
      <w:proofErr w:type="spellStart"/>
      <w:r>
        <w:t>Consolatione</w:t>
      </w:r>
      <w:proofErr w:type="spellEnd"/>
      <w:r>
        <w:t xml:space="preserve"> </w:t>
      </w:r>
      <w:proofErr w:type="spellStart"/>
      <w:r>
        <w:t>Philosophiae</w:t>
      </w:r>
      <w:proofErr w:type="spellEnd"/>
      <w:r w:rsidRPr="008E61B1">
        <w:rPr>
          <w:i w:val="0"/>
          <w:iCs w:val="0"/>
        </w:rPr>
        <w:t xml:space="preserve">, c. 1460 – 1470, </w:t>
      </w:r>
      <w:r>
        <w:rPr>
          <w:i w:val="0"/>
          <w:iCs w:val="0"/>
        </w:rPr>
        <w:t>Gouache, ink, and gold on vellum</w:t>
      </w:r>
      <w:r w:rsidRPr="008E61B1">
        <w:rPr>
          <w:i w:val="0"/>
          <w:iCs w:val="0"/>
        </w:rPr>
        <w:t xml:space="preserve">, </w:t>
      </w:r>
      <w:r>
        <w:rPr>
          <w:i w:val="0"/>
          <w:iCs w:val="0"/>
        </w:rPr>
        <w:t xml:space="preserve">241 </w:t>
      </w:r>
      <w:r w:rsidRPr="008E61B1">
        <w:rPr>
          <w:i w:val="0"/>
          <w:iCs w:val="0"/>
        </w:rPr>
        <w:t xml:space="preserve">mm x </w:t>
      </w:r>
      <w:r>
        <w:rPr>
          <w:i w:val="0"/>
          <w:iCs w:val="0"/>
        </w:rPr>
        <w:t xml:space="preserve">165 </w:t>
      </w:r>
      <w:r w:rsidRPr="008E61B1">
        <w:rPr>
          <w:i w:val="0"/>
          <w:iCs w:val="0"/>
        </w:rPr>
        <w:t xml:space="preserve">mm, </w:t>
      </w:r>
      <w:r>
        <w:rPr>
          <w:i w:val="0"/>
          <w:iCs w:val="0"/>
        </w:rPr>
        <w:t>The Wallace Collection Sixteenth Century Gallery, London, England</w:t>
      </w:r>
      <w:r w:rsidRPr="008E61B1">
        <w:rPr>
          <w:i w:val="0"/>
          <w:iCs w:val="0"/>
        </w:rPr>
        <w:t xml:space="preserve">. </w:t>
      </w:r>
      <w:r w:rsidRPr="008E61B1">
        <w:t>Image</w:t>
      </w:r>
      <w:r w:rsidRPr="008E61B1">
        <w:rPr>
          <w:i w:val="0"/>
          <w:iCs w:val="0"/>
        </w:rPr>
        <w:t>: Wallace Collection.</w:t>
      </w:r>
      <w:r>
        <w:t xml:space="preserve">     </w:t>
      </w:r>
    </w:p>
    <w:p w14:paraId="2CE2B986" w14:textId="00ADF50F" w:rsidR="00816DE8" w:rsidRDefault="002D041E" w:rsidP="00F07F22">
      <w:pPr>
        <w:tabs>
          <w:tab w:val="left" w:pos="2700"/>
        </w:tabs>
      </w:pPr>
      <w:r>
        <w:t xml:space="preserve">            </w:t>
      </w:r>
      <w:r w:rsidR="00F07F22">
        <w:t xml:space="preserve">The next image (Figure 3) is from the manuscript of John Lydgate’s </w:t>
      </w:r>
      <w:r>
        <w:t>‘</w:t>
      </w:r>
      <w:r w:rsidR="00F07F22">
        <w:t>Siege of Troy</w:t>
      </w:r>
      <w:r>
        <w:t>’</w:t>
      </w:r>
      <w:r w:rsidR="00F07F22">
        <w:t xml:space="preserve">.  In it we again see Lady Fortune and her wheel.  This time, though, the manuscript’s illuminator depicted “people </w:t>
      </w:r>
      <w:r w:rsidR="00F07F22" w:rsidRPr="00F07F22">
        <w:rPr>
          <w:i/>
          <w:iCs/>
        </w:rPr>
        <w:t>mounting</w:t>
      </w:r>
      <w:r w:rsidR="00F07F22">
        <w:t xml:space="preserve"> the wheel”, making a “conscious choice to open oneself up to Fortune’s whims” in hopes of </w:t>
      </w:r>
      <w:r w:rsidR="00F07F22">
        <w:lastRenderedPageBreak/>
        <w:t>making an effective enough appeal to her to gain her sympathy.</w:t>
      </w:r>
      <w:r w:rsidR="00F07F22">
        <w:rPr>
          <w:rStyle w:val="FootnoteReference"/>
        </w:rPr>
        <w:footnoteReference w:id="21"/>
      </w:r>
      <w:r w:rsidR="00110FCF">
        <w:t xml:space="preserve">  Although these people </w:t>
      </w:r>
      <w:r w:rsidR="00D2697E">
        <w:t xml:space="preserve">employ their free will and </w:t>
      </w:r>
      <w:r>
        <w:t xml:space="preserve">mount the wheel by choice, the results for each of them are the same.  Each one, in his or </w:t>
      </w:r>
      <w:r w:rsidR="00816DE8">
        <w:rPr>
          <w:noProof/>
        </w:rPr>
        <w:drawing>
          <wp:inline distT="0" distB="0" distL="0" distR="0" wp14:anchorId="32891EC9" wp14:editId="3146012E">
            <wp:extent cx="5943600" cy="54635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Queen of Fortune.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5463540"/>
                    </a:xfrm>
                    <a:prstGeom prst="rect">
                      <a:avLst/>
                    </a:prstGeom>
                  </pic:spPr>
                </pic:pic>
              </a:graphicData>
            </a:graphic>
          </wp:inline>
        </w:drawing>
      </w:r>
    </w:p>
    <w:p w14:paraId="7D128461" w14:textId="753E9CAC" w:rsidR="00816DE8" w:rsidRPr="00816DE8" w:rsidRDefault="00816DE8" w:rsidP="00816DE8">
      <w:pPr>
        <w:pStyle w:val="Caption"/>
        <w:rPr>
          <w:i w:val="0"/>
          <w:iCs w:val="0"/>
        </w:rPr>
      </w:pPr>
      <w:r w:rsidRPr="00110FCF">
        <w:rPr>
          <w:i w:val="0"/>
          <w:iCs w:val="0"/>
        </w:rPr>
        <w:t xml:space="preserve">Figure </w:t>
      </w:r>
      <w:r w:rsidR="00E355AF">
        <w:rPr>
          <w:i w:val="0"/>
          <w:iCs w:val="0"/>
        </w:rPr>
        <w:t>3</w:t>
      </w:r>
      <w:r w:rsidRPr="00110FCF">
        <w:rPr>
          <w:i w:val="0"/>
          <w:iCs w:val="0"/>
        </w:rPr>
        <w:t xml:space="preserve"> English MS 1, Anonymous, </w:t>
      </w:r>
      <w:r w:rsidRPr="00110FCF">
        <w:t>Wheel of Fortune</w:t>
      </w:r>
      <w:r w:rsidRPr="00110FCF">
        <w:rPr>
          <w:i w:val="0"/>
          <w:iCs w:val="0"/>
        </w:rPr>
        <w:t>, c. mid-15</w:t>
      </w:r>
      <w:r w:rsidRPr="00110FCF">
        <w:rPr>
          <w:i w:val="0"/>
          <w:iCs w:val="0"/>
          <w:vertAlign w:val="superscript"/>
        </w:rPr>
        <w:t>th</w:t>
      </w:r>
      <w:r w:rsidRPr="00110FCF">
        <w:rPr>
          <w:i w:val="0"/>
          <w:iCs w:val="0"/>
        </w:rPr>
        <w:t xml:space="preserve"> century, ink on vellum, 451 mm x 326 mm, The University of Manchester Library, U.K. </w:t>
      </w:r>
      <w:r w:rsidRPr="00110FCF">
        <w:t>Image</w:t>
      </w:r>
      <w:r w:rsidRPr="00110FCF">
        <w:rPr>
          <w:i w:val="0"/>
          <w:iCs w:val="0"/>
        </w:rPr>
        <w:t>: The University of Manchester Medieval Collection.</w:t>
      </w:r>
    </w:p>
    <w:p w14:paraId="2C06DFDF" w14:textId="0296147B" w:rsidR="003C1136" w:rsidRDefault="002D041E" w:rsidP="00F07F22">
      <w:pPr>
        <w:tabs>
          <w:tab w:val="left" w:pos="2700"/>
        </w:tabs>
      </w:pPr>
      <w:r>
        <w:t>her hubris</w:t>
      </w:r>
      <w:r w:rsidR="00816DE8">
        <w:t xml:space="preserve">, </w:t>
      </w:r>
      <w:r w:rsidR="003C1136">
        <w:t>p</w:t>
      </w:r>
      <w:r w:rsidR="00816DE8">
        <w:t>lunges to the bottom of the wheel.</w:t>
      </w:r>
      <w:r w:rsidR="00D2697E">
        <w:t xml:space="preserve">  In this way, divine providence, through Lady Fortune, and free will work in tandem to rectify any imbalance in the existence of the two and to ensure their continued cooperation.  This image resonates with the astrological proofs put forward by Ptolemy, Augustine, and Albertus.  As in Ptolemy and Augustine, the motion of all is directed by a Prime Mover, i.e. the work of Lady Fortune as God’s instrument</w:t>
      </w:r>
      <w:r w:rsidR="00D36321">
        <w:t xml:space="preserve"> of justice.  In terms of Augustine’s ideas, the free choice depicted in this image of each person to mount the wheel does not preclude God’s providence </w:t>
      </w:r>
      <w:r w:rsidR="00D36321">
        <w:lastRenderedPageBreak/>
        <w:t xml:space="preserve">over the results of his or her decisions.  Concomitantly, god’s providence does not preclude the use of free will to make choices for one’s self. </w:t>
      </w:r>
    </w:p>
    <w:p w14:paraId="6B7B2BB3" w14:textId="2F7EBC34" w:rsidR="00D36321" w:rsidRPr="003C1136" w:rsidRDefault="00D36321" w:rsidP="00F07F22">
      <w:pPr>
        <w:tabs>
          <w:tab w:val="left" w:pos="2700"/>
        </w:tabs>
        <w:rPr>
          <w:b/>
          <w:bCs/>
        </w:rPr>
      </w:pPr>
      <w:r w:rsidRPr="003C1136">
        <w:rPr>
          <w:b/>
          <w:bCs/>
        </w:rPr>
        <w:t>Conclusion</w:t>
      </w:r>
    </w:p>
    <w:p w14:paraId="6E8BCE6B" w14:textId="38926E92" w:rsidR="005D2E25" w:rsidRDefault="005D2E25" w:rsidP="00F07F22">
      <w:pPr>
        <w:tabs>
          <w:tab w:val="left" w:pos="2700"/>
        </w:tabs>
      </w:pPr>
      <w:r>
        <w:t xml:space="preserve">      </w:t>
      </w:r>
      <w:r w:rsidR="003C1136">
        <w:t xml:space="preserve">      </w:t>
      </w:r>
      <w:r>
        <w:t>Pulling from classical philosopher</w:t>
      </w:r>
      <w:r w:rsidR="007873AB">
        <w:t>s</w:t>
      </w:r>
      <w:r>
        <w:t xml:space="preserve"> and astronomers </w:t>
      </w:r>
      <w:r w:rsidR="00B6157C">
        <w:t>such as</w:t>
      </w:r>
      <w:r>
        <w:t xml:space="preserve"> Ptolemy, medieval thinkers and religious leaders tried to explain their observations of the world through the lens of their faith.  </w:t>
      </w:r>
      <w:r w:rsidR="003C1136">
        <w:t xml:space="preserve">As such, free will, divine providence, and astrology for the medieval period, were interlocked in a cooperative and meaningful relationship.  </w:t>
      </w:r>
      <w:r>
        <w:t xml:space="preserve">In addition, their moral imperative was to bestow that faith </w:t>
      </w:r>
      <w:r w:rsidR="007873AB">
        <w:t>on</w:t>
      </w:r>
      <w:r>
        <w:t xml:space="preserve">to as many others as possible.  </w:t>
      </w:r>
      <w:r w:rsidR="007873AB">
        <w:t xml:space="preserve">Manuscript illuminators and artists alike </w:t>
      </w:r>
      <w:r>
        <w:t xml:space="preserve">made it possible </w:t>
      </w:r>
      <w:r w:rsidR="007873AB">
        <w:t xml:space="preserve">for the messages of faith </w:t>
      </w:r>
      <w:r>
        <w:t>to reach an audience with diverse levels of education</w:t>
      </w:r>
      <w:r w:rsidR="007873AB">
        <w:t xml:space="preserve"> through the use of iconography.  </w:t>
      </w:r>
      <w:r w:rsidR="00250278">
        <w:t xml:space="preserve">Tacitly present within these icons, astrology </w:t>
      </w:r>
      <w:r w:rsidR="007873AB">
        <w:t xml:space="preserve">was a major part of </w:t>
      </w:r>
      <w:r w:rsidR="00250278">
        <w:t xml:space="preserve">proving and legitimizing the tenets of </w:t>
      </w:r>
      <w:r w:rsidR="007873AB">
        <w:t>Christian</w:t>
      </w:r>
      <w:r w:rsidR="00250278">
        <w:t>ity</w:t>
      </w:r>
      <w:r w:rsidR="003C1136">
        <w:t>, conforming to them in order to form a cohesive bond with free will and divine providence.</w:t>
      </w:r>
    </w:p>
    <w:p w14:paraId="64A8ABA2" w14:textId="35CD4277" w:rsidR="00A419B6" w:rsidRDefault="00A419B6" w:rsidP="00F07F22">
      <w:pPr>
        <w:tabs>
          <w:tab w:val="left" w:pos="2700"/>
        </w:tabs>
      </w:pPr>
    </w:p>
    <w:p w14:paraId="1E7B9631" w14:textId="063D89CE" w:rsidR="00A419B6" w:rsidRDefault="00A419B6" w:rsidP="00F07F22">
      <w:pPr>
        <w:tabs>
          <w:tab w:val="left" w:pos="2700"/>
        </w:tabs>
      </w:pPr>
    </w:p>
    <w:p w14:paraId="01DC5990" w14:textId="7D64A5DA" w:rsidR="00A419B6" w:rsidRDefault="00A419B6" w:rsidP="00F07F22">
      <w:pPr>
        <w:tabs>
          <w:tab w:val="left" w:pos="2700"/>
        </w:tabs>
      </w:pPr>
    </w:p>
    <w:p w14:paraId="193B9369" w14:textId="1D92ED40" w:rsidR="00A419B6" w:rsidRDefault="00A419B6" w:rsidP="00F07F22">
      <w:pPr>
        <w:tabs>
          <w:tab w:val="left" w:pos="2700"/>
        </w:tabs>
      </w:pPr>
    </w:p>
    <w:p w14:paraId="28A47C61" w14:textId="49445DB2" w:rsidR="00A419B6" w:rsidRDefault="00A419B6" w:rsidP="00F07F22">
      <w:pPr>
        <w:tabs>
          <w:tab w:val="left" w:pos="2700"/>
        </w:tabs>
      </w:pPr>
    </w:p>
    <w:p w14:paraId="5ECB41F1" w14:textId="36AD90F2" w:rsidR="00A419B6" w:rsidRDefault="00A419B6" w:rsidP="00F07F22">
      <w:pPr>
        <w:tabs>
          <w:tab w:val="left" w:pos="2700"/>
        </w:tabs>
      </w:pPr>
    </w:p>
    <w:p w14:paraId="3B9E57F3" w14:textId="44A0DC6B" w:rsidR="00A419B6" w:rsidRDefault="00A419B6" w:rsidP="00F07F22">
      <w:pPr>
        <w:tabs>
          <w:tab w:val="left" w:pos="2700"/>
        </w:tabs>
      </w:pPr>
    </w:p>
    <w:p w14:paraId="6A34D839" w14:textId="0857FD5E" w:rsidR="00A419B6" w:rsidRDefault="00A419B6" w:rsidP="00F07F22">
      <w:pPr>
        <w:tabs>
          <w:tab w:val="left" w:pos="2700"/>
        </w:tabs>
      </w:pPr>
    </w:p>
    <w:p w14:paraId="329FBFE3" w14:textId="35913EE8" w:rsidR="00A419B6" w:rsidRDefault="00A419B6" w:rsidP="00F07F22">
      <w:pPr>
        <w:tabs>
          <w:tab w:val="left" w:pos="2700"/>
        </w:tabs>
      </w:pPr>
    </w:p>
    <w:p w14:paraId="20272326" w14:textId="187C2C9E" w:rsidR="00A419B6" w:rsidRDefault="00A419B6" w:rsidP="00F07F22">
      <w:pPr>
        <w:tabs>
          <w:tab w:val="left" w:pos="2700"/>
        </w:tabs>
      </w:pPr>
    </w:p>
    <w:p w14:paraId="6EC86BA2" w14:textId="19D61593" w:rsidR="00A419B6" w:rsidRDefault="00A419B6" w:rsidP="00F07F22">
      <w:pPr>
        <w:tabs>
          <w:tab w:val="left" w:pos="2700"/>
        </w:tabs>
      </w:pPr>
    </w:p>
    <w:p w14:paraId="45065549" w14:textId="1F02A3CB" w:rsidR="00A419B6" w:rsidRDefault="00A419B6" w:rsidP="00F07F22">
      <w:pPr>
        <w:tabs>
          <w:tab w:val="left" w:pos="2700"/>
        </w:tabs>
      </w:pPr>
    </w:p>
    <w:p w14:paraId="43526728" w14:textId="4B4C3D27" w:rsidR="00A419B6" w:rsidRDefault="00A419B6" w:rsidP="00F07F22">
      <w:pPr>
        <w:tabs>
          <w:tab w:val="left" w:pos="2700"/>
        </w:tabs>
      </w:pPr>
    </w:p>
    <w:p w14:paraId="46D2CFEB" w14:textId="207F408A" w:rsidR="00A419B6" w:rsidRDefault="00A419B6" w:rsidP="00F07F22">
      <w:pPr>
        <w:tabs>
          <w:tab w:val="left" w:pos="2700"/>
        </w:tabs>
      </w:pPr>
    </w:p>
    <w:p w14:paraId="4CDBC3A0" w14:textId="25ECB4A2" w:rsidR="00A419B6" w:rsidRDefault="00A419B6" w:rsidP="00F07F22">
      <w:pPr>
        <w:tabs>
          <w:tab w:val="left" w:pos="2700"/>
        </w:tabs>
      </w:pPr>
    </w:p>
    <w:p w14:paraId="04DA66B9" w14:textId="49A37FB4" w:rsidR="00A419B6" w:rsidRDefault="00A419B6" w:rsidP="00F07F22">
      <w:pPr>
        <w:tabs>
          <w:tab w:val="left" w:pos="2700"/>
        </w:tabs>
      </w:pPr>
    </w:p>
    <w:p w14:paraId="2D6D569B" w14:textId="529C640F" w:rsidR="00A419B6" w:rsidRDefault="00A419B6" w:rsidP="00F07F22">
      <w:pPr>
        <w:tabs>
          <w:tab w:val="left" w:pos="2700"/>
        </w:tabs>
      </w:pPr>
    </w:p>
    <w:p w14:paraId="54B78830" w14:textId="1FF08A22" w:rsidR="00E7221D" w:rsidRDefault="00E7221D" w:rsidP="00F07F22">
      <w:pPr>
        <w:tabs>
          <w:tab w:val="left" w:pos="2700"/>
        </w:tabs>
      </w:pPr>
    </w:p>
    <w:p w14:paraId="69EFF505" w14:textId="3597A346" w:rsidR="00E7221D" w:rsidRDefault="00E7221D" w:rsidP="00F07F22">
      <w:pPr>
        <w:tabs>
          <w:tab w:val="left" w:pos="2700"/>
        </w:tabs>
      </w:pPr>
    </w:p>
    <w:p w14:paraId="155F81D5" w14:textId="77777777" w:rsidR="00E7221D" w:rsidRDefault="00E7221D" w:rsidP="00F07F22">
      <w:pPr>
        <w:tabs>
          <w:tab w:val="left" w:pos="2700"/>
        </w:tabs>
      </w:pPr>
    </w:p>
    <w:p w14:paraId="4AF7128B" w14:textId="038F49B9" w:rsidR="00A419B6" w:rsidRDefault="00A419B6" w:rsidP="00F07F22">
      <w:pPr>
        <w:tabs>
          <w:tab w:val="left" w:pos="2700"/>
        </w:tabs>
      </w:pPr>
    </w:p>
    <w:p w14:paraId="2B0BEEE9" w14:textId="76644A4B" w:rsidR="00A419B6" w:rsidRPr="000154D1" w:rsidRDefault="00A419B6" w:rsidP="00A419B6">
      <w:pPr>
        <w:tabs>
          <w:tab w:val="left" w:pos="2700"/>
        </w:tabs>
        <w:jc w:val="center"/>
        <w:rPr>
          <w:b/>
          <w:bCs/>
        </w:rPr>
      </w:pPr>
      <w:r w:rsidRPr="000154D1">
        <w:rPr>
          <w:b/>
          <w:bCs/>
        </w:rPr>
        <w:lastRenderedPageBreak/>
        <w:t>Bibliography</w:t>
      </w:r>
    </w:p>
    <w:p w14:paraId="00830933" w14:textId="69210D34" w:rsidR="00A419B6" w:rsidRDefault="000154D1" w:rsidP="00A419B6">
      <w:pPr>
        <w:tabs>
          <w:tab w:val="left" w:pos="2700"/>
        </w:tabs>
        <w:rPr>
          <w:b/>
          <w:bCs/>
        </w:rPr>
      </w:pPr>
      <w:r w:rsidRPr="000154D1">
        <w:rPr>
          <w:b/>
          <w:bCs/>
        </w:rPr>
        <w:t>Primary Sources</w:t>
      </w:r>
    </w:p>
    <w:p w14:paraId="66183C05" w14:textId="5FF1FB01" w:rsidR="000154D1" w:rsidRDefault="00BD22D8" w:rsidP="00A419B6">
      <w:pPr>
        <w:tabs>
          <w:tab w:val="left" w:pos="2700"/>
        </w:tabs>
      </w:pPr>
      <w:r w:rsidRPr="00BD22D8">
        <w:t>Augustine</w:t>
      </w:r>
      <w:r>
        <w:t>, St.,</w:t>
      </w:r>
      <w:r w:rsidRPr="00BD22D8">
        <w:t xml:space="preserve"> </w:t>
      </w:r>
      <w:r w:rsidRPr="00BD22D8">
        <w:rPr>
          <w:i/>
          <w:iCs/>
        </w:rPr>
        <w:t>Confessions</w:t>
      </w:r>
      <w:r>
        <w:t>,</w:t>
      </w:r>
      <w:r w:rsidRPr="00BD22D8">
        <w:t xml:space="preserve"> Volume I: Books 1-8</w:t>
      </w:r>
      <w:r>
        <w:t>,</w:t>
      </w:r>
      <w:r w:rsidRPr="00BD22D8">
        <w:t xml:space="preserve"> </w:t>
      </w:r>
      <w:r>
        <w:t>t</w:t>
      </w:r>
      <w:r w:rsidRPr="00BD22D8">
        <w:t>ranslated by Carolyn J.-B. Hammond</w:t>
      </w:r>
      <w:r>
        <w:t>,</w:t>
      </w:r>
      <w:r w:rsidRPr="00BD22D8">
        <w:t xml:space="preserve"> Loeb Classical Library 26</w:t>
      </w:r>
      <w:r>
        <w:t>,</w:t>
      </w:r>
      <w:r w:rsidRPr="00BD22D8">
        <w:t xml:space="preserve"> Cambridge, MA: Harvard University Press </w:t>
      </w:r>
      <w:r>
        <w:t>(</w:t>
      </w:r>
      <w:r w:rsidRPr="00BD22D8">
        <w:t>2014</w:t>
      </w:r>
      <w:r>
        <w:t>)</w:t>
      </w:r>
      <w:r w:rsidRPr="00BD22D8">
        <w:t>.</w:t>
      </w:r>
    </w:p>
    <w:p w14:paraId="61373066" w14:textId="1C27A8CC" w:rsidR="00BD22D8" w:rsidRDefault="00BD22D8" w:rsidP="00A419B6">
      <w:pPr>
        <w:tabs>
          <w:tab w:val="left" w:pos="2700"/>
        </w:tabs>
      </w:pPr>
      <w:r>
        <w:t xml:space="preserve">Augustine, St., </w:t>
      </w:r>
      <w:r w:rsidR="000B7D68">
        <w:t>‘</w:t>
      </w:r>
      <w:r>
        <w:t>On the Free Will Book II</w:t>
      </w:r>
      <w:r w:rsidR="000B7D68">
        <w:t>’</w:t>
      </w:r>
      <w:r>
        <w:t xml:space="preserve">, </w:t>
      </w:r>
      <w:r w:rsidRPr="000B7D68">
        <w:rPr>
          <w:i/>
          <w:iCs/>
        </w:rPr>
        <w:t>Selections from Medieval Philosophers: Augustine to Albert the Great</w:t>
      </w:r>
      <w:r>
        <w:t>, translated by Richard McKeon (ed), Charles Scribner’s Sons (1929), p. 11-64</w:t>
      </w:r>
      <w:r w:rsidR="005E6B0A">
        <w:t>.</w:t>
      </w:r>
    </w:p>
    <w:p w14:paraId="64DCF355" w14:textId="38835D3F" w:rsidR="005E6B0A" w:rsidRDefault="005E6B0A" w:rsidP="00A419B6">
      <w:pPr>
        <w:tabs>
          <w:tab w:val="left" w:pos="2700"/>
        </w:tabs>
      </w:pPr>
      <w:r w:rsidRPr="000154D1">
        <w:t>Ptolemy</w:t>
      </w:r>
      <w:r>
        <w:t>, Claudius,</w:t>
      </w:r>
      <w:r w:rsidRPr="000154D1">
        <w:t xml:space="preserve"> </w:t>
      </w:r>
      <w:proofErr w:type="spellStart"/>
      <w:r w:rsidRPr="000154D1">
        <w:rPr>
          <w:i/>
          <w:iCs/>
        </w:rPr>
        <w:t>Tetrabiblos</w:t>
      </w:r>
      <w:proofErr w:type="spellEnd"/>
      <w:r>
        <w:t>,</w:t>
      </w:r>
      <w:r w:rsidRPr="000154D1">
        <w:t xml:space="preserve"> </w:t>
      </w:r>
      <w:r>
        <w:t>t</w:t>
      </w:r>
      <w:r w:rsidRPr="000154D1">
        <w:t>ranslated by F. E. Robbins</w:t>
      </w:r>
      <w:r>
        <w:t>,</w:t>
      </w:r>
      <w:r w:rsidRPr="000154D1">
        <w:t xml:space="preserve"> Loeb Classical Library 435</w:t>
      </w:r>
      <w:r>
        <w:t>,</w:t>
      </w:r>
      <w:r w:rsidRPr="000154D1">
        <w:t xml:space="preserve"> Cambridge, MA: Harvard University Press </w:t>
      </w:r>
      <w:r>
        <w:t>(</w:t>
      </w:r>
      <w:r w:rsidRPr="000154D1">
        <w:t>1940</w:t>
      </w:r>
      <w:r>
        <w:t>)</w:t>
      </w:r>
      <w:r w:rsidRPr="000154D1">
        <w:t>.</w:t>
      </w:r>
    </w:p>
    <w:p w14:paraId="24F43D5C" w14:textId="0832B71E" w:rsidR="000B7D68" w:rsidRPr="000B7D68" w:rsidRDefault="000B7D68" w:rsidP="00A419B6">
      <w:pPr>
        <w:tabs>
          <w:tab w:val="left" w:pos="2700"/>
        </w:tabs>
        <w:rPr>
          <w:b/>
          <w:bCs/>
        </w:rPr>
      </w:pPr>
      <w:r w:rsidRPr="000B7D68">
        <w:rPr>
          <w:b/>
          <w:bCs/>
        </w:rPr>
        <w:t>Secondary Sources</w:t>
      </w:r>
    </w:p>
    <w:p w14:paraId="4523796C" w14:textId="5E33AC1D" w:rsidR="00E355AF" w:rsidRDefault="00E355AF" w:rsidP="00E355AF">
      <w:pPr>
        <w:pStyle w:val="FootnoteText"/>
        <w:rPr>
          <w:sz w:val="22"/>
          <w:szCs w:val="22"/>
        </w:rPr>
      </w:pPr>
      <w:r w:rsidRPr="00E355AF">
        <w:rPr>
          <w:sz w:val="22"/>
          <w:szCs w:val="22"/>
        </w:rPr>
        <w:t xml:space="preserve">Alexander, Johnathan J.G., ‘Iconography and Ideology: Uncovering Social Meanings in Western Medieval Christian Art’, </w:t>
      </w:r>
      <w:r w:rsidRPr="00E355AF">
        <w:rPr>
          <w:i/>
          <w:iCs/>
          <w:sz w:val="22"/>
          <w:szCs w:val="22"/>
        </w:rPr>
        <w:t>Studies in Iconography</w:t>
      </w:r>
      <w:r w:rsidRPr="00E355AF">
        <w:rPr>
          <w:sz w:val="22"/>
          <w:szCs w:val="22"/>
        </w:rPr>
        <w:t>, Vol. 15 (1993) p. 1-44.</w:t>
      </w:r>
    </w:p>
    <w:p w14:paraId="7F5EBF4E" w14:textId="77777777" w:rsidR="00BA5ED3" w:rsidRPr="00E355AF" w:rsidRDefault="00BA5ED3" w:rsidP="00E355AF">
      <w:pPr>
        <w:pStyle w:val="FootnoteText"/>
        <w:rPr>
          <w:sz w:val="22"/>
          <w:szCs w:val="22"/>
        </w:rPr>
      </w:pPr>
    </w:p>
    <w:p w14:paraId="6E11EF6F" w14:textId="288AA741" w:rsidR="00E355AF" w:rsidRPr="00E355AF" w:rsidRDefault="00E355AF" w:rsidP="00A419B6">
      <w:pPr>
        <w:tabs>
          <w:tab w:val="left" w:pos="2700"/>
        </w:tabs>
      </w:pPr>
      <w:r w:rsidRPr="00E355AF">
        <w:t xml:space="preserve">Brown, Alex, ‘Turn, Turn, Turn’, </w:t>
      </w:r>
      <w:r w:rsidRPr="00E355AF">
        <w:rPr>
          <w:i/>
          <w:iCs/>
        </w:rPr>
        <w:t>History Today</w:t>
      </w:r>
      <w:r w:rsidRPr="00E355AF">
        <w:t xml:space="preserve"> (Jan. 2018), p. 26-35.</w:t>
      </w:r>
    </w:p>
    <w:p w14:paraId="48C1A69C" w14:textId="2BD03870" w:rsidR="00E355AF" w:rsidRPr="00E355AF" w:rsidRDefault="00E355AF" w:rsidP="00A419B6">
      <w:pPr>
        <w:tabs>
          <w:tab w:val="left" w:pos="2700"/>
        </w:tabs>
      </w:pPr>
      <w:r w:rsidRPr="00E355AF">
        <w:t xml:space="preserve">Campion, Nicholas, ‘The Thirteenth Century: The Aristotelian Revolution’, </w:t>
      </w:r>
      <w:r w:rsidRPr="00E355AF">
        <w:rPr>
          <w:i/>
          <w:iCs/>
        </w:rPr>
        <w:t>A History of Western Astrology Volume II: The Medieval and Modern Worlds</w:t>
      </w:r>
      <w:r w:rsidRPr="00E355AF">
        <w:t>, Bloomsbury (2009), p 43-52.</w:t>
      </w:r>
    </w:p>
    <w:p w14:paraId="7CBE7914" w14:textId="77777777" w:rsidR="00E355AF" w:rsidRPr="00E355AF" w:rsidRDefault="00E355AF" w:rsidP="00E355AF">
      <w:pPr>
        <w:tabs>
          <w:tab w:val="left" w:pos="2700"/>
        </w:tabs>
      </w:pPr>
      <w:r w:rsidRPr="00E355AF">
        <w:t xml:space="preserve">Chew, Samuel C., ‘Time and Fortune’, </w:t>
      </w:r>
      <w:r w:rsidRPr="00E355AF">
        <w:rPr>
          <w:i/>
          <w:iCs/>
        </w:rPr>
        <w:t>ELH</w:t>
      </w:r>
      <w:r w:rsidRPr="00E355AF">
        <w:t>, Vol 6 No. 2 (Jun. 1939), p. 83-113.</w:t>
      </w:r>
    </w:p>
    <w:p w14:paraId="4B28481F" w14:textId="6461A940" w:rsidR="00E355AF" w:rsidRPr="00E355AF" w:rsidRDefault="00E355AF" w:rsidP="00E355AF">
      <w:pPr>
        <w:pStyle w:val="FootnoteText"/>
        <w:rPr>
          <w:sz w:val="22"/>
          <w:szCs w:val="22"/>
        </w:rPr>
      </w:pPr>
      <w:proofErr w:type="spellStart"/>
      <w:r w:rsidRPr="00E355AF">
        <w:rPr>
          <w:sz w:val="22"/>
          <w:szCs w:val="22"/>
        </w:rPr>
        <w:t>Conty</w:t>
      </w:r>
      <w:proofErr w:type="spellEnd"/>
      <w:r w:rsidRPr="00E355AF">
        <w:rPr>
          <w:sz w:val="22"/>
          <w:szCs w:val="22"/>
        </w:rPr>
        <w:t>, Arianne Francoise ‘Bending Heaven Down to Earth: The Medieval Icon’</w:t>
      </w:r>
      <w:r w:rsidRPr="00E355AF">
        <w:rPr>
          <w:i/>
          <w:iCs/>
          <w:sz w:val="22"/>
          <w:szCs w:val="22"/>
        </w:rPr>
        <w:t>, Religion and the Arts</w:t>
      </w:r>
      <w:r w:rsidRPr="00E355AF">
        <w:rPr>
          <w:sz w:val="22"/>
          <w:szCs w:val="22"/>
        </w:rPr>
        <w:t>, Vol. 19 (2015), p. 1-30.</w:t>
      </w:r>
    </w:p>
    <w:p w14:paraId="11A6F3D7" w14:textId="77777777" w:rsidR="00E355AF" w:rsidRPr="00E355AF" w:rsidRDefault="00E355AF" w:rsidP="00E355AF">
      <w:pPr>
        <w:pStyle w:val="FootnoteText"/>
        <w:rPr>
          <w:sz w:val="22"/>
          <w:szCs w:val="22"/>
        </w:rPr>
      </w:pPr>
    </w:p>
    <w:p w14:paraId="2FDA7DD4" w14:textId="4CE52EAF" w:rsidR="00E355AF" w:rsidRPr="00E355AF" w:rsidRDefault="00E355AF" w:rsidP="00A419B6">
      <w:pPr>
        <w:tabs>
          <w:tab w:val="left" w:pos="2700"/>
        </w:tabs>
      </w:pPr>
      <w:r w:rsidRPr="00E355AF">
        <w:t xml:space="preserve">Duffy, John, ‘Embellishing the Steps: Elements of Presentation and Style in “The Heavenly Ladder” of John </w:t>
      </w:r>
      <w:proofErr w:type="spellStart"/>
      <w:r w:rsidRPr="00E355AF">
        <w:t>Climacus</w:t>
      </w:r>
      <w:proofErr w:type="spellEnd"/>
      <w:r w:rsidRPr="00E355AF">
        <w:t xml:space="preserve">’, </w:t>
      </w:r>
      <w:r w:rsidRPr="00E355AF">
        <w:rPr>
          <w:i/>
          <w:iCs/>
        </w:rPr>
        <w:t>Dumbarton Oaks Papers</w:t>
      </w:r>
      <w:r w:rsidRPr="00E355AF">
        <w:t>, Vol. 53 (1999), p. 1-17.</w:t>
      </w:r>
    </w:p>
    <w:p w14:paraId="1CA7C175" w14:textId="4821939A" w:rsidR="000B7D68" w:rsidRPr="00E355AF" w:rsidRDefault="005E6B0A" w:rsidP="00A419B6">
      <w:pPr>
        <w:tabs>
          <w:tab w:val="left" w:pos="2700"/>
        </w:tabs>
      </w:pPr>
      <w:r w:rsidRPr="00E355AF">
        <w:t xml:space="preserve">Mosely, Charles, </w:t>
      </w:r>
      <w:r w:rsidRPr="00E355AF">
        <w:t>‘</w:t>
      </w:r>
      <w:r w:rsidRPr="00E355AF">
        <w:t>Speaking Pictures: Medieval Religious Art and Its Viewers</w:t>
      </w:r>
      <w:r w:rsidRPr="00E355AF">
        <w:t>’, The Edinburgh Companion to the Bible and the Arts, Edinburgh University Press (2014), p. 175-194.</w:t>
      </w:r>
    </w:p>
    <w:p w14:paraId="4F9B23A6" w14:textId="6A8000C3" w:rsidR="005E6B0A" w:rsidRDefault="005E6B0A" w:rsidP="00E355AF">
      <w:pPr>
        <w:pStyle w:val="FootnoteText"/>
        <w:rPr>
          <w:sz w:val="22"/>
          <w:szCs w:val="22"/>
        </w:rPr>
      </w:pPr>
      <w:proofErr w:type="spellStart"/>
      <w:r w:rsidRPr="00E355AF">
        <w:rPr>
          <w:sz w:val="22"/>
          <w:szCs w:val="22"/>
        </w:rPr>
        <w:t>Radding</w:t>
      </w:r>
      <w:proofErr w:type="spellEnd"/>
      <w:r w:rsidRPr="00E355AF">
        <w:rPr>
          <w:sz w:val="22"/>
          <w:szCs w:val="22"/>
        </w:rPr>
        <w:t xml:space="preserve">, Charles M., </w:t>
      </w:r>
      <w:r w:rsidR="00924BAC" w:rsidRPr="00E355AF">
        <w:rPr>
          <w:sz w:val="22"/>
          <w:szCs w:val="22"/>
        </w:rPr>
        <w:t>‘</w:t>
      </w:r>
      <w:r w:rsidRPr="00E355AF">
        <w:rPr>
          <w:sz w:val="22"/>
          <w:szCs w:val="22"/>
        </w:rPr>
        <w:t>Fortune and her Wheel: The Meaning of a Medieval Symbol</w:t>
      </w:r>
      <w:r w:rsidR="00924BAC" w:rsidRPr="00E355AF">
        <w:rPr>
          <w:sz w:val="22"/>
          <w:szCs w:val="22"/>
        </w:rPr>
        <w:t xml:space="preserve">’, </w:t>
      </w:r>
      <w:proofErr w:type="spellStart"/>
      <w:r w:rsidR="00924BAC" w:rsidRPr="00E355AF">
        <w:rPr>
          <w:i/>
          <w:iCs/>
          <w:sz w:val="22"/>
          <w:szCs w:val="22"/>
        </w:rPr>
        <w:t>Mediavistik</w:t>
      </w:r>
      <w:proofErr w:type="spellEnd"/>
      <w:r w:rsidR="00924BAC" w:rsidRPr="00E355AF">
        <w:rPr>
          <w:sz w:val="22"/>
          <w:szCs w:val="22"/>
        </w:rPr>
        <w:t>, Vol. 5 (1992), p. 127-138.</w:t>
      </w:r>
    </w:p>
    <w:p w14:paraId="4BAA2EA0" w14:textId="77777777" w:rsidR="00E355AF" w:rsidRPr="00E355AF" w:rsidRDefault="00E355AF" w:rsidP="00E355AF">
      <w:pPr>
        <w:pStyle w:val="FootnoteText"/>
        <w:rPr>
          <w:sz w:val="22"/>
          <w:szCs w:val="22"/>
        </w:rPr>
      </w:pPr>
    </w:p>
    <w:p w14:paraId="36A3FA27" w14:textId="53C6A9B2" w:rsidR="005E6B0A" w:rsidRDefault="005E6B0A" w:rsidP="005E6B0A">
      <w:pPr>
        <w:tabs>
          <w:tab w:val="left" w:pos="2700"/>
        </w:tabs>
      </w:pPr>
      <w:r>
        <w:rPr>
          <w:b/>
          <w:bCs/>
        </w:rPr>
        <w:t>Images</w:t>
      </w:r>
    </w:p>
    <w:p w14:paraId="31D2AFE5" w14:textId="091D88CE" w:rsidR="00BA5ED3" w:rsidRPr="00BA5ED3" w:rsidRDefault="00BA5ED3" w:rsidP="00E355AF">
      <w:pPr>
        <w:pStyle w:val="Caption"/>
        <w:rPr>
          <w:i w:val="0"/>
          <w:iCs w:val="0"/>
          <w:color w:val="auto"/>
          <w:sz w:val="22"/>
          <w:szCs w:val="22"/>
        </w:rPr>
      </w:pPr>
      <w:r w:rsidRPr="00BA5ED3">
        <w:rPr>
          <w:i w:val="0"/>
          <w:iCs w:val="0"/>
          <w:color w:val="auto"/>
          <w:sz w:val="22"/>
          <w:szCs w:val="22"/>
        </w:rPr>
        <w:t xml:space="preserve">Figure </w:t>
      </w:r>
      <w:r w:rsidRPr="00BA5ED3">
        <w:rPr>
          <w:i w:val="0"/>
          <w:iCs w:val="0"/>
          <w:color w:val="auto"/>
          <w:sz w:val="22"/>
          <w:szCs w:val="22"/>
        </w:rPr>
        <w:fldChar w:fldCharType="begin"/>
      </w:r>
      <w:r w:rsidRPr="00BA5ED3">
        <w:rPr>
          <w:i w:val="0"/>
          <w:iCs w:val="0"/>
          <w:color w:val="auto"/>
          <w:sz w:val="22"/>
          <w:szCs w:val="22"/>
        </w:rPr>
        <w:instrText xml:space="preserve"> SEQ Figure \* ARABIC </w:instrText>
      </w:r>
      <w:r w:rsidRPr="00BA5ED3">
        <w:rPr>
          <w:i w:val="0"/>
          <w:iCs w:val="0"/>
          <w:color w:val="auto"/>
          <w:sz w:val="22"/>
          <w:szCs w:val="22"/>
        </w:rPr>
        <w:fldChar w:fldCharType="separate"/>
      </w:r>
      <w:r w:rsidRPr="00BA5ED3">
        <w:rPr>
          <w:i w:val="0"/>
          <w:iCs w:val="0"/>
          <w:noProof/>
          <w:color w:val="auto"/>
          <w:sz w:val="22"/>
          <w:szCs w:val="22"/>
        </w:rPr>
        <w:t>1</w:t>
      </w:r>
      <w:r w:rsidRPr="00BA5ED3">
        <w:rPr>
          <w:i w:val="0"/>
          <w:iCs w:val="0"/>
          <w:color w:val="auto"/>
          <w:sz w:val="22"/>
          <w:szCs w:val="22"/>
        </w:rPr>
        <w:fldChar w:fldCharType="end"/>
      </w:r>
      <w:r w:rsidRPr="00BA5ED3">
        <w:rPr>
          <w:i w:val="0"/>
          <w:iCs w:val="0"/>
          <w:color w:val="auto"/>
          <w:sz w:val="22"/>
          <w:szCs w:val="22"/>
        </w:rPr>
        <w:t xml:space="preserve"> Anonymous-Byzantine, </w:t>
      </w:r>
      <w:r w:rsidRPr="00BA5ED3">
        <w:rPr>
          <w:color w:val="auto"/>
          <w:sz w:val="22"/>
          <w:szCs w:val="22"/>
        </w:rPr>
        <w:t xml:space="preserve">Depiction of Divine Ascent as described in the work of the same name by St. John </w:t>
      </w:r>
      <w:proofErr w:type="spellStart"/>
      <w:r w:rsidRPr="00BA5ED3">
        <w:rPr>
          <w:color w:val="auto"/>
          <w:sz w:val="22"/>
          <w:szCs w:val="22"/>
        </w:rPr>
        <w:t>Climacus</w:t>
      </w:r>
      <w:proofErr w:type="spellEnd"/>
      <w:r w:rsidRPr="00BA5ED3">
        <w:rPr>
          <w:i w:val="0"/>
          <w:iCs w:val="0"/>
          <w:color w:val="auto"/>
          <w:sz w:val="22"/>
          <w:szCs w:val="22"/>
        </w:rPr>
        <w:t>, c. late 12</w:t>
      </w:r>
      <w:r w:rsidRPr="00BA5ED3">
        <w:rPr>
          <w:i w:val="0"/>
          <w:iCs w:val="0"/>
          <w:color w:val="auto"/>
          <w:sz w:val="22"/>
          <w:szCs w:val="22"/>
          <w:vertAlign w:val="superscript"/>
        </w:rPr>
        <w:t>th</w:t>
      </w:r>
      <w:r w:rsidRPr="00BA5ED3">
        <w:rPr>
          <w:i w:val="0"/>
          <w:iCs w:val="0"/>
          <w:color w:val="auto"/>
          <w:sz w:val="22"/>
          <w:szCs w:val="22"/>
        </w:rPr>
        <w:t xml:space="preserve"> century, St. Catherine’s Monastery, South Sinai Governorate, Egypt. </w:t>
      </w:r>
      <w:r w:rsidRPr="00BA5ED3">
        <w:rPr>
          <w:color w:val="auto"/>
          <w:sz w:val="22"/>
          <w:szCs w:val="22"/>
        </w:rPr>
        <w:t>Image</w:t>
      </w:r>
      <w:r w:rsidRPr="00BA5ED3">
        <w:rPr>
          <w:i w:val="0"/>
          <w:iCs w:val="0"/>
          <w:color w:val="auto"/>
          <w:sz w:val="22"/>
          <w:szCs w:val="22"/>
        </w:rPr>
        <w:t>: The Warburg Institute Iconographic Database</w:t>
      </w:r>
      <w:r>
        <w:rPr>
          <w:i w:val="0"/>
          <w:iCs w:val="0"/>
          <w:color w:val="auto"/>
          <w:sz w:val="22"/>
          <w:szCs w:val="22"/>
        </w:rPr>
        <w:t xml:space="preserve">, </w:t>
      </w:r>
      <w:hyperlink r:id="rId11" w:history="1">
        <w:r w:rsidRPr="003E548E">
          <w:rPr>
            <w:rStyle w:val="Hyperlink"/>
            <w:i w:val="0"/>
            <w:iCs w:val="0"/>
            <w:sz w:val="22"/>
            <w:szCs w:val="22"/>
          </w:rPr>
          <w:t>https://www.wallacecollection.org/collection/frontispiece-of-book-ii-of-boethius-de-consolatione-philosophiae/</w:t>
        </w:r>
      </w:hyperlink>
    </w:p>
    <w:p w14:paraId="7AB2B017" w14:textId="028F7BDF" w:rsidR="00BA5ED3" w:rsidRPr="00BA5ED3" w:rsidRDefault="00BA5ED3" w:rsidP="00BA5ED3">
      <w:pPr>
        <w:pStyle w:val="Caption"/>
        <w:rPr>
          <w:i w:val="0"/>
          <w:iCs w:val="0"/>
          <w:color w:val="auto"/>
          <w:sz w:val="22"/>
          <w:szCs w:val="22"/>
        </w:rPr>
      </w:pPr>
      <w:r w:rsidRPr="00BA5ED3">
        <w:rPr>
          <w:i w:val="0"/>
          <w:iCs w:val="0"/>
          <w:color w:val="auto"/>
          <w:sz w:val="22"/>
          <w:szCs w:val="22"/>
        </w:rPr>
        <w:t xml:space="preserve">Figure 2. M320, Maître de </w:t>
      </w:r>
      <w:proofErr w:type="spellStart"/>
      <w:r w:rsidRPr="00BA5ED3">
        <w:rPr>
          <w:i w:val="0"/>
          <w:iCs w:val="0"/>
          <w:color w:val="auto"/>
          <w:sz w:val="22"/>
          <w:szCs w:val="22"/>
        </w:rPr>
        <w:t>Coëtivy</w:t>
      </w:r>
      <w:proofErr w:type="spellEnd"/>
      <w:r w:rsidRPr="00BA5ED3">
        <w:rPr>
          <w:i w:val="0"/>
          <w:iCs w:val="0"/>
          <w:color w:val="auto"/>
          <w:sz w:val="22"/>
          <w:szCs w:val="22"/>
        </w:rPr>
        <w:t xml:space="preserve"> (Active 1450-1500),</w:t>
      </w:r>
      <w:r w:rsidRPr="00BA5ED3">
        <w:rPr>
          <w:color w:val="auto"/>
          <w:sz w:val="22"/>
          <w:szCs w:val="22"/>
        </w:rPr>
        <w:t xml:space="preserve"> Frontispiece of Book II of Boethius’ ‘De </w:t>
      </w:r>
      <w:proofErr w:type="spellStart"/>
      <w:r w:rsidRPr="00BA5ED3">
        <w:rPr>
          <w:color w:val="auto"/>
          <w:sz w:val="22"/>
          <w:szCs w:val="22"/>
        </w:rPr>
        <w:t>Consolatione</w:t>
      </w:r>
      <w:proofErr w:type="spellEnd"/>
      <w:r w:rsidRPr="00BA5ED3">
        <w:rPr>
          <w:color w:val="auto"/>
          <w:sz w:val="22"/>
          <w:szCs w:val="22"/>
        </w:rPr>
        <w:t xml:space="preserve"> </w:t>
      </w:r>
      <w:proofErr w:type="spellStart"/>
      <w:r w:rsidRPr="00BA5ED3">
        <w:rPr>
          <w:color w:val="auto"/>
          <w:sz w:val="22"/>
          <w:szCs w:val="22"/>
        </w:rPr>
        <w:t>Philosophiae</w:t>
      </w:r>
      <w:proofErr w:type="spellEnd"/>
      <w:r w:rsidRPr="00BA5ED3">
        <w:rPr>
          <w:i w:val="0"/>
          <w:iCs w:val="0"/>
          <w:color w:val="auto"/>
          <w:sz w:val="22"/>
          <w:szCs w:val="22"/>
        </w:rPr>
        <w:t xml:space="preserve">, c. 1460 – 1470, Gouache, ink, and gold on vellum, 241 mm x 165 mm, The Wallace Collection Sixteenth Century Gallery, London, England. </w:t>
      </w:r>
      <w:r w:rsidRPr="00BA5ED3">
        <w:rPr>
          <w:color w:val="auto"/>
          <w:sz w:val="22"/>
          <w:szCs w:val="22"/>
        </w:rPr>
        <w:t>Image</w:t>
      </w:r>
      <w:r w:rsidRPr="00BA5ED3">
        <w:rPr>
          <w:i w:val="0"/>
          <w:iCs w:val="0"/>
          <w:color w:val="auto"/>
          <w:sz w:val="22"/>
          <w:szCs w:val="22"/>
        </w:rPr>
        <w:t>: Wallace Collection</w:t>
      </w:r>
      <w:r>
        <w:rPr>
          <w:i w:val="0"/>
          <w:iCs w:val="0"/>
          <w:color w:val="auto"/>
          <w:sz w:val="22"/>
          <w:szCs w:val="22"/>
        </w:rPr>
        <w:t xml:space="preserve">, </w:t>
      </w:r>
      <w:hyperlink r:id="rId12" w:history="1">
        <w:r w:rsidRPr="00BA5ED3">
          <w:rPr>
            <w:rStyle w:val="Hyperlink"/>
            <w:i w:val="0"/>
            <w:iCs w:val="0"/>
            <w:sz w:val="22"/>
            <w:szCs w:val="22"/>
          </w:rPr>
          <w:t>https://wallacelive.wallacecollection.org/eMP/eMuseumPlus?service=ExternalInterface&amp;module=collection&amp;objectId=64507&amp;viewType=detailView</w:t>
        </w:r>
      </w:hyperlink>
      <w:r w:rsidRPr="00BA5ED3">
        <w:rPr>
          <w:color w:val="auto"/>
          <w:sz w:val="22"/>
          <w:szCs w:val="22"/>
        </w:rPr>
        <w:t xml:space="preserve">     </w:t>
      </w:r>
    </w:p>
    <w:p w14:paraId="39825C3B" w14:textId="2995DBDF" w:rsidR="00E355AF" w:rsidRPr="00BA5ED3" w:rsidRDefault="00E355AF" w:rsidP="00E355AF">
      <w:pPr>
        <w:pStyle w:val="Caption"/>
        <w:rPr>
          <w:i w:val="0"/>
          <w:iCs w:val="0"/>
          <w:color w:val="auto"/>
          <w:sz w:val="22"/>
          <w:szCs w:val="22"/>
        </w:rPr>
      </w:pPr>
      <w:r w:rsidRPr="00BA5ED3">
        <w:rPr>
          <w:i w:val="0"/>
          <w:iCs w:val="0"/>
          <w:color w:val="auto"/>
          <w:sz w:val="22"/>
          <w:szCs w:val="22"/>
        </w:rPr>
        <w:lastRenderedPageBreak/>
        <w:t xml:space="preserve">Figure </w:t>
      </w:r>
      <w:r w:rsidRPr="00BA5ED3">
        <w:rPr>
          <w:i w:val="0"/>
          <w:iCs w:val="0"/>
          <w:color w:val="auto"/>
          <w:sz w:val="22"/>
          <w:szCs w:val="22"/>
        </w:rPr>
        <w:t>3</w:t>
      </w:r>
      <w:r w:rsidRPr="00BA5ED3">
        <w:rPr>
          <w:i w:val="0"/>
          <w:iCs w:val="0"/>
          <w:color w:val="auto"/>
          <w:sz w:val="22"/>
          <w:szCs w:val="22"/>
        </w:rPr>
        <w:t xml:space="preserve"> English MS 1, Anonymous, </w:t>
      </w:r>
      <w:r w:rsidRPr="00BA5ED3">
        <w:rPr>
          <w:color w:val="auto"/>
          <w:sz w:val="22"/>
          <w:szCs w:val="22"/>
        </w:rPr>
        <w:t>Wheel of Fortune</w:t>
      </w:r>
      <w:r w:rsidRPr="00BA5ED3">
        <w:rPr>
          <w:i w:val="0"/>
          <w:iCs w:val="0"/>
          <w:color w:val="auto"/>
          <w:sz w:val="22"/>
          <w:szCs w:val="22"/>
        </w:rPr>
        <w:t>, c. mid-15</w:t>
      </w:r>
      <w:r w:rsidRPr="00BA5ED3">
        <w:rPr>
          <w:i w:val="0"/>
          <w:iCs w:val="0"/>
          <w:color w:val="auto"/>
          <w:sz w:val="22"/>
          <w:szCs w:val="22"/>
          <w:vertAlign w:val="superscript"/>
        </w:rPr>
        <w:t>th</w:t>
      </w:r>
      <w:r w:rsidRPr="00BA5ED3">
        <w:rPr>
          <w:i w:val="0"/>
          <w:iCs w:val="0"/>
          <w:color w:val="auto"/>
          <w:sz w:val="22"/>
          <w:szCs w:val="22"/>
        </w:rPr>
        <w:t xml:space="preserve"> century, ink on vellum, 451 mm x 326 mm, The University of Manchester Library, U.K. </w:t>
      </w:r>
      <w:r w:rsidRPr="00BA5ED3">
        <w:rPr>
          <w:color w:val="auto"/>
          <w:sz w:val="22"/>
          <w:szCs w:val="22"/>
        </w:rPr>
        <w:t>Image</w:t>
      </w:r>
      <w:r w:rsidRPr="00BA5ED3">
        <w:rPr>
          <w:i w:val="0"/>
          <w:iCs w:val="0"/>
          <w:color w:val="auto"/>
          <w:sz w:val="22"/>
          <w:szCs w:val="22"/>
        </w:rPr>
        <w:t>: The University of Manchester Medieval Collection</w:t>
      </w:r>
      <w:r w:rsidR="00BA5ED3">
        <w:rPr>
          <w:i w:val="0"/>
          <w:iCs w:val="0"/>
          <w:color w:val="auto"/>
          <w:sz w:val="22"/>
          <w:szCs w:val="22"/>
        </w:rPr>
        <w:t xml:space="preserve">, </w:t>
      </w:r>
      <w:hyperlink r:id="rId13" w:history="1">
        <w:r w:rsidR="00BA5ED3" w:rsidRPr="003E548E">
          <w:rPr>
            <w:rStyle w:val="Hyperlink"/>
            <w:i w:val="0"/>
            <w:iCs w:val="0"/>
            <w:sz w:val="22"/>
            <w:szCs w:val="22"/>
          </w:rPr>
          <w:t>https://luna.manchester.ac.uk/luna/servlet/detail/Man4MedievalVC~4~4~254893~107255:Wheel-of-Fortune?qvq=q:john%20lydgate%20the%20siege%20of%20troy%20fortune&amp;mi=7&amp;trs=14</w:t>
        </w:r>
      </w:hyperlink>
    </w:p>
    <w:p w14:paraId="0768E104" w14:textId="77777777" w:rsidR="005E6B0A" w:rsidRPr="005E6B0A" w:rsidRDefault="005E6B0A" w:rsidP="005E6B0A">
      <w:pPr>
        <w:tabs>
          <w:tab w:val="left" w:pos="2700"/>
        </w:tabs>
      </w:pPr>
    </w:p>
    <w:sectPr w:rsidR="005E6B0A" w:rsidRPr="005E6B0A" w:rsidSect="00A419B6">
      <w:head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DB980F" w14:textId="77777777" w:rsidR="00E37C23" w:rsidRDefault="00E37C23" w:rsidP="005C0F1A">
      <w:pPr>
        <w:spacing w:after="0" w:line="240" w:lineRule="auto"/>
      </w:pPr>
      <w:r>
        <w:separator/>
      </w:r>
    </w:p>
  </w:endnote>
  <w:endnote w:type="continuationSeparator" w:id="0">
    <w:p w14:paraId="7B671684" w14:textId="77777777" w:rsidR="00E37C23" w:rsidRDefault="00E37C23" w:rsidP="005C0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0402D5" w14:textId="77777777" w:rsidR="00E37C23" w:rsidRDefault="00E37C23" w:rsidP="005C0F1A">
      <w:pPr>
        <w:spacing w:after="0" w:line="240" w:lineRule="auto"/>
      </w:pPr>
      <w:r>
        <w:separator/>
      </w:r>
    </w:p>
  </w:footnote>
  <w:footnote w:type="continuationSeparator" w:id="0">
    <w:p w14:paraId="4775ED31" w14:textId="77777777" w:rsidR="00E37C23" w:rsidRDefault="00E37C23" w:rsidP="005C0F1A">
      <w:pPr>
        <w:spacing w:after="0" w:line="240" w:lineRule="auto"/>
      </w:pPr>
      <w:r>
        <w:continuationSeparator/>
      </w:r>
    </w:p>
  </w:footnote>
  <w:footnote w:id="1">
    <w:p w14:paraId="4CBC882D" w14:textId="003756C2" w:rsidR="003C1136" w:rsidRDefault="003C1136" w:rsidP="00A320F4">
      <w:pPr>
        <w:pStyle w:val="FootnoteText"/>
        <w:ind w:firstLine="720"/>
      </w:pPr>
      <w:r>
        <w:rPr>
          <w:rStyle w:val="FootnoteReference"/>
        </w:rPr>
        <w:footnoteRef/>
      </w:r>
      <w:r>
        <w:t xml:space="preserve"> </w:t>
      </w:r>
      <w:r w:rsidR="00A320F4" w:rsidRPr="00E355AF">
        <w:rPr>
          <w:sz w:val="22"/>
          <w:szCs w:val="22"/>
        </w:rPr>
        <w:t>Mosely, Charles, ‘Speaking Pictures: Medieval Religious Art and Its Viewers’, The Edinburgh Companion to the Bible and the Arts, Edinburgh University Press (2014), p.</w:t>
      </w:r>
      <w:r w:rsidR="00A320F4">
        <w:rPr>
          <w:sz w:val="22"/>
          <w:szCs w:val="22"/>
        </w:rPr>
        <w:t xml:space="preserve"> 184.</w:t>
      </w:r>
    </w:p>
  </w:footnote>
  <w:footnote w:id="2">
    <w:p w14:paraId="309A81F5" w14:textId="0FA44D87" w:rsidR="003C1136" w:rsidRDefault="003C1136" w:rsidP="00D328AA">
      <w:pPr>
        <w:pStyle w:val="FootnoteText"/>
        <w:ind w:firstLine="720"/>
      </w:pPr>
      <w:r>
        <w:rPr>
          <w:rStyle w:val="FootnoteReference"/>
        </w:rPr>
        <w:footnoteRef/>
      </w:r>
      <w:r>
        <w:t xml:space="preserve"> </w:t>
      </w:r>
      <w:r w:rsidR="00A320F4" w:rsidRPr="000154D1">
        <w:t>Ptolemy</w:t>
      </w:r>
      <w:r w:rsidR="00A320F4">
        <w:t>, Claudius,</w:t>
      </w:r>
      <w:r w:rsidR="00A320F4" w:rsidRPr="000154D1">
        <w:t xml:space="preserve"> </w:t>
      </w:r>
      <w:proofErr w:type="spellStart"/>
      <w:r w:rsidR="00A320F4" w:rsidRPr="000154D1">
        <w:rPr>
          <w:i/>
          <w:iCs/>
        </w:rPr>
        <w:t>Tetrabiblos</w:t>
      </w:r>
      <w:proofErr w:type="spellEnd"/>
      <w:r w:rsidR="00A320F4">
        <w:t>,</w:t>
      </w:r>
      <w:r w:rsidR="00A320F4" w:rsidRPr="000154D1">
        <w:t xml:space="preserve"> </w:t>
      </w:r>
      <w:r w:rsidR="00A320F4">
        <w:t>t</w:t>
      </w:r>
      <w:r w:rsidR="00A320F4" w:rsidRPr="000154D1">
        <w:t>ranslated by F. E. Robbins</w:t>
      </w:r>
      <w:r w:rsidR="00A320F4">
        <w:t>,</w:t>
      </w:r>
      <w:r w:rsidR="00A320F4" w:rsidRPr="000154D1">
        <w:t xml:space="preserve"> Loeb Classical Library 435</w:t>
      </w:r>
      <w:r w:rsidR="00A320F4">
        <w:t>,</w:t>
      </w:r>
      <w:r w:rsidR="00A320F4" w:rsidRPr="000154D1">
        <w:t xml:space="preserve"> Cambridge, MA: Harvard University Press </w:t>
      </w:r>
      <w:r w:rsidR="00A320F4">
        <w:t>(</w:t>
      </w:r>
      <w:r w:rsidR="00A320F4" w:rsidRPr="000154D1">
        <w:t>1940</w:t>
      </w:r>
      <w:r w:rsidR="00A320F4">
        <w:t xml:space="preserve">), p. </w:t>
      </w:r>
      <w:r w:rsidR="00D328AA">
        <w:t>7.</w:t>
      </w:r>
    </w:p>
  </w:footnote>
  <w:footnote w:id="3">
    <w:p w14:paraId="289A7528" w14:textId="629D515B" w:rsidR="003C1136" w:rsidRDefault="003C1136" w:rsidP="00D328AA">
      <w:pPr>
        <w:pStyle w:val="FootnoteText"/>
        <w:ind w:firstLine="720"/>
      </w:pPr>
      <w:r>
        <w:rPr>
          <w:rStyle w:val="FootnoteReference"/>
        </w:rPr>
        <w:footnoteRef/>
      </w:r>
      <w:r>
        <w:t xml:space="preserve"> Ptolemy, </w:t>
      </w:r>
      <w:proofErr w:type="spellStart"/>
      <w:r w:rsidRPr="00D328AA">
        <w:rPr>
          <w:i/>
          <w:iCs/>
        </w:rPr>
        <w:t>Tetrabiblos</w:t>
      </w:r>
      <w:proofErr w:type="spellEnd"/>
      <w:r w:rsidR="00D328AA">
        <w:t>, p. 11.</w:t>
      </w:r>
    </w:p>
  </w:footnote>
  <w:footnote w:id="4">
    <w:p w14:paraId="5E7831EC" w14:textId="0C66CC5F" w:rsidR="003C1136" w:rsidRDefault="003C1136" w:rsidP="00D328AA">
      <w:pPr>
        <w:pStyle w:val="FootnoteText"/>
        <w:ind w:firstLine="720"/>
      </w:pPr>
      <w:r>
        <w:rPr>
          <w:rStyle w:val="FootnoteReference"/>
        </w:rPr>
        <w:footnoteRef/>
      </w:r>
      <w:r>
        <w:t xml:space="preserve"> </w:t>
      </w:r>
      <w:r w:rsidR="00D328AA">
        <w:t xml:space="preserve">Augustine, St., ‘On the Free Will Book II’, </w:t>
      </w:r>
      <w:r w:rsidR="00D328AA" w:rsidRPr="000B7D68">
        <w:rPr>
          <w:i/>
          <w:iCs/>
        </w:rPr>
        <w:t>Selections from Medieval Philosophers: Augustine to Albert the Great</w:t>
      </w:r>
      <w:r w:rsidR="00D328AA">
        <w:t>, trans Richard McKeon (ed), Charles Scribner’s Sons (1929), p.</w:t>
      </w:r>
      <w:r w:rsidR="00D328AA">
        <w:t xml:space="preserve"> 13.</w:t>
      </w:r>
    </w:p>
  </w:footnote>
  <w:footnote w:id="5">
    <w:p w14:paraId="720A7B20" w14:textId="17B0EFD0" w:rsidR="003C1136" w:rsidRDefault="003C1136" w:rsidP="00D328AA">
      <w:pPr>
        <w:pStyle w:val="FootnoteText"/>
        <w:ind w:firstLine="720"/>
      </w:pPr>
      <w:r>
        <w:rPr>
          <w:rStyle w:val="FootnoteReference"/>
        </w:rPr>
        <w:footnoteRef/>
      </w:r>
      <w:r>
        <w:t xml:space="preserve"> Augustine</w:t>
      </w:r>
      <w:r w:rsidR="00D328AA">
        <w:t xml:space="preserve">, </w:t>
      </w:r>
      <w:r w:rsidRPr="00D328AA">
        <w:rPr>
          <w:i/>
          <w:iCs/>
        </w:rPr>
        <w:t>Free Will</w:t>
      </w:r>
      <w:r w:rsidR="00D328AA">
        <w:t xml:space="preserve">, </w:t>
      </w:r>
      <w:r>
        <w:t>p 13</w:t>
      </w:r>
    </w:p>
  </w:footnote>
  <w:footnote w:id="6">
    <w:p w14:paraId="44B64267" w14:textId="0CA15DF3" w:rsidR="003C1136" w:rsidRDefault="003C1136" w:rsidP="00D328AA">
      <w:pPr>
        <w:pStyle w:val="FootnoteText"/>
        <w:ind w:firstLine="720"/>
      </w:pPr>
      <w:r>
        <w:rPr>
          <w:rStyle w:val="FootnoteReference"/>
        </w:rPr>
        <w:footnoteRef/>
      </w:r>
      <w:r>
        <w:t xml:space="preserve"> Augustin</w:t>
      </w:r>
      <w:r w:rsidR="00D328AA">
        <w:t xml:space="preserve">e, </w:t>
      </w:r>
      <w:r w:rsidRPr="00D328AA">
        <w:rPr>
          <w:i/>
          <w:iCs/>
        </w:rPr>
        <w:t>Free Will</w:t>
      </w:r>
      <w:r w:rsidR="00D328AA">
        <w:rPr>
          <w:i/>
          <w:iCs/>
        </w:rPr>
        <w:t>,</w:t>
      </w:r>
      <w:r>
        <w:t xml:space="preserve"> p 13</w:t>
      </w:r>
    </w:p>
  </w:footnote>
  <w:footnote w:id="7">
    <w:p w14:paraId="7DD5390B" w14:textId="74186AD8" w:rsidR="003C1136" w:rsidRDefault="00D328AA" w:rsidP="00D328AA">
      <w:pPr>
        <w:pStyle w:val="NoSpacing"/>
      </w:pPr>
      <w:r>
        <w:t xml:space="preserve">              </w:t>
      </w:r>
      <w:r w:rsidR="003C1136">
        <w:rPr>
          <w:rStyle w:val="FootnoteReference"/>
        </w:rPr>
        <w:footnoteRef/>
      </w:r>
      <w:r w:rsidR="003C1136">
        <w:t xml:space="preserve"> </w:t>
      </w:r>
      <w:r w:rsidRPr="00BD22D8">
        <w:t>Augustine</w:t>
      </w:r>
      <w:r>
        <w:t>, St.,</w:t>
      </w:r>
      <w:r w:rsidRPr="00BD22D8">
        <w:t xml:space="preserve"> </w:t>
      </w:r>
      <w:r w:rsidRPr="00BD22D8">
        <w:rPr>
          <w:i/>
          <w:iCs/>
        </w:rPr>
        <w:t>Confessions</w:t>
      </w:r>
      <w:r>
        <w:t>,</w:t>
      </w:r>
      <w:r w:rsidRPr="00BD22D8">
        <w:t xml:space="preserve"> Volume I: Books 1-8</w:t>
      </w:r>
      <w:r>
        <w:t>,</w:t>
      </w:r>
      <w:r w:rsidRPr="00BD22D8">
        <w:t xml:space="preserve"> </w:t>
      </w:r>
      <w:r>
        <w:t>t</w:t>
      </w:r>
      <w:r w:rsidRPr="00BD22D8">
        <w:t>ranslated by Carolyn J.-B. Hammond</w:t>
      </w:r>
      <w:r>
        <w:t>,</w:t>
      </w:r>
      <w:r w:rsidRPr="00BD22D8">
        <w:t xml:space="preserve"> Loeb Classical Library 26</w:t>
      </w:r>
      <w:r>
        <w:t>,</w:t>
      </w:r>
      <w:r w:rsidRPr="00BD22D8">
        <w:t xml:space="preserve"> Cambridge, MA: Harvard University Press </w:t>
      </w:r>
      <w:r>
        <w:t>(</w:t>
      </w:r>
      <w:r w:rsidRPr="00BD22D8">
        <w:t>2014</w:t>
      </w:r>
      <w:r>
        <w:t>)</w:t>
      </w:r>
      <w:r>
        <w:t xml:space="preserve">, </w:t>
      </w:r>
      <w:r w:rsidR="003C1136">
        <w:t>p</w:t>
      </w:r>
      <w:r>
        <w:t>.</w:t>
      </w:r>
      <w:r w:rsidR="003C1136">
        <w:t xml:space="preserve"> 141</w:t>
      </w:r>
      <w:r>
        <w:t>.</w:t>
      </w:r>
    </w:p>
  </w:footnote>
  <w:footnote w:id="8">
    <w:p w14:paraId="65DBEF2B" w14:textId="250F096D" w:rsidR="003C1136" w:rsidRDefault="003C1136" w:rsidP="00D328AA">
      <w:pPr>
        <w:pStyle w:val="NoSpacing"/>
        <w:ind w:firstLine="720"/>
      </w:pPr>
      <w:r>
        <w:rPr>
          <w:rStyle w:val="FootnoteReference"/>
        </w:rPr>
        <w:footnoteRef/>
      </w:r>
      <w:r>
        <w:t xml:space="preserve"> Augustine ‘Confessions’ p</w:t>
      </w:r>
      <w:r w:rsidR="00D328AA">
        <w:t>.</w:t>
      </w:r>
      <w:r>
        <w:t xml:space="preserve"> 141</w:t>
      </w:r>
      <w:r w:rsidR="00D328AA">
        <w:t>.</w:t>
      </w:r>
    </w:p>
  </w:footnote>
  <w:footnote w:id="9">
    <w:p w14:paraId="46200D86" w14:textId="19B0B239" w:rsidR="003C1136" w:rsidRDefault="003C1136" w:rsidP="00D328AA">
      <w:pPr>
        <w:pStyle w:val="NoSpacing"/>
        <w:ind w:firstLine="720"/>
      </w:pPr>
      <w:r>
        <w:rPr>
          <w:rStyle w:val="FootnoteReference"/>
        </w:rPr>
        <w:footnoteRef/>
      </w:r>
      <w:r>
        <w:t xml:space="preserve"> </w:t>
      </w:r>
      <w:r w:rsidR="00D328AA" w:rsidRPr="00E355AF">
        <w:t xml:space="preserve">Campion, Nicholas, ‘The Thirteenth Century: The Aristotelian Revolution’, </w:t>
      </w:r>
      <w:r w:rsidR="00D328AA" w:rsidRPr="00E355AF">
        <w:rPr>
          <w:i/>
          <w:iCs/>
        </w:rPr>
        <w:t>A History of Western Astrology Volume II: The Medieval and Modern Worlds</w:t>
      </w:r>
      <w:r w:rsidR="00D328AA" w:rsidRPr="00E355AF">
        <w:t xml:space="preserve">, Bloomsbury (2009), </w:t>
      </w:r>
      <w:r>
        <w:t>p</w:t>
      </w:r>
      <w:r w:rsidR="00D328AA">
        <w:t>.</w:t>
      </w:r>
      <w:r>
        <w:t xml:space="preserve"> 48</w:t>
      </w:r>
      <w:r w:rsidR="00D328AA">
        <w:t>.</w:t>
      </w:r>
    </w:p>
  </w:footnote>
  <w:footnote w:id="10">
    <w:p w14:paraId="4707D500" w14:textId="33EE3DB0" w:rsidR="003C1136" w:rsidRDefault="003C1136" w:rsidP="00B346E1">
      <w:pPr>
        <w:pStyle w:val="FootnoteText"/>
        <w:ind w:firstLine="720"/>
      </w:pPr>
      <w:r>
        <w:rPr>
          <w:rStyle w:val="FootnoteReference"/>
        </w:rPr>
        <w:footnoteRef/>
      </w:r>
      <w:r>
        <w:t xml:space="preserve"> Campion</w:t>
      </w:r>
      <w:r w:rsidR="00D328AA">
        <w:t xml:space="preserve">, </w:t>
      </w:r>
      <w:r w:rsidR="00D328AA" w:rsidRPr="00D328AA">
        <w:rPr>
          <w:i/>
          <w:iCs/>
        </w:rPr>
        <w:t>Western Astrology</w:t>
      </w:r>
      <w:r>
        <w:t xml:space="preserve"> p 48</w:t>
      </w:r>
    </w:p>
  </w:footnote>
  <w:footnote w:id="11">
    <w:p w14:paraId="18B860A5" w14:textId="54CA09C5" w:rsidR="003C1136" w:rsidRDefault="003C1136" w:rsidP="00B346E1">
      <w:pPr>
        <w:pStyle w:val="FootnoteText"/>
        <w:ind w:firstLine="720"/>
      </w:pPr>
      <w:r>
        <w:rPr>
          <w:rStyle w:val="FootnoteReference"/>
        </w:rPr>
        <w:footnoteRef/>
      </w:r>
      <w:r>
        <w:t xml:space="preserve"> Johnathan J.G. Alexander, ‘Iconography and Ideology: Uncovering Social Meanings in Western Medieval Christian Art’</w:t>
      </w:r>
      <w:r w:rsidR="00150BED">
        <w:t xml:space="preserve">, </w:t>
      </w:r>
      <w:r w:rsidR="00150BED" w:rsidRPr="00E355AF">
        <w:rPr>
          <w:i/>
          <w:iCs/>
          <w:sz w:val="22"/>
          <w:szCs w:val="22"/>
        </w:rPr>
        <w:t>Studies in Iconography</w:t>
      </w:r>
      <w:r w:rsidR="00150BED" w:rsidRPr="00E355AF">
        <w:rPr>
          <w:sz w:val="22"/>
          <w:szCs w:val="22"/>
        </w:rPr>
        <w:t>, Vol. 15 (1993)</w:t>
      </w:r>
      <w:r w:rsidR="00150BED">
        <w:rPr>
          <w:sz w:val="22"/>
          <w:szCs w:val="22"/>
        </w:rPr>
        <w:t>,</w:t>
      </w:r>
      <w:r w:rsidR="00150BED" w:rsidRPr="00E355AF">
        <w:rPr>
          <w:sz w:val="22"/>
          <w:szCs w:val="22"/>
        </w:rPr>
        <w:t xml:space="preserve"> p</w:t>
      </w:r>
      <w:r w:rsidR="00150BED">
        <w:rPr>
          <w:sz w:val="22"/>
          <w:szCs w:val="22"/>
        </w:rPr>
        <w:t>. 1.</w:t>
      </w:r>
    </w:p>
  </w:footnote>
  <w:footnote w:id="12">
    <w:p w14:paraId="07EE9E5D" w14:textId="4966191C" w:rsidR="003C1136" w:rsidRPr="00150BED" w:rsidRDefault="003C1136" w:rsidP="00B346E1">
      <w:pPr>
        <w:pStyle w:val="FootnoteText"/>
        <w:ind w:firstLine="720"/>
      </w:pPr>
      <w:r>
        <w:rPr>
          <w:rStyle w:val="FootnoteReference"/>
        </w:rPr>
        <w:footnoteRef/>
      </w:r>
      <w:r>
        <w:t xml:space="preserve"> Mosely, Charles</w:t>
      </w:r>
      <w:r w:rsidR="00150BED">
        <w:t xml:space="preserve">, </w:t>
      </w:r>
      <w:r w:rsidRPr="00150BED">
        <w:rPr>
          <w:i/>
          <w:iCs/>
        </w:rPr>
        <w:t>Speaking Pictures</w:t>
      </w:r>
      <w:r w:rsidR="00150BED">
        <w:rPr>
          <w:i/>
          <w:iCs/>
        </w:rPr>
        <w:t xml:space="preserve">, </w:t>
      </w:r>
      <w:r w:rsidR="00150BED">
        <w:t>p. 176.</w:t>
      </w:r>
    </w:p>
  </w:footnote>
  <w:footnote w:id="13">
    <w:p w14:paraId="08E1B966" w14:textId="104BF643" w:rsidR="003C1136" w:rsidRPr="00150BED" w:rsidRDefault="003C1136" w:rsidP="00B346E1">
      <w:pPr>
        <w:pStyle w:val="FootnoteText"/>
        <w:ind w:firstLine="720"/>
      </w:pPr>
      <w:r>
        <w:rPr>
          <w:rStyle w:val="FootnoteReference"/>
        </w:rPr>
        <w:footnoteRef/>
      </w:r>
      <w:r>
        <w:t xml:space="preserve"> Alexander,</w:t>
      </w:r>
      <w:r w:rsidR="00150BED">
        <w:t xml:space="preserve"> Jonathan J.G.,</w:t>
      </w:r>
      <w:r>
        <w:t xml:space="preserve"> </w:t>
      </w:r>
      <w:r w:rsidRPr="00150BED">
        <w:rPr>
          <w:i/>
          <w:iCs/>
        </w:rPr>
        <w:t>Iconography</w:t>
      </w:r>
      <w:r w:rsidR="00150BED">
        <w:rPr>
          <w:i/>
          <w:iCs/>
        </w:rPr>
        <w:t xml:space="preserve">, </w:t>
      </w:r>
      <w:r w:rsidR="00150BED">
        <w:t>p. 1.</w:t>
      </w:r>
    </w:p>
  </w:footnote>
  <w:footnote w:id="14">
    <w:p w14:paraId="45AE4E24" w14:textId="02AF1056" w:rsidR="003C1136" w:rsidRDefault="003C1136" w:rsidP="00B346E1">
      <w:pPr>
        <w:pStyle w:val="FootnoteText"/>
        <w:ind w:firstLine="720"/>
      </w:pPr>
      <w:r>
        <w:rPr>
          <w:rStyle w:val="FootnoteReference"/>
        </w:rPr>
        <w:footnoteRef/>
      </w:r>
      <w:r>
        <w:t xml:space="preserve"> </w:t>
      </w:r>
      <w:proofErr w:type="spellStart"/>
      <w:r w:rsidR="00150BED" w:rsidRPr="00E355AF">
        <w:rPr>
          <w:sz w:val="22"/>
          <w:szCs w:val="22"/>
        </w:rPr>
        <w:t>Conty</w:t>
      </w:r>
      <w:proofErr w:type="spellEnd"/>
      <w:r w:rsidR="00150BED" w:rsidRPr="00E355AF">
        <w:rPr>
          <w:sz w:val="22"/>
          <w:szCs w:val="22"/>
        </w:rPr>
        <w:t>, Arianne Francoise ‘Bending Heaven Down to Earth: The Medieval Icon’</w:t>
      </w:r>
      <w:r w:rsidR="00150BED" w:rsidRPr="00E355AF">
        <w:rPr>
          <w:i/>
          <w:iCs/>
          <w:sz w:val="22"/>
          <w:szCs w:val="22"/>
        </w:rPr>
        <w:t>, Religion and the Arts</w:t>
      </w:r>
      <w:r w:rsidR="00150BED" w:rsidRPr="00E355AF">
        <w:rPr>
          <w:sz w:val="22"/>
          <w:szCs w:val="22"/>
        </w:rPr>
        <w:t>, Vol. 19 (2015), p.</w:t>
      </w:r>
      <w:r w:rsidR="00150BED">
        <w:rPr>
          <w:sz w:val="22"/>
          <w:szCs w:val="22"/>
        </w:rPr>
        <w:t xml:space="preserve"> 1.</w:t>
      </w:r>
    </w:p>
  </w:footnote>
  <w:footnote w:id="15">
    <w:p w14:paraId="13805A86" w14:textId="04FCAC47" w:rsidR="003C1136" w:rsidRDefault="003C1136" w:rsidP="00B346E1">
      <w:pPr>
        <w:pStyle w:val="FootnoteText"/>
        <w:ind w:firstLine="720"/>
      </w:pPr>
      <w:r>
        <w:rPr>
          <w:rStyle w:val="FootnoteReference"/>
        </w:rPr>
        <w:footnoteRef/>
      </w:r>
      <w:r>
        <w:t xml:space="preserve"> Duffy, John, </w:t>
      </w:r>
      <w:r w:rsidR="00150BED" w:rsidRPr="00E355AF">
        <w:rPr>
          <w:sz w:val="22"/>
          <w:szCs w:val="22"/>
        </w:rPr>
        <w:t xml:space="preserve">Embellishing the Steps: Elements of Presentation and Style in “The Heavenly Ladder” of John </w:t>
      </w:r>
      <w:proofErr w:type="spellStart"/>
      <w:r w:rsidR="00150BED" w:rsidRPr="00E355AF">
        <w:rPr>
          <w:sz w:val="22"/>
          <w:szCs w:val="22"/>
        </w:rPr>
        <w:t>Climacus</w:t>
      </w:r>
      <w:proofErr w:type="spellEnd"/>
      <w:r w:rsidR="00150BED" w:rsidRPr="00E355AF">
        <w:rPr>
          <w:sz w:val="22"/>
          <w:szCs w:val="22"/>
        </w:rPr>
        <w:t xml:space="preserve">’, </w:t>
      </w:r>
      <w:r w:rsidR="00150BED" w:rsidRPr="00E355AF">
        <w:rPr>
          <w:i/>
          <w:iCs/>
          <w:sz w:val="22"/>
          <w:szCs w:val="22"/>
        </w:rPr>
        <w:t>Dumbarton Oaks Papers</w:t>
      </w:r>
      <w:r w:rsidR="00150BED" w:rsidRPr="00E355AF">
        <w:rPr>
          <w:sz w:val="22"/>
          <w:szCs w:val="22"/>
        </w:rPr>
        <w:t>, Vol. 53 (1999), p.</w:t>
      </w:r>
      <w:r w:rsidR="00150BED">
        <w:rPr>
          <w:sz w:val="22"/>
          <w:szCs w:val="22"/>
        </w:rPr>
        <w:t xml:space="preserve"> 2.</w:t>
      </w:r>
    </w:p>
  </w:footnote>
  <w:footnote w:id="16">
    <w:p w14:paraId="156C29AD" w14:textId="34C42B9F" w:rsidR="003C1136" w:rsidRDefault="003C1136" w:rsidP="00E7221D">
      <w:pPr>
        <w:pStyle w:val="FootnoteText"/>
        <w:ind w:firstLine="720"/>
      </w:pPr>
      <w:r>
        <w:rPr>
          <w:rStyle w:val="FootnoteReference"/>
        </w:rPr>
        <w:footnoteRef/>
      </w:r>
      <w:r>
        <w:t xml:space="preserve"> Mosely, Charles, </w:t>
      </w:r>
      <w:r w:rsidRPr="00150BED">
        <w:rPr>
          <w:i/>
          <w:iCs/>
        </w:rPr>
        <w:t>Speaking Pictures</w:t>
      </w:r>
      <w:r w:rsidR="00150BED">
        <w:t>, p. 181.</w:t>
      </w:r>
    </w:p>
  </w:footnote>
  <w:footnote w:id="17">
    <w:p w14:paraId="534F413B" w14:textId="3A5928F5" w:rsidR="003C1136" w:rsidRDefault="003C1136" w:rsidP="00B346E1">
      <w:pPr>
        <w:pStyle w:val="FootnoteText"/>
        <w:ind w:firstLine="720"/>
      </w:pPr>
      <w:r>
        <w:rPr>
          <w:rStyle w:val="FootnoteReference"/>
        </w:rPr>
        <w:footnoteRef/>
      </w:r>
      <w:r>
        <w:t xml:space="preserve"> Alexander,</w:t>
      </w:r>
      <w:r w:rsidR="00150BED">
        <w:t xml:space="preserve"> Jonathan J.G.,</w:t>
      </w:r>
      <w:r>
        <w:t xml:space="preserve"> </w:t>
      </w:r>
      <w:r w:rsidRPr="00150BED">
        <w:rPr>
          <w:i/>
          <w:iCs/>
        </w:rPr>
        <w:t>Iconography</w:t>
      </w:r>
      <w:r w:rsidR="00150BED">
        <w:t>, pg. 1.</w:t>
      </w:r>
    </w:p>
  </w:footnote>
  <w:footnote w:id="18">
    <w:p w14:paraId="68A94B9B" w14:textId="3FB8344B" w:rsidR="003C1136" w:rsidRDefault="003C1136" w:rsidP="00E7221D">
      <w:pPr>
        <w:pStyle w:val="FootnoteText"/>
        <w:ind w:firstLine="720"/>
      </w:pPr>
      <w:r>
        <w:rPr>
          <w:rStyle w:val="FootnoteReference"/>
        </w:rPr>
        <w:footnoteRef/>
      </w:r>
      <w:r>
        <w:t xml:space="preserve"> Brown, Alex, </w:t>
      </w:r>
      <w:r w:rsidRPr="00E7221D">
        <w:rPr>
          <w:i/>
          <w:iCs/>
        </w:rPr>
        <w:t>Turn</w:t>
      </w:r>
      <w:r w:rsidR="00E7221D">
        <w:t>, p. 28.</w:t>
      </w:r>
    </w:p>
  </w:footnote>
  <w:footnote w:id="19">
    <w:p w14:paraId="21048758" w14:textId="6F27E06B" w:rsidR="003C1136" w:rsidRDefault="003C1136" w:rsidP="00E7221D">
      <w:pPr>
        <w:pStyle w:val="FootnoteText"/>
        <w:ind w:firstLine="720"/>
      </w:pPr>
      <w:r>
        <w:rPr>
          <w:rStyle w:val="FootnoteReference"/>
        </w:rPr>
        <w:footnoteRef/>
      </w:r>
      <w:r>
        <w:t xml:space="preserve"> </w:t>
      </w:r>
      <w:proofErr w:type="spellStart"/>
      <w:r w:rsidR="00E7221D" w:rsidRPr="00E355AF">
        <w:rPr>
          <w:sz w:val="22"/>
          <w:szCs w:val="22"/>
        </w:rPr>
        <w:t>Radding</w:t>
      </w:r>
      <w:proofErr w:type="spellEnd"/>
      <w:r w:rsidR="00E7221D" w:rsidRPr="00E355AF">
        <w:rPr>
          <w:sz w:val="22"/>
          <w:szCs w:val="22"/>
        </w:rPr>
        <w:t xml:space="preserve">, Charles M., ‘Fortune and her Wheel: The Meaning of a Medieval Symbol’, </w:t>
      </w:r>
      <w:proofErr w:type="spellStart"/>
      <w:r w:rsidR="00E7221D" w:rsidRPr="00E355AF">
        <w:rPr>
          <w:i/>
          <w:iCs/>
          <w:sz w:val="22"/>
          <w:szCs w:val="22"/>
        </w:rPr>
        <w:t>Mediavistik</w:t>
      </w:r>
      <w:proofErr w:type="spellEnd"/>
      <w:r w:rsidR="00E7221D" w:rsidRPr="00E355AF">
        <w:rPr>
          <w:sz w:val="22"/>
          <w:szCs w:val="22"/>
        </w:rPr>
        <w:t>, Vol. 5 (1992), p.</w:t>
      </w:r>
      <w:r w:rsidR="00E7221D">
        <w:rPr>
          <w:sz w:val="22"/>
          <w:szCs w:val="22"/>
        </w:rPr>
        <w:t xml:space="preserve"> 128.</w:t>
      </w:r>
    </w:p>
  </w:footnote>
  <w:footnote w:id="20">
    <w:p w14:paraId="180CB3F6" w14:textId="20E965A0" w:rsidR="003C1136" w:rsidRDefault="003C1136" w:rsidP="00E7221D">
      <w:pPr>
        <w:pStyle w:val="FootnoteText"/>
        <w:ind w:firstLine="720"/>
      </w:pPr>
      <w:r>
        <w:rPr>
          <w:rStyle w:val="FootnoteReference"/>
        </w:rPr>
        <w:footnoteRef/>
      </w:r>
      <w:r>
        <w:t xml:space="preserve"> </w:t>
      </w:r>
      <w:r w:rsidR="00E7221D" w:rsidRPr="00E355AF">
        <w:rPr>
          <w:sz w:val="22"/>
          <w:szCs w:val="22"/>
        </w:rPr>
        <w:t xml:space="preserve">Chew, Samuel C., ‘Time and Fortune’, </w:t>
      </w:r>
      <w:r w:rsidR="00E7221D" w:rsidRPr="00E355AF">
        <w:rPr>
          <w:i/>
          <w:iCs/>
          <w:sz w:val="22"/>
          <w:szCs w:val="22"/>
        </w:rPr>
        <w:t>ELH</w:t>
      </w:r>
      <w:r w:rsidR="00E7221D" w:rsidRPr="00E355AF">
        <w:rPr>
          <w:sz w:val="22"/>
          <w:szCs w:val="22"/>
        </w:rPr>
        <w:t>, Vol 6 No. 2 (Jun. 1939), p.</w:t>
      </w:r>
      <w:r w:rsidR="00E7221D">
        <w:rPr>
          <w:sz w:val="22"/>
          <w:szCs w:val="22"/>
        </w:rPr>
        <w:t xml:space="preserve"> 94.</w:t>
      </w:r>
    </w:p>
  </w:footnote>
  <w:footnote w:id="21">
    <w:p w14:paraId="7DC93B8B" w14:textId="44C770F5" w:rsidR="003C1136" w:rsidRDefault="003C1136" w:rsidP="00B346E1">
      <w:pPr>
        <w:pStyle w:val="FootnoteText"/>
        <w:ind w:firstLine="720"/>
      </w:pPr>
      <w:r>
        <w:rPr>
          <w:rStyle w:val="FootnoteReference"/>
        </w:rPr>
        <w:footnoteRef/>
      </w:r>
      <w:r>
        <w:t xml:space="preserve"> </w:t>
      </w:r>
      <w:r w:rsidR="00B346E1" w:rsidRPr="00E355AF">
        <w:rPr>
          <w:sz w:val="22"/>
          <w:szCs w:val="22"/>
        </w:rPr>
        <w:t xml:space="preserve">Brown, Alex, </w:t>
      </w:r>
      <w:r w:rsidR="00E7221D" w:rsidRPr="00E7221D">
        <w:rPr>
          <w:i/>
          <w:iCs/>
          <w:sz w:val="22"/>
          <w:szCs w:val="22"/>
        </w:rPr>
        <w:t>Turn</w:t>
      </w:r>
      <w:r w:rsidR="00E7221D">
        <w:rPr>
          <w:sz w:val="22"/>
          <w:szCs w:val="22"/>
        </w:rPr>
        <w:t xml:space="preserve">, p. </w:t>
      </w:r>
      <w:r w:rsidR="00B346E1">
        <w:rPr>
          <w:sz w:val="22"/>
          <w:szCs w:val="22"/>
        </w:rPr>
        <w:t>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1862188"/>
      <w:docPartObj>
        <w:docPartGallery w:val="Page Numbers (Top of Page)"/>
        <w:docPartUnique/>
      </w:docPartObj>
    </w:sdtPr>
    <w:sdtEndPr>
      <w:rPr>
        <w:noProof/>
      </w:rPr>
    </w:sdtEndPr>
    <w:sdtContent>
      <w:p w14:paraId="6401E9F6" w14:textId="02E881BC" w:rsidR="00A419B6" w:rsidRDefault="00A419B6" w:rsidP="00A419B6">
        <w:pPr>
          <w:pStyle w:val="Header"/>
        </w:pPr>
        <w:r>
          <w:t xml:space="preserve">Kim </w:t>
        </w:r>
        <w:proofErr w:type="spellStart"/>
        <w:r>
          <w:t>Harrer</w:t>
        </w:r>
        <w:proofErr w:type="spellEnd"/>
        <w:r w:rsidR="00E7221D">
          <w:t xml:space="preserve"> </w:t>
        </w:r>
        <w:r w:rsidR="00E7221D">
          <w:t>1814389</w:t>
        </w:r>
        <w:r>
          <w:tab/>
        </w:r>
        <w:r>
          <w:tab/>
        </w:r>
        <w:r>
          <w:fldChar w:fldCharType="begin"/>
        </w:r>
        <w:r>
          <w:instrText xml:space="preserve"> PAGE   \* MERGEFORMAT </w:instrText>
        </w:r>
        <w:r>
          <w:fldChar w:fldCharType="separate"/>
        </w:r>
        <w:r>
          <w:rPr>
            <w:noProof/>
          </w:rPr>
          <w:t>2</w:t>
        </w:r>
        <w:r>
          <w:rPr>
            <w:noProof/>
          </w:rPr>
          <w:fldChar w:fldCharType="end"/>
        </w:r>
      </w:p>
    </w:sdtContent>
  </w:sdt>
  <w:p w14:paraId="38797C6D" w14:textId="77777777" w:rsidR="00A419B6" w:rsidRDefault="00A419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618"/>
    <w:rsid w:val="000154D1"/>
    <w:rsid w:val="00033721"/>
    <w:rsid w:val="00035589"/>
    <w:rsid w:val="000471B9"/>
    <w:rsid w:val="000571C9"/>
    <w:rsid w:val="00063D81"/>
    <w:rsid w:val="00066380"/>
    <w:rsid w:val="000A1FFE"/>
    <w:rsid w:val="000B7D68"/>
    <w:rsid w:val="000C4656"/>
    <w:rsid w:val="00110FCF"/>
    <w:rsid w:val="00112C40"/>
    <w:rsid w:val="00125F00"/>
    <w:rsid w:val="00141D73"/>
    <w:rsid w:val="00146624"/>
    <w:rsid w:val="00150BED"/>
    <w:rsid w:val="00166B67"/>
    <w:rsid w:val="001744F1"/>
    <w:rsid w:val="001804EF"/>
    <w:rsid w:val="001A460A"/>
    <w:rsid w:val="001C16D4"/>
    <w:rsid w:val="001D2E86"/>
    <w:rsid w:val="001F1F8F"/>
    <w:rsid w:val="001F5798"/>
    <w:rsid w:val="00212C28"/>
    <w:rsid w:val="0023428A"/>
    <w:rsid w:val="00250278"/>
    <w:rsid w:val="00256FA7"/>
    <w:rsid w:val="00263E0A"/>
    <w:rsid w:val="00280651"/>
    <w:rsid w:val="00294DDB"/>
    <w:rsid w:val="002D041E"/>
    <w:rsid w:val="00300CB1"/>
    <w:rsid w:val="003158C9"/>
    <w:rsid w:val="00321538"/>
    <w:rsid w:val="003673F6"/>
    <w:rsid w:val="0038190F"/>
    <w:rsid w:val="003B7D27"/>
    <w:rsid w:val="003C1136"/>
    <w:rsid w:val="00410D88"/>
    <w:rsid w:val="00410E6C"/>
    <w:rsid w:val="004734F8"/>
    <w:rsid w:val="00484164"/>
    <w:rsid w:val="00496610"/>
    <w:rsid w:val="004C4334"/>
    <w:rsid w:val="004D40AC"/>
    <w:rsid w:val="004D4576"/>
    <w:rsid w:val="004E110F"/>
    <w:rsid w:val="005135F6"/>
    <w:rsid w:val="0057288D"/>
    <w:rsid w:val="005A3005"/>
    <w:rsid w:val="005C0F1A"/>
    <w:rsid w:val="005D2E25"/>
    <w:rsid w:val="005E1618"/>
    <w:rsid w:val="005E2A3F"/>
    <w:rsid w:val="005E6B0A"/>
    <w:rsid w:val="00614126"/>
    <w:rsid w:val="00630355"/>
    <w:rsid w:val="0064371D"/>
    <w:rsid w:val="00644010"/>
    <w:rsid w:val="00644F2C"/>
    <w:rsid w:val="00677725"/>
    <w:rsid w:val="00703CFC"/>
    <w:rsid w:val="0070464A"/>
    <w:rsid w:val="007272C4"/>
    <w:rsid w:val="0073496F"/>
    <w:rsid w:val="007435E1"/>
    <w:rsid w:val="0077667F"/>
    <w:rsid w:val="007873AB"/>
    <w:rsid w:val="007D475C"/>
    <w:rsid w:val="00815B87"/>
    <w:rsid w:val="00816DE8"/>
    <w:rsid w:val="008656AD"/>
    <w:rsid w:val="008E6030"/>
    <w:rsid w:val="008E61B1"/>
    <w:rsid w:val="00910E45"/>
    <w:rsid w:val="00915084"/>
    <w:rsid w:val="00924BAC"/>
    <w:rsid w:val="0093521F"/>
    <w:rsid w:val="00955391"/>
    <w:rsid w:val="009942F7"/>
    <w:rsid w:val="0099432E"/>
    <w:rsid w:val="00A064B3"/>
    <w:rsid w:val="00A320F4"/>
    <w:rsid w:val="00A35093"/>
    <w:rsid w:val="00A419B6"/>
    <w:rsid w:val="00A72748"/>
    <w:rsid w:val="00A8160F"/>
    <w:rsid w:val="00A82BCC"/>
    <w:rsid w:val="00AB23D5"/>
    <w:rsid w:val="00AC7536"/>
    <w:rsid w:val="00AD4A13"/>
    <w:rsid w:val="00B346E1"/>
    <w:rsid w:val="00B464DB"/>
    <w:rsid w:val="00B467A6"/>
    <w:rsid w:val="00B6157C"/>
    <w:rsid w:val="00B77EE8"/>
    <w:rsid w:val="00B93927"/>
    <w:rsid w:val="00BA5ED3"/>
    <w:rsid w:val="00BD22D8"/>
    <w:rsid w:val="00C331F0"/>
    <w:rsid w:val="00C33418"/>
    <w:rsid w:val="00C341B1"/>
    <w:rsid w:val="00C47AD2"/>
    <w:rsid w:val="00CA6B44"/>
    <w:rsid w:val="00CD6D93"/>
    <w:rsid w:val="00D1353C"/>
    <w:rsid w:val="00D165E6"/>
    <w:rsid w:val="00D2697E"/>
    <w:rsid w:val="00D328AA"/>
    <w:rsid w:val="00D36321"/>
    <w:rsid w:val="00D367F5"/>
    <w:rsid w:val="00D512E0"/>
    <w:rsid w:val="00D559D5"/>
    <w:rsid w:val="00DA25BA"/>
    <w:rsid w:val="00DE44C1"/>
    <w:rsid w:val="00E355AF"/>
    <w:rsid w:val="00E37C23"/>
    <w:rsid w:val="00E7221D"/>
    <w:rsid w:val="00E9680B"/>
    <w:rsid w:val="00EA45FB"/>
    <w:rsid w:val="00EC088E"/>
    <w:rsid w:val="00EF516D"/>
    <w:rsid w:val="00EF549E"/>
    <w:rsid w:val="00F07F22"/>
    <w:rsid w:val="00F16D05"/>
    <w:rsid w:val="00F26BFB"/>
    <w:rsid w:val="00F74D57"/>
    <w:rsid w:val="00FA1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390A2"/>
  <w15:chartTrackingRefBased/>
  <w15:docId w15:val="{3BD2253B-9F55-44CC-96BE-C562538CB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618"/>
  </w:style>
  <w:style w:type="paragraph" w:styleId="Heading3">
    <w:name w:val="heading 3"/>
    <w:basedOn w:val="Normal"/>
    <w:link w:val="Heading3Char"/>
    <w:semiHidden/>
    <w:unhideWhenUsed/>
    <w:qFormat/>
    <w:rsid w:val="005E1618"/>
    <w:pPr>
      <w:keepNext/>
      <w:spacing w:after="0" w:line="240" w:lineRule="auto"/>
      <w:ind w:left="720"/>
      <w:jc w:val="both"/>
      <w:outlineLvl w:val="2"/>
    </w:pPr>
    <w:rPr>
      <w:rFonts w:ascii="Tahoma" w:eastAsia="Times New Roma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5E1618"/>
    <w:rPr>
      <w:rFonts w:ascii="Tahoma" w:eastAsia="Times New Roman" w:hAnsi="Tahoma" w:cs="Tahoma"/>
      <w:b/>
      <w:bCs/>
      <w:sz w:val="20"/>
      <w:szCs w:val="20"/>
      <w:lang w:val="en-GB" w:eastAsia="zh-CN"/>
    </w:rPr>
  </w:style>
  <w:style w:type="paragraph" w:styleId="NormalWeb">
    <w:name w:val="Normal (Web)"/>
    <w:basedOn w:val="Normal"/>
    <w:unhideWhenUsed/>
    <w:rsid w:val="005E1618"/>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FootnoteText">
    <w:name w:val="footnote text"/>
    <w:basedOn w:val="Normal"/>
    <w:link w:val="FootnoteTextChar"/>
    <w:uiPriority w:val="99"/>
    <w:unhideWhenUsed/>
    <w:rsid w:val="005C0F1A"/>
    <w:pPr>
      <w:spacing w:after="0" w:line="240" w:lineRule="auto"/>
    </w:pPr>
    <w:rPr>
      <w:sz w:val="20"/>
      <w:szCs w:val="20"/>
    </w:rPr>
  </w:style>
  <w:style w:type="character" w:customStyle="1" w:styleId="FootnoteTextChar">
    <w:name w:val="Footnote Text Char"/>
    <w:basedOn w:val="DefaultParagraphFont"/>
    <w:link w:val="FootnoteText"/>
    <w:uiPriority w:val="99"/>
    <w:rsid w:val="005C0F1A"/>
    <w:rPr>
      <w:sz w:val="20"/>
      <w:szCs w:val="20"/>
    </w:rPr>
  </w:style>
  <w:style w:type="character" w:styleId="FootnoteReference">
    <w:name w:val="footnote reference"/>
    <w:basedOn w:val="DefaultParagraphFont"/>
    <w:uiPriority w:val="99"/>
    <w:semiHidden/>
    <w:unhideWhenUsed/>
    <w:rsid w:val="005C0F1A"/>
    <w:rPr>
      <w:vertAlign w:val="superscript"/>
    </w:rPr>
  </w:style>
  <w:style w:type="paragraph" w:styleId="Caption">
    <w:name w:val="caption"/>
    <w:basedOn w:val="Normal"/>
    <w:next w:val="Normal"/>
    <w:uiPriority w:val="35"/>
    <w:unhideWhenUsed/>
    <w:qFormat/>
    <w:rsid w:val="00D559D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F54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549E"/>
  </w:style>
  <w:style w:type="paragraph" w:styleId="Footer">
    <w:name w:val="footer"/>
    <w:basedOn w:val="Normal"/>
    <w:link w:val="FooterChar"/>
    <w:uiPriority w:val="99"/>
    <w:unhideWhenUsed/>
    <w:rsid w:val="00EF54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549E"/>
  </w:style>
  <w:style w:type="character" w:styleId="Hyperlink">
    <w:name w:val="Hyperlink"/>
    <w:basedOn w:val="DefaultParagraphFont"/>
    <w:uiPriority w:val="99"/>
    <w:unhideWhenUsed/>
    <w:rsid w:val="00BA5ED3"/>
    <w:rPr>
      <w:color w:val="0563C1" w:themeColor="hyperlink"/>
      <w:u w:val="single"/>
    </w:rPr>
  </w:style>
  <w:style w:type="character" w:styleId="UnresolvedMention">
    <w:name w:val="Unresolved Mention"/>
    <w:basedOn w:val="DefaultParagraphFont"/>
    <w:uiPriority w:val="99"/>
    <w:semiHidden/>
    <w:unhideWhenUsed/>
    <w:rsid w:val="00BA5ED3"/>
    <w:rPr>
      <w:color w:val="605E5C"/>
      <w:shd w:val="clear" w:color="auto" w:fill="E1DFDD"/>
    </w:rPr>
  </w:style>
  <w:style w:type="paragraph" w:styleId="NoSpacing">
    <w:name w:val="No Spacing"/>
    <w:uiPriority w:val="1"/>
    <w:qFormat/>
    <w:rsid w:val="00D328A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luna.manchester.ac.uk/luna/servlet/detail/Man4MedievalVC~4~4~254893~107255:Wheel-of-Fortune?qvq=q:john%20lydgate%20the%20siege%20of%20troy%20fortune&amp;mi=7&amp;trs=1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allacelive.wallacecollection.org/eMP/eMuseumPlus?service=ExternalInterface&amp;module=collection&amp;objectId=64507&amp;viewType=detailView"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allacecollection.org/collection/frontispiece-of-book-ii-of-boethius-de-consolatione-philosophia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EFE49-AC2F-4CD4-B3CF-0D043BEDE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6741</TotalTime>
  <Pages>13</Pages>
  <Words>3268</Words>
  <Characters>18630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Kim</cp:lastModifiedBy>
  <cp:revision>29</cp:revision>
  <dcterms:created xsi:type="dcterms:W3CDTF">2020-04-19T12:53:00Z</dcterms:created>
  <dcterms:modified xsi:type="dcterms:W3CDTF">2020-04-24T05:38:00Z</dcterms:modified>
</cp:coreProperties>
</file>