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182475" w14:textId="61D85604" w:rsidR="00E52E7A" w:rsidRDefault="00E52E7A" w:rsidP="00E52E7A">
      <w:pPr>
        <w:jc w:val="center"/>
        <w:rPr>
          <w:b/>
          <w:bCs/>
        </w:rPr>
      </w:pPr>
      <w:r w:rsidRPr="00E52E7A">
        <w:rPr>
          <w:b/>
          <w:bCs/>
        </w:rPr>
        <w:t>Rochester Castle</w:t>
      </w:r>
    </w:p>
    <w:p w14:paraId="46AC28D6" w14:textId="55A7736E" w:rsidR="00371240" w:rsidRPr="00E52E7A" w:rsidRDefault="00371240" w:rsidP="00E52E7A">
      <w:pPr>
        <w:jc w:val="center"/>
        <w:rPr>
          <w:b/>
          <w:bCs/>
        </w:rPr>
      </w:pPr>
      <w:r>
        <w:rPr>
          <w:noProof/>
        </w:rPr>
        <w:drawing>
          <wp:inline distT="0" distB="0" distL="0" distR="0" wp14:anchorId="14042D10" wp14:editId="7F417A14">
            <wp:extent cx="5610225" cy="3114675"/>
            <wp:effectExtent l="0" t="0" r="9525" b="9525"/>
            <wp:docPr id="17625491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549142" name=""/>
                    <pic:cNvPicPr/>
                  </pic:nvPicPr>
                  <pic:blipFill>
                    <a:blip r:embed="rId7"/>
                    <a:stretch>
                      <a:fillRect/>
                    </a:stretch>
                  </pic:blipFill>
                  <pic:spPr>
                    <a:xfrm>
                      <a:off x="0" y="0"/>
                      <a:ext cx="5610225" cy="3114675"/>
                    </a:xfrm>
                    <a:prstGeom prst="rect">
                      <a:avLst/>
                    </a:prstGeom>
                  </pic:spPr>
                </pic:pic>
              </a:graphicData>
            </a:graphic>
          </wp:inline>
        </w:drawing>
      </w:r>
    </w:p>
    <w:p w14:paraId="2AA8C3BA" w14:textId="0807C08C" w:rsidR="00414F8B" w:rsidRDefault="00414F8B" w:rsidP="003C3393">
      <w:r w:rsidRPr="00414F8B">
        <w:t>The western view of Rochester Castle reveals how Norman authority was constructed through both military strength and the control of movement and perception. The dominance of the keep, the defensive line of the curtain wal</w:t>
      </w:r>
      <w:r w:rsidR="002600B1">
        <w:t>l</w:t>
      </w:r>
      <w:r w:rsidRPr="00414F8B">
        <w:t>, and the controlled slope in the foreground make this relationship immediately visible</w:t>
      </w:r>
      <w:r w:rsidR="002600B1">
        <w:t>.</w:t>
      </w:r>
    </w:p>
    <w:p w14:paraId="55F8227D" w14:textId="372F3904" w:rsidR="003C3393" w:rsidRPr="003C3393" w:rsidRDefault="003C3393" w:rsidP="003C3393">
      <w:r w:rsidRPr="003C3393">
        <w:t xml:space="preserve">Rochester Castle stands at a key crossing of the River Medway in Kent, controlling </w:t>
      </w:r>
      <w:r w:rsidR="00912BF2" w:rsidRPr="00912BF2">
        <w:t>one of the principal routes between London and the south-east coast, aligned with the long-established route of Watling Street</w:t>
      </w:r>
      <w:r w:rsidRPr="003C3393">
        <w:t xml:space="preserve">. Its strategic importance lay not only in its proximity to the Channel ports and Normandy, but also in its position within a long-established network of movement and communication. The site had already been fortified in the Roman period, when </w:t>
      </w:r>
      <w:proofErr w:type="spellStart"/>
      <w:r w:rsidRPr="003C3393">
        <w:t>Durobrivae</w:t>
      </w:r>
      <w:proofErr w:type="spellEnd"/>
      <w:r w:rsidRPr="003C3393">
        <w:t xml:space="preserve"> was enclosed by stone walls protecting the same crossing and road system.</w:t>
      </w:r>
      <w:r w:rsidR="00426719">
        <w:rPr>
          <w:rStyle w:val="FootnoteReference"/>
        </w:rPr>
        <w:footnoteReference w:id="1"/>
      </w:r>
      <w:r w:rsidRPr="003C3393">
        <w:t xml:space="preserve"> Following 1066, the Normans prioritised </w:t>
      </w:r>
      <w:r w:rsidR="001D3C7E">
        <w:t>these</w:t>
      </w:r>
      <w:r w:rsidRPr="003C3393">
        <w:t xml:space="preserve"> locations, recognising that authority over key routes was essential to maintaining dominance over a larger and potentially hostile population. Its proximity to Rochester Cathedral further reinforced its importance, placing the castle within a landscape shaped by both royal and ecclesiastical power</w:t>
      </w:r>
      <w:r w:rsidR="00912BF2" w:rsidRPr="003C28CF">
        <w:t xml:space="preserve">, </w:t>
      </w:r>
      <w:r w:rsidR="003B716A" w:rsidRPr="003C28CF">
        <w:t>as demonstrated by William the Conqueror’s grant of land</w:t>
      </w:r>
      <w:r w:rsidR="003B716A" w:rsidRPr="003C28CF">
        <w:t xml:space="preserve"> </w:t>
      </w:r>
      <w:r w:rsidR="00912BF2" w:rsidRPr="003C28CF">
        <w:t xml:space="preserve">in Rochester to Bishop Odo, his </w:t>
      </w:r>
      <w:r w:rsidR="002E5D11" w:rsidRPr="003C28CF">
        <w:t>half-brother</w:t>
      </w:r>
      <w:r w:rsidR="00426719" w:rsidRPr="003C28CF">
        <w:rPr>
          <w:rStyle w:val="FootnoteReference"/>
        </w:rPr>
        <w:footnoteReference w:id="2"/>
      </w:r>
      <w:r w:rsidR="00912BF2" w:rsidRPr="003C28CF">
        <w:t>.</w:t>
      </w:r>
      <w:r w:rsidR="00912BF2">
        <w:t xml:space="preserve"> </w:t>
      </w:r>
      <w:r w:rsidRPr="003C3393">
        <w:t xml:space="preserve">In this context, Rochester is best seen as part of a broader strategy of consolidating authority through </w:t>
      </w:r>
      <w:r w:rsidR="00B83CDE">
        <w:t>placement</w:t>
      </w:r>
      <w:r w:rsidRPr="003C3393">
        <w:t xml:space="preserve"> of strategically significant </w:t>
      </w:r>
      <w:r w:rsidR="00B83CDE">
        <w:t>positions</w:t>
      </w:r>
      <w:r w:rsidRPr="003C3393">
        <w:t xml:space="preserve">. </w:t>
      </w:r>
      <w:r w:rsidR="00B31DAB">
        <w:t>However</w:t>
      </w:r>
      <w:r w:rsidRPr="003C3393">
        <w:t xml:space="preserve">, the dominance suggested by such sites did not </w:t>
      </w:r>
      <w:r w:rsidRPr="003C3393">
        <w:lastRenderedPageBreak/>
        <w:t>automatically translate into secure or uncontested control, which depended on the interaction of architecture, environment, and military capability.</w:t>
      </w:r>
    </w:p>
    <w:p w14:paraId="2B5003EE" w14:textId="455F0C8E" w:rsidR="003C3393" w:rsidRPr="003C3393" w:rsidRDefault="003C3393" w:rsidP="003C3393">
      <w:r w:rsidRPr="003C3393">
        <w:t>Debate surrounding the function of Norman castles has long been central to their interpretation. R. Allen Brown presents castles primarily as instruments of military control, designed to secure conquered territory through force and surveillance.</w:t>
      </w:r>
      <w:r w:rsidR="00426719">
        <w:rPr>
          <w:rStyle w:val="FootnoteReference"/>
        </w:rPr>
        <w:footnoteReference w:id="3"/>
      </w:r>
      <w:r w:rsidRPr="003C3393">
        <w:t xml:space="preserve"> Charles Coulson, by contrast, places greater emphasis on their symbolic role, viewing them as expressions of lordly authority that projected power through architectural presence.</w:t>
      </w:r>
      <w:r w:rsidR="00426719">
        <w:rPr>
          <w:rStyle w:val="FootnoteReference"/>
        </w:rPr>
        <w:footnoteReference w:id="4"/>
      </w:r>
      <w:r w:rsidRPr="003C3393">
        <w:t xml:space="preserve"> Building on these positions, Robert Liddiard highlights how castles operated within carefully structured landscapes, shaping movement and perception as much as providing defence. Rochester engages with each of these interpretations.</w:t>
      </w:r>
      <w:r w:rsidR="00426719">
        <w:rPr>
          <w:rStyle w:val="FootnoteReference"/>
        </w:rPr>
        <w:footnoteReference w:id="5"/>
      </w:r>
      <w:r w:rsidRPr="003C3393">
        <w:t xml:space="preserve"> Its commanding position over a major crossing point </w:t>
      </w:r>
      <w:r w:rsidR="009B0E15">
        <w:t>demonstrates</w:t>
      </w:r>
      <w:r w:rsidRPr="003C3393">
        <w:t xml:space="preserve"> clear strategic intent, while the scale and visibility of its architecture communicate authority in ways that extend beyond immediate military use. </w:t>
      </w:r>
    </w:p>
    <w:p w14:paraId="37B3983B" w14:textId="5FB379FE" w:rsidR="003C3393" w:rsidRPr="003C3393" w:rsidRDefault="003C3393" w:rsidP="003C3393">
      <w:r w:rsidRPr="003C3393">
        <w:t>At Rochester, the keep dominates both the castle and its surrounding environment. Its height and mass ensured that it remained visible across the approaches to the Medway crossing, reinforcing its presence within the landscape. This prominence reflects a deliberate strategy in which architecture shaped how authority was perceived</w:t>
      </w:r>
      <w:r w:rsidR="00A62ACF">
        <w:t xml:space="preserve">. </w:t>
      </w:r>
      <w:r w:rsidR="00414F8B" w:rsidRPr="00414F8B">
        <w:t>The keep functioned as a continuous visual assertion of authority</w:t>
      </w:r>
      <w:r w:rsidRPr="003C3393">
        <w:t>, particularly in a region where such authority required ongoing reinforcement.</w:t>
      </w:r>
    </w:p>
    <w:p w14:paraId="6ACB38CB" w14:textId="3464B813" w:rsidR="00E2274A" w:rsidRPr="00E2274A" w:rsidRDefault="00E2274A" w:rsidP="00E2274A">
      <w:r w:rsidRPr="00E2274A">
        <w:t xml:space="preserve">From the western perspective, the dominance of Rochester’s keep is immediately apparent, rising above the curtain wall with clear defensive intent. Thick stone walls, attributed to Bishop </w:t>
      </w:r>
      <w:proofErr w:type="spellStart"/>
      <w:r w:rsidRPr="00E2274A">
        <w:t>Gundulf</w:t>
      </w:r>
      <w:proofErr w:type="spellEnd"/>
      <w:r w:rsidR="00457FF6">
        <w:t xml:space="preserve"> circa 1089</w:t>
      </w:r>
      <w:r w:rsidRPr="00E2274A">
        <w:t>, provided resistance to siege engines, while the limited number of openings reduced structural vulnerability.</w:t>
      </w:r>
      <w:r w:rsidR="00CD0E0C">
        <w:rPr>
          <w:rStyle w:val="FootnoteReference"/>
        </w:rPr>
        <w:footnoteReference w:id="6"/>
      </w:r>
      <w:r w:rsidRPr="00E2274A">
        <w:t xml:space="preserve"> Narrow windows further strengthened the structure, their internal widening allowing defenders to fire outward across a range of angles.</w:t>
      </w:r>
      <w:r w:rsidR="00CD0E0C">
        <w:rPr>
          <w:rStyle w:val="FootnoteReference"/>
        </w:rPr>
        <w:footnoteReference w:id="7"/>
      </w:r>
      <w:r w:rsidRPr="00E2274A">
        <w:t xml:space="preserve"> These features indicate an expectation of sustained conflict, aligning Rochester with Brown’s interpretation of castles as instruments of domination.</w:t>
      </w:r>
      <w:r w:rsidR="00CD0E0C">
        <w:rPr>
          <w:rStyle w:val="FootnoteReference"/>
        </w:rPr>
        <w:footnoteReference w:id="8"/>
      </w:r>
      <w:r w:rsidRPr="00E2274A">
        <w:t xml:space="preserve"> The curtain wall beneath the keep reinforces this point, creating a secondary line of defence that distributes military strength across the site rather than concentrating it in a single structure.</w:t>
      </w:r>
    </w:p>
    <w:p w14:paraId="114EA169" w14:textId="6733E7CA" w:rsidR="00E2274A" w:rsidRPr="00E2274A" w:rsidRDefault="00E2274A" w:rsidP="00E2274A">
      <w:r w:rsidRPr="00E2274A">
        <w:t xml:space="preserve">The surrounding landscape, clearly visible in the image, formed an integral part of this defensive system. Situated at a key river crossing, the castle also occupied a position </w:t>
      </w:r>
      <w:r w:rsidRPr="00E2274A">
        <w:lastRenderedPageBreak/>
        <w:t xml:space="preserve">through which movement between London and the coast could be observed. While direct control of trade is difficult to demonstrate, this location enabled oversight of regional traffic. In this way, both architecture and landscape worked together to regulate movement and reinforce authority, supporting </w:t>
      </w:r>
      <w:r w:rsidR="00A35483">
        <w:t>the</w:t>
      </w:r>
      <w:r w:rsidR="00A35483" w:rsidRPr="00E2274A">
        <w:t xml:space="preserve"> </w:t>
      </w:r>
      <w:r w:rsidRPr="00E2274A">
        <w:t>argument that castles structured not only defence, but the experience of power itself.</w:t>
      </w:r>
    </w:p>
    <w:p w14:paraId="15CF956F" w14:textId="73F8D38B" w:rsidR="003C3393" w:rsidRPr="003C3393" w:rsidRDefault="003C3393" w:rsidP="00E2274A">
      <w:r w:rsidRPr="003C3393">
        <w:t>The castle’s development reflects changing priorities over time. An initial timber fortification, likely established under William the Conqueror, enabled rapid occupation and consolidation of control.</w:t>
      </w:r>
      <w:r w:rsidR="00CD0E0C">
        <w:rPr>
          <w:rStyle w:val="FootnoteReference"/>
        </w:rPr>
        <w:footnoteReference w:id="9"/>
      </w:r>
      <w:r w:rsidRPr="003C3393">
        <w:t xml:space="preserve"> This early phase highlights the Norman emphasis on speed during the initial stages of conquest. The reuse of Roman defences further illustrates a pragmatic approach, drawing on existing structures to establish authority quickly. As Norman rule stabilised, timber gave way to stone, marking a shift towards permanence. The construction of the great keep in the early twelfth century under William of </w:t>
      </w:r>
      <w:proofErr w:type="spellStart"/>
      <w:r w:rsidRPr="003C3393">
        <w:t>Corbe</w:t>
      </w:r>
      <w:r w:rsidR="00457FF6">
        <w:t>u</w:t>
      </w:r>
      <w:r w:rsidRPr="003C3393">
        <w:t>il</w:t>
      </w:r>
      <w:proofErr w:type="spellEnd"/>
      <w:r w:rsidRPr="003C3393">
        <w:t>, Archbishop of Canterbury, reinforces this transition, linking the site to both royal and ecclesiastical power.</w:t>
      </w:r>
      <w:r w:rsidR="00CD0E0C">
        <w:rPr>
          <w:rStyle w:val="FootnoteReference"/>
        </w:rPr>
        <w:footnoteReference w:id="10"/>
      </w:r>
      <w:r w:rsidRPr="003C3393">
        <w:t xml:space="preserve"> Stone construction did more than strengthen the castle; it contributed to a perception of enduring authority.</w:t>
      </w:r>
    </w:p>
    <w:p w14:paraId="57A49020" w14:textId="7953DCD6" w:rsidR="003C3393" w:rsidRDefault="003C3393" w:rsidP="003C3393">
      <w:r w:rsidRPr="003C3393">
        <w:t>The importance of Rochester is particularly evident during the siege of 1215, when rebel barons held the castle against King John. Its position made it a key objective, as control of the site offered access to London and the surrounding region. The castle’s design enabled it to withstand prolonged assault, demonstrating the effectiveness of its defensive features. The height of the keep, combined with the thickness of its walls and the organisation of its defences, contributed to its resilience and supports the view that such structures were built with serious military intent.</w:t>
      </w:r>
      <w:r w:rsidR="00DF660E">
        <w:t xml:space="preserve"> </w:t>
      </w:r>
    </w:p>
    <w:p w14:paraId="5F39FC6E" w14:textId="2720BA84" w:rsidR="003C3393" w:rsidRPr="003C3393" w:rsidRDefault="003C3393" w:rsidP="003C3393">
      <w:r w:rsidRPr="003C3393">
        <w:t xml:space="preserve">Yet the events of 1215 also reveal the limits of that strength. </w:t>
      </w:r>
      <w:r w:rsidR="000439ED" w:rsidRPr="003C28CF">
        <w:t>Sources</w:t>
      </w:r>
      <w:r w:rsidRPr="003C3393">
        <w:t xml:space="preserve"> describe how royal forces, unable to breach the castle directly, turned to undermining the keep, eventually collapsing part of the structure through fire.</w:t>
      </w:r>
      <w:r w:rsidR="00271802" w:rsidRPr="003C28CF">
        <w:rPr>
          <w:rStyle w:val="FootnoteReference"/>
        </w:rPr>
        <w:footnoteReference w:id="11"/>
      </w:r>
      <w:r w:rsidRPr="003C3393">
        <w:t xml:space="preserve"> This reflects the increasing sophistication of siege techniques and highlights the vulnerability of even the most imposing fortifications. In this context, Rochester complicates both Brown’s and Coulson’s interpretations. It confirms that castles were sites of genuine military engagement, while also demonstrating that their defensive power was far from absolute. </w:t>
      </w:r>
      <w:r w:rsidR="00570E80" w:rsidRPr="00F34949">
        <w:t>Power</w:t>
      </w:r>
      <w:r w:rsidRPr="003C3393">
        <w:t>, even when expressed through stone, remained open to challenge.</w:t>
      </w:r>
      <w:r w:rsidR="00DF660E" w:rsidRPr="00F34949">
        <w:t xml:space="preserve"> T</w:t>
      </w:r>
      <w:r w:rsidR="00DF660E" w:rsidRPr="00F34949">
        <w:t>he scale and mass of the keep, clearly visible in the image, help to explain why direct assault proved ineffective during the siege of 1215, forcing attackers to adopt more complex strategies such as undermining.</w:t>
      </w:r>
    </w:p>
    <w:p w14:paraId="4E95FBE0" w14:textId="6BF811A5" w:rsidR="003C3393" w:rsidRDefault="003C3393" w:rsidP="003C3393">
      <w:r w:rsidRPr="003C3393">
        <w:t xml:space="preserve">In the aftermath of the siege, further developments reshaped the castle’s defensive system. Under Henry III, greater emphasis was placed on strengthening the outer </w:t>
      </w:r>
      <w:r w:rsidRPr="003C3393">
        <w:lastRenderedPageBreak/>
        <w:t>defences, including curtain walls and gatehouses.</w:t>
      </w:r>
      <w:r w:rsidR="00271802">
        <w:rPr>
          <w:rStyle w:val="FootnoteReference"/>
        </w:rPr>
        <w:footnoteReference w:id="12"/>
      </w:r>
      <w:r w:rsidRPr="003C3393">
        <w:t xml:space="preserve"> This shift suggests a growing awareness that reliance on a single dominant structure was insufficient. Defence became more distributed, creating a layered system in which multiple elements worked together. Such changes indicate that castles were not fixed expressions of power, but structures that evolved in response to experience. At Rochester, this process reflects an ongoing effort to reinforce authority in the face of new challenges.</w:t>
      </w:r>
    </w:p>
    <w:p w14:paraId="6AEC9A23" w14:textId="17D65272" w:rsidR="003C3393" w:rsidRPr="003C3393" w:rsidRDefault="003C3393" w:rsidP="003C3393">
      <w:r w:rsidRPr="003C3393">
        <w:t xml:space="preserve">Even so, the effectiveness of Rochester as a mechanism of control should not be overstated. Its commanding position and imposing architecture convey dominance, yet the events of 1215 demonstrate how fragile that dominance could be. Continued modification throughout the thirteenth century further suggests that castles were not definitive solutions to the challenges of governance and defence. Instead, they formed part of a broader system in which authority was continually tested and required reinforcement. Rochester therefore reveals a more complex picture of Norman rule, </w:t>
      </w:r>
      <w:r w:rsidR="003B716A" w:rsidRPr="003B716A">
        <w:t>one defined by adaptation</w:t>
      </w:r>
      <w:r w:rsidR="003B716A">
        <w:t>,</w:t>
      </w:r>
      <w:r w:rsidR="003B716A" w:rsidRPr="003B716A">
        <w:t xml:space="preserve"> rather than stability</w:t>
      </w:r>
      <w:r w:rsidRPr="003C3393">
        <w:t>.</w:t>
      </w:r>
      <w:r w:rsidR="00DF660E">
        <w:t xml:space="preserve"> </w:t>
      </w:r>
    </w:p>
    <w:p w14:paraId="11E221C9" w14:textId="14ECA4C7" w:rsidR="003C3393" w:rsidRPr="003C3393" w:rsidRDefault="003C3393" w:rsidP="003C3393">
      <w:r w:rsidRPr="003C3393">
        <w:t xml:space="preserve">Rochester Castle ultimately </w:t>
      </w:r>
      <w:r w:rsidR="00570E80" w:rsidRPr="003C3393">
        <w:t>displays</w:t>
      </w:r>
      <w:r w:rsidRPr="003C3393">
        <w:t xml:space="preserve"> how Norman authority operated through a combination of physical strength and visual presence. Its design reflects an effective response to the demands of conquest, bringing together defence, symbolism, and strategic positioning.</w:t>
      </w:r>
      <w:r w:rsidR="00B31DAB">
        <w:t xml:space="preserve"> </w:t>
      </w:r>
      <w:r w:rsidR="00B31DAB" w:rsidRPr="00B31DAB">
        <w:t>The apparent dominance of Rochester, clearly visible in the image, should not be mistaken for effective control.</w:t>
      </w:r>
      <w:r w:rsidRPr="003C3393">
        <w:t xml:space="preserve"> At the same time, its history demonstrates that such authority remained contingent and contested. The castle stands as both a powerful statement of </w:t>
      </w:r>
      <w:r w:rsidR="002E5D11">
        <w:t>power, wealth</w:t>
      </w:r>
      <w:r w:rsidRPr="003C3393">
        <w:t xml:space="preserve"> and a reminder of its limits, shaped by the realities of conflict and change.</w:t>
      </w:r>
    </w:p>
    <w:p w14:paraId="109BFF7D" w14:textId="4BA51B1A" w:rsidR="008406ED" w:rsidRDefault="008406ED">
      <w:r>
        <w:br w:type="page"/>
      </w:r>
    </w:p>
    <w:p w14:paraId="180D933B" w14:textId="41E9B14E" w:rsidR="008406ED" w:rsidRPr="006B234D" w:rsidRDefault="006B234D" w:rsidP="007B6E00">
      <w:pPr>
        <w:rPr>
          <w:b/>
          <w:bCs/>
          <w:sz w:val="28"/>
          <w:szCs w:val="28"/>
        </w:rPr>
      </w:pPr>
      <w:r w:rsidRPr="006B234D">
        <w:rPr>
          <w:b/>
          <w:bCs/>
          <w:sz w:val="28"/>
          <w:szCs w:val="28"/>
        </w:rPr>
        <w:lastRenderedPageBreak/>
        <w:t xml:space="preserve">Bibliography </w:t>
      </w:r>
    </w:p>
    <w:p w14:paraId="0F271B21" w14:textId="77777777" w:rsidR="006B234D" w:rsidRDefault="006B234D" w:rsidP="006B234D">
      <w:pPr>
        <w:spacing w:afterLines="80" w:after="192"/>
        <w:ind w:left="720" w:hanging="720"/>
      </w:pPr>
      <w:r>
        <w:t xml:space="preserve">Anon., </w:t>
      </w:r>
      <w:r>
        <w:rPr>
          <w:i/>
          <w:iCs/>
        </w:rPr>
        <w:t>Domesday Book: Volume I</w:t>
      </w:r>
      <w:r>
        <w:t>, ed. by Ann Williams and G. H. Martin (London: The Folio Society, 2002)</w:t>
      </w:r>
    </w:p>
    <w:p w14:paraId="6A487E5A" w14:textId="77777777" w:rsidR="006B234D" w:rsidRDefault="006B234D" w:rsidP="006B234D">
      <w:pPr>
        <w:spacing w:afterLines="80" w:after="192"/>
        <w:ind w:left="720" w:hanging="720"/>
      </w:pPr>
      <w:r>
        <w:t xml:space="preserve">Anon., </w:t>
      </w:r>
      <w:r>
        <w:rPr>
          <w:i/>
          <w:iCs/>
        </w:rPr>
        <w:t>Domesday Book: Volume II</w:t>
      </w:r>
      <w:r>
        <w:t>, ed. by Ann Williams and G. H. Martin (London: The Folio Society, 2003)</w:t>
      </w:r>
    </w:p>
    <w:p w14:paraId="7A2439D4" w14:textId="77777777" w:rsidR="006B234D" w:rsidRDefault="006B234D" w:rsidP="006B234D">
      <w:pPr>
        <w:spacing w:afterLines="80" w:after="192"/>
        <w:ind w:left="720" w:hanging="720"/>
      </w:pPr>
      <w:r>
        <w:t xml:space="preserve">Anon., </w:t>
      </w:r>
      <w:r>
        <w:rPr>
          <w:i/>
          <w:iCs/>
        </w:rPr>
        <w:t>Domesday Book: Volume III</w:t>
      </w:r>
      <w:r>
        <w:t>, ed. by Ann Williams and G. H. Martin (London: The Folio Society, 2003)</w:t>
      </w:r>
    </w:p>
    <w:p w14:paraId="5ACB72E0" w14:textId="77777777" w:rsidR="006B234D" w:rsidRDefault="006B234D" w:rsidP="006B234D">
      <w:pPr>
        <w:spacing w:afterLines="80" w:after="192"/>
        <w:ind w:left="720" w:hanging="720"/>
      </w:pPr>
      <w:r>
        <w:t xml:space="preserve">Anon., </w:t>
      </w:r>
      <w:r>
        <w:rPr>
          <w:i/>
          <w:iCs/>
        </w:rPr>
        <w:t xml:space="preserve">The </w:t>
      </w:r>
      <w:proofErr w:type="gramStart"/>
      <w:r>
        <w:rPr>
          <w:i/>
          <w:iCs/>
        </w:rPr>
        <w:t>Anglo Saxon</w:t>
      </w:r>
      <w:proofErr w:type="gramEnd"/>
      <w:r>
        <w:rPr>
          <w:i/>
          <w:iCs/>
        </w:rPr>
        <w:t xml:space="preserve"> Chronicle, </w:t>
      </w:r>
      <w:r>
        <w:t>ed. and trans. by Michael Swanton (London: Phoenix Press, 2000)</w:t>
      </w:r>
    </w:p>
    <w:p w14:paraId="4A02D4C4" w14:textId="77777777" w:rsidR="006B234D" w:rsidRDefault="006B234D" w:rsidP="006B234D">
      <w:pPr>
        <w:spacing w:afterLines="80" w:after="192"/>
        <w:ind w:left="720" w:hanging="720"/>
      </w:pPr>
      <w:r>
        <w:t xml:space="preserve">Bates, David, </w:t>
      </w:r>
      <w:r>
        <w:rPr>
          <w:i/>
          <w:iCs/>
        </w:rPr>
        <w:t>The Normans and Empire</w:t>
      </w:r>
      <w:r>
        <w:t xml:space="preserve"> (Oxford: Oxford University Press, 2013)</w:t>
      </w:r>
    </w:p>
    <w:p w14:paraId="69A9316D" w14:textId="77777777" w:rsidR="006B234D" w:rsidRDefault="006B234D" w:rsidP="006B234D">
      <w:pPr>
        <w:pStyle w:val="FootnoteText"/>
        <w:spacing w:afterLines="80" w:after="192"/>
        <w:ind w:left="720" w:hanging="720"/>
        <w:rPr>
          <w:sz w:val="24"/>
          <w:szCs w:val="24"/>
        </w:rPr>
      </w:pPr>
      <w:r w:rsidRPr="00BF4A9F">
        <w:rPr>
          <w:sz w:val="24"/>
          <w:szCs w:val="24"/>
        </w:rPr>
        <w:t>Brown</w:t>
      </w:r>
      <w:r>
        <w:rPr>
          <w:sz w:val="24"/>
          <w:szCs w:val="24"/>
        </w:rPr>
        <w:t>,</w:t>
      </w:r>
      <w:r w:rsidRPr="00BF4A9F">
        <w:rPr>
          <w:sz w:val="24"/>
          <w:szCs w:val="24"/>
        </w:rPr>
        <w:t xml:space="preserve"> Reginald Allen, </w:t>
      </w:r>
      <w:r w:rsidRPr="00BF4A9F">
        <w:rPr>
          <w:i/>
          <w:iCs/>
          <w:sz w:val="24"/>
          <w:szCs w:val="24"/>
        </w:rPr>
        <w:t>English Castles</w:t>
      </w:r>
      <w:r w:rsidRPr="00BF4A9F">
        <w:rPr>
          <w:sz w:val="24"/>
          <w:szCs w:val="24"/>
        </w:rPr>
        <w:t xml:space="preserve"> (London: B. T. Batsford, 1962) </w:t>
      </w:r>
    </w:p>
    <w:p w14:paraId="1ADA14B7" w14:textId="77777777" w:rsidR="006B234D" w:rsidRDefault="006B234D" w:rsidP="006B234D">
      <w:pPr>
        <w:pStyle w:val="FootnoteText"/>
        <w:spacing w:afterLines="80" w:after="192"/>
        <w:ind w:left="720" w:hanging="720"/>
        <w:rPr>
          <w:sz w:val="24"/>
          <w:szCs w:val="24"/>
        </w:rPr>
      </w:pPr>
      <w:r w:rsidRPr="00BF4A9F">
        <w:rPr>
          <w:sz w:val="24"/>
          <w:szCs w:val="24"/>
        </w:rPr>
        <w:t>Coulson</w:t>
      </w:r>
      <w:r>
        <w:rPr>
          <w:sz w:val="24"/>
          <w:szCs w:val="24"/>
        </w:rPr>
        <w:t>,</w:t>
      </w:r>
      <w:r w:rsidRPr="00BF4A9F">
        <w:rPr>
          <w:sz w:val="24"/>
          <w:szCs w:val="24"/>
        </w:rPr>
        <w:t xml:space="preserve"> Charles L. H., </w:t>
      </w:r>
      <w:r w:rsidRPr="00BF4A9F">
        <w:rPr>
          <w:i/>
          <w:iCs/>
          <w:sz w:val="24"/>
          <w:szCs w:val="24"/>
        </w:rPr>
        <w:t>Castles in Medieval Society</w:t>
      </w:r>
      <w:r w:rsidRPr="00BF4A9F">
        <w:rPr>
          <w:sz w:val="24"/>
          <w:szCs w:val="24"/>
        </w:rPr>
        <w:t xml:space="preserve"> (Oxford: Oxford University Press, 2003) &lt;https://vdoc.pub/documents/castles-in-medieval-society-fortresses-in-england-france-and-ireland-in-the-central-middle-ages-2vfm4rik4gf0&gt; [accessed 11 </w:t>
      </w:r>
      <w:r>
        <w:rPr>
          <w:sz w:val="24"/>
          <w:szCs w:val="24"/>
        </w:rPr>
        <w:t>A</w:t>
      </w:r>
      <w:r w:rsidRPr="00BF4A9F">
        <w:rPr>
          <w:sz w:val="24"/>
          <w:szCs w:val="24"/>
        </w:rPr>
        <w:t>pril 2026]</w:t>
      </w:r>
    </w:p>
    <w:p w14:paraId="3B597C75" w14:textId="77777777" w:rsidR="006B234D" w:rsidRDefault="006B234D" w:rsidP="006B234D">
      <w:pPr>
        <w:spacing w:afterLines="80" w:after="192"/>
        <w:ind w:left="720" w:hanging="720"/>
      </w:pPr>
      <w:r>
        <w:t xml:space="preserve">English Heritage, </w:t>
      </w:r>
      <w:r>
        <w:rPr>
          <w:i/>
          <w:iCs/>
        </w:rPr>
        <w:t>Rochester Castle</w:t>
      </w:r>
      <w:r>
        <w:t xml:space="preserve"> &lt;</w:t>
      </w:r>
      <w:r w:rsidRPr="00BF4A9F">
        <w:t>https://www.english-heritage.org.uk/visit/places/rochester-castle/</w:t>
      </w:r>
      <w:r>
        <w:t>&gt; [accessed 11 April 2026]</w:t>
      </w:r>
    </w:p>
    <w:p w14:paraId="73087562" w14:textId="77777777" w:rsidR="006B234D" w:rsidRDefault="006B234D" w:rsidP="006B234D">
      <w:pPr>
        <w:spacing w:afterLines="80" w:after="192"/>
        <w:ind w:left="720" w:hanging="720"/>
      </w:pPr>
      <w:r>
        <w:t xml:space="preserve">Geoffrey of Monmouth, </w:t>
      </w:r>
      <w:r>
        <w:rPr>
          <w:i/>
          <w:iCs/>
        </w:rPr>
        <w:t>The History of the Kings of Britain</w:t>
      </w:r>
      <w:r>
        <w:t>, trans. by Lewis Thorpe (London: Penguin Books, 1966)</w:t>
      </w:r>
    </w:p>
    <w:p w14:paraId="268C2B7C" w14:textId="77777777" w:rsidR="006B234D" w:rsidRDefault="006B234D" w:rsidP="006B234D">
      <w:pPr>
        <w:spacing w:afterLines="80" w:after="192"/>
        <w:ind w:left="720" w:hanging="720"/>
      </w:pPr>
      <w:r>
        <w:t xml:space="preserve">Harmsworth, Andy, </w:t>
      </w:r>
      <w:r>
        <w:rPr>
          <w:i/>
          <w:iCs/>
        </w:rPr>
        <w:t>History Around Us: Rochester Castle</w:t>
      </w:r>
      <w:r>
        <w:t xml:space="preserve"> (2017) &lt;</w:t>
      </w:r>
      <w:r w:rsidRPr="00BF4A9F">
        <w:t>https://www.schoolshistoryproject.co.uk/wp-content/uploads/2017/03/HISTORY-AROUND-US-3-Sources-and-Interpretations.pdf</w:t>
      </w:r>
      <w:r>
        <w:t>&gt; [accessed 11 April 2026]</w:t>
      </w:r>
    </w:p>
    <w:p w14:paraId="6A6D09B0" w14:textId="77777777" w:rsidR="006B234D" w:rsidRDefault="006B234D" w:rsidP="006B234D">
      <w:pPr>
        <w:spacing w:afterLines="80" w:after="192"/>
        <w:ind w:left="720" w:hanging="720"/>
      </w:pPr>
      <w:r>
        <w:t xml:space="preserve">Kent Archaeological Society, </w:t>
      </w:r>
      <w:proofErr w:type="spellStart"/>
      <w:r>
        <w:rPr>
          <w:i/>
          <w:iCs/>
        </w:rPr>
        <w:t>Archaeologia</w:t>
      </w:r>
      <w:proofErr w:type="spellEnd"/>
      <w:r>
        <w:rPr>
          <w:i/>
          <w:iCs/>
        </w:rPr>
        <w:t xml:space="preserve"> </w:t>
      </w:r>
      <w:proofErr w:type="spellStart"/>
      <w:r>
        <w:rPr>
          <w:i/>
          <w:iCs/>
        </w:rPr>
        <w:t>Cantiana</w:t>
      </w:r>
      <w:proofErr w:type="spellEnd"/>
      <w:r>
        <w:t xml:space="preserve"> (London: Mitchell and Hughes, 1895) &lt;</w:t>
      </w:r>
      <w:r w:rsidRPr="00BF4A9F">
        <w:t>https://archive.org/details/archaeologiacan20socigoog/page/n5/mode/2up</w:t>
      </w:r>
      <w:r>
        <w:t>&gt; [accessed 11 April 2026]</w:t>
      </w:r>
    </w:p>
    <w:p w14:paraId="74199660" w14:textId="77777777" w:rsidR="006B234D" w:rsidRDefault="006B234D" w:rsidP="006B234D">
      <w:pPr>
        <w:spacing w:afterLines="80" w:after="192"/>
        <w:ind w:left="720" w:hanging="720"/>
      </w:pPr>
      <w:r w:rsidRPr="00BF4A9F">
        <w:t>Liddiard</w:t>
      </w:r>
      <w:r>
        <w:t>,</w:t>
      </w:r>
      <w:r w:rsidRPr="00BF4A9F">
        <w:t xml:space="preserve"> Robert, </w:t>
      </w:r>
      <w:r w:rsidRPr="00BF4A9F">
        <w:rPr>
          <w:i/>
          <w:iCs/>
        </w:rPr>
        <w:t>Medieval Castles</w:t>
      </w:r>
      <w:r w:rsidRPr="00BF4A9F">
        <w:t xml:space="preserve"> (Coventry: History at the Higher Education Academy, 2010) &lt;https://histsotleurope.wordpress.com/wp-content/uploads/2015/04/tg_liddiard_medievalcastles_20100131.pdf&gt; [accessed 11 April 2026]</w:t>
      </w:r>
    </w:p>
    <w:p w14:paraId="14AAE13B" w14:textId="77777777" w:rsidR="006B234D" w:rsidRDefault="006B234D" w:rsidP="006B234D">
      <w:pPr>
        <w:spacing w:afterLines="80" w:after="192"/>
        <w:ind w:left="720" w:hanging="720"/>
      </w:pPr>
      <w:r>
        <w:t xml:space="preserve">Morris, Marc, </w:t>
      </w:r>
      <w:r>
        <w:rPr>
          <w:i/>
          <w:iCs/>
        </w:rPr>
        <w:t>The Norman Conquest: The Battle of Hastings and the Fall of Anglo-Saxon England</w:t>
      </w:r>
      <w:r>
        <w:t xml:space="preserve"> (London: Penguin Random House, 2024)</w:t>
      </w:r>
    </w:p>
    <w:p w14:paraId="7A8F4DC0" w14:textId="77777777" w:rsidR="006B234D" w:rsidRDefault="006B234D" w:rsidP="006B234D">
      <w:pPr>
        <w:pStyle w:val="FootnoteText"/>
        <w:spacing w:afterLines="80" w:after="192"/>
        <w:ind w:left="720" w:hanging="720"/>
        <w:rPr>
          <w:sz w:val="24"/>
          <w:szCs w:val="24"/>
        </w:rPr>
      </w:pPr>
      <w:r>
        <w:rPr>
          <w:sz w:val="24"/>
          <w:szCs w:val="24"/>
        </w:rPr>
        <w:lastRenderedPageBreak/>
        <w:t xml:space="preserve">Peats, </w:t>
      </w:r>
      <w:r w:rsidRPr="00BF4A9F">
        <w:rPr>
          <w:sz w:val="24"/>
          <w:szCs w:val="24"/>
        </w:rPr>
        <w:t>Richard and Paul Drury, ‘Rochester Castle Conservation Plan’ (unpublished report, English Heritage and Medway Council, 2009), &lt;https://democracy.medway.gov.uk/mgConvert2PDF.aspx?id=3790&gt; [accessed 11 April 2026]</w:t>
      </w:r>
    </w:p>
    <w:p w14:paraId="66A6BD3A" w14:textId="77777777" w:rsidR="006B234D" w:rsidRDefault="006B234D" w:rsidP="006B234D">
      <w:pPr>
        <w:spacing w:afterLines="80" w:after="192"/>
        <w:ind w:left="720" w:hanging="720"/>
      </w:pPr>
      <w:r>
        <w:t xml:space="preserve">Roger of Wendover, </w:t>
      </w:r>
      <w:r>
        <w:rPr>
          <w:i/>
          <w:iCs/>
        </w:rPr>
        <w:t>Flowers of History</w:t>
      </w:r>
      <w:r>
        <w:t>, ed. and trans. by Matthew Paris (London: H. G. Bohn, 1849)</w:t>
      </w:r>
    </w:p>
    <w:p w14:paraId="25B64B4A" w14:textId="77777777" w:rsidR="006B234D" w:rsidRDefault="006B234D" w:rsidP="006B234D">
      <w:pPr>
        <w:spacing w:afterLines="80" w:after="192"/>
        <w:ind w:left="720" w:hanging="720"/>
      </w:pPr>
      <w:r>
        <w:t xml:space="preserve">Rowley, Trevor, </w:t>
      </w:r>
      <w:r>
        <w:rPr>
          <w:i/>
          <w:iCs/>
        </w:rPr>
        <w:t>The Normans</w:t>
      </w:r>
      <w:r>
        <w:t xml:space="preserve"> (Cheltenham: The History Press, 2020)</w:t>
      </w:r>
    </w:p>
    <w:p w14:paraId="5D731AF7" w14:textId="77777777" w:rsidR="006B234D" w:rsidRDefault="006B234D" w:rsidP="006B234D">
      <w:pPr>
        <w:spacing w:afterLines="80" w:after="192"/>
        <w:ind w:left="720" w:hanging="720"/>
      </w:pPr>
      <w:r>
        <w:t xml:space="preserve">Wood, Michael, </w:t>
      </w:r>
      <w:r>
        <w:rPr>
          <w:i/>
          <w:iCs/>
        </w:rPr>
        <w:t>Domesday: A Search for the Roots of England</w:t>
      </w:r>
      <w:r>
        <w:t xml:space="preserve"> (London: BBC Publications, 1986) </w:t>
      </w:r>
    </w:p>
    <w:p w14:paraId="6E2150D6" w14:textId="77777777" w:rsidR="006B234D" w:rsidRPr="00E52E7A" w:rsidRDefault="006B234D" w:rsidP="007B6E00"/>
    <w:sectPr w:rsidR="006B234D" w:rsidRPr="00E52E7A">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74D8B3" w14:textId="77777777" w:rsidR="00DC00CB" w:rsidRDefault="00DC00CB" w:rsidP="000255F1">
      <w:pPr>
        <w:spacing w:after="0" w:line="240" w:lineRule="auto"/>
      </w:pPr>
      <w:r>
        <w:separator/>
      </w:r>
    </w:p>
  </w:endnote>
  <w:endnote w:type="continuationSeparator" w:id="0">
    <w:p w14:paraId="285F6558" w14:textId="77777777" w:rsidR="00DC00CB" w:rsidRDefault="00DC00CB" w:rsidP="000255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30D7BD" w14:textId="77777777" w:rsidR="00DC00CB" w:rsidRDefault="00DC00CB" w:rsidP="000255F1">
      <w:pPr>
        <w:spacing w:after="0" w:line="240" w:lineRule="auto"/>
      </w:pPr>
      <w:r>
        <w:separator/>
      </w:r>
    </w:p>
  </w:footnote>
  <w:footnote w:type="continuationSeparator" w:id="0">
    <w:p w14:paraId="291F4255" w14:textId="77777777" w:rsidR="00DC00CB" w:rsidRDefault="00DC00CB" w:rsidP="000255F1">
      <w:pPr>
        <w:spacing w:after="0" w:line="240" w:lineRule="auto"/>
      </w:pPr>
      <w:r>
        <w:continuationSeparator/>
      </w:r>
    </w:p>
  </w:footnote>
  <w:footnote w:id="1">
    <w:p w14:paraId="748D7D46" w14:textId="21007C44" w:rsidR="00426719" w:rsidRDefault="00426719">
      <w:pPr>
        <w:pStyle w:val="FootnoteText"/>
      </w:pPr>
      <w:r>
        <w:rPr>
          <w:rStyle w:val="FootnoteReference"/>
        </w:rPr>
        <w:footnoteRef/>
      </w:r>
      <w:r>
        <w:t xml:space="preserve"> Richard Peats and Paul Drury, ‘Rochester Castle Conservation Plan’ (unpublished report, English Heritage and Medway Council, 2009), p. 6. &lt;</w:t>
      </w:r>
      <w:r w:rsidRPr="00426719">
        <w:t>https://democracy.medway.gov.uk/mgConvert2PDF.aspx?id=3790</w:t>
      </w:r>
      <w:r>
        <w:t xml:space="preserve">&gt; [accessed 11 April 2026]. </w:t>
      </w:r>
    </w:p>
  </w:footnote>
  <w:footnote w:id="2">
    <w:p w14:paraId="29AB25D2" w14:textId="1FBFBE9C" w:rsidR="00426719" w:rsidRDefault="00426719">
      <w:pPr>
        <w:pStyle w:val="FootnoteText"/>
      </w:pPr>
      <w:r>
        <w:rPr>
          <w:rStyle w:val="FootnoteReference"/>
        </w:rPr>
        <w:footnoteRef/>
      </w:r>
      <w:r>
        <w:t xml:space="preserve"> Richard Peats and Paul Drury, ‘Rochester Castle Conservation Plan’, p. 12.</w:t>
      </w:r>
    </w:p>
  </w:footnote>
  <w:footnote w:id="3">
    <w:p w14:paraId="242C43BA" w14:textId="7996193C" w:rsidR="00426719" w:rsidRPr="00426719" w:rsidRDefault="00426719">
      <w:pPr>
        <w:pStyle w:val="FootnoteText"/>
      </w:pPr>
      <w:r>
        <w:rPr>
          <w:rStyle w:val="FootnoteReference"/>
        </w:rPr>
        <w:footnoteRef/>
      </w:r>
      <w:r>
        <w:t xml:space="preserve"> Reginald Allen Brown, </w:t>
      </w:r>
      <w:r>
        <w:rPr>
          <w:i/>
          <w:iCs/>
        </w:rPr>
        <w:t>English Castles</w:t>
      </w:r>
      <w:r>
        <w:t xml:space="preserve"> (London: B. T. Batsford, 1962), pp. 17-18. </w:t>
      </w:r>
    </w:p>
  </w:footnote>
  <w:footnote w:id="4">
    <w:p w14:paraId="22382DC1" w14:textId="2E60746C" w:rsidR="00426719" w:rsidRDefault="00426719">
      <w:pPr>
        <w:pStyle w:val="FootnoteText"/>
      </w:pPr>
      <w:r>
        <w:rPr>
          <w:rStyle w:val="FootnoteReference"/>
        </w:rPr>
        <w:footnoteRef/>
      </w:r>
      <w:r>
        <w:t xml:space="preserve"> Charles L. H. Coulson, </w:t>
      </w:r>
      <w:r w:rsidRPr="00426719">
        <w:rPr>
          <w:i/>
          <w:iCs/>
        </w:rPr>
        <w:t>Castles in Medieval Society</w:t>
      </w:r>
      <w:r>
        <w:t xml:space="preserve"> (Oxford: Oxford University Press, 2003) &lt;</w:t>
      </w:r>
      <w:r w:rsidRPr="00426719">
        <w:t>https://vdoc.pub/documents/castles-in-medieval-society-fortresses-in-england-france-and-ireland-in-the-central-middle-ages-2vfm4rik4gf0</w:t>
      </w:r>
      <w:r>
        <w:t xml:space="preserve">&gt; [accessed 11 April 2026]. </w:t>
      </w:r>
    </w:p>
  </w:footnote>
  <w:footnote w:id="5">
    <w:p w14:paraId="6A717BB3" w14:textId="0D489844" w:rsidR="00426719" w:rsidRPr="00426719" w:rsidRDefault="00426719">
      <w:pPr>
        <w:pStyle w:val="FootnoteText"/>
      </w:pPr>
      <w:r>
        <w:rPr>
          <w:rStyle w:val="FootnoteReference"/>
        </w:rPr>
        <w:footnoteRef/>
      </w:r>
      <w:r>
        <w:t xml:space="preserve"> Robert Liddiard, </w:t>
      </w:r>
      <w:r>
        <w:rPr>
          <w:i/>
          <w:iCs/>
        </w:rPr>
        <w:t>Medieval Castles</w:t>
      </w:r>
      <w:r>
        <w:t xml:space="preserve"> (Coventry: History at the Higher Education Academy, 2010), pp. 5-10</w:t>
      </w:r>
      <w:r w:rsidR="00CD0E0C">
        <w:t xml:space="preserve"> &lt;</w:t>
      </w:r>
      <w:r w:rsidR="00CD0E0C" w:rsidRPr="00CD0E0C">
        <w:t>https://histsotleurope.wordpress.com/wp-content/uploads/2015/04/tg_liddiard_medievalcastles_20100131.pdf</w:t>
      </w:r>
      <w:r w:rsidR="00CD0E0C">
        <w:t>&gt; [accessed 11 April 2026].</w:t>
      </w:r>
    </w:p>
  </w:footnote>
  <w:footnote w:id="6">
    <w:p w14:paraId="475F97C7" w14:textId="1A6BC8A6" w:rsidR="00CD0E0C" w:rsidRDefault="00CD0E0C">
      <w:pPr>
        <w:pStyle w:val="FootnoteText"/>
      </w:pPr>
      <w:r>
        <w:rPr>
          <w:rStyle w:val="FootnoteReference"/>
        </w:rPr>
        <w:footnoteRef/>
      </w:r>
      <w:r>
        <w:t xml:space="preserve"> </w:t>
      </w:r>
      <w:r>
        <w:t>Richard Peats and Paul Drury, ‘Rochester Castle Conservation Plan’, p. 1</w:t>
      </w:r>
      <w:r>
        <w:t>7</w:t>
      </w:r>
      <w:r>
        <w:t>.</w:t>
      </w:r>
    </w:p>
  </w:footnote>
  <w:footnote w:id="7">
    <w:p w14:paraId="17F3566A" w14:textId="1F26F3D3" w:rsidR="00CD0E0C" w:rsidRPr="00CD0E0C" w:rsidRDefault="00CD0E0C">
      <w:pPr>
        <w:pStyle w:val="FootnoteText"/>
      </w:pPr>
      <w:r>
        <w:rPr>
          <w:rStyle w:val="FootnoteReference"/>
        </w:rPr>
        <w:footnoteRef/>
      </w:r>
      <w:r>
        <w:t xml:space="preserve"> Reginald Allen Brown, </w:t>
      </w:r>
      <w:r>
        <w:rPr>
          <w:i/>
          <w:iCs/>
        </w:rPr>
        <w:t>English Castles</w:t>
      </w:r>
      <w:r>
        <w:t>, pp. 70-72.</w:t>
      </w:r>
    </w:p>
  </w:footnote>
  <w:footnote w:id="8">
    <w:p w14:paraId="16F68340" w14:textId="7209D6E6" w:rsidR="00CD0E0C" w:rsidRDefault="00CD0E0C">
      <w:pPr>
        <w:pStyle w:val="FootnoteText"/>
      </w:pPr>
      <w:r>
        <w:rPr>
          <w:rStyle w:val="FootnoteReference"/>
        </w:rPr>
        <w:footnoteRef/>
      </w:r>
      <w:r>
        <w:t xml:space="preserve"> Ibid., pp.70-72.</w:t>
      </w:r>
    </w:p>
  </w:footnote>
  <w:footnote w:id="9">
    <w:p w14:paraId="374E9256" w14:textId="153A2DB9" w:rsidR="00CD0E0C" w:rsidRDefault="00CD0E0C">
      <w:pPr>
        <w:pStyle w:val="FootnoteText"/>
      </w:pPr>
      <w:r>
        <w:rPr>
          <w:rStyle w:val="FootnoteReference"/>
        </w:rPr>
        <w:footnoteRef/>
      </w:r>
      <w:r>
        <w:t xml:space="preserve"> </w:t>
      </w:r>
      <w:r>
        <w:t>Richard Peats and Paul Drury, ‘Rochester Castle Conservation Plan’, p. 1</w:t>
      </w:r>
      <w:r>
        <w:t>3.</w:t>
      </w:r>
    </w:p>
  </w:footnote>
  <w:footnote w:id="10">
    <w:p w14:paraId="2BD86453" w14:textId="4B476FE5" w:rsidR="00CD0E0C" w:rsidRDefault="00CD0E0C">
      <w:pPr>
        <w:pStyle w:val="FootnoteText"/>
      </w:pPr>
      <w:r>
        <w:rPr>
          <w:rStyle w:val="FootnoteReference"/>
        </w:rPr>
        <w:footnoteRef/>
      </w:r>
      <w:r>
        <w:t xml:space="preserve"> Ibid., p. 26.</w:t>
      </w:r>
    </w:p>
  </w:footnote>
  <w:footnote w:id="11">
    <w:p w14:paraId="69AABC48" w14:textId="2F605AFE" w:rsidR="00271802" w:rsidRDefault="00271802">
      <w:pPr>
        <w:pStyle w:val="FootnoteText"/>
      </w:pPr>
      <w:r>
        <w:rPr>
          <w:rStyle w:val="FootnoteReference"/>
        </w:rPr>
        <w:footnoteRef/>
      </w:r>
      <w:r>
        <w:t xml:space="preserve"> </w:t>
      </w:r>
      <w:r w:rsidR="00F34949">
        <w:t>Ibid., p. 37.</w:t>
      </w:r>
    </w:p>
  </w:footnote>
  <w:footnote w:id="12">
    <w:p w14:paraId="26C9C67A" w14:textId="1678DD37" w:rsidR="00271802" w:rsidRDefault="00271802">
      <w:pPr>
        <w:pStyle w:val="FootnoteText"/>
      </w:pPr>
      <w:r>
        <w:rPr>
          <w:rStyle w:val="FootnoteReference"/>
        </w:rPr>
        <w:footnoteRef/>
      </w:r>
      <w:r>
        <w:t xml:space="preserve"> </w:t>
      </w:r>
      <w:r>
        <w:t>Richard Peats and Paul Drury, ‘Rochester Castle Conservation Plan’, p</w:t>
      </w:r>
      <w:r>
        <w:t>p. 38-48.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70DAD" w14:textId="70D59B78" w:rsidR="003C28CF" w:rsidRDefault="003C28CF" w:rsidP="003C28CF">
    <w:pPr>
      <w:pStyle w:val="Header"/>
    </w:pPr>
    <w:r>
      <w:t>Chris Guy</w:t>
    </w:r>
    <w:r>
      <w:tab/>
    </w:r>
    <w:r w:rsidRPr="002904EA">
      <w:rPr>
        <w:b/>
        <w:bCs/>
      </w:rPr>
      <w:t>Identity and Myth: the Normans and their World</w:t>
    </w:r>
    <w:r>
      <w:rPr>
        <w:b/>
        <w:bCs/>
      </w:rPr>
      <w:t xml:space="preserve">    </w:t>
    </w:r>
    <w:r w:rsidRPr="003D3692">
      <w:tab/>
    </w:r>
    <w:r>
      <w:t>12</w:t>
    </w:r>
    <w:r>
      <w:t>/0</w:t>
    </w:r>
    <w:r>
      <w:t>4</w:t>
    </w:r>
    <w:r>
      <w:t>/2026</w:t>
    </w:r>
  </w:p>
  <w:p w14:paraId="4041CC44" w14:textId="77777777" w:rsidR="003C28CF" w:rsidRDefault="003C28C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2A11"/>
    <w:rsid w:val="000255F1"/>
    <w:rsid w:val="000439ED"/>
    <w:rsid w:val="001D3C7E"/>
    <w:rsid w:val="002600B1"/>
    <w:rsid w:val="00271802"/>
    <w:rsid w:val="002E5D11"/>
    <w:rsid w:val="00332A11"/>
    <w:rsid w:val="00371240"/>
    <w:rsid w:val="003B716A"/>
    <w:rsid w:val="003B7922"/>
    <w:rsid w:val="003C28CF"/>
    <w:rsid w:val="003C3393"/>
    <w:rsid w:val="003E2B24"/>
    <w:rsid w:val="00414F8B"/>
    <w:rsid w:val="00426719"/>
    <w:rsid w:val="00457FF6"/>
    <w:rsid w:val="004A395A"/>
    <w:rsid w:val="004B018D"/>
    <w:rsid w:val="004F4B1A"/>
    <w:rsid w:val="00551468"/>
    <w:rsid w:val="00570E80"/>
    <w:rsid w:val="006A4AAD"/>
    <w:rsid w:val="006B234D"/>
    <w:rsid w:val="00784AB7"/>
    <w:rsid w:val="007B6E00"/>
    <w:rsid w:val="008406ED"/>
    <w:rsid w:val="008E1367"/>
    <w:rsid w:val="009043D3"/>
    <w:rsid w:val="00912BF2"/>
    <w:rsid w:val="00915954"/>
    <w:rsid w:val="009B0E15"/>
    <w:rsid w:val="00A35483"/>
    <w:rsid w:val="00A569DD"/>
    <w:rsid w:val="00A62ACF"/>
    <w:rsid w:val="00B31DAB"/>
    <w:rsid w:val="00B60C77"/>
    <w:rsid w:val="00B74044"/>
    <w:rsid w:val="00B83CDE"/>
    <w:rsid w:val="00B95296"/>
    <w:rsid w:val="00CD0E0C"/>
    <w:rsid w:val="00D129CA"/>
    <w:rsid w:val="00D31627"/>
    <w:rsid w:val="00DC00CB"/>
    <w:rsid w:val="00DF660E"/>
    <w:rsid w:val="00E2274A"/>
    <w:rsid w:val="00E45429"/>
    <w:rsid w:val="00E52E7A"/>
    <w:rsid w:val="00E94FBF"/>
    <w:rsid w:val="00F34949"/>
    <w:rsid w:val="00F63C22"/>
    <w:rsid w:val="00FE39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22FBCE"/>
  <w15:chartTrackingRefBased/>
  <w15:docId w15:val="{1B43F7AE-303C-4F7D-BBB5-19FC9466B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2A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32A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32A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2A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2A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2A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2A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2A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2A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2A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32A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32A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2A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2A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2A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2A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2A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2A11"/>
    <w:rPr>
      <w:rFonts w:eastAsiaTheme="majorEastAsia" w:cstheme="majorBidi"/>
      <w:color w:val="272727" w:themeColor="text1" w:themeTint="D8"/>
    </w:rPr>
  </w:style>
  <w:style w:type="paragraph" w:styleId="Title">
    <w:name w:val="Title"/>
    <w:basedOn w:val="Normal"/>
    <w:next w:val="Normal"/>
    <w:link w:val="TitleChar"/>
    <w:uiPriority w:val="10"/>
    <w:qFormat/>
    <w:rsid w:val="00332A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2A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2A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2A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2A11"/>
    <w:pPr>
      <w:spacing w:before="160"/>
      <w:jc w:val="center"/>
    </w:pPr>
    <w:rPr>
      <w:i/>
      <w:iCs/>
      <w:color w:val="404040" w:themeColor="text1" w:themeTint="BF"/>
    </w:rPr>
  </w:style>
  <w:style w:type="character" w:customStyle="1" w:styleId="QuoteChar">
    <w:name w:val="Quote Char"/>
    <w:basedOn w:val="DefaultParagraphFont"/>
    <w:link w:val="Quote"/>
    <w:uiPriority w:val="29"/>
    <w:rsid w:val="00332A11"/>
    <w:rPr>
      <w:i/>
      <w:iCs/>
      <w:color w:val="404040" w:themeColor="text1" w:themeTint="BF"/>
    </w:rPr>
  </w:style>
  <w:style w:type="paragraph" w:styleId="ListParagraph">
    <w:name w:val="List Paragraph"/>
    <w:basedOn w:val="Normal"/>
    <w:uiPriority w:val="34"/>
    <w:qFormat/>
    <w:rsid w:val="00332A11"/>
    <w:pPr>
      <w:ind w:left="720"/>
      <w:contextualSpacing/>
    </w:pPr>
  </w:style>
  <w:style w:type="character" w:styleId="IntenseEmphasis">
    <w:name w:val="Intense Emphasis"/>
    <w:basedOn w:val="DefaultParagraphFont"/>
    <w:uiPriority w:val="21"/>
    <w:qFormat/>
    <w:rsid w:val="00332A11"/>
    <w:rPr>
      <w:i/>
      <w:iCs/>
      <w:color w:val="0F4761" w:themeColor="accent1" w:themeShade="BF"/>
    </w:rPr>
  </w:style>
  <w:style w:type="paragraph" w:styleId="IntenseQuote">
    <w:name w:val="Intense Quote"/>
    <w:basedOn w:val="Normal"/>
    <w:next w:val="Normal"/>
    <w:link w:val="IntenseQuoteChar"/>
    <w:uiPriority w:val="30"/>
    <w:qFormat/>
    <w:rsid w:val="00332A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2A11"/>
    <w:rPr>
      <w:i/>
      <w:iCs/>
      <w:color w:val="0F4761" w:themeColor="accent1" w:themeShade="BF"/>
    </w:rPr>
  </w:style>
  <w:style w:type="character" w:styleId="IntenseReference">
    <w:name w:val="Intense Reference"/>
    <w:basedOn w:val="DefaultParagraphFont"/>
    <w:uiPriority w:val="32"/>
    <w:qFormat/>
    <w:rsid w:val="00332A11"/>
    <w:rPr>
      <w:b/>
      <w:bCs/>
      <w:smallCaps/>
      <w:color w:val="0F4761" w:themeColor="accent1" w:themeShade="BF"/>
      <w:spacing w:val="5"/>
    </w:rPr>
  </w:style>
  <w:style w:type="character" w:styleId="CommentReference">
    <w:name w:val="annotation reference"/>
    <w:basedOn w:val="DefaultParagraphFont"/>
    <w:uiPriority w:val="99"/>
    <w:semiHidden/>
    <w:unhideWhenUsed/>
    <w:rsid w:val="003C3393"/>
    <w:rPr>
      <w:sz w:val="16"/>
      <w:szCs w:val="16"/>
    </w:rPr>
  </w:style>
  <w:style w:type="paragraph" w:styleId="CommentText">
    <w:name w:val="annotation text"/>
    <w:basedOn w:val="Normal"/>
    <w:link w:val="CommentTextChar"/>
    <w:uiPriority w:val="99"/>
    <w:unhideWhenUsed/>
    <w:rsid w:val="003C3393"/>
    <w:pPr>
      <w:spacing w:line="240" w:lineRule="auto"/>
    </w:pPr>
    <w:rPr>
      <w:sz w:val="20"/>
      <w:szCs w:val="20"/>
    </w:rPr>
  </w:style>
  <w:style w:type="character" w:customStyle="1" w:styleId="CommentTextChar">
    <w:name w:val="Comment Text Char"/>
    <w:basedOn w:val="DefaultParagraphFont"/>
    <w:link w:val="CommentText"/>
    <w:uiPriority w:val="99"/>
    <w:rsid w:val="003C3393"/>
    <w:rPr>
      <w:sz w:val="20"/>
      <w:szCs w:val="20"/>
    </w:rPr>
  </w:style>
  <w:style w:type="paragraph" w:styleId="CommentSubject">
    <w:name w:val="annotation subject"/>
    <w:basedOn w:val="CommentText"/>
    <w:next w:val="CommentText"/>
    <w:link w:val="CommentSubjectChar"/>
    <w:uiPriority w:val="99"/>
    <w:semiHidden/>
    <w:unhideWhenUsed/>
    <w:rsid w:val="003C3393"/>
    <w:rPr>
      <w:b/>
      <w:bCs/>
    </w:rPr>
  </w:style>
  <w:style w:type="character" w:customStyle="1" w:styleId="CommentSubjectChar">
    <w:name w:val="Comment Subject Char"/>
    <w:basedOn w:val="CommentTextChar"/>
    <w:link w:val="CommentSubject"/>
    <w:uiPriority w:val="99"/>
    <w:semiHidden/>
    <w:rsid w:val="003C3393"/>
    <w:rPr>
      <w:b/>
      <w:bCs/>
      <w:sz w:val="20"/>
      <w:szCs w:val="20"/>
    </w:rPr>
  </w:style>
  <w:style w:type="character" w:styleId="Hyperlink">
    <w:name w:val="Hyperlink"/>
    <w:basedOn w:val="DefaultParagraphFont"/>
    <w:uiPriority w:val="99"/>
    <w:unhideWhenUsed/>
    <w:rsid w:val="009043D3"/>
    <w:rPr>
      <w:color w:val="467886" w:themeColor="hyperlink"/>
      <w:u w:val="single"/>
    </w:rPr>
  </w:style>
  <w:style w:type="character" w:styleId="UnresolvedMention">
    <w:name w:val="Unresolved Mention"/>
    <w:basedOn w:val="DefaultParagraphFont"/>
    <w:uiPriority w:val="99"/>
    <w:semiHidden/>
    <w:unhideWhenUsed/>
    <w:rsid w:val="009043D3"/>
    <w:rPr>
      <w:color w:val="605E5C"/>
      <w:shd w:val="clear" w:color="auto" w:fill="E1DFDD"/>
    </w:rPr>
  </w:style>
  <w:style w:type="paragraph" w:styleId="NormalWeb">
    <w:name w:val="Normal (Web)"/>
    <w:basedOn w:val="Normal"/>
    <w:uiPriority w:val="99"/>
    <w:semiHidden/>
    <w:unhideWhenUsed/>
    <w:rsid w:val="00E2274A"/>
    <w:rPr>
      <w:rFonts w:ascii="Times New Roman" w:hAnsi="Times New Roman" w:cs="Times New Roman"/>
    </w:rPr>
  </w:style>
  <w:style w:type="paragraph" w:styleId="Revision">
    <w:name w:val="Revision"/>
    <w:hidden/>
    <w:uiPriority w:val="99"/>
    <w:semiHidden/>
    <w:rsid w:val="009B0E15"/>
    <w:pPr>
      <w:spacing w:after="0" w:line="240" w:lineRule="auto"/>
    </w:pPr>
  </w:style>
  <w:style w:type="paragraph" w:styleId="FootnoteText">
    <w:name w:val="footnote text"/>
    <w:basedOn w:val="Normal"/>
    <w:link w:val="FootnoteTextChar"/>
    <w:uiPriority w:val="99"/>
    <w:semiHidden/>
    <w:unhideWhenUsed/>
    <w:rsid w:val="000255F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255F1"/>
    <w:rPr>
      <w:sz w:val="20"/>
      <w:szCs w:val="20"/>
    </w:rPr>
  </w:style>
  <w:style w:type="character" w:styleId="FootnoteReference">
    <w:name w:val="footnote reference"/>
    <w:basedOn w:val="DefaultParagraphFont"/>
    <w:uiPriority w:val="99"/>
    <w:semiHidden/>
    <w:unhideWhenUsed/>
    <w:rsid w:val="000255F1"/>
    <w:rPr>
      <w:vertAlign w:val="superscript"/>
    </w:rPr>
  </w:style>
  <w:style w:type="character" w:styleId="FollowedHyperlink">
    <w:name w:val="FollowedHyperlink"/>
    <w:basedOn w:val="DefaultParagraphFont"/>
    <w:uiPriority w:val="99"/>
    <w:semiHidden/>
    <w:unhideWhenUsed/>
    <w:rsid w:val="008406ED"/>
    <w:rPr>
      <w:color w:val="96607D" w:themeColor="followedHyperlink"/>
      <w:u w:val="single"/>
    </w:rPr>
  </w:style>
  <w:style w:type="paragraph" w:styleId="Header">
    <w:name w:val="header"/>
    <w:basedOn w:val="Normal"/>
    <w:link w:val="HeaderChar"/>
    <w:uiPriority w:val="99"/>
    <w:unhideWhenUsed/>
    <w:rsid w:val="003C28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28CF"/>
  </w:style>
  <w:style w:type="paragraph" w:styleId="Footer">
    <w:name w:val="footer"/>
    <w:basedOn w:val="Normal"/>
    <w:link w:val="FooterChar"/>
    <w:uiPriority w:val="99"/>
    <w:unhideWhenUsed/>
    <w:rsid w:val="003C28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28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668F46-8AE0-41D0-87B5-06BC1FB086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4737</TotalTime>
  <Pages>6</Pages>
  <Words>1579</Words>
  <Characters>9317</Characters>
  <Application>Microsoft Office Word</Application>
  <DocSecurity>0</DocSecurity>
  <Lines>137</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Guy (2404993)</dc:creator>
  <cp:keywords/>
  <dc:description/>
  <cp:lastModifiedBy>Chris Guy (2404993)</cp:lastModifiedBy>
  <cp:revision>7</cp:revision>
  <dcterms:created xsi:type="dcterms:W3CDTF">2026-04-09T10:38:00Z</dcterms:created>
  <dcterms:modified xsi:type="dcterms:W3CDTF">2026-04-12T18:08:00Z</dcterms:modified>
</cp:coreProperties>
</file>