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7A051" w14:textId="77777777" w:rsidR="00D040F8" w:rsidRDefault="00D040F8" w:rsidP="009B3F01">
      <w:pPr>
        <w:spacing w:before="100" w:beforeAutospacing="1" w:after="100" w:afterAutospacing="1"/>
        <w:rPr>
          <w:rFonts w:ascii="Times New Roman" w:eastAsia="Times New Roman" w:hAnsi="Times New Roman" w:cs="Times New Roman"/>
          <w:b/>
          <w:bCs/>
          <w:kern w:val="0"/>
          <w:szCs w:val="24"/>
          <w:lang w:eastAsia="en-GB"/>
          <w14:ligatures w14:val="none"/>
        </w:rPr>
      </w:pPr>
      <w:r w:rsidRPr="00D040F8">
        <w:rPr>
          <w:rFonts w:ascii="Times New Roman" w:eastAsia="Times New Roman" w:hAnsi="Times New Roman" w:cs="Times New Roman"/>
          <w:b/>
          <w:bCs/>
          <w:kern w:val="0"/>
          <w:szCs w:val="24"/>
          <w:lang w:eastAsia="en-GB"/>
          <w14:ligatures w14:val="none"/>
        </w:rPr>
        <w:t>Title: International Financial Management Analysis of BP PLC</w:t>
      </w:r>
    </w:p>
    <w:p w14:paraId="60BE45EF" w14:textId="75EA2A5A" w:rsidR="009B3F01" w:rsidRDefault="009B3F01" w:rsidP="009B3F01">
      <w:pPr>
        <w:spacing w:before="100" w:beforeAutospacing="1" w:after="100" w:afterAutospacing="1"/>
        <w:rPr>
          <w:rFonts w:ascii="Times New Roman" w:eastAsia="Times New Roman" w:hAnsi="Times New Roman" w:cs="Times New Roman"/>
          <w:b/>
          <w:bCs/>
          <w:kern w:val="0"/>
          <w:szCs w:val="24"/>
          <w:lang w:val="en-US" w:eastAsia="en-GB"/>
          <w14:ligatures w14:val="none"/>
        </w:rPr>
      </w:pPr>
      <w:r>
        <w:rPr>
          <w:rFonts w:ascii="Times New Roman" w:eastAsia="Times New Roman" w:hAnsi="Times New Roman" w:cs="Times New Roman"/>
          <w:b/>
          <w:bCs/>
          <w:kern w:val="0"/>
          <w:szCs w:val="24"/>
          <w:lang w:val="en-US" w:eastAsia="en-GB"/>
          <w14:ligatures w14:val="none"/>
        </w:rPr>
        <w:t xml:space="preserve">Module: </w:t>
      </w:r>
      <w:r w:rsidRPr="009B3F01">
        <w:rPr>
          <w:rFonts w:ascii="Times New Roman" w:eastAsia="Times New Roman" w:hAnsi="Times New Roman" w:cs="Times New Roman"/>
          <w:b/>
          <w:bCs/>
          <w:kern w:val="0"/>
          <w:szCs w:val="24"/>
          <w:lang w:val="en-US" w:eastAsia="en-GB"/>
          <w14:ligatures w14:val="none"/>
        </w:rPr>
        <w:t>International Financial Management</w:t>
      </w:r>
    </w:p>
    <w:p w14:paraId="2BCCB7F5" w14:textId="163C2B59" w:rsidR="009B3F01" w:rsidRPr="009B3F01" w:rsidRDefault="009B3F01" w:rsidP="009B3F01">
      <w:pPr>
        <w:spacing w:before="100" w:beforeAutospacing="1" w:after="100" w:afterAutospacing="1"/>
        <w:rPr>
          <w:rFonts w:ascii="Times New Roman" w:eastAsia="Times New Roman" w:hAnsi="Times New Roman" w:cs="Times New Roman"/>
          <w:b/>
          <w:bCs/>
          <w:kern w:val="0"/>
          <w:szCs w:val="24"/>
          <w:lang w:val="en-US" w:eastAsia="en-GB"/>
          <w14:ligatures w14:val="none"/>
        </w:rPr>
      </w:pPr>
      <w:r>
        <w:rPr>
          <w:rFonts w:ascii="Times New Roman" w:eastAsia="Times New Roman" w:hAnsi="Times New Roman" w:cs="Times New Roman"/>
          <w:b/>
          <w:bCs/>
          <w:kern w:val="0"/>
          <w:szCs w:val="24"/>
          <w:lang w:val="en-US" w:eastAsia="en-GB"/>
          <w14:ligatures w14:val="none"/>
        </w:rPr>
        <w:t xml:space="preserve">Module Code: </w:t>
      </w:r>
      <w:r w:rsidRPr="009B3F01">
        <w:rPr>
          <w:rFonts w:ascii="Times New Roman" w:eastAsia="Times New Roman" w:hAnsi="Times New Roman" w:cs="Times New Roman"/>
          <w:b/>
          <w:bCs/>
          <w:kern w:val="0"/>
          <w:szCs w:val="24"/>
          <w:lang w:val="en-US" w:eastAsia="en-GB"/>
          <w14:ligatures w14:val="none"/>
        </w:rPr>
        <w:t>LCBB6002</w:t>
      </w:r>
    </w:p>
    <w:p w14:paraId="66DD0564" w14:textId="074C35C2" w:rsidR="009B3F01" w:rsidRDefault="009B3F01" w:rsidP="009B3F01">
      <w:pPr>
        <w:spacing w:before="100" w:beforeAutospacing="1" w:after="100" w:afterAutospacing="1"/>
        <w:rPr>
          <w:rFonts w:ascii="Times New Roman" w:eastAsia="Times New Roman" w:hAnsi="Times New Roman" w:cs="Times New Roman"/>
          <w:b/>
          <w:bCs/>
          <w:kern w:val="0"/>
          <w:szCs w:val="24"/>
          <w:lang w:val="en-US" w:eastAsia="en-GB"/>
          <w14:ligatures w14:val="none"/>
        </w:rPr>
      </w:pPr>
      <w:r>
        <w:rPr>
          <w:rFonts w:ascii="Times New Roman" w:eastAsia="Times New Roman" w:hAnsi="Times New Roman" w:cs="Times New Roman"/>
          <w:b/>
          <w:bCs/>
          <w:kern w:val="0"/>
          <w:szCs w:val="24"/>
          <w:lang w:val="en-US" w:eastAsia="en-GB"/>
          <w14:ligatures w14:val="none"/>
        </w:rPr>
        <w:t>Name:</w:t>
      </w:r>
      <w:r w:rsidR="00565BAC">
        <w:rPr>
          <w:rFonts w:ascii="Times New Roman" w:eastAsia="Times New Roman" w:hAnsi="Times New Roman" w:cs="Times New Roman"/>
          <w:b/>
          <w:bCs/>
          <w:kern w:val="0"/>
          <w:szCs w:val="24"/>
          <w:lang w:val="en-US" w:eastAsia="en-GB"/>
          <w14:ligatures w14:val="none"/>
        </w:rPr>
        <w:t xml:space="preserve"> Cristian Ailincai </w:t>
      </w:r>
    </w:p>
    <w:p w14:paraId="774A54D5" w14:textId="664079A4" w:rsidR="009B3F01" w:rsidRDefault="009B3F01" w:rsidP="009B3F01">
      <w:pPr>
        <w:spacing w:before="100" w:beforeAutospacing="1" w:after="100" w:afterAutospacing="1"/>
        <w:rPr>
          <w:rFonts w:ascii="Times New Roman" w:eastAsia="Times New Roman" w:hAnsi="Times New Roman" w:cs="Times New Roman"/>
          <w:b/>
          <w:bCs/>
          <w:kern w:val="0"/>
          <w:szCs w:val="24"/>
          <w:lang w:val="en-US" w:eastAsia="en-GB"/>
          <w14:ligatures w14:val="none"/>
        </w:rPr>
      </w:pPr>
      <w:r>
        <w:rPr>
          <w:rFonts w:ascii="Times New Roman" w:eastAsia="Times New Roman" w:hAnsi="Times New Roman" w:cs="Times New Roman"/>
          <w:b/>
          <w:bCs/>
          <w:kern w:val="0"/>
          <w:szCs w:val="24"/>
          <w:lang w:val="en-US" w:eastAsia="en-GB"/>
          <w14:ligatures w14:val="none"/>
        </w:rPr>
        <w:t>ID:</w:t>
      </w:r>
      <w:r w:rsidR="00565BAC">
        <w:rPr>
          <w:rFonts w:ascii="Times New Roman" w:eastAsia="Times New Roman" w:hAnsi="Times New Roman" w:cs="Times New Roman"/>
          <w:b/>
          <w:bCs/>
          <w:kern w:val="0"/>
          <w:szCs w:val="24"/>
          <w:lang w:val="en-US" w:eastAsia="en-GB"/>
          <w14:ligatures w14:val="none"/>
        </w:rPr>
        <w:t xml:space="preserve"> 2029264</w:t>
      </w:r>
    </w:p>
    <w:p w14:paraId="4B8F50D9" w14:textId="77777777" w:rsidR="009B3F01" w:rsidRPr="00D040F8" w:rsidRDefault="009B3F01" w:rsidP="009B3F01">
      <w:pPr>
        <w:spacing w:before="100" w:beforeAutospacing="1" w:after="100" w:afterAutospacing="1"/>
        <w:rPr>
          <w:rFonts w:ascii="Times New Roman" w:eastAsia="Times New Roman" w:hAnsi="Times New Roman" w:cs="Times New Roman"/>
          <w:kern w:val="0"/>
          <w:szCs w:val="24"/>
          <w:lang w:val="en-US" w:eastAsia="en-GB"/>
          <w14:ligatures w14:val="none"/>
        </w:rPr>
      </w:pPr>
    </w:p>
    <w:p w14:paraId="71575F4A" w14:textId="77777777" w:rsidR="009B3F01" w:rsidRDefault="009B3F01">
      <w:pPr>
        <w:spacing w:line="240" w:lineRule="auto"/>
        <w:jc w:val="left"/>
        <w:rPr>
          <w:rFonts w:ascii="Times New Roman" w:eastAsia="Times New Roman" w:hAnsi="Times New Roman" w:cs="Times New Roman"/>
          <w:b/>
          <w:bCs/>
          <w:kern w:val="0"/>
          <w:szCs w:val="24"/>
          <w:lang w:eastAsia="en-GB"/>
          <w14:ligatures w14:val="none"/>
        </w:rPr>
      </w:pPr>
      <w:r>
        <w:rPr>
          <w:rFonts w:ascii="Times New Roman" w:eastAsia="Times New Roman" w:hAnsi="Times New Roman" w:cs="Times New Roman"/>
          <w:b/>
          <w:bCs/>
          <w:kern w:val="0"/>
          <w:szCs w:val="24"/>
          <w:lang w:eastAsia="en-GB"/>
          <w14:ligatures w14:val="none"/>
        </w:rPr>
        <w:br w:type="page"/>
      </w:r>
    </w:p>
    <w:p w14:paraId="21D80B98" w14:textId="393BE043" w:rsidR="00CF21D3" w:rsidRPr="00CF3F1A" w:rsidRDefault="00CF3F1A" w:rsidP="00CF3F1A">
      <w:pPr>
        <w:spacing w:before="100" w:beforeAutospacing="1" w:after="100" w:afterAutospacing="1"/>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 xml:space="preserve">Discussions on international finance management typically centre on the challenges faced by multinational firms like BP PLC as they navigate a global economy that is constantly changing. In this </w:t>
      </w:r>
      <w:r w:rsidR="00981390">
        <w:rPr>
          <w:rFonts w:ascii="Times New Roman" w:eastAsia="Times New Roman" w:hAnsi="Times New Roman" w:cs="Times New Roman"/>
          <w:kern w:val="0"/>
          <w:szCs w:val="24"/>
          <w:lang w:val="en-US" w:eastAsia="en-GB"/>
          <w14:ligatures w14:val="none"/>
        </w:rPr>
        <w:t>report</w:t>
      </w:r>
      <w:r w:rsidRPr="00CF3F1A">
        <w:rPr>
          <w:rFonts w:ascii="Times New Roman" w:eastAsia="Times New Roman" w:hAnsi="Times New Roman" w:cs="Times New Roman"/>
          <w:kern w:val="0"/>
          <w:szCs w:val="24"/>
          <w:lang w:eastAsia="en-GB"/>
          <w14:ligatures w14:val="none"/>
        </w:rPr>
        <w:t>, we examine IFM's critical function at BP PLC</w:t>
      </w:r>
      <w:r w:rsidR="00B14941">
        <w:rPr>
          <w:rFonts w:ascii="Times New Roman" w:eastAsia="Times New Roman" w:hAnsi="Times New Roman" w:cs="Times New Roman"/>
          <w:kern w:val="0"/>
          <w:szCs w:val="24"/>
          <w:lang w:val="en-US" w:eastAsia="en-GB"/>
          <w14:ligatures w14:val="none"/>
        </w:rPr>
        <w:t>. The company is</w:t>
      </w:r>
      <w:r w:rsidRPr="00CF3F1A">
        <w:rPr>
          <w:rFonts w:ascii="Times New Roman" w:eastAsia="Times New Roman" w:hAnsi="Times New Roman" w:cs="Times New Roman"/>
          <w:kern w:val="0"/>
          <w:szCs w:val="24"/>
          <w:lang w:eastAsia="en-GB"/>
          <w14:ligatures w14:val="none"/>
        </w:rPr>
        <w:t xml:space="preserve"> a global leader in the petroleum industry. Within the framework of global financial management, the </w:t>
      </w:r>
      <w:r w:rsidR="00B14941">
        <w:rPr>
          <w:rFonts w:ascii="Times New Roman" w:eastAsia="Times New Roman" w:hAnsi="Times New Roman" w:cs="Times New Roman"/>
          <w:kern w:val="0"/>
          <w:szCs w:val="24"/>
          <w:lang w:val="en-US" w:eastAsia="en-GB"/>
          <w14:ligatures w14:val="none"/>
        </w:rPr>
        <w:t>report also</w:t>
      </w:r>
      <w:r w:rsidRPr="00CF3F1A">
        <w:rPr>
          <w:rFonts w:ascii="Times New Roman" w:eastAsia="Times New Roman" w:hAnsi="Times New Roman" w:cs="Times New Roman"/>
          <w:kern w:val="0"/>
          <w:szCs w:val="24"/>
          <w:lang w:eastAsia="en-GB"/>
          <w14:ligatures w14:val="none"/>
        </w:rPr>
        <w:t xml:space="preserve"> analyses BP's dividend policy, analyses the </w:t>
      </w:r>
      <w:r w:rsidR="00981390">
        <w:rPr>
          <w:rFonts w:ascii="Times New Roman" w:eastAsia="Times New Roman" w:hAnsi="Times New Roman" w:cs="Times New Roman"/>
          <w:kern w:val="0"/>
          <w:szCs w:val="24"/>
          <w:lang w:val="en-US" w:eastAsia="en-GB"/>
          <w14:ligatures w14:val="none"/>
        </w:rPr>
        <w:t>overall</w:t>
      </w:r>
      <w:r w:rsidRPr="00CF3F1A">
        <w:rPr>
          <w:rFonts w:ascii="Times New Roman" w:eastAsia="Times New Roman" w:hAnsi="Times New Roman" w:cs="Times New Roman"/>
          <w:kern w:val="0"/>
          <w:szCs w:val="24"/>
          <w:lang w:eastAsia="en-GB"/>
          <w14:ligatures w14:val="none"/>
        </w:rPr>
        <w:t xml:space="preserve"> market performance of the firm in</w:t>
      </w:r>
      <w:r w:rsidR="00981390">
        <w:rPr>
          <w:rFonts w:ascii="Times New Roman" w:eastAsia="Times New Roman" w:hAnsi="Times New Roman" w:cs="Times New Roman"/>
          <w:kern w:val="0"/>
          <w:szCs w:val="24"/>
          <w:lang w:val="en-US" w:eastAsia="en-GB"/>
          <w14:ligatures w14:val="none"/>
        </w:rPr>
        <w:t xml:space="preserve"> the</w:t>
      </w:r>
      <w:r w:rsidRPr="00CF3F1A">
        <w:rPr>
          <w:rFonts w:ascii="Times New Roman" w:eastAsia="Times New Roman" w:hAnsi="Times New Roman" w:cs="Times New Roman"/>
          <w:kern w:val="0"/>
          <w:szCs w:val="24"/>
          <w:lang w:eastAsia="en-GB"/>
          <w14:ligatures w14:val="none"/>
        </w:rPr>
        <w:t xml:space="preserve"> light of the Efficient Market Hypothesis</w:t>
      </w:r>
      <w:r w:rsidR="00981390">
        <w:rPr>
          <w:rFonts w:ascii="Times New Roman" w:eastAsia="Times New Roman" w:hAnsi="Times New Roman" w:cs="Times New Roman"/>
          <w:kern w:val="0"/>
          <w:szCs w:val="24"/>
          <w:lang w:eastAsia="en-GB"/>
          <w14:ligatures w14:val="none"/>
        </w:rPr>
        <w:t xml:space="preserve"> </w:t>
      </w:r>
      <w:r w:rsidR="00981390">
        <w:rPr>
          <w:rFonts w:ascii="Times New Roman" w:eastAsia="Times New Roman" w:hAnsi="Times New Roman" w:cs="Times New Roman"/>
          <w:kern w:val="0"/>
          <w:szCs w:val="24"/>
          <w:lang w:val="en-US" w:eastAsia="en-GB"/>
          <w14:ligatures w14:val="none"/>
        </w:rPr>
        <w:t>as well as</w:t>
      </w:r>
      <w:r w:rsidRPr="00CF3F1A">
        <w:rPr>
          <w:rFonts w:ascii="Times New Roman" w:eastAsia="Times New Roman" w:hAnsi="Times New Roman" w:cs="Times New Roman"/>
          <w:kern w:val="0"/>
          <w:szCs w:val="24"/>
          <w:lang w:eastAsia="en-GB"/>
          <w14:ligatures w14:val="none"/>
        </w:rPr>
        <w:t xml:space="preserve"> analyses the company's techniques of project assessment.</w:t>
      </w:r>
      <w:r w:rsidR="00CF21D3">
        <w:rPr>
          <w:rFonts w:ascii="Times New Roman" w:eastAsia="Times New Roman" w:hAnsi="Times New Roman" w:cs="Times New Roman"/>
          <w:kern w:val="0"/>
          <w:szCs w:val="24"/>
          <w:lang w:val="en-US" w:eastAsia="en-GB"/>
          <w14:ligatures w14:val="none"/>
        </w:rPr>
        <w:t xml:space="preserve"> </w:t>
      </w:r>
      <w:r w:rsidRPr="00CF3F1A">
        <w:rPr>
          <w:rFonts w:ascii="Times New Roman" w:eastAsia="Times New Roman" w:hAnsi="Times New Roman" w:cs="Times New Roman"/>
          <w:kern w:val="0"/>
          <w:szCs w:val="24"/>
          <w:lang w:eastAsia="en-GB"/>
          <w14:ligatures w14:val="none"/>
        </w:rPr>
        <w:t>The international energy market is dominated by BP PLC</w:t>
      </w:r>
      <w:r w:rsidR="00981390">
        <w:rPr>
          <w:rFonts w:ascii="Times New Roman" w:eastAsia="Times New Roman" w:hAnsi="Times New Roman" w:cs="Times New Roman"/>
          <w:kern w:val="0"/>
          <w:szCs w:val="24"/>
          <w:lang w:val="en-US" w:eastAsia="en-GB"/>
          <w14:ligatures w14:val="none"/>
        </w:rPr>
        <w:t xml:space="preserve"> which is</w:t>
      </w:r>
      <w:r w:rsidRPr="00CF3F1A">
        <w:rPr>
          <w:rFonts w:ascii="Times New Roman" w:eastAsia="Times New Roman" w:hAnsi="Times New Roman" w:cs="Times New Roman"/>
          <w:kern w:val="0"/>
          <w:szCs w:val="24"/>
          <w:lang w:eastAsia="en-GB"/>
          <w14:ligatures w14:val="none"/>
        </w:rPr>
        <w:t xml:space="preserve"> a global energy powerhouse</w:t>
      </w:r>
      <w:r w:rsidR="0017392A">
        <w:rPr>
          <w:rFonts w:ascii="Times New Roman" w:eastAsia="Times New Roman" w:hAnsi="Times New Roman" w:cs="Times New Roman"/>
          <w:kern w:val="0"/>
          <w:szCs w:val="24"/>
          <w:lang w:val="en-US" w:eastAsia="en-GB"/>
          <w14:ligatures w14:val="none"/>
        </w:rPr>
        <w:t xml:space="preserve"> </w:t>
      </w:r>
      <w:r w:rsidR="0017392A" w:rsidRPr="0017392A">
        <w:rPr>
          <w:rFonts w:ascii="Times New Roman" w:eastAsia="Times New Roman" w:hAnsi="Times New Roman" w:cs="Times New Roman"/>
          <w:kern w:val="0"/>
          <w:szCs w:val="24"/>
          <w:lang w:val="en-US" w:eastAsia="en-GB"/>
          <w14:ligatures w14:val="none"/>
        </w:rPr>
        <w:t>(Revel, 2015)</w:t>
      </w:r>
      <w:r w:rsidRPr="00CF3F1A">
        <w:rPr>
          <w:rFonts w:ascii="Times New Roman" w:eastAsia="Times New Roman" w:hAnsi="Times New Roman" w:cs="Times New Roman"/>
          <w:kern w:val="0"/>
          <w:szCs w:val="24"/>
          <w:lang w:eastAsia="en-GB"/>
          <w14:ligatures w14:val="none"/>
        </w:rPr>
        <w:t>. The company's capacity to weather changes and thrive in a competitive market is reflected in its strong financial position. BP has shown admirable financial stability despite facing obstacles like fluctuating oil prices, geopolitical uncertainty</w:t>
      </w:r>
      <w:r w:rsidR="00981390">
        <w:rPr>
          <w:rFonts w:ascii="Times New Roman" w:eastAsia="Times New Roman" w:hAnsi="Times New Roman" w:cs="Times New Roman"/>
          <w:kern w:val="0"/>
          <w:szCs w:val="24"/>
          <w:lang w:eastAsia="en-GB"/>
          <w14:ligatures w14:val="none"/>
        </w:rPr>
        <w:t xml:space="preserve"> and</w:t>
      </w:r>
      <w:r w:rsidRPr="00CF3F1A">
        <w:rPr>
          <w:rFonts w:ascii="Times New Roman" w:eastAsia="Times New Roman" w:hAnsi="Times New Roman" w:cs="Times New Roman"/>
          <w:kern w:val="0"/>
          <w:szCs w:val="24"/>
          <w:lang w:eastAsia="en-GB"/>
          <w14:ligatures w14:val="none"/>
        </w:rPr>
        <w:t xml:space="preserve"> a changing energy landscape. The company has proven its ability to withstand market fluctuations thanks to the steady flow of money it generates through its many oil and gas-related activities, including exploration, production, refining</w:t>
      </w:r>
      <w:r w:rsidR="00981390">
        <w:rPr>
          <w:rFonts w:ascii="Times New Roman" w:eastAsia="Times New Roman" w:hAnsi="Times New Roman" w:cs="Times New Roman"/>
          <w:kern w:val="0"/>
          <w:szCs w:val="24"/>
          <w:lang w:eastAsia="en-GB"/>
          <w14:ligatures w14:val="none"/>
        </w:rPr>
        <w:t xml:space="preserve"> and</w:t>
      </w:r>
      <w:r w:rsidRPr="00CF3F1A">
        <w:rPr>
          <w:rFonts w:ascii="Times New Roman" w:eastAsia="Times New Roman" w:hAnsi="Times New Roman" w:cs="Times New Roman"/>
          <w:kern w:val="0"/>
          <w:szCs w:val="24"/>
          <w:lang w:eastAsia="en-GB"/>
          <w14:ligatures w14:val="none"/>
        </w:rPr>
        <w:t xml:space="preserve"> marketing</w:t>
      </w:r>
      <w:r w:rsidR="0017392A">
        <w:rPr>
          <w:rFonts w:ascii="Times New Roman" w:eastAsia="Times New Roman" w:hAnsi="Times New Roman" w:cs="Times New Roman"/>
          <w:kern w:val="0"/>
          <w:szCs w:val="24"/>
          <w:lang w:val="en-US" w:eastAsia="en-GB"/>
          <w14:ligatures w14:val="none"/>
        </w:rPr>
        <w:t xml:space="preserve"> </w:t>
      </w:r>
      <w:r w:rsidR="0017392A" w:rsidRPr="0017392A">
        <w:rPr>
          <w:rFonts w:ascii="Times New Roman" w:eastAsia="Times New Roman" w:hAnsi="Times New Roman" w:cs="Times New Roman"/>
          <w:kern w:val="0"/>
          <w:szCs w:val="24"/>
          <w:lang w:val="en-US" w:eastAsia="en-GB"/>
          <w14:ligatures w14:val="none"/>
        </w:rPr>
        <w:t>(BP, 2023)</w:t>
      </w:r>
      <w:r w:rsidRPr="00CF3F1A">
        <w:rPr>
          <w:rFonts w:ascii="Times New Roman" w:eastAsia="Times New Roman" w:hAnsi="Times New Roman" w:cs="Times New Roman"/>
          <w:kern w:val="0"/>
          <w:szCs w:val="24"/>
          <w:lang w:eastAsia="en-GB"/>
          <w14:ligatures w14:val="none"/>
        </w:rPr>
        <w:t>. BP's stable financial position can be attributed</w:t>
      </w:r>
      <w:r w:rsidR="0017392A">
        <w:rPr>
          <w:rFonts w:ascii="Times New Roman" w:eastAsia="Times New Roman" w:hAnsi="Times New Roman" w:cs="Times New Roman"/>
          <w:kern w:val="0"/>
          <w:szCs w:val="24"/>
          <w:lang w:val="en-US" w:eastAsia="en-GB"/>
          <w14:ligatures w14:val="none"/>
        </w:rPr>
        <w:t xml:space="preserve"> </w:t>
      </w:r>
      <w:r w:rsidRPr="00CF3F1A">
        <w:rPr>
          <w:rFonts w:ascii="Times New Roman" w:eastAsia="Times New Roman" w:hAnsi="Times New Roman" w:cs="Times New Roman"/>
          <w:kern w:val="0"/>
          <w:szCs w:val="24"/>
          <w:lang w:eastAsia="en-GB"/>
          <w14:ligatures w14:val="none"/>
        </w:rPr>
        <w:t>to the company's consistent dividend payout policy and other measures of sound financial management</w:t>
      </w:r>
      <w:r w:rsidR="0017392A">
        <w:rPr>
          <w:rFonts w:ascii="Times New Roman" w:eastAsia="Times New Roman" w:hAnsi="Times New Roman" w:cs="Times New Roman"/>
          <w:kern w:val="0"/>
          <w:szCs w:val="24"/>
          <w:lang w:val="en-US" w:eastAsia="en-GB"/>
          <w14:ligatures w14:val="none"/>
        </w:rPr>
        <w:t xml:space="preserve"> </w:t>
      </w:r>
      <w:r w:rsidR="0017392A" w:rsidRPr="0017392A">
        <w:rPr>
          <w:rFonts w:ascii="Times New Roman" w:eastAsia="Times New Roman" w:hAnsi="Times New Roman" w:cs="Times New Roman"/>
          <w:kern w:val="0"/>
          <w:szCs w:val="24"/>
          <w:lang w:val="en-US" w:eastAsia="en-GB"/>
          <w14:ligatures w14:val="none"/>
        </w:rPr>
        <w:t>(D’Northwood</w:t>
      </w:r>
      <w:r w:rsidR="0017392A">
        <w:rPr>
          <w:rFonts w:ascii="Times New Roman" w:eastAsia="Times New Roman" w:hAnsi="Times New Roman" w:cs="Times New Roman"/>
          <w:kern w:val="0"/>
          <w:szCs w:val="24"/>
          <w:lang w:val="en-US" w:eastAsia="en-GB"/>
          <w14:ligatures w14:val="none"/>
        </w:rPr>
        <w:t>,</w:t>
      </w:r>
      <w:r w:rsidR="0017392A" w:rsidRPr="0017392A">
        <w:rPr>
          <w:rFonts w:ascii="Times New Roman" w:eastAsia="Times New Roman" w:hAnsi="Times New Roman" w:cs="Times New Roman"/>
          <w:kern w:val="0"/>
          <w:szCs w:val="24"/>
          <w:lang w:val="en-US" w:eastAsia="en-GB"/>
          <w14:ligatures w14:val="none"/>
        </w:rPr>
        <w:t xml:space="preserve"> 2017)</w:t>
      </w:r>
      <w:r w:rsidRPr="00CF3F1A">
        <w:rPr>
          <w:rFonts w:ascii="Times New Roman" w:eastAsia="Times New Roman" w:hAnsi="Times New Roman" w:cs="Times New Roman"/>
          <w:kern w:val="0"/>
          <w:szCs w:val="24"/>
          <w:lang w:eastAsia="en-GB"/>
          <w14:ligatures w14:val="none"/>
        </w:rPr>
        <w:t xml:space="preserve">. The company's dedication to sustainability and renewable energy initiatives is indicative of its proactive strategy to maintain a competitive edge in the dynamic global energy market. Even while the company has difficulties in adapting its operations to changing environmental standards, it is well-positioned to do </w:t>
      </w:r>
      <w:r w:rsidR="00981390">
        <w:rPr>
          <w:rFonts w:ascii="Times New Roman" w:eastAsia="Times New Roman" w:hAnsi="Times New Roman" w:cs="Times New Roman"/>
          <w:kern w:val="0"/>
          <w:szCs w:val="24"/>
          <w:lang w:val="en-US" w:eastAsia="en-GB"/>
          <w14:ligatures w14:val="none"/>
        </w:rPr>
        <w:t xml:space="preserve">mainly because of </w:t>
      </w:r>
      <w:r w:rsidRPr="00CF3F1A">
        <w:rPr>
          <w:rFonts w:ascii="Times New Roman" w:eastAsia="Times New Roman" w:hAnsi="Times New Roman" w:cs="Times New Roman"/>
          <w:kern w:val="0"/>
          <w:szCs w:val="24"/>
          <w:lang w:eastAsia="en-GB"/>
          <w14:ligatures w14:val="none"/>
        </w:rPr>
        <w:t>its solid financial footing.</w:t>
      </w:r>
      <w:r w:rsidR="00981390">
        <w:rPr>
          <w:rFonts w:ascii="Times New Roman" w:eastAsia="Times New Roman" w:hAnsi="Times New Roman" w:cs="Times New Roman"/>
          <w:kern w:val="0"/>
          <w:szCs w:val="24"/>
          <w:lang w:val="en-US" w:eastAsia="en-GB"/>
          <w14:ligatures w14:val="none"/>
        </w:rPr>
        <w:t xml:space="preserve"> </w:t>
      </w:r>
      <w:r w:rsidRPr="00CF3F1A">
        <w:rPr>
          <w:rFonts w:ascii="Times New Roman" w:eastAsia="Times New Roman" w:hAnsi="Times New Roman" w:cs="Times New Roman"/>
          <w:kern w:val="0"/>
          <w:szCs w:val="24"/>
          <w:lang w:eastAsia="en-GB"/>
          <w14:ligatures w14:val="none"/>
        </w:rPr>
        <w:t xml:space="preserve">This research provides </w:t>
      </w:r>
      <w:r w:rsidR="00981390">
        <w:rPr>
          <w:rFonts w:ascii="Times New Roman" w:eastAsia="Times New Roman" w:hAnsi="Times New Roman" w:cs="Times New Roman"/>
          <w:kern w:val="0"/>
          <w:szCs w:val="24"/>
          <w:lang w:val="en-US" w:eastAsia="en-GB"/>
          <w14:ligatures w14:val="none"/>
        </w:rPr>
        <w:t xml:space="preserve">the reader with a thorough </w:t>
      </w:r>
      <w:r w:rsidRPr="00CF3F1A">
        <w:rPr>
          <w:rFonts w:ascii="Times New Roman" w:eastAsia="Times New Roman" w:hAnsi="Times New Roman" w:cs="Times New Roman"/>
          <w:kern w:val="0"/>
          <w:szCs w:val="24"/>
          <w:lang w:eastAsia="en-GB"/>
          <w14:ligatures w14:val="none"/>
        </w:rPr>
        <w:t>examination of the theoretical and methodological underpinnings of BP PLC's financial strategies</w:t>
      </w:r>
      <w:r w:rsidR="00981390">
        <w:rPr>
          <w:rFonts w:ascii="Times New Roman" w:eastAsia="Times New Roman" w:hAnsi="Times New Roman" w:cs="Times New Roman"/>
          <w:kern w:val="0"/>
          <w:szCs w:val="24"/>
          <w:lang w:val="en-US" w:eastAsia="en-GB"/>
          <w14:ligatures w14:val="none"/>
        </w:rPr>
        <w:t xml:space="preserve"> by</w:t>
      </w:r>
      <w:r w:rsidRPr="00CF3F1A">
        <w:rPr>
          <w:rFonts w:ascii="Times New Roman" w:eastAsia="Times New Roman" w:hAnsi="Times New Roman" w:cs="Times New Roman"/>
          <w:kern w:val="0"/>
          <w:szCs w:val="24"/>
          <w:lang w:eastAsia="en-GB"/>
          <w14:ligatures w14:val="none"/>
        </w:rPr>
        <w:t xml:space="preserve"> illuminating the complex relationship between theory </w:t>
      </w:r>
      <w:r w:rsidR="00981390">
        <w:rPr>
          <w:rFonts w:ascii="Times New Roman" w:eastAsia="Times New Roman" w:hAnsi="Times New Roman" w:cs="Times New Roman"/>
          <w:kern w:val="0"/>
          <w:szCs w:val="24"/>
          <w:lang w:val="en-US" w:eastAsia="en-GB"/>
          <w14:ligatures w14:val="none"/>
        </w:rPr>
        <w:t>as well as</w:t>
      </w:r>
      <w:r w:rsidRPr="00CF3F1A">
        <w:rPr>
          <w:rFonts w:ascii="Times New Roman" w:eastAsia="Times New Roman" w:hAnsi="Times New Roman" w:cs="Times New Roman"/>
          <w:kern w:val="0"/>
          <w:szCs w:val="24"/>
          <w:lang w:eastAsia="en-GB"/>
          <w14:ligatures w14:val="none"/>
        </w:rPr>
        <w:t xml:space="preserve"> practise in the field of IFM.</w:t>
      </w:r>
    </w:p>
    <w:p w14:paraId="69628179" w14:textId="750F99EA" w:rsidR="00D040F8" w:rsidRPr="00D040F8" w:rsidRDefault="00D040F8" w:rsidP="009B3F01">
      <w:pPr>
        <w:spacing w:before="100" w:beforeAutospacing="1" w:after="100" w:afterAutospacing="1"/>
        <w:rPr>
          <w:rFonts w:ascii="Times New Roman" w:eastAsia="Times New Roman" w:hAnsi="Times New Roman" w:cs="Times New Roman"/>
          <w:kern w:val="0"/>
          <w:szCs w:val="24"/>
          <w:lang w:eastAsia="en-GB"/>
          <w14:ligatures w14:val="none"/>
        </w:rPr>
      </w:pPr>
      <w:r w:rsidRPr="00D040F8">
        <w:rPr>
          <w:rFonts w:ascii="Times New Roman" w:eastAsia="Times New Roman" w:hAnsi="Times New Roman" w:cs="Times New Roman"/>
          <w:b/>
          <w:bCs/>
          <w:kern w:val="0"/>
          <w:szCs w:val="24"/>
          <w:lang w:eastAsia="en-GB"/>
          <w14:ligatures w14:val="none"/>
        </w:rPr>
        <w:t xml:space="preserve">Section 1: Dividend Distribution Policy </w:t>
      </w:r>
    </w:p>
    <w:p w14:paraId="580EBEF6" w14:textId="2AAE7636" w:rsidR="00CF3F1A" w:rsidRPr="00CF3F1A" w:rsidRDefault="00CF3F1A" w:rsidP="00CF3F1A">
      <w:pPr>
        <w:spacing w:before="100" w:beforeAutospacing="1" w:after="100" w:afterAutospacing="1"/>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The Bird-in-the-Hand Theory, developed by Myron Gordon and John Lintner, is a well-known IFM theory that can be applied to BP's dividend policy. This hypothesis states that shareholders would rather receive dividend payments now than speculate on future capital gain</w:t>
      </w:r>
      <w:r w:rsidR="0017392A">
        <w:rPr>
          <w:rFonts w:ascii="Times New Roman" w:eastAsia="Times New Roman" w:hAnsi="Times New Roman" w:cs="Times New Roman"/>
          <w:kern w:val="0"/>
          <w:szCs w:val="24"/>
          <w:lang w:val="en-US" w:eastAsia="en-GB"/>
          <w14:ligatures w14:val="none"/>
        </w:rPr>
        <w:t xml:space="preserve"> </w:t>
      </w:r>
      <w:r w:rsidR="0017392A" w:rsidRPr="0017392A">
        <w:rPr>
          <w:rFonts w:ascii="Times New Roman" w:eastAsia="Times New Roman" w:hAnsi="Times New Roman" w:cs="Times New Roman"/>
          <w:kern w:val="0"/>
          <w:szCs w:val="24"/>
          <w:lang w:val="en-US" w:eastAsia="en-GB"/>
          <w14:ligatures w14:val="none"/>
        </w:rPr>
        <w:t>(Lefebvre, 2021)</w:t>
      </w:r>
      <w:r w:rsidRPr="00CF3F1A">
        <w:rPr>
          <w:rFonts w:ascii="Times New Roman" w:eastAsia="Times New Roman" w:hAnsi="Times New Roman" w:cs="Times New Roman"/>
          <w:kern w:val="0"/>
          <w:szCs w:val="24"/>
          <w:lang w:eastAsia="en-GB"/>
          <w14:ligatures w14:val="none"/>
        </w:rPr>
        <w:t>s. By consistently dispersing dividends, BP demonstrates its adherence to this principle. The corporation understands that dividends are seen by many investors as a safe and secure way to make money. BP's steady dividend payments are an attempt to win over cautious investors and keep their support, particularly in the ever-changing environment of global financial markets.</w:t>
      </w:r>
    </w:p>
    <w:p w14:paraId="48C0BB2F" w14:textId="7E2CBECE" w:rsidR="00CF3F1A" w:rsidRPr="00CF3F1A" w:rsidRDefault="00CF3F1A" w:rsidP="00CF3F1A">
      <w:pPr>
        <w:spacing w:before="100" w:beforeAutospacing="1" w:after="100" w:afterAutospacing="1"/>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In addition, Michael C. Jensen and William H. Meckling's Agency Cost Theory sheds light on the difficulties of international dividend distribution for a global firm like BP. According to this idea, agency costs arise when there are disagreements between the interests of shareholders and those of management</w:t>
      </w:r>
      <w:r w:rsidR="00992D68">
        <w:rPr>
          <w:rFonts w:ascii="Times New Roman" w:eastAsia="Times New Roman" w:hAnsi="Times New Roman" w:cs="Times New Roman"/>
          <w:kern w:val="0"/>
          <w:szCs w:val="24"/>
          <w:lang w:val="en-US" w:eastAsia="en-GB"/>
          <w14:ligatures w14:val="none"/>
        </w:rPr>
        <w:t xml:space="preserve"> </w:t>
      </w:r>
      <w:r w:rsidR="00992D68" w:rsidRPr="00992D68">
        <w:rPr>
          <w:rFonts w:ascii="Times New Roman" w:eastAsia="Times New Roman" w:hAnsi="Times New Roman" w:cs="Times New Roman"/>
          <w:kern w:val="0"/>
          <w:szCs w:val="24"/>
          <w:lang w:val="en-US" w:eastAsia="en-GB"/>
          <w14:ligatures w14:val="none"/>
        </w:rPr>
        <w:t>(Panda and Leepsa, 2017)</w:t>
      </w:r>
      <w:r w:rsidRPr="00CF3F1A">
        <w:rPr>
          <w:rFonts w:ascii="Times New Roman" w:eastAsia="Times New Roman" w:hAnsi="Times New Roman" w:cs="Times New Roman"/>
          <w:kern w:val="0"/>
          <w:szCs w:val="24"/>
          <w:lang w:eastAsia="en-GB"/>
          <w14:ligatures w14:val="none"/>
        </w:rPr>
        <w:t>. Because of its global reach</w:t>
      </w:r>
      <w:r w:rsidR="00992D68">
        <w:rPr>
          <w:rFonts w:ascii="Times New Roman" w:eastAsia="Times New Roman" w:hAnsi="Times New Roman" w:cs="Times New Roman"/>
          <w:kern w:val="0"/>
          <w:szCs w:val="24"/>
          <w:lang w:val="en-US" w:eastAsia="en-GB"/>
          <w14:ligatures w14:val="none"/>
        </w:rPr>
        <w:t xml:space="preserve"> the company</w:t>
      </w:r>
      <w:r w:rsidRPr="00CF3F1A">
        <w:rPr>
          <w:rFonts w:ascii="Times New Roman" w:eastAsia="Times New Roman" w:hAnsi="Times New Roman" w:cs="Times New Roman"/>
          <w:kern w:val="0"/>
          <w:szCs w:val="24"/>
          <w:lang w:eastAsia="en-GB"/>
          <w14:ligatures w14:val="none"/>
        </w:rPr>
        <w:t xml:space="preserve"> faces the unique challenge of balancing the priorities of its many shareholders. By rewarding shareholders with a dividend, a corporation can reduce its agency expenses and better align their interests with its own.</w:t>
      </w:r>
    </w:p>
    <w:p w14:paraId="24D9CF6B" w14:textId="0BC3120F" w:rsidR="00CF3F1A" w:rsidRPr="00CF3F1A" w:rsidRDefault="00CF3F1A" w:rsidP="00CF3F1A">
      <w:pPr>
        <w:spacing w:before="100" w:beforeAutospacing="1" w:after="100" w:afterAutospacing="1"/>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The Modigliani-Miller Theorem also plays a role in BP's dividend policy because it states that</w:t>
      </w:r>
      <w:r w:rsidR="00992D68">
        <w:rPr>
          <w:rFonts w:ascii="Times New Roman" w:eastAsia="Times New Roman" w:hAnsi="Times New Roman" w:cs="Times New Roman"/>
          <w:kern w:val="0"/>
          <w:szCs w:val="24"/>
          <w:lang w:val="en-US" w:eastAsia="en-GB"/>
          <w14:ligatures w14:val="none"/>
        </w:rPr>
        <w:t xml:space="preserve"> </w:t>
      </w:r>
      <w:r w:rsidRPr="00CF3F1A">
        <w:rPr>
          <w:rFonts w:ascii="Times New Roman" w:eastAsia="Times New Roman" w:hAnsi="Times New Roman" w:cs="Times New Roman"/>
          <w:kern w:val="0"/>
          <w:szCs w:val="24"/>
          <w:lang w:eastAsia="en-GB"/>
          <w14:ligatures w14:val="none"/>
        </w:rPr>
        <w:t xml:space="preserve"> a company's value is independent of its capital structure</w:t>
      </w:r>
      <w:r w:rsidR="00992D68">
        <w:rPr>
          <w:rFonts w:ascii="Times New Roman" w:eastAsia="Times New Roman" w:hAnsi="Times New Roman" w:cs="Times New Roman"/>
          <w:kern w:val="0"/>
          <w:szCs w:val="24"/>
          <w:lang w:val="en-US" w:eastAsia="en-GB"/>
          <w14:ligatures w14:val="none"/>
        </w:rPr>
        <w:t xml:space="preserve"> </w:t>
      </w:r>
      <w:r w:rsidR="00992D68" w:rsidRPr="00992D68">
        <w:rPr>
          <w:rFonts w:ascii="Times New Roman" w:eastAsia="Times New Roman" w:hAnsi="Times New Roman" w:cs="Times New Roman"/>
          <w:kern w:val="0"/>
          <w:szCs w:val="24"/>
          <w:lang w:val="en-US" w:eastAsia="en-GB"/>
          <w14:ligatures w14:val="none"/>
        </w:rPr>
        <w:t>(Brusov et al., 2021)</w:t>
      </w:r>
      <w:r w:rsidRPr="00CF3F1A">
        <w:rPr>
          <w:rFonts w:ascii="Times New Roman" w:eastAsia="Times New Roman" w:hAnsi="Times New Roman" w:cs="Times New Roman"/>
          <w:kern w:val="0"/>
          <w:szCs w:val="24"/>
          <w:lang w:eastAsia="en-GB"/>
          <w14:ligatures w14:val="none"/>
        </w:rPr>
        <w:t>. Although the MM Theorem is more closely associated with the study of capital structure, the inference that dividends should not influence the value of a corporation has important implications for dividend policy. By maintaining a uniform dividend payout policy, BP PLC shows investors that it is stable and predictable, which is good for the stock price.</w:t>
      </w:r>
    </w:p>
    <w:p w14:paraId="52F71170" w14:textId="3B09EE68" w:rsidR="00CF3F1A" w:rsidRPr="00CF3F1A" w:rsidRDefault="00992D68" w:rsidP="00CF3F1A">
      <w:pPr>
        <w:spacing w:before="100" w:beforeAutospacing="1" w:after="100" w:afterAutospacing="1"/>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val="en-US" w:eastAsia="en-GB"/>
          <w14:ligatures w14:val="none"/>
        </w:rPr>
        <w:t>Therefore, it can be said that</w:t>
      </w:r>
      <w:r w:rsidR="00CF3F1A" w:rsidRPr="00CF3F1A">
        <w:rPr>
          <w:rFonts w:ascii="Times New Roman" w:eastAsia="Times New Roman" w:hAnsi="Times New Roman" w:cs="Times New Roman"/>
          <w:kern w:val="0"/>
          <w:szCs w:val="24"/>
          <w:lang w:eastAsia="en-GB"/>
          <w14:ligatures w14:val="none"/>
        </w:rPr>
        <w:t>, BP PLC's international financial management approach is deeply intertwined with the company's dividend distribution policy. The firm's strategy in the ever-changing worldwide financial markets is informed by the Bird-in-Hand Theory, the Agency Cost Theory</w:t>
      </w:r>
      <w:r w:rsidR="00981390">
        <w:rPr>
          <w:rFonts w:ascii="Times New Roman" w:eastAsia="Times New Roman" w:hAnsi="Times New Roman" w:cs="Times New Roman"/>
          <w:kern w:val="0"/>
          <w:szCs w:val="24"/>
          <w:lang w:eastAsia="en-GB"/>
          <w14:ligatures w14:val="none"/>
        </w:rPr>
        <w:t xml:space="preserve"> and</w:t>
      </w:r>
      <w:r w:rsidR="00CF3F1A" w:rsidRPr="00CF3F1A">
        <w:rPr>
          <w:rFonts w:ascii="Times New Roman" w:eastAsia="Times New Roman" w:hAnsi="Times New Roman" w:cs="Times New Roman"/>
          <w:kern w:val="0"/>
          <w:szCs w:val="24"/>
          <w:lang w:eastAsia="en-GB"/>
          <w14:ligatures w14:val="none"/>
        </w:rPr>
        <w:t xml:space="preserve"> the MM Theorem, all of which emphasise the importance of finding a happy medium between satisfying shareholders' investment needs and keeping administrative expenses to a minimum. This method highlights the significance of dividend policies in IFM strategies for multi-national firms.</w:t>
      </w:r>
    </w:p>
    <w:p w14:paraId="7FD7E2C1" w14:textId="4F59997A" w:rsidR="00D040F8" w:rsidRPr="00D040F8" w:rsidRDefault="00D040F8" w:rsidP="009B3F01">
      <w:pPr>
        <w:spacing w:before="100" w:beforeAutospacing="1" w:after="100" w:afterAutospacing="1"/>
        <w:rPr>
          <w:rFonts w:ascii="Times New Roman" w:eastAsia="Times New Roman" w:hAnsi="Times New Roman" w:cs="Times New Roman"/>
          <w:kern w:val="0"/>
          <w:szCs w:val="24"/>
          <w:lang w:eastAsia="en-GB"/>
          <w14:ligatures w14:val="none"/>
        </w:rPr>
      </w:pPr>
      <w:r w:rsidRPr="00D040F8">
        <w:rPr>
          <w:rFonts w:ascii="Times New Roman" w:eastAsia="Times New Roman" w:hAnsi="Times New Roman" w:cs="Times New Roman"/>
          <w:b/>
          <w:bCs/>
          <w:kern w:val="0"/>
          <w:szCs w:val="24"/>
          <w:lang w:eastAsia="en-GB"/>
          <w14:ligatures w14:val="none"/>
        </w:rPr>
        <w:t xml:space="preserve">Section 2: Efficient Market Hypothesis </w:t>
      </w:r>
    </w:p>
    <w:p w14:paraId="387CCE72" w14:textId="2C9C67D0" w:rsidR="00CF3F1A" w:rsidRPr="00CF3F1A" w:rsidRDefault="00992D68" w:rsidP="00CF3F1A">
      <w:pPr>
        <w:spacing w:before="100" w:beforeAutospacing="1" w:after="100" w:afterAutospacing="1"/>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val="en-US" w:eastAsia="en-GB"/>
          <w14:ligatures w14:val="none"/>
        </w:rPr>
        <w:t>A</w:t>
      </w:r>
      <w:r w:rsidR="00CF3F1A" w:rsidRPr="00CF3F1A">
        <w:rPr>
          <w:rFonts w:ascii="Times New Roman" w:eastAsia="Times New Roman" w:hAnsi="Times New Roman" w:cs="Times New Roman"/>
          <w:kern w:val="0"/>
          <w:szCs w:val="24"/>
          <w:lang w:eastAsia="en-GB"/>
          <w14:ligatures w14:val="none"/>
        </w:rPr>
        <w:t>ccording to Eugene F. Fama's Efficient Market Hypothesis</w:t>
      </w:r>
      <w:r>
        <w:rPr>
          <w:rFonts w:ascii="Times New Roman" w:eastAsia="Times New Roman" w:hAnsi="Times New Roman" w:cs="Times New Roman"/>
          <w:kern w:val="0"/>
          <w:szCs w:val="24"/>
          <w:lang w:val="en-US" w:eastAsia="en-GB"/>
          <w14:ligatures w14:val="none"/>
        </w:rPr>
        <w:t xml:space="preserve"> the financial market always</w:t>
      </w:r>
      <w:r w:rsidR="00CF3F1A" w:rsidRPr="00CF3F1A">
        <w:rPr>
          <w:rFonts w:ascii="Times New Roman" w:eastAsia="Times New Roman" w:hAnsi="Times New Roman" w:cs="Times New Roman"/>
          <w:kern w:val="0"/>
          <w:szCs w:val="24"/>
          <w:lang w:eastAsia="en-GB"/>
          <w14:ligatures w14:val="none"/>
        </w:rPr>
        <w:t xml:space="preserve"> process and reflect all available information to the point where it is difficult for investors to earn higher returns than the market average on a consistent basis</w:t>
      </w:r>
      <w:r>
        <w:rPr>
          <w:rFonts w:ascii="Times New Roman" w:eastAsia="Times New Roman" w:hAnsi="Times New Roman" w:cs="Times New Roman"/>
          <w:kern w:val="0"/>
          <w:szCs w:val="24"/>
          <w:lang w:val="en-US" w:eastAsia="en-GB"/>
          <w14:ligatures w14:val="none"/>
        </w:rPr>
        <w:t xml:space="preserve"> </w:t>
      </w:r>
      <w:r w:rsidRPr="00992D68">
        <w:rPr>
          <w:rFonts w:ascii="Times New Roman" w:eastAsia="Times New Roman" w:hAnsi="Times New Roman" w:cs="Times New Roman"/>
          <w:kern w:val="0"/>
          <w:szCs w:val="24"/>
          <w:lang w:val="en-US" w:eastAsia="en-GB"/>
          <w14:ligatures w14:val="none"/>
        </w:rPr>
        <w:t>(Ţiţan, 2015)</w:t>
      </w:r>
      <w:r w:rsidR="00CF3F1A" w:rsidRPr="00CF3F1A">
        <w:rPr>
          <w:rFonts w:ascii="Times New Roman" w:eastAsia="Times New Roman" w:hAnsi="Times New Roman" w:cs="Times New Roman"/>
          <w:kern w:val="0"/>
          <w:szCs w:val="24"/>
          <w:lang w:eastAsia="en-GB"/>
          <w14:ligatures w14:val="none"/>
        </w:rPr>
        <w:t xml:space="preserve">. </w:t>
      </w:r>
      <w:r>
        <w:rPr>
          <w:rFonts w:ascii="Times New Roman" w:eastAsia="Times New Roman" w:hAnsi="Times New Roman" w:cs="Times New Roman"/>
          <w:kern w:val="0"/>
          <w:szCs w:val="24"/>
          <w:lang w:val="en-US" w:eastAsia="en-GB"/>
          <w14:ligatures w14:val="none"/>
        </w:rPr>
        <w:t xml:space="preserve">In terms of </w:t>
      </w:r>
      <w:r w:rsidR="00CF3F1A" w:rsidRPr="00CF3F1A">
        <w:rPr>
          <w:rFonts w:ascii="Times New Roman" w:eastAsia="Times New Roman" w:hAnsi="Times New Roman" w:cs="Times New Roman"/>
          <w:kern w:val="0"/>
          <w:szCs w:val="24"/>
          <w:lang w:eastAsia="en-GB"/>
          <w14:ligatures w14:val="none"/>
        </w:rPr>
        <w:t>BP PLC, the stock market performance provides some intriguing insights regarding the viability of EMH.</w:t>
      </w:r>
    </w:p>
    <w:p w14:paraId="2708B72B" w14:textId="04D98F73" w:rsidR="00CF3F1A" w:rsidRPr="00CF3F1A" w:rsidRDefault="00CF3F1A" w:rsidP="00CF3F1A">
      <w:pPr>
        <w:spacing w:before="100" w:beforeAutospacing="1" w:after="100" w:afterAutospacing="1"/>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The concept of market efficiency is central to EMH and may be broken down into three levels: weak, semi-strong</w:t>
      </w:r>
      <w:r w:rsidR="00981390">
        <w:rPr>
          <w:rFonts w:ascii="Times New Roman" w:eastAsia="Times New Roman" w:hAnsi="Times New Roman" w:cs="Times New Roman"/>
          <w:kern w:val="0"/>
          <w:szCs w:val="24"/>
          <w:lang w:eastAsia="en-GB"/>
          <w14:ligatures w14:val="none"/>
        </w:rPr>
        <w:t xml:space="preserve"> and</w:t>
      </w:r>
      <w:r w:rsidRPr="00CF3F1A">
        <w:rPr>
          <w:rFonts w:ascii="Times New Roman" w:eastAsia="Times New Roman" w:hAnsi="Times New Roman" w:cs="Times New Roman"/>
          <w:kern w:val="0"/>
          <w:szCs w:val="24"/>
          <w:lang w:eastAsia="en-GB"/>
          <w14:ligatures w14:val="none"/>
        </w:rPr>
        <w:t xml:space="preserve"> strong. For the purposes of this discussion of BP PLC, we will primarily be concerned with the semi-strong form of efficiency, which states that stock prices fully reflect all accessible public information. Since BP is a publicly traded multinational organisation, it competes in an environment where news travels quickly and easily. The stock price of BP responds swiftly to news about the company's financial performance, operations</w:t>
      </w:r>
      <w:r w:rsidR="00981390">
        <w:rPr>
          <w:rFonts w:ascii="Times New Roman" w:eastAsia="Times New Roman" w:hAnsi="Times New Roman" w:cs="Times New Roman"/>
          <w:kern w:val="0"/>
          <w:szCs w:val="24"/>
          <w:lang w:eastAsia="en-GB"/>
          <w14:ligatures w14:val="none"/>
        </w:rPr>
        <w:t xml:space="preserve"> and</w:t>
      </w:r>
      <w:r w:rsidRPr="00CF3F1A">
        <w:rPr>
          <w:rFonts w:ascii="Times New Roman" w:eastAsia="Times New Roman" w:hAnsi="Times New Roman" w:cs="Times New Roman"/>
          <w:kern w:val="0"/>
          <w:szCs w:val="24"/>
          <w:lang w:eastAsia="en-GB"/>
          <w14:ligatures w14:val="none"/>
        </w:rPr>
        <w:t xml:space="preserve"> worldwide events affecting the oil sector.</w:t>
      </w:r>
    </w:p>
    <w:p w14:paraId="1467B89A" w14:textId="02288812" w:rsidR="00CF3F1A" w:rsidRPr="00CF3F1A" w:rsidRDefault="00CF3F1A" w:rsidP="00CF3F1A">
      <w:pPr>
        <w:spacing w:before="100" w:beforeAutospacing="1" w:after="100" w:afterAutospacing="1"/>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Stock prices for BP tend to react quickly to both company-specific and macroeconomic news, as shown by empirical research. The stock price of BP can fluctuate widely in response to events like earnings announcements, shifts in oil prices</w:t>
      </w:r>
      <w:r w:rsidR="00981390">
        <w:rPr>
          <w:rFonts w:ascii="Times New Roman" w:eastAsia="Times New Roman" w:hAnsi="Times New Roman" w:cs="Times New Roman"/>
          <w:kern w:val="0"/>
          <w:szCs w:val="24"/>
          <w:lang w:eastAsia="en-GB"/>
          <w14:ligatures w14:val="none"/>
        </w:rPr>
        <w:t xml:space="preserve"> and</w:t>
      </w:r>
      <w:r w:rsidRPr="00CF3F1A">
        <w:rPr>
          <w:rFonts w:ascii="Times New Roman" w:eastAsia="Times New Roman" w:hAnsi="Times New Roman" w:cs="Times New Roman"/>
          <w:kern w:val="0"/>
          <w:szCs w:val="24"/>
          <w:lang w:eastAsia="en-GB"/>
          <w14:ligatures w14:val="none"/>
        </w:rPr>
        <w:t xml:space="preserve"> geopolitical happenings. Consistent outperformance of the market using only publicly available information appears to be difficult for investors, as predicted by the semi-strong form of EMH.</w:t>
      </w:r>
    </w:p>
    <w:p w14:paraId="6A21A676" w14:textId="1479AB2D" w:rsidR="00CF3F1A" w:rsidRPr="00CF3F1A" w:rsidRDefault="00CF3F1A" w:rsidP="00CF3F1A">
      <w:pPr>
        <w:spacing w:before="100" w:beforeAutospacing="1" w:after="100" w:afterAutospacing="1"/>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BP PLC's reaction to market events is consistent with the Efficient Market Hypothesis. The corporation uses a strategic financial decision-making process that takes into consideration market expectations because it recognises the efficiency of the market. For instance, BP uses market conditions and expectations to direct its capital allocation strategy, which includes expenditures in exploration and production. This is evidence that the organisation values market efficiency and considers it when making financial choices.</w:t>
      </w:r>
    </w:p>
    <w:p w14:paraId="27FBF7C0" w14:textId="4C74DE9D" w:rsidR="00CF3F1A" w:rsidRPr="00CF3F1A" w:rsidRDefault="00CF3F1A" w:rsidP="00CF3F1A">
      <w:pPr>
        <w:spacing w:before="100" w:beforeAutospacing="1" w:after="100" w:afterAutospacing="1"/>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While BP PLC stock prices generally follow the concepts of EMH about the efficient incorporation of public information, outliers and inefficiencies may nevertheless occur. Temporary pricing inefficiencies can be caused by market emotion, behavioural biases</w:t>
      </w:r>
      <w:r w:rsidR="00981390">
        <w:rPr>
          <w:rFonts w:ascii="Times New Roman" w:eastAsia="Times New Roman" w:hAnsi="Times New Roman" w:cs="Times New Roman"/>
          <w:kern w:val="0"/>
          <w:szCs w:val="24"/>
          <w:lang w:eastAsia="en-GB"/>
          <w14:ligatures w14:val="none"/>
        </w:rPr>
        <w:t xml:space="preserve"> and</w:t>
      </w:r>
      <w:r w:rsidRPr="00CF3F1A">
        <w:rPr>
          <w:rFonts w:ascii="Times New Roman" w:eastAsia="Times New Roman" w:hAnsi="Times New Roman" w:cs="Times New Roman"/>
          <w:kern w:val="0"/>
          <w:szCs w:val="24"/>
          <w:lang w:eastAsia="en-GB"/>
          <w14:ligatures w14:val="none"/>
        </w:rPr>
        <w:t xml:space="preserve"> unexpected events. Investors who are astute enough to spot and profit from these discrepancies will find favourable conditions.</w:t>
      </w:r>
    </w:p>
    <w:p w14:paraId="4532DCE1" w14:textId="3BFA0CA7" w:rsidR="00D040F8" w:rsidRPr="00D040F8" w:rsidRDefault="00D040F8" w:rsidP="009B3F01">
      <w:pPr>
        <w:spacing w:before="100" w:beforeAutospacing="1" w:after="100" w:afterAutospacing="1"/>
        <w:rPr>
          <w:rFonts w:ascii="Times New Roman" w:eastAsia="Times New Roman" w:hAnsi="Times New Roman" w:cs="Times New Roman"/>
          <w:kern w:val="0"/>
          <w:szCs w:val="24"/>
          <w:lang w:eastAsia="en-GB"/>
          <w14:ligatures w14:val="none"/>
        </w:rPr>
      </w:pPr>
      <w:r w:rsidRPr="00D040F8">
        <w:rPr>
          <w:rFonts w:ascii="Times New Roman" w:eastAsia="Times New Roman" w:hAnsi="Times New Roman" w:cs="Times New Roman"/>
          <w:b/>
          <w:bCs/>
          <w:kern w:val="0"/>
          <w:szCs w:val="24"/>
          <w:lang w:eastAsia="en-GB"/>
          <w14:ligatures w14:val="none"/>
        </w:rPr>
        <w:t xml:space="preserve">Section 3: Project Appraisal Methods </w:t>
      </w:r>
    </w:p>
    <w:p w14:paraId="5DA5A64D" w14:textId="2172E1BA" w:rsidR="00CF3F1A" w:rsidRPr="00CF3F1A" w:rsidRDefault="00CF3F1A" w:rsidP="00CF3F1A">
      <w:pPr>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BP PLC uses a wide variety of project evaluation techniques</w:t>
      </w:r>
      <w:r w:rsidR="00992D68">
        <w:rPr>
          <w:rFonts w:ascii="Times New Roman" w:eastAsia="Times New Roman" w:hAnsi="Times New Roman" w:cs="Times New Roman"/>
          <w:kern w:val="0"/>
          <w:szCs w:val="24"/>
          <w:lang w:val="en-US" w:eastAsia="en-GB"/>
          <w14:ligatures w14:val="none"/>
        </w:rPr>
        <w:t xml:space="preserve"> when they are</w:t>
      </w:r>
      <w:r w:rsidR="00992D68" w:rsidRPr="00CF3F1A">
        <w:rPr>
          <w:rFonts w:ascii="Times New Roman" w:eastAsia="Times New Roman" w:hAnsi="Times New Roman" w:cs="Times New Roman"/>
          <w:kern w:val="0"/>
          <w:szCs w:val="24"/>
          <w:lang w:eastAsia="en-GB"/>
          <w14:ligatures w14:val="none"/>
        </w:rPr>
        <w:t xml:space="preserve"> determining the profitability of its overseas projects,</w:t>
      </w:r>
      <w:r w:rsidRPr="00CF3F1A">
        <w:rPr>
          <w:rFonts w:ascii="Times New Roman" w:eastAsia="Times New Roman" w:hAnsi="Times New Roman" w:cs="Times New Roman"/>
          <w:kern w:val="0"/>
          <w:szCs w:val="24"/>
          <w:lang w:eastAsia="en-GB"/>
          <w14:ligatures w14:val="none"/>
        </w:rPr>
        <w:t>. These techniques are important to the firm's strategy for international financial management and are consistent with accepted models of global finance.</w:t>
      </w:r>
    </w:p>
    <w:p w14:paraId="36E9CB83" w14:textId="25100279" w:rsidR="00CF3F1A" w:rsidRPr="00CF3F1A" w:rsidRDefault="00CF3F1A" w:rsidP="00CF3F1A">
      <w:pPr>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The notion of Time Value of Money is one of the cornerstones of BP's project appraisal techniques. TVM acknowledges that the potential for returns or interest makes a sum of money today more valuable than the same sum of money in the future</w:t>
      </w:r>
      <w:r w:rsidR="00992D68">
        <w:rPr>
          <w:rFonts w:ascii="Times New Roman" w:eastAsia="Times New Roman" w:hAnsi="Times New Roman" w:cs="Times New Roman"/>
          <w:kern w:val="0"/>
          <w:szCs w:val="24"/>
          <w:lang w:val="en-US" w:eastAsia="en-GB"/>
          <w14:ligatures w14:val="none"/>
        </w:rPr>
        <w:t xml:space="preserve"> </w:t>
      </w:r>
      <w:r w:rsidR="00992D68" w:rsidRPr="00992D68">
        <w:rPr>
          <w:rFonts w:ascii="Times New Roman" w:eastAsia="Times New Roman" w:hAnsi="Times New Roman" w:cs="Times New Roman"/>
          <w:kern w:val="0"/>
          <w:szCs w:val="24"/>
          <w:lang w:val="en-US" w:eastAsia="en-GB"/>
          <w14:ligatures w14:val="none"/>
        </w:rPr>
        <w:t>(Merton, 2017)</w:t>
      </w:r>
      <w:r w:rsidRPr="00CF3F1A">
        <w:rPr>
          <w:rFonts w:ascii="Times New Roman" w:eastAsia="Times New Roman" w:hAnsi="Times New Roman" w:cs="Times New Roman"/>
          <w:kern w:val="0"/>
          <w:szCs w:val="24"/>
          <w:lang w:eastAsia="en-GB"/>
          <w14:ligatures w14:val="none"/>
        </w:rPr>
        <w:t>. BP uses this theory to determine the viability of its worldwide projects financially by converting an estimate of future cash flows into a value for the present. By factoring in the value of predicted returns over time, this method aids the organisation in making smart investment decisions regarding projects.</w:t>
      </w:r>
    </w:p>
    <w:p w14:paraId="42313DE0" w14:textId="2F11BDD0" w:rsidR="00CF3F1A" w:rsidRPr="00CF3F1A" w:rsidRDefault="00CF3F1A" w:rsidP="00CF3F1A">
      <w:pPr>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BP also heavily relies on the Capital Asset Pricing Model when evaluating potential projects. The Capital Asset Pricing Mode</w:t>
      </w:r>
      <w:r w:rsidR="00981390">
        <w:rPr>
          <w:rFonts w:ascii="Times New Roman" w:eastAsia="Times New Roman" w:hAnsi="Times New Roman" w:cs="Times New Roman"/>
          <w:kern w:val="0"/>
          <w:szCs w:val="24"/>
          <w:lang w:val="en-US" w:eastAsia="en-GB"/>
          <w14:ligatures w14:val="none"/>
        </w:rPr>
        <w:t>l</w:t>
      </w:r>
      <w:r w:rsidRPr="00CF3F1A">
        <w:rPr>
          <w:rFonts w:ascii="Times New Roman" w:eastAsia="Times New Roman" w:hAnsi="Times New Roman" w:cs="Times New Roman"/>
          <w:kern w:val="0"/>
          <w:szCs w:val="24"/>
          <w:lang w:eastAsia="en-GB"/>
          <w14:ligatures w14:val="none"/>
        </w:rPr>
        <w:t xml:space="preserve"> can be used to assess the level of risk involved in multinational projects and calculate an appropriate discount rate</w:t>
      </w:r>
      <w:r w:rsidR="00992D68">
        <w:rPr>
          <w:rFonts w:ascii="Times New Roman" w:eastAsia="Times New Roman" w:hAnsi="Times New Roman" w:cs="Times New Roman"/>
          <w:kern w:val="0"/>
          <w:szCs w:val="24"/>
          <w:lang w:val="en-US" w:eastAsia="en-GB"/>
          <w14:ligatures w14:val="none"/>
        </w:rPr>
        <w:t xml:space="preserve"> </w:t>
      </w:r>
      <w:r w:rsidR="00992D68" w:rsidRPr="00992D68">
        <w:rPr>
          <w:rFonts w:ascii="Times New Roman" w:eastAsia="Times New Roman" w:hAnsi="Times New Roman" w:cs="Times New Roman"/>
          <w:kern w:val="0"/>
          <w:szCs w:val="24"/>
          <w:lang w:val="en-US" w:eastAsia="en-GB"/>
          <w14:ligatures w14:val="none"/>
        </w:rPr>
        <w:t>(Zerbib, 2019)</w:t>
      </w:r>
      <w:r w:rsidRPr="00CF3F1A">
        <w:rPr>
          <w:rFonts w:ascii="Times New Roman" w:eastAsia="Times New Roman" w:hAnsi="Times New Roman" w:cs="Times New Roman"/>
          <w:kern w:val="0"/>
          <w:szCs w:val="24"/>
          <w:lang w:eastAsia="en-GB"/>
          <w14:ligatures w14:val="none"/>
        </w:rPr>
        <w:t>. BP can determine an appropriate discount rate for each project by first evaluating its systematic risk, then factoring in the risk-free rate and the market risk premium. To better examine and compare foreign investment prospects in accordance with IFM principles, this is possible.</w:t>
      </w:r>
    </w:p>
    <w:p w14:paraId="761F99AE" w14:textId="57302E9C" w:rsidR="00CF3F1A" w:rsidRPr="00CF3F1A" w:rsidRDefault="00CF3F1A" w:rsidP="00CF3F1A">
      <w:pPr>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Moreover, the Real Options Theory is used by BP PLC in their project evaluation procedures. Optional expansion, postponement, or even cancellation of a project may be included into its worth</w:t>
      </w:r>
      <w:r w:rsidR="00992D68">
        <w:rPr>
          <w:rFonts w:ascii="Times New Roman" w:eastAsia="Times New Roman" w:hAnsi="Times New Roman" w:cs="Times New Roman"/>
          <w:kern w:val="0"/>
          <w:szCs w:val="24"/>
          <w:lang w:val="en-US" w:eastAsia="en-GB"/>
          <w14:ligatures w14:val="none"/>
        </w:rPr>
        <w:t xml:space="preserve"> </w:t>
      </w:r>
      <w:r w:rsidR="00992D68" w:rsidRPr="00992D68">
        <w:rPr>
          <w:rFonts w:ascii="Times New Roman" w:eastAsia="Times New Roman" w:hAnsi="Times New Roman" w:cs="Times New Roman"/>
          <w:kern w:val="0"/>
          <w:szCs w:val="24"/>
          <w:lang w:val="en-US" w:eastAsia="en-GB"/>
          <w14:ligatures w14:val="none"/>
        </w:rPr>
        <w:t>(Chi et al., 2019)</w:t>
      </w:r>
      <w:r w:rsidRPr="00CF3F1A">
        <w:rPr>
          <w:rFonts w:ascii="Times New Roman" w:eastAsia="Times New Roman" w:hAnsi="Times New Roman" w:cs="Times New Roman"/>
          <w:kern w:val="0"/>
          <w:szCs w:val="24"/>
          <w:lang w:eastAsia="en-GB"/>
          <w14:ligatures w14:val="none"/>
        </w:rPr>
        <w:t>. With the use of real options analysis, BP is better able to manage multinational projects, even in the face of the uncertainty and volatility that characterise today's energy markets.</w:t>
      </w:r>
    </w:p>
    <w:p w14:paraId="3557AA36" w14:textId="4FC36BBE" w:rsidR="00CF3F1A" w:rsidRDefault="00CF3F1A" w:rsidP="00CF3F1A">
      <w:pPr>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As part of its arsenal for evaluating projects, the business also uses Scenario Analysis. This method compares the prospects of a project in the best-case, worst-case</w:t>
      </w:r>
      <w:r w:rsidR="00981390">
        <w:rPr>
          <w:rFonts w:ascii="Times New Roman" w:eastAsia="Times New Roman" w:hAnsi="Times New Roman" w:cs="Times New Roman"/>
          <w:kern w:val="0"/>
          <w:szCs w:val="24"/>
          <w:lang w:eastAsia="en-GB"/>
          <w14:ligatures w14:val="none"/>
        </w:rPr>
        <w:t xml:space="preserve"> and</w:t>
      </w:r>
      <w:r w:rsidRPr="00CF3F1A">
        <w:rPr>
          <w:rFonts w:ascii="Times New Roman" w:eastAsia="Times New Roman" w:hAnsi="Times New Roman" w:cs="Times New Roman"/>
          <w:kern w:val="0"/>
          <w:szCs w:val="24"/>
          <w:lang w:eastAsia="en-GB"/>
          <w14:ligatures w14:val="none"/>
        </w:rPr>
        <w:t xml:space="preserve"> baseline scenarios. Scenario analysis is consistent with IFM's risk management principles and allows BP to evaluate a project's adaptability to shifting market conditions.</w:t>
      </w:r>
    </w:p>
    <w:p w14:paraId="7EB0D758" w14:textId="77777777" w:rsidR="00CF3F1A" w:rsidRPr="00CF3F1A" w:rsidRDefault="00CF3F1A" w:rsidP="00CF3F1A">
      <w:pPr>
        <w:rPr>
          <w:rFonts w:ascii="Times New Roman" w:eastAsia="Times New Roman" w:hAnsi="Times New Roman" w:cs="Times New Roman"/>
          <w:kern w:val="0"/>
          <w:szCs w:val="24"/>
          <w:lang w:eastAsia="en-GB"/>
          <w14:ligatures w14:val="none"/>
        </w:rPr>
      </w:pPr>
    </w:p>
    <w:p w14:paraId="1CF0119A" w14:textId="77777777" w:rsidR="00CF21D3" w:rsidRDefault="00CF21D3" w:rsidP="00CF3F1A">
      <w:pPr>
        <w:rPr>
          <w:rFonts w:ascii="Times New Roman" w:eastAsia="Times New Roman" w:hAnsi="Times New Roman" w:cs="Times New Roman"/>
          <w:b/>
          <w:bCs/>
          <w:kern w:val="0"/>
          <w:szCs w:val="24"/>
          <w:lang w:val="en-US" w:eastAsia="en-GB"/>
          <w14:ligatures w14:val="none"/>
        </w:rPr>
      </w:pPr>
    </w:p>
    <w:p w14:paraId="6DB03960" w14:textId="77777777" w:rsidR="00CF21D3" w:rsidRDefault="00CF21D3" w:rsidP="00CF3F1A">
      <w:pPr>
        <w:rPr>
          <w:rFonts w:ascii="Times New Roman" w:eastAsia="Times New Roman" w:hAnsi="Times New Roman" w:cs="Times New Roman"/>
          <w:b/>
          <w:bCs/>
          <w:kern w:val="0"/>
          <w:szCs w:val="24"/>
          <w:lang w:val="en-US" w:eastAsia="en-GB"/>
          <w14:ligatures w14:val="none"/>
        </w:rPr>
      </w:pPr>
    </w:p>
    <w:p w14:paraId="458E045B" w14:textId="77777777" w:rsidR="00CF21D3" w:rsidRDefault="00CF21D3" w:rsidP="00CF3F1A">
      <w:pPr>
        <w:rPr>
          <w:rFonts w:ascii="Times New Roman" w:eastAsia="Times New Roman" w:hAnsi="Times New Roman" w:cs="Times New Roman"/>
          <w:b/>
          <w:bCs/>
          <w:kern w:val="0"/>
          <w:szCs w:val="24"/>
          <w:lang w:val="en-US" w:eastAsia="en-GB"/>
          <w14:ligatures w14:val="none"/>
        </w:rPr>
      </w:pPr>
    </w:p>
    <w:p w14:paraId="115E98E8" w14:textId="1C961AC7" w:rsidR="00CF3F1A" w:rsidRPr="00CF3F1A" w:rsidRDefault="00CF3F1A" w:rsidP="00CF3F1A">
      <w:pPr>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The story of BP PLC highlights the crucial interplay between theoretical frameworks and actual methods inside a multinational corporation's financial decisions in the context of international financial management (IFM). In Section 1, we looked at BP's dividend distribution strategy and how it aligns with financial theories like the Bird-in-Hand Theory and the Agency Cost Theory, which shed light on how well the business applies these theories to its worldwide operations. Based on these theoretical considerations, the firm allocates dividends throughout its various worldwide markets in a way that attracts investors and promotes market stability.</w:t>
      </w:r>
    </w:p>
    <w:p w14:paraId="751CB839" w14:textId="4798898B" w:rsidR="00CF3F1A" w:rsidRPr="00CF3F1A" w:rsidRDefault="00CF3F1A" w:rsidP="00CF3F1A">
      <w:pPr>
        <w:rPr>
          <w:rFonts w:ascii="Times New Roman" w:eastAsia="Times New Roman" w:hAnsi="Times New Roman" w:cs="Times New Roman"/>
          <w:kern w:val="0"/>
          <w:szCs w:val="24"/>
          <w:lang w:eastAsia="en-GB"/>
          <w14:ligatures w14:val="none"/>
        </w:rPr>
      </w:pPr>
      <w:r w:rsidRPr="00CF3F1A">
        <w:rPr>
          <w:rFonts w:ascii="Times New Roman" w:eastAsia="Times New Roman" w:hAnsi="Times New Roman" w:cs="Times New Roman"/>
          <w:kern w:val="0"/>
          <w:szCs w:val="24"/>
          <w:lang w:eastAsia="en-GB"/>
          <w14:ligatures w14:val="none"/>
        </w:rPr>
        <w:t>In conclusion, BP PLC's approach to international financial management is reflective of the complexity of modern multinational organisations, since it is informed by a convergence of theories and practises. Incorporating academic ideas into its financial decision-making framework, BP's dividend policy, stock market behaviour</w:t>
      </w:r>
      <w:r w:rsidR="00981390">
        <w:rPr>
          <w:rFonts w:ascii="Times New Roman" w:eastAsia="Times New Roman" w:hAnsi="Times New Roman" w:cs="Times New Roman"/>
          <w:kern w:val="0"/>
          <w:szCs w:val="24"/>
          <w:lang w:eastAsia="en-GB"/>
          <w14:ligatures w14:val="none"/>
        </w:rPr>
        <w:t xml:space="preserve"> and</w:t>
      </w:r>
      <w:r w:rsidRPr="00CF3F1A">
        <w:rPr>
          <w:rFonts w:ascii="Times New Roman" w:eastAsia="Times New Roman" w:hAnsi="Times New Roman" w:cs="Times New Roman"/>
          <w:kern w:val="0"/>
          <w:szCs w:val="24"/>
          <w:lang w:eastAsia="en-GB"/>
          <w14:ligatures w14:val="none"/>
        </w:rPr>
        <w:t xml:space="preserve"> project evaluation methodologies are all dissected in this research. BP's efforts to maximise value generation, mitigate risk</w:t>
      </w:r>
      <w:r w:rsidR="00981390">
        <w:rPr>
          <w:rFonts w:ascii="Times New Roman" w:eastAsia="Times New Roman" w:hAnsi="Times New Roman" w:cs="Times New Roman"/>
          <w:kern w:val="0"/>
          <w:szCs w:val="24"/>
          <w:lang w:eastAsia="en-GB"/>
          <w14:ligatures w14:val="none"/>
        </w:rPr>
        <w:t xml:space="preserve"> and</w:t>
      </w:r>
      <w:r w:rsidRPr="00CF3F1A">
        <w:rPr>
          <w:rFonts w:ascii="Times New Roman" w:eastAsia="Times New Roman" w:hAnsi="Times New Roman" w:cs="Times New Roman"/>
          <w:kern w:val="0"/>
          <w:szCs w:val="24"/>
          <w:lang w:eastAsia="en-GB"/>
          <w14:ligatures w14:val="none"/>
        </w:rPr>
        <w:t xml:space="preserve"> negotiate the complex environment of international financial management are underpinned by the careful balancing act between theory and practise.</w:t>
      </w:r>
    </w:p>
    <w:p w14:paraId="0F47791F" w14:textId="48923D61" w:rsidR="009B3F01" w:rsidRDefault="009B3F01" w:rsidP="009B3F01">
      <w:pPr>
        <w:rPr>
          <w:rFonts w:ascii="Times New Roman" w:eastAsia="Times New Roman" w:hAnsi="Times New Roman" w:cs="Times New Roman"/>
          <w:b/>
          <w:bCs/>
          <w:kern w:val="0"/>
          <w:szCs w:val="24"/>
          <w:lang w:eastAsia="en-GB"/>
          <w14:ligatures w14:val="none"/>
        </w:rPr>
      </w:pPr>
      <w:r>
        <w:rPr>
          <w:rFonts w:ascii="Times New Roman" w:eastAsia="Times New Roman" w:hAnsi="Times New Roman" w:cs="Times New Roman"/>
          <w:b/>
          <w:bCs/>
          <w:kern w:val="0"/>
          <w:szCs w:val="24"/>
          <w:lang w:eastAsia="en-GB"/>
          <w14:ligatures w14:val="none"/>
        </w:rPr>
        <w:br w:type="page"/>
      </w:r>
    </w:p>
    <w:p w14:paraId="24E0A120" w14:textId="1675C1B6" w:rsidR="00D040F8" w:rsidRPr="00D040F8" w:rsidRDefault="00D040F8" w:rsidP="009B3F01">
      <w:pPr>
        <w:spacing w:before="100" w:beforeAutospacing="1" w:after="100" w:afterAutospacing="1"/>
        <w:rPr>
          <w:rFonts w:ascii="Times New Roman" w:eastAsia="Times New Roman" w:hAnsi="Times New Roman" w:cs="Times New Roman"/>
          <w:kern w:val="0"/>
          <w:szCs w:val="24"/>
          <w:lang w:eastAsia="en-GB"/>
          <w14:ligatures w14:val="none"/>
        </w:rPr>
      </w:pPr>
      <w:r w:rsidRPr="00D040F8">
        <w:rPr>
          <w:rFonts w:ascii="Times New Roman" w:eastAsia="Times New Roman" w:hAnsi="Times New Roman" w:cs="Times New Roman"/>
          <w:b/>
          <w:bCs/>
          <w:kern w:val="0"/>
          <w:szCs w:val="24"/>
          <w:lang w:eastAsia="en-GB"/>
          <w14:ligatures w14:val="none"/>
        </w:rPr>
        <w:t>Reference</w:t>
      </w:r>
    </w:p>
    <w:p w14:paraId="0607DEAC" w14:textId="77777777" w:rsidR="00992D68" w:rsidRPr="00992D68" w:rsidRDefault="00992D68" w:rsidP="00992D68">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BP (2023). </w:t>
      </w:r>
      <w:r w:rsidRPr="00992D68">
        <w:rPr>
          <w:rFonts w:ascii="Times New Roman" w:eastAsia="Times New Roman" w:hAnsi="Times New Roman" w:cs="Times New Roman"/>
          <w:i/>
          <w:iCs/>
          <w:color w:val="000000"/>
          <w:kern w:val="0"/>
          <w:szCs w:val="24"/>
          <w:lang w:eastAsia="en-GB"/>
          <w14:ligatures w14:val="none"/>
        </w:rPr>
        <w:t>Who are we</w:t>
      </w:r>
      <w:r w:rsidRPr="00992D68">
        <w:rPr>
          <w:rFonts w:ascii="Times New Roman" w:eastAsia="Times New Roman" w:hAnsi="Times New Roman" w:cs="Times New Roman"/>
          <w:color w:val="000000"/>
          <w:kern w:val="0"/>
          <w:szCs w:val="24"/>
          <w:lang w:eastAsia="en-GB"/>
          <w14:ligatures w14:val="none"/>
        </w:rPr>
        <w:t>. [online] BP global. Available at: https://www.bp.com/.</w:t>
      </w:r>
    </w:p>
    <w:p w14:paraId="76F6298C" w14:textId="77777777" w:rsidR="00992D68" w:rsidRPr="00992D68" w:rsidRDefault="00992D68" w:rsidP="00992D68">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Brusov, P., Filatova, T., Orekhova, N., Kulik, V., Chang, S.-I. and Lin, G. (2021). Generalization of the Modigliani–Miller Theory for the Case of Variable Profit. </w:t>
      </w:r>
      <w:r w:rsidRPr="00992D68">
        <w:rPr>
          <w:rFonts w:ascii="Times New Roman" w:eastAsia="Times New Roman" w:hAnsi="Times New Roman" w:cs="Times New Roman"/>
          <w:i/>
          <w:iCs/>
          <w:color w:val="000000"/>
          <w:kern w:val="0"/>
          <w:szCs w:val="24"/>
          <w:lang w:eastAsia="en-GB"/>
          <w14:ligatures w14:val="none"/>
        </w:rPr>
        <w:t>Mathematics</w:t>
      </w:r>
      <w:r w:rsidRPr="00992D68">
        <w:rPr>
          <w:rFonts w:ascii="Times New Roman" w:eastAsia="Times New Roman" w:hAnsi="Times New Roman" w:cs="Times New Roman"/>
          <w:color w:val="000000"/>
          <w:kern w:val="0"/>
          <w:szCs w:val="24"/>
          <w:lang w:eastAsia="en-GB"/>
          <w14:ligatures w14:val="none"/>
        </w:rPr>
        <w:t>, 9(11), p.1286. doi:https://doi.org/10.3390/math9111286.</w:t>
      </w:r>
    </w:p>
    <w:p w14:paraId="5CA4E17C" w14:textId="77777777" w:rsidR="00992D68" w:rsidRPr="00992D68" w:rsidRDefault="00992D68" w:rsidP="00992D68">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Chi, T., Li, J., Trigeorgis, L.G. and Tsekrekos, A.E. (2019). Real options theory in international business. </w:t>
      </w:r>
      <w:r w:rsidRPr="00992D68">
        <w:rPr>
          <w:rFonts w:ascii="Times New Roman" w:eastAsia="Times New Roman" w:hAnsi="Times New Roman" w:cs="Times New Roman"/>
          <w:i/>
          <w:iCs/>
          <w:color w:val="000000"/>
          <w:kern w:val="0"/>
          <w:szCs w:val="24"/>
          <w:lang w:eastAsia="en-GB"/>
          <w14:ligatures w14:val="none"/>
        </w:rPr>
        <w:t>Journal of International Business Studies</w:t>
      </w:r>
      <w:r w:rsidRPr="00992D68">
        <w:rPr>
          <w:rFonts w:ascii="Times New Roman" w:eastAsia="Times New Roman" w:hAnsi="Times New Roman" w:cs="Times New Roman"/>
          <w:color w:val="000000"/>
          <w:kern w:val="0"/>
          <w:szCs w:val="24"/>
          <w:lang w:eastAsia="en-GB"/>
          <w14:ligatures w14:val="none"/>
        </w:rPr>
        <w:t>, 50(4), pp.525–553. doi:https://doi.org/10.1057/s41267-019-00222-y.</w:t>
      </w:r>
    </w:p>
    <w:p w14:paraId="3C6B352D" w14:textId="77777777" w:rsidR="00992D68" w:rsidRPr="00992D68" w:rsidRDefault="00992D68" w:rsidP="00992D68">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D’Northwood, G. (2017). BP plc 2010 – a case of linguistic legitimation? </w:t>
      </w:r>
      <w:r w:rsidRPr="00992D68">
        <w:rPr>
          <w:rFonts w:ascii="Times New Roman" w:eastAsia="Times New Roman" w:hAnsi="Times New Roman" w:cs="Times New Roman"/>
          <w:i/>
          <w:iCs/>
          <w:color w:val="000000"/>
          <w:kern w:val="0"/>
          <w:szCs w:val="24"/>
          <w:lang w:eastAsia="en-GB"/>
          <w14:ligatures w14:val="none"/>
        </w:rPr>
        <w:t>Journal of Applied Accounting Research</w:t>
      </w:r>
      <w:r w:rsidRPr="00992D68">
        <w:rPr>
          <w:rFonts w:ascii="Times New Roman" w:eastAsia="Times New Roman" w:hAnsi="Times New Roman" w:cs="Times New Roman"/>
          <w:color w:val="000000"/>
          <w:kern w:val="0"/>
          <w:szCs w:val="24"/>
          <w:lang w:eastAsia="en-GB"/>
          <w14:ligatures w14:val="none"/>
        </w:rPr>
        <w:t>, 18(4), pp.480–495. doi:https://doi.org/10.1108/jaar-02-2016-0022.</w:t>
      </w:r>
    </w:p>
    <w:p w14:paraId="77E3E519" w14:textId="77777777" w:rsidR="00992D68" w:rsidRPr="00992D68" w:rsidRDefault="00992D68" w:rsidP="00992D68">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Lefebvre, V. (2021). A bird in the hand is better than two in the bush: Investigating the relationship between financial slack and profitability in business groups. </w:t>
      </w:r>
      <w:r w:rsidRPr="00992D68">
        <w:rPr>
          <w:rFonts w:ascii="Times New Roman" w:eastAsia="Times New Roman" w:hAnsi="Times New Roman" w:cs="Times New Roman"/>
          <w:i/>
          <w:iCs/>
          <w:color w:val="000000"/>
          <w:kern w:val="0"/>
          <w:szCs w:val="24"/>
          <w:lang w:eastAsia="en-GB"/>
          <w14:ligatures w14:val="none"/>
        </w:rPr>
        <w:t>BRQ Business Research Quarterly</w:t>
      </w:r>
      <w:r w:rsidRPr="00992D68">
        <w:rPr>
          <w:rFonts w:ascii="Times New Roman" w:eastAsia="Times New Roman" w:hAnsi="Times New Roman" w:cs="Times New Roman"/>
          <w:color w:val="000000"/>
          <w:kern w:val="0"/>
          <w:szCs w:val="24"/>
          <w:lang w:eastAsia="en-GB"/>
          <w14:ligatures w14:val="none"/>
        </w:rPr>
        <w:t>, p.234094442110545. doi:https://doi.org/10.1177/23409444211054510.</w:t>
      </w:r>
    </w:p>
    <w:p w14:paraId="7CD8E38B" w14:textId="77777777" w:rsidR="00992D68" w:rsidRPr="00992D68" w:rsidRDefault="00992D68" w:rsidP="00992D68">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MERTON, R.C. (2017). A Simple Model of Capital Market Equilibrium with Incomplete Information. </w:t>
      </w:r>
      <w:r w:rsidRPr="00992D68">
        <w:rPr>
          <w:rFonts w:ascii="Times New Roman" w:eastAsia="Times New Roman" w:hAnsi="Times New Roman" w:cs="Times New Roman"/>
          <w:i/>
          <w:iCs/>
          <w:color w:val="000000"/>
          <w:kern w:val="0"/>
          <w:szCs w:val="24"/>
          <w:lang w:eastAsia="en-GB"/>
          <w14:ligatures w14:val="none"/>
        </w:rPr>
        <w:t>The Journal of Finance</w:t>
      </w:r>
      <w:r w:rsidRPr="00992D68">
        <w:rPr>
          <w:rFonts w:ascii="Times New Roman" w:eastAsia="Times New Roman" w:hAnsi="Times New Roman" w:cs="Times New Roman"/>
          <w:color w:val="000000"/>
          <w:kern w:val="0"/>
          <w:szCs w:val="24"/>
          <w:lang w:eastAsia="en-GB"/>
          <w14:ligatures w14:val="none"/>
        </w:rPr>
        <w:t>, 42(3), pp.483–510. doi:https://doi.org/10.1111/j.1540-6261.1987.tb04565.x.</w:t>
      </w:r>
    </w:p>
    <w:p w14:paraId="279E4841" w14:textId="77777777" w:rsidR="00992D68" w:rsidRPr="00992D68" w:rsidRDefault="00992D68" w:rsidP="00992D68">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Panda, B. and Leepsa, N.M. (2017). Agency theory: Review of Theory and Evidence on Problems and Perspectives. </w:t>
      </w:r>
      <w:r w:rsidRPr="00992D68">
        <w:rPr>
          <w:rFonts w:ascii="Times New Roman" w:eastAsia="Times New Roman" w:hAnsi="Times New Roman" w:cs="Times New Roman"/>
          <w:i/>
          <w:iCs/>
          <w:color w:val="000000"/>
          <w:kern w:val="0"/>
          <w:szCs w:val="24"/>
          <w:lang w:eastAsia="en-GB"/>
          <w14:ligatures w14:val="none"/>
        </w:rPr>
        <w:t>Indian Journal of Corporate Governance</w:t>
      </w:r>
      <w:r w:rsidRPr="00992D68">
        <w:rPr>
          <w:rFonts w:ascii="Times New Roman" w:eastAsia="Times New Roman" w:hAnsi="Times New Roman" w:cs="Times New Roman"/>
          <w:color w:val="000000"/>
          <w:kern w:val="0"/>
          <w:szCs w:val="24"/>
          <w:lang w:eastAsia="en-GB"/>
          <w14:ligatures w14:val="none"/>
        </w:rPr>
        <w:t>, [online] 10(1), pp.74–95. doi:https://doi.org/10.1177/0974686217701467.</w:t>
      </w:r>
    </w:p>
    <w:p w14:paraId="7E46A9B8" w14:textId="77777777" w:rsidR="00992D68" w:rsidRPr="00992D68" w:rsidRDefault="00992D68" w:rsidP="00992D68">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Revel, D. (2015). </w:t>
      </w:r>
      <w:r w:rsidRPr="00992D68">
        <w:rPr>
          <w:rFonts w:ascii="Times New Roman" w:eastAsia="Times New Roman" w:hAnsi="Times New Roman" w:cs="Times New Roman"/>
          <w:i/>
          <w:iCs/>
          <w:color w:val="000000"/>
          <w:kern w:val="0"/>
          <w:szCs w:val="24"/>
          <w:lang w:eastAsia="en-GB"/>
          <w14:ligatures w14:val="none"/>
        </w:rPr>
        <w:t>BP Energy Outlook 2035</w:t>
      </w:r>
      <w:r w:rsidRPr="00992D68">
        <w:rPr>
          <w:rFonts w:ascii="Times New Roman" w:eastAsia="Times New Roman" w:hAnsi="Times New Roman" w:cs="Times New Roman"/>
          <w:color w:val="000000"/>
          <w:kern w:val="0"/>
          <w:szCs w:val="24"/>
          <w:lang w:eastAsia="en-GB"/>
          <w14:ligatures w14:val="none"/>
        </w:rPr>
        <w:t>. London, UK: BP plc.</w:t>
      </w:r>
    </w:p>
    <w:p w14:paraId="77E9FC50" w14:textId="77777777" w:rsidR="00992D68" w:rsidRPr="00992D68" w:rsidRDefault="00992D68" w:rsidP="00992D68">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Ţiţan, A.G. (2015). The Efficient Market Hypothesis: Review of Specialized Literature and Empirical Research. </w:t>
      </w:r>
      <w:r w:rsidRPr="00992D68">
        <w:rPr>
          <w:rFonts w:ascii="Times New Roman" w:eastAsia="Times New Roman" w:hAnsi="Times New Roman" w:cs="Times New Roman"/>
          <w:i/>
          <w:iCs/>
          <w:color w:val="000000"/>
          <w:kern w:val="0"/>
          <w:szCs w:val="24"/>
          <w:lang w:eastAsia="en-GB"/>
          <w14:ligatures w14:val="none"/>
        </w:rPr>
        <w:t>Procedia Economics and Finance</w:t>
      </w:r>
      <w:r w:rsidRPr="00992D68">
        <w:rPr>
          <w:rFonts w:ascii="Times New Roman" w:eastAsia="Times New Roman" w:hAnsi="Times New Roman" w:cs="Times New Roman"/>
          <w:color w:val="000000"/>
          <w:kern w:val="0"/>
          <w:szCs w:val="24"/>
          <w:lang w:eastAsia="en-GB"/>
          <w14:ligatures w14:val="none"/>
        </w:rPr>
        <w:t>, 32, pp.442–449. doi:https://doi.org/10.1016/s2212-5671(15)01416-1.</w:t>
      </w:r>
    </w:p>
    <w:p w14:paraId="42BF9295" w14:textId="4E43B4A3" w:rsidR="00C0150C" w:rsidRPr="00CF21D3" w:rsidRDefault="00992D68" w:rsidP="00CF21D3">
      <w:pPr>
        <w:shd w:val="clear" w:color="auto" w:fill="FFFFFF"/>
        <w:spacing w:after="240"/>
        <w:jc w:val="left"/>
        <w:rPr>
          <w:rFonts w:ascii="Times New Roman" w:eastAsia="Times New Roman" w:hAnsi="Times New Roman" w:cs="Times New Roman"/>
          <w:color w:val="000000"/>
          <w:kern w:val="0"/>
          <w:szCs w:val="24"/>
          <w:lang w:eastAsia="en-GB"/>
          <w14:ligatures w14:val="none"/>
        </w:rPr>
      </w:pPr>
      <w:r w:rsidRPr="00992D68">
        <w:rPr>
          <w:rFonts w:ascii="Times New Roman" w:eastAsia="Times New Roman" w:hAnsi="Times New Roman" w:cs="Times New Roman"/>
          <w:color w:val="000000"/>
          <w:kern w:val="0"/>
          <w:szCs w:val="24"/>
          <w:lang w:eastAsia="en-GB"/>
          <w14:ligatures w14:val="none"/>
        </w:rPr>
        <w:t xml:space="preserve">Zerbib, O.D. (2019). A Sustainable Capital Asset Pricing Model (S-CAPM): Evidence from Green Investing and Sin Stock Exclusion. </w:t>
      </w:r>
      <w:r w:rsidRPr="00992D68">
        <w:rPr>
          <w:rFonts w:ascii="Times New Roman" w:eastAsia="Times New Roman" w:hAnsi="Times New Roman" w:cs="Times New Roman"/>
          <w:i/>
          <w:iCs/>
          <w:color w:val="000000"/>
          <w:kern w:val="0"/>
          <w:szCs w:val="24"/>
          <w:lang w:eastAsia="en-GB"/>
          <w14:ligatures w14:val="none"/>
        </w:rPr>
        <w:t>SSRN Electronic Journal</w:t>
      </w:r>
      <w:r w:rsidRPr="00992D68">
        <w:rPr>
          <w:rFonts w:ascii="Times New Roman" w:eastAsia="Times New Roman" w:hAnsi="Times New Roman" w:cs="Times New Roman"/>
          <w:color w:val="000000"/>
          <w:kern w:val="0"/>
          <w:szCs w:val="24"/>
          <w:lang w:eastAsia="en-GB"/>
          <w14:ligatures w14:val="none"/>
        </w:rPr>
        <w:t>. doi:https://doi.org/10.2139/ssrn.3455090.</w:t>
      </w:r>
    </w:p>
    <w:sectPr w:rsidR="00C0150C" w:rsidRPr="00CF21D3" w:rsidSect="009B3F01">
      <w:footerReference w:type="even"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66CD3" w14:textId="77777777" w:rsidR="004C5AFF" w:rsidRDefault="004C5AFF" w:rsidP="009B3F01">
      <w:pPr>
        <w:spacing w:line="240" w:lineRule="auto"/>
      </w:pPr>
      <w:r>
        <w:separator/>
      </w:r>
    </w:p>
  </w:endnote>
  <w:endnote w:type="continuationSeparator" w:id="0">
    <w:p w14:paraId="6318F0F0" w14:textId="77777777" w:rsidR="004C5AFF" w:rsidRDefault="004C5AFF" w:rsidP="009B3F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3974374"/>
      <w:docPartObj>
        <w:docPartGallery w:val="Page Numbers (Bottom of Page)"/>
        <w:docPartUnique/>
      </w:docPartObj>
    </w:sdtPr>
    <w:sdtEndPr>
      <w:rPr>
        <w:rStyle w:val="PageNumber"/>
      </w:rPr>
    </w:sdtEndPr>
    <w:sdtContent>
      <w:p w14:paraId="49884935" w14:textId="5A080A7B" w:rsidR="009B3F01" w:rsidRDefault="009B3F01" w:rsidP="002E5D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E61389" w14:textId="77777777" w:rsidR="009B3F01" w:rsidRDefault="009B3F01" w:rsidP="009B3F0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3031112"/>
      <w:docPartObj>
        <w:docPartGallery w:val="Page Numbers (Bottom of Page)"/>
        <w:docPartUnique/>
      </w:docPartObj>
    </w:sdtPr>
    <w:sdtEndPr>
      <w:rPr>
        <w:rStyle w:val="PageNumber"/>
      </w:rPr>
    </w:sdtEndPr>
    <w:sdtContent>
      <w:p w14:paraId="3523AD46" w14:textId="0A10F41D" w:rsidR="009B3F01" w:rsidRDefault="009B3F01" w:rsidP="002E5D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B20D1F5" w14:textId="77777777" w:rsidR="009B3F01" w:rsidRDefault="009B3F01" w:rsidP="009B3F0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F1B3A" w14:textId="77777777" w:rsidR="004C5AFF" w:rsidRDefault="004C5AFF" w:rsidP="009B3F01">
      <w:pPr>
        <w:spacing w:line="240" w:lineRule="auto"/>
      </w:pPr>
      <w:r>
        <w:separator/>
      </w:r>
    </w:p>
  </w:footnote>
  <w:footnote w:type="continuationSeparator" w:id="0">
    <w:p w14:paraId="66E120D5" w14:textId="77777777" w:rsidR="004C5AFF" w:rsidRDefault="004C5AFF" w:rsidP="009B3F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B2D33"/>
    <w:multiLevelType w:val="multilevel"/>
    <w:tmpl w:val="4E0C8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93CA8"/>
    <w:multiLevelType w:val="multilevel"/>
    <w:tmpl w:val="60C61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FE21B1"/>
    <w:multiLevelType w:val="multilevel"/>
    <w:tmpl w:val="6C30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774448"/>
    <w:multiLevelType w:val="multilevel"/>
    <w:tmpl w:val="5C8CE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8B0491"/>
    <w:multiLevelType w:val="multilevel"/>
    <w:tmpl w:val="E2E0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584519"/>
    <w:multiLevelType w:val="multilevel"/>
    <w:tmpl w:val="46824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3"/>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0F8"/>
    <w:rsid w:val="000C24A6"/>
    <w:rsid w:val="0017392A"/>
    <w:rsid w:val="001742DF"/>
    <w:rsid w:val="004C5AFF"/>
    <w:rsid w:val="00565BAC"/>
    <w:rsid w:val="005E0EFB"/>
    <w:rsid w:val="006012E5"/>
    <w:rsid w:val="00724FD3"/>
    <w:rsid w:val="008D60C8"/>
    <w:rsid w:val="00981390"/>
    <w:rsid w:val="00992D68"/>
    <w:rsid w:val="009B3F01"/>
    <w:rsid w:val="00AF4515"/>
    <w:rsid w:val="00B14941"/>
    <w:rsid w:val="00C0150C"/>
    <w:rsid w:val="00CF21D3"/>
    <w:rsid w:val="00CF3F1A"/>
    <w:rsid w:val="00D040F8"/>
    <w:rsid w:val="00F33ED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87851"/>
  <w15:chartTrackingRefBased/>
  <w15:docId w15:val="{4A93B899-E4B2-7443-833A-CE7A7B7D5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EFB"/>
    <w:pPr>
      <w:spacing w:line="360" w:lineRule="auto"/>
      <w:jc w:val="both"/>
    </w:pPr>
    <w:rPr>
      <w:rFonts w:ascii="Arial" w:hAnsi="Arial" w:cs="Vrinda"/>
    </w:rPr>
  </w:style>
  <w:style w:type="paragraph" w:styleId="Heading1">
    <w:name w:val="heading 1"/>
    <w:aliases w:val="Heading 1 TR"/>
    <w:basedOn w:val="Normal"/>
    <w:next w:val="Normal"/>
    <w:link w:val="Heading1Char"/>
    <w:uiPriority w:val="9"/>
    <w:qFormat/>
    <w:rsid w:val="005E0EFB"/>
    <w:pPr>
      <w:keepNext/>
      <w:keepLines/>
      <w:spacing w:before="240"/>
      <w:outlineLvl w:val="0"/>
    </w:pPr>
    <w:rPr>
      <w:rFonts w:eastAsiaTheme="majorEastAsia" w:cstheme="majorBidi"/>
      <w:color w:val="000000" w:themeColor="text1"/>
      <w:sz w:val="32"/>
      <w:szCs w:val="40"/>
    </w:rPr>
  </w:style>
  <w:style w:type="paragraph" w:styleId="Heading2">
    <w:name w:val="heading 2"/>
    <w:basedOn w:val="Basic"/>
    <w:next w:val="Normal"/>
    <w:link w:val="Heading2Char"/>
    <w:autoRedefine/>
    <w:uiPriority w:val="9"/>
    <w:semiHidden/>
    <w:unhideWhenUsed/>
    <w:qFormat/>
    <w:rsid w:val="00F33ED9"/>
    <w:pPr>
      <w:keepNext/>
      <w:keepLines/>
      <w:spacing w:before="40"/>
      <w:outlineLvl w:val="1"/>
    </w:pPr>
    <w:rPr>
      <w:rFonts w:eastAsiaTheme="majorEastAsia" w:cstheme="majorBidi"/>
      <w:color w:val="000000" w:themeColor="text1"/>
      <w:sz w:val="28"/>
      <w:szCs w:val="33"/>
    </w:rPr>
  </w:style>
  <w:style w:type="paragraph" w:styleId="Heading3">
    <w:name w:val="heading 3"/>
    <w:basedOn w:val="Basic"/>
    <w:next w:val="Basic"/>
    <w:link w:val="Heading3Char"/>
    <w:autoRedefine/>
    <w:uiPriority w:val="9"/>
    <w:semiHidden/>
    <w:unhideWhenUsed/>
    <w:qFormat/>
    <w:rsid w:val="00AF4515"/>
    <w:pPr>
      <w:keepNext/>
      <w:keepLines/>
      <w:spacing w:before="40"/>
      <w:outlineLvl w:val="2"/>
    </w:pPr>
    <w:rPr>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R Char"/>
    <w:basedOn w:val="DefaultParagraphFont"/>
    <w:link w:val="Heading1"/>
    <w:uiPriority w:val="9"/>
    <w:rsid w:val="005E0EFB"/>
    <w:rPr>
      <w:rFonts w:ascii="Arial" w:eastAsiaTheme="majorEastAsia" w:hAnsi="Arial" w:cstheme="majorBidi"/>
      <w:color w:val="000000" w:themeColor="text1"/>
      <w:sz w:val="32"/>
      <w:szCs w:val="40"/>
      <w:lang w:val="en-GB"/>
    </w:rPr>
  </w:style>
  <w:style w:type="paragraph" w:customStyle="1" w:styleId="Basic">
    <w:name w:val="Basic"/>
    <w:basedOn w:val="Normal"/>
    <w:qFormat/>
    <w:rsid w:val="006012E5"/>
    <w:rPr>
      <w:rFonts w:ascii="Times New Roman" w:hAnsi="Times New Roman" w:cs="Times New Roman"/>
    </w:rPr>
  </w:style>
  <w:style w:type="character" w:customStyle="1" w:styleId="Heading2Char">
    <w:name w:val="Heading 2 Char"/>
    <w:basedOn w:val="DefaultParagraphFont"/>
    <w:link w:val="Heading2"/>
    <w:uiPriority w:val="9"/>
    <w:semiHidden/>
    <w:rsid w:val="00F33ED9"/>
    <w:rPr>
      <w:rFonts w:ascii="Times New Roman" w:eastAsiaTheme="majorEastAsia" w:hAnsi="Times New Roman" w:cstheme="majorBidi"/>
      <w:color w:val="000000" w:themeColor="text1"/>
      <w:sz w:val="28"/>
      <w:szCs w:val="33"/>
      <w:lang w:val="en-GB"/>
    </w:rPr>
  </w:style>
  <w:style w:type="character" w:customStyle="1" w:styleId="Heading3Char">
    <w:name w:val="Heading 3 Char"/>
    <w:basedOn w:val="DefaultParagraphFont"/>
    <w:link w:val="Heading3"/>
    <w:uiPriority w:val="9"/>
    <w:semiHidden/>
    <w:rsid w:val="00AF4515"/>
    <w:rPr>
      <w:rFonts w:ascii="Times New Roman" w:hAnsi="Times New Roman" w:cs="Times New Roman"/>
      <w:color w:val="000000" w:themeColor="text1"/>
      <w:lang w:val="en-GB"/>
    </w:rPr>
  </w:style>
  <w:style w:type="paragraph" w:styleId="NormalWeb">
    <w:name w:val="Normal (Web)"/>
    <w:basedOn w:val="Normal"/>
    <w:uiPriority w:val="99"/>
    <w:unhideWhenUsed/>
    <w:rsid w:val="00D040F8"/>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D040F8"/>
    <w:rPr>
      <w:b/>
      <w:bCs/>
    </w:rPr>
  </w:style>
  <w:style w:type="paragraph" w:styleId="Footer">
    <w:name w:val="footer"/>
    <w:basedOn w:val="Normal"/>
    <w:link w:val="FooterChar"/>
    <w:uiPriority w:val="99"/>
    <w:unhideWhenUsed/>
    <w:rsid w:val="009B3F01"/>
    <w:pPr>
      <w:tabs>
        <w:tab w:val="center" w:pos="4513"/>
        <w:tab w:val="right" w:pos="9026"/>
      </w:tabs>
      <w:spacing w:line="240" w:lineRule="auto"/>
    </w:pPr>
  </w:style>
  <w:style w:type="character" w:customStyle="1" w:styleId="FooterChar">
    <w:name w:val="Footer Char"/>
    <w:basedOn w:val="DefaultParagraphFont"/>
    <w:link w:val="Footer"/>
    <w:uiPriority w:val="99"/>
    <w:rsid w:val="009B3F01"/>
    <w:rPr>
      <w:rFonts w:ascii="Arial" w:hAnsi="Arial" w:cs="Vrinda"/>
      <w:lang w:val="en-GB"/>
    </w:rPr>
  </w:style>
  <w:style w:type="character" w:styleId="PageNumber">
    <w:name w:val="page number"/>
    <w:basedOn w:val="DefaultParagraphFont"/>
    <w:uiPriority w:val="99"/>
    <w:semiHidden/>
    <w:unhideWhenUsed/>
    <w:rsid w:val="009B3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3168">
      <w:bodyDiv w:val="1"/>
      <w:marLeft w:val="0"/>
      <w:marRight w:val="0"/>
      <w:marTop w:val="0"/>
      <w:marBottom w:val="0"/>
      <w:divBdr>
        <w:top w:val="none" w:sz="0" w:space="0" w:color="auto"/>
        <w:left w:val="none" w:sz="0" w:space="0" w:color="auto"/>
        <w:bottom w:val="none" w:sz="0" w:space="0" w:color="auto"/>
        <w:right w:val="none" w:sz="0" w:space="0" w:color="auto"/>
      </w:divBdr>
    </w:div>
    <w:div w:id="104692121">
      <w:bodyDiv w:val="1"/>
      <w:marLeft w:val="0"/>
      <w:marRight w:val="0"/>
      <w:marTop w:val="0"/>
      <w:marBottom w:val="0"/>
      <w:divBdr>
        <w:top w:val="none" w:sz="0" w:space="0" w:color="auto"/>
        <w:left w:val="none" w:sz="0" w:space="0" w:color="auto"/>
        <w:bottom w:val="none" w:sz="0" w:space="0" w:color="auto"/>
        <w:right w:val="none" w:sz="0" w:space="0" w:color="auto"/>
      </w:divBdr>
      <w:divsChild>
        <w:div w:id="2078700696">
          <w:marLeft w:val="0"/>
          <w:marRight w:val="0"/>
          <w:marTop w:val="0"/>
          <w:marBottom w:val="0"/>
          <w:divBdr>
            <w:top w:val="none" w:sz="0" w:space="0" w:color="auto"/>
            <w:left w:val="none" w:sz="0" w:space="0" w:color="auto"/>
            <w:bottom w:val="none" w:sz="0" w:space="0" w:color="auto"/>
            <w:right w:val="none" w:sz="0" w:space="0" w:color="auto"/>
          </w:divBdr>
        </w:div>
      </w:divsChild>
    </w:div>
    <w:div w:id="114718561">
      <w:bodyDiv w:val="1"/>
      <w:marLeft w:val="0"/>
      <w:marRight w:val="0"/>
      <w:marTop w:val="0"/>
      <w:marBottom w:val="0"/>
      <w:divBdr>
        <w:top w:val="none" w:sz="0" w:space="0" w:color="auto"/>
        <w:left w:val="none" w:sz="0" w:space="0" w:color="auto"/>
        <w:bottom w:val="none" w:sz="0" w:space="0" w:color="auto"/>
        <w:right w:val="none" w:sz="0" w:space="0" w:color="auto"/>
      </w:divBdr>
      <w:divsChild>
        <w:div w:id="195698927">
          <w:marLeft w:val="0"/>
          <w:marRight w:val="0"/>
          <w:marTop w:val="0"/>
          <w:marBottom w:val="0"/>
          <w:divBdr>
            <w:top w:val="none" w:sz="0" w:space="0" w:color="auto"/>
            <w:left w:val="none" w:sz="0" w:space="0" w:color="auto"/>
            <w:bottom w:val="none" w:sz="0" w:space="0" w:color="auto"/>
            <w:right w:val="none" w:sz="0" w:space="0" w:color="auto"/>
          </w:divBdr>
        </w:div>
      </w:divsChild>
    </w:div>
    <w:div w:id="289550757">
      <w:bodyDiv w:val="1"/>
      <w:marLeft w:val="0"/>
      <w:marRight w:val="0"/>
      <w:marTop w:val="0"/>
      <w:marBottom w:val="0"/>
      <w:divBdr>
        <w:top w:val="none" w:sz="0" w:space="0" w:color="auto"/>
        <w:left w:val="none" w:sz="0" w:space="0" w:color="auto"/>
        <w:bottom w:val="none" w:sz="0" w:space="0" w:color="auto"/>
        <w:right w:val="none" w:sz="0" w:space="0" w:color="auto"/>
      </w:divBdr>
    </w:div>
    <w:div w:id="404039150">
      <w:bodyDiv w:val="1"/>
      <w:marLeft w:val="0"/>
      <w:marRight w:val="0"/>
      <w:marTop w:val="0"/>
      <w:marBottom w:val="0"/>
      <w:divBdr>
        <w:top w:val="none" w:sz="0" w:space="0" w:color="auto"/>
        <w:left w:val="none" w:sz="0" w:space="0" w:color="auto"/>
        <w:bottom w:val="none" w:sz="0" w:space="0" w:color="auto"/>
        <w:right w:val="none" w:sz="0" w:space="0" w:color="auto"/>
      </w:divBdr>
    </w:div>
    <w:div w:id="636758355">
      <w:bodyDiv w:val="1"/>
      <w:marLeft w:val="0"/>
      <w:marRight w:val="0"/>
      <w:marTop w:val="0"/>
      <w:marBottom w:val="0"/>
      <w:divBdr>
        <w:top w:val="none" w:sz="0" w:space="0" w:color="auto"/>
        <w:left w:val="none" w:sz="0" w:space="0" w:color="auto"/>
        <w:bottom w:val="none" w:sz="0" w:space="0" w:color="auto"/>
        <w:right w:val="none" w:sz="0" w:space="0" w:color="auto"/>
      </w:divBdr>
      <w:divsChild>
        <w:div w:id="1245997278">
          <w:marLeft w:val="0"/>
          <w:marRight w:val="0"/>
          <w:marTop w:val="0"/>
          <w:marBottom w:val="0"/>
          <w:divBdr>
            <w:top w:val="none" w:sz="0" w:space="0" w:color="auto"/>
            <w:left w:val="none" w:sz="0" w:space="0" w:color="auto"/>
            <w:bottom w:val="none" w:sz="0" w:space="0" w:color="auto"/>
            <w:right w:val="none" w:sz="0" w:space="0" w:color="auto"/>
          </w:divBdr>
          <w:divsChild>
            <w:div w:id="2029283681">
              <w:marLeft w:val="0"/>
              <w:marRight w:val="0"/>
              <w:marTop w:val="0"/>
              <w:marBottom w:val="0"/>
              <w:divBdr>
                <w:top w:val="none" w:sz="0" w:space="0" w:color="auto"/>
                <w:left w:val="none" w:sz="0" w:space="0" w:color="auto"/>
                <w:bottom w:val="none" w:sz="0" w:space="0" w:color="auto"/>
                <w:right w:val="none" w:sz="0" w:space="0" w:color="auto"/>
              </w:divBdr>
              <w:divsChild>
                <w:div w:id="153801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782766">
      <w:bodyDiv w:val="1"/>
      <w:marLeft w:val="0"/>
      <w:marRight w:val="0"/>
      <w:marTop w:val="0"/>
      <w:marBottom w:val="0"/>
      <w:divBdr>
        <w:top w:val="none" w:sz="0" w:space="0" w:color="auto"/>
        <w:left w:val="none" w:sz="0" w:space="0" w:color="auto"/>
        <w:bottom w:val="none" w:sz="0" w:space="0" w:color="auto"/>
        <w:right w:val="none" w:sz="0" w:space="0" w:color="auto"/>
      </w:divBdr>
      <w:divsChild>
        <w:div w:id="1680698887">
          <w:marLeft w:val="0"/>
          <w:marRight w:val="0"/>
          <w:marTop w:val="0"/>
          <w:marBottom w:val="0"/>
          <w:divBdr>
            <w:top w:val="none" w:sz="0" w:space="0" w:color="auto"/>
            <w:left w:val="none" w:sz="0" w:space="0" w:color="auto"/>
            <w:bottom w:val="none" w:sz="0" w:space="0" w:color="auto"/>
            <w:right w:val="none" w:sz="0" w:space="0" w:color="auto"/>
          </w:divBdr>
        </w:div>
      </w:divsChild>
    </w:div>
    <w:div w:id="758913637">
      <w:bodyDiv w:val="1"/>
      <w:marLeft w:val="0"/>
      <w:marRight w:val="0"/>
      <w:marTop w:val="0"/>
      <w:marBottom w:val="0"/>
      <w:divBdr>
        <w:top w:val="none" w:sz="0" w:space="0" w:color="auto"/>
        <w:left w:val="none" w:sz="0" w:space="0" w:color="auto"/>
        <w:bottom w:val="none" w:sz="0" w:space="0" w:color="auto"/>
        <w:right w:val="none" w:sz="0" w:space="0" w:color="auto"/>
      </w:divBdr>
      <w:divsChild>
        <w:div w:id="1479690600">
          <w:marLeft w:val="0"/>
          <w:marRight w:val="0"/>
          <w:marTop w:val="0"/>
          <w:marBottom w:val="0"/>
          <w:divBdr>
            <w:top w:val="none" w:sz="0" w:space="0" w:color="auto"/>
            <w:left w:val="none" w:sz="0" w:space="0" w:color="auto"/>
            <w:bottom w:val="none" w:sz="0" w:space="0" w:color="auto"/>
            <w:right w:val="none" w:sz="0" w:space="0" w:color="auto"/>
          </w:divBdr>
        </w:div>
      </w:divsChild>
    </w:div>
    <w:div w:id="904687038">
      <w:bodyDiv w:val="1"/>
      <w:marLeft w:val="0"/>
      <w:marRight w:val="0"/>
      <w:marTop w:val="0"/>
      <w:marBottom w:val="0"/>
      <w:divBdr>
        <w:top w:val="none" w:sz="0" w:space="0" w:color="auto"/>
        <w:left w:val="none" w:sz="0" w:space="0" w:color="auto"/>
        <w:bottom w:val="none" w:sz="0" w:space="0" w:color="auto"/>
        <w:right w:val="none" w:sz="0" w:space="0" w:color="auto"/>
      </w:divBdr>
      <w:divsChild>
        <w:div w:id="1483886392">
          <w:marLeft w:val="0"/>
          <w:marRight w:val="0"/>
          <w:marTop w:val="0"/>
          <w:marBottom w:val="0"/>
          <w:divBdr>
            <w:top w:val="none" w:sz="0" w:space="0" w:color="auto"/>
            <w:left w:val="none" w:sz="0" w:space="0" w:color="auto"/>
            <w:bottom w:val="none" w:sz="0" w:space="0" w:color="auto"/>
            <w:right w:val="none" w:sz="0" w:space="0" w:color="auto"/>
          </w:divBdr>
          <w:divsChild>
            <w:div w:id="1154181540">
              <w:marLeft w:val="0"/>
              <w:marRight w:val="0"/>
              <w:marTop w:val="0"/>
              <w:marBottom w:val="0"/>
              <w:divBdr>
                <w:top w:val="none" w:sz="0" w:space="0" w:color="auto"/>
                <w:left w:val="none" w:sz="0" w:space="0" w:color="auto"/>
                <w:bottom w:val="none" w:sz="0" w:space="0" w:color="auto"/>
                <w:right w:val="none" w:sz="0" w:space="0" w:color="auto"/>
              </w:divBdr>
              <w:divsChild>
                <w:div w:id="1028796404">
                  <w:marLeft w:val="0"/>
                  <w:marRight w:val="0"/>
                  <w:marTop w:val="0"/>
                  <w:marBottom w:val="0"/>
                  <w:divBdr>
                    <w:top w:val="none" w:sz="0" w:space="0" w:color="auto"/>
                    <w:left w:val="none" w:sz="0" w:space="0" w:color="auto"/>
                    <w:bottom w:val="none" w:sz="0" w:space="0" w:color="auto"/>
                    <w:right w:val="none" w:sz="0" w:space="0" w:color="auto"/>
                  </w:divBdr>
                  <w:divsChild>
                    <w:div w:id="89817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606408">
      <w:bodyDiv w:val="1"/>
      <w:marLeft w:val="0"/>
      <w:marRight w:val="0"/>
      <w:marTop w:val="0"/>
      <w:marBottom w:val="0"/>
      <w:divBdr>
        <w:top w:val="none" w:sz="0" w:space="0" w:color="auto"/>
        <w:left w:val="none" w:sz="0" w:space="0" w:color="auto"/>
        <w:bottom w:val="none" w:sz="0" w:space="0" w:color="auto"/>
        <w:right w:val="none" w:sz="0" w:space="0" w:color="auto"/>
      </w:divBdr>
    </w:div>
    <w:div w:id="1166238883">
      <w:bodyDiv w:val="1"/>
      <w:marLeft w:val="0"/>
      <w:marRight w:val="0"/>
      <w:marTop w:val="0"/>
      <w:marBottom w:val="0"/>
      <w:divBdr>
        <w:top w:val="none" w:sz="0" w:space="0" w:color="auto"/>
        <w:left w:val="none" w:sz="0" w:space="0" w:color="auto"/>
        <w:bottom w:val="none" w:sz="0" w:space="0" w:color="auto"/>
        <w:right w:val="none" w:sz="0" w:space="0" w:color="auto"/>
      </w:divBdr>
      <w:divsChild>
        <w:div w:id="996345191">
          <w:marLeft w:val="0"/>
          <w:marRight w:val="0"/>
          <w:marTop w:val="0"/>
          <w:marBottom w:val="0"/>
          <w:divBdr>
            <w:top w:val="none" w:sz="0" w:space="0" w:color="auto"/>
            <w:left w:val="none" w:sz="0" w:space="0" w:color="auto"/>
            <w:bottom w:val="none" w:sz="0" w:space="0" w:color="auto"/>
            <w:right w:val="none" w:sz="0" w:space="0" w:color="auto"/>
          </w:divBdr>
          <w:divsChild>
            <w:div w:id="54083436">
              <w:marLeft w:val="0"/>
              <w:marRight w:val="0"/>
              <w:marTop w:val="0"/>
              <w:marBottom w:val="0"/>
              <w:divBdr>
                <w:top w:val="none" w:sz="0" w:space="0" w:color="auto"/>
                <w:left w:val="none" w:sz="0" w:space="0" w:color="auto"/>
                <w:bottom w:val="none" w:sz="0" w:space="0" w:color="auto"/>
                <w:right w:val="none" w:sz="0" w:space="0" w:color="auto"/>
              </w:divBdr>
              <w:divsChild>
                <w:div w:id="23528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593777">
      <w:bodyDiv w:val="1"/>
      <w:marLeft w:val="0"/>
      <w:marRight w:val="0"/>
      <w:marTop w:val="0"/>
      <w:marBottom w:val="0"/>
      <w:divBdr>
        <w:top w:val="none" w:sz="0" w:space="0" w:color="auto"/>
        <w:left w:val="none" w:sz="0" w:space="0" w:color="auto"/>
        <w:bottom w:val="none" w:sz="0" w:space="0" w:color="auto"/>
        <w:right w:val="none" w:sz="0" w:space="0" w:color="auto"/>
      </w:divBdr>
      <w:divsChild>
        <w:div w:id="1152870619">
          <w:marLeft w:val="0"/>
          <w:marRight w:val="0"/>
          <w:marTop w:val="0"/>
          <w:marBottom w:val="0"/>
          <w:divBdr>
            <w:top w:val="none" w:sz="0" w:space="0" w:color="auto"/>
            <w:left w:val="none" w:sz="0" w:space="0" w:color="auto"/>
            <w:bottom w:val="none" w:sz="0" w:space="0" w:color="auto"/>
            <w:right w:val="none" w:sz="0" w:space="0" w:color="auto"/>
          </w:divBdr>
        </w:div>
      </w:divsChild>
    </w:div>
    <w:div w:id="1404716050">
      <w:bodyDiv w:val="1"/>
      <w:marLeft w:val="0"/>
      <w:marRight w:val="0"/>
      <w:marTop w:val="0"/>
      <w:marBottom w:val="0"/>
      <w:divBdr>
        <w:top w:val="none" w:sz="0" w:space="0" w:color="auto"/>
        <w:left w:val="none" w:sz="0" w:space="0" w:color="auto"/>
        <w:bottom w:val="none" w:sz="0" w:space="0" w:color="auto"/>
        <w:right w:val="none" w:sz="0" w:space="0" w:color="auto"/>
      </w:divBdr>
      <w:divsChild>
        <w:div w:id="1869105009">
          <w:marLeft w:val="0"/>
          <w:marRight w:val="0"/>
          <w:marTop w:val="0"/>
          <w:marBottom w:val="0"/>
          <w:divBdr>
            <w:top w:val="none" w:sz="0" w:space="0" w:color="auto"/>
            <w:left w:val="none" w:sz="0" w:space="0" w:color="auto"/>
            <w:bottom w:val="none" w:sz="0" w:space="0" w:color="auto"/>
            <w:right w:val="none" w:sz="0" w:space="0" w:color="auto"/>
          </w:divBdr>
        </w:div>
      </w:divsChild>
    </w:div>
    <w:div w:id="1418941923">
      <w:bodyDiv w:val="1"/>
      <w:marLeft w:val="0"/>
      <w:marRight w:val="0"/>
      <w:marTop w:val="0"/>
      <w:marBottom w:val="0"/>
      <w:divBdr>
        <w:top w:val="none" w:sz="0" w:space="0" w:color="auto"/>
        <w:left w:val="none" w:sz="0" w:space="0" w:color="auto"/>
        <w:bottom w:val="none" w:sz="0" w:space="0" w:color="auto"/>
        <w:right w:val="none" w:sz="0" w:space="0" w:color="auto"/>
      </w:divBdr>
      <w:divsChild>
        <w:div w:id="2128353327">
          <w:marLeft w:val="0"/>
          <w:marRight w:val="0"/>
          <w:marTop w:val="0"/>
          <w:marBottom w:val="0"/>
          <w:divBdr>
            <w:top w:val="none" w:sz="0" w:space="0" w:color="auto"/>
            <w:left w:val="none" w:sz="0" w:space="0" w:color="auto"/>
            <w:bottom w:val="none" w:sz="0" w:space="0" w:color="auto"/>
            <w:right w:val="none" w:sz="0" w:space="0" w:color="auto"/>
          </w:divBdr>
        </w:div>
      </w:divsChild>
    </w:div>
    <w:div w:id="1451709447">
      <w:bodyDiv w:val="1"/>
      <w:marLeft w:val="0"/>
      <w:marRight w:val="0"/>
      <w:marTop w:val="0"/>
      <w:marBottom w:val="0"/>
      <w:divBdr>
        <w:top w:val="none" w:sz="0" w:space="0" w:color="auto"/>
        <w:left w:val="none" w:sz="0" w:space="0" w:color="auto"/>
        <w:bottom w:val="none" w:sz="0" w:space="0" w:color="auto"/>
        <w:right w:val="none" w:sz="0" w:space="0" w:color="auto"/>
      </w:divBdr>
      <w:divsChild>
        <w:div w:id="1857308289">
          <w:marLeft w:val="0"/>
          <w:marRight w:val="0"/>
          <w:marTop w:val="0"/>
          <w:marBottom w:val="0"/>
          <w:divBdr>
            <w:top w:val="none" w:sz="0" w:space="0" w:color="auto"/>
            <w:left w:val="none" w:sz="0" w:space="0" w:color="auto"/>
            <w:bottom w:val="none" w:sz="0" w:space="0" w:color="auto"/>
            <w:right w:val="none" w:sz="0" w:space="0" w:color="auto"/>
          </w:divBdr>
        </w:div>
      </w:divsChild>
    </w:div>
    <w:div w:id="1519730702">
      <w:bodyDiv w:val="1"/>
      <w:marLeft w:val="0"/>
      <w:marRight w:val="0"/>
      <w:marTop w:val="0"/>
      <w:marBottom w:val="0"/>
      <w:divBdr>
        <w:top w:val="none" w:sz="0" w:space="0" w:color="auto"/>
        <w:left w:val="none" w:sz="0" w:space="0" w:color="auto"/>
        <w:bottom w:val="none" w:sz="0" w:space="0" w:color="auto"/>
        <w:right w:val="none" w:sz="0" w:space="0" w:color="auto"/>
      </w:divBdr>
      <w:divsChild>
        <w:div w:id="125004339">
          <w:marLeft w:val="0"/>
          <w:marRight w:val="0"/>
          <w:marTop w:val="0"/>
          <w:marBottom w:val="0"/>
          <w:divBdr>
            <w:top w:val="none" w:sz="0" w:space="0" w:color="auto"/>
            <w:left w:val="none" w:sz="0" w:space="0" w:color="auto"/>
            <w:bottom w:val="none" w:sz="0" w:space="0" w:color="auto"/>
            <w:right w:val="none" w:sz="0" w:space="0" w:color="auto"/>
          </w:divBdr>
        </w:div>
      </w:divsChild>
    </w:div>
    <w:div w:id="1525363956">
      <w:bodyDiv w:val="1"/>
      <w:marLeft w:val="0"/>
      <w:marRight w:val="0"/>
      <w:marTop w:val="0"/>
      <w:marBottom w:val="0"/>
      <w:divBdr>
        <w:top w:val="none" w:sz="0" w:space="0" w:color="auto"/>
        <w:left w:val="none" w:sz="0" w:space="0" w:color="auto"/>
        <w:bottom w:val="none" w:sz="0" w:space="0" w:color="auto"/>
        <w:right w:val="none" w:sz="0" w:space="0" w:color="auto"/>
      </w:divBdr>
    </w:div>
    <w:div w:id="1572698149">
      <w:bodyDiv w:val="1"/>
      <w:marLeft w:val="0"/>
      <w:marRight w:val="0"/>
      <w:marTop w:val="0"/>
      <w:marBottom w:val="0"/>
      <w:divBdr>
        <w:top w:val="none" w:sz="0" w:space="0" w:color="auto"/>
        <w:left w:val="none" w:sz="0" w:space="0" w:color="auto"/>
        <w:bottom w:val="none" w:sz="0" w:space="0" w:color="auto"/>
        <w:right w:val="none" w:sz="0" w:space="0" w:color="auto"/>
      </w:divBdr>
      <w:divsChild>
        <w:div w:id="77218556">
          <w:marLeft w:val="0"/>
          <w:marRight w:val="0"/>
          <w:marTop w:val="0"/>
          <w:marBottom w:val="0"/>
          <w:divBdr>
            <w:top w:val="none" w:sz="0" w:space="0" w:color="auto"/>
            <w:left w:val="none" w:sz="0" w:space="0" w:color="auto"/>
            <w:bottom w:val="none" w:sz="0" w:space="0" w:color="auto"/>
            <w:right w:val="none" w:sz="0" w:space="0" w:color="auto"/>
          </w:divBdr>
        </w:div>
      </w:divsChild>
    </w:div>
    <w:div w:id="1922329043">
      <w:bodyDiv w:val="1"/>
      <w:marLeft w:val="0"/>
      <w:marRight w:val="0"/>
      <w:marTop w:val="0"/>
      <w:marBottom w:val="0"/>
      <w:divBdr>
        <w:top w:val="none" w:sz="0" w:space="0" w:color="auto"/>
        <w:left w:val="none" w:sz="0" w:space="0" w:color="auto"/>
        <w:bottom w:val="none" w:sz="0" w:space="0" w:color="auto"/>
        <w:right w:val="none" w:sz="0" w:space="0" w:color="auto"/>
      </w:divBdr>
      <w:divsChild>
        <w:div w:id="1443302077">
          <w:marLeft w:val="0"/>
          <w:marRight w:val="0"/>
          <w:marTop w:val="0"/>
          <w:marBottom w:val="0"/>
          <w:divBdr>
            <w:top w:val="none" w:sz="0" w:space="0" w:color="auto"/>
            <w:left w:val="none" w:sz="0" w:space="0" w:color="auto"/>
            <w:bottom w:val="none" w:sz="0" w:space="0" w:color="auto"/>
            <w:right w:val="none" w:sz="0" w:space="0" w:color="auto"/>
          </w:divBdr>
          <w:divsChild>
            <w:div w:id="1780754557">
              <w:marLeft w:val="0"/>
              <w:marRight w:val="0"/>
              <w:marTop w:val="0"/>
              <w:marBottom w:val="0"/>
              <w:divBdr>
                <w:top w:val="none" w:sz="0" w:space="0" w:color="auto"/>
                <w:left w:val="none" w:sz="0" w:space="0" w:color="auto"/>
                <w:bottom w:val="none" w:sz="0" w:space="0" w:color="auto"/>
                <w:right w:val="none" w:sz="0" w:space="0" w:color="auto"/>
              </w:divBdr>
              <w:divsChild>
                <w:div w:id="45576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941401">
      <w:bodyDiv w:val="1"/>
      <w:marLeft w:val="0"/>
      <w:marRight w:val="0"/>
      <w:marTop w:val="0"/>
      <w:marBottom w:val="0"/>
      <w:divBdr>
        <w:top w:val="none" w:sz="0" w:space="0" w:color="auto"/>
        <w:left w:val="none" w:sz="0" w:space="0" w:color="auto"/>
        <w:bottom w:val="none" w:sz="0" w:space="0" w:color="auto"/>
        <w:right w:val="none" w:sz="0" w:space="0" w:color="auto"/>
      </w:divBdr>
      <w:divsChild>
        <w:div w:id="1606495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5B9655-845F-E24B-B4E8-1EC45E199AAB}">
  <we:reference id="c48fb390-44b5-4201-a3e4-26377914a574" version="1.0.0.0" store="EXCatalog" storeType="EXCatalog"/>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1</Pages>
  <Words>1821</Words>
  <Characters>10381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Ailincai</cp:lastModifiedBy>
  <cp:revision>2</cp:revision>
  <dcterms:created xsi:type="dcterms:W3CDTF">2023-08-31T15:03:00Z</dcterms:created>
  <dcterms:modified xsi:type="dcterms:W3CDTF">2023-08-31T15:03:00Z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2023-08-28T18:57:30Z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c7419e95-e2cb-408e-a8d0-6f6b1c631d32</vt:lpwstr>
  </property>
  <property fmtid="{D5CDD505-2E9C-101B-9397-08002B2CF9AE}" pid="7" name="MSIP_Label_defa4170-0d19-0005-0004-bc88714345d2_ActionId">
    <vt:lpwstr>abddfa83-18f9-4cfc-a885-73ece54b97c5</vt:lpwstr>
  </property>
  <property fmtid="{D5CDD505-2E9C-101B-9397-08002B2CF9AE}" pid="8" name="MSIP_Label_defa4170-0d19-0005-0004-bc88714345d2_ContentBits">
    <vt:lpwstr>0</vt:lpwstr>
  </property>
</Properties>
</file>