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66974745"/>
        <w:docPartObj>
          <w:docPartGallery w:val="Cover Pages"/>
          <w:docPartUnique/>
        </w:docPartObj>
      </w:sdtPr>
      <w:sdtEndPr/>
      <w:sdtContent>
        <w:p w14:paraId="2C40639A" w14:textId="4EF7E368" w:rsidR="00BA6BBF" w:rsidRDefault="00BA6BBF" w:rsidP="00A17B90">
          <w:pPr>
            <w:spacing w:line="360" w:lineRule="auto"/>
          </w:pPr>
          <w:r>
            <w:rPr>
              <w:noProof/>
            </w:rPr>
            <mc:AlternateContent>
              <mc:Choice Requires="wpg">
                <w:drawing>
                  <wp:anchor distT="0" distB="0" distL="114300" distR="114300" simplePos="0" relativeHeight="251659264" behindDoc="1" locked="0" layoutInCell="1" allowOverlap="1" wp14:anchorId="3D39D041" wp14:editId="6DF72820">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97CC3EC" w14:textId="5F005D94" w:rsidR="00BA6BBF" w:rsidRDefault="002E6AD4" w:rsidP="00BA6BBF">
                                      <w:pPr>
                                        <w:pStyle w:val="NoSpacing"/>
                                        <w:spacing w:before="120"/>
                                        <w:jc w:val="center"/>
                                        <w:rPr>
                                          <w:color w:val="FFFFFF" w:themeColor="background1"/>
                                        </w:rPr>
                                      </w:pPr>
                                      <w:r>
                                        <w:rPr>
                                          <w:color w:val="FFFFFF" w:themeColor="background1"/>
                                        </w:rPr>
                                        <w:t>Kendra Wedgwood</w:t>
                                      </w:r>
                                    </w:p>
                                  </w:sdtContent>
                                </w:sdt>
                                <w:p w14:paraId="14910C9A" w14:textId="2A8BF44E" w:rsidR="00BA6BBF" w:rsidRDefault="00BA6BBF" w:rsidP="00BA6BBF">
                                  <w:pPr>
                                    <w:pStyle w:val="NoSpacing"/>
                                    <w:spacing w:before="120"/>
                                    <w:jc w:val="center"/>
                                    <w:rPr>
                                      <w:color w:val="FFFFFF" w:themeColor="background1"/>
                                    </w:rPr>
                                  </w:pPr>
                                  <w:r>
                                    <w:rPr>
                                      <w:color w:val="FFFFFF" w:themeColor="background1"/>
                                    </w:rPr>
                                    <w:t>UWTSD - 2406211</w:t>
                                  </w:r>
                                </w:p>
                                <w:p w14:paraId="6C1E00B6" w14:textId="735A8FE7" w:rsidR="00BA6BBF" w:rsidRDefault="008F4EA1" w:rsidP="00BA6BBF">
                                  <w:pPr>
                                    <w:pStyle w:val="NoSpacing"/>
                                    <w:spacing w:before="120"/>
                                    <w:jc w:val="center"/>
                                    <w:rPr>
                                      <w:color w:val="FFFFFF" w:themeColor="background1"/>
                                    </w:rPr>
                                  </w:pPr>
                                  <w:r>
                                    <w:rPr>
                                      <w:color w:val="FFFFFF" w:themeColor="background1"/>
                                    </w:rPr>
                                    <w:t xml:space="preserve">BMPO7006D - </w:t>
                                  </w:r>
                                  <w:r w:rsidR="00BA6BBF">
                                    <w:rPr>
                                      <w:color w:val="FFFFFF" w:themeColor="background1"/>
                                    </w:rPr>
                                    <w:t>April 2026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925A67E" w14:textId="6304878B" w:rsidR="00BA6BBF" w:rsidRDefault="00BA6BBF">
                                      <w:pPr>
                                        <w:pStyle w:val="NoSpacing"/>
                                        <w:jc w:val="center"/>
                                        <w:rPr>
                                          <w:rFonts w:asciiTheme="majorHAnsi" w:eastAsiaTheme="majorEastAsia" w:hAnsiTheme="majorHAnsi" w:cstheme="majorBidi"/>
                                          <w:caps/>
                                          <w:color w:val="156082" w:themeColor="accent1"/>
                                          <w:sz w:val="72"/>
                                          <w:szCs w:val="72"/>
                                        </w:rPr>
                                      </w:pPr>
                                      <w:r w:rsidRPr="00BA6BBF">
                                        <w:rPr>
                                          <w:rFonts w:asciiTheme="majorHAnsi" w:eastAsiaTheme="majorEastAsia" w:hAnsiTheme="majorHAnsi" w:cstheme="majorBidi"/>
                                          <w:caps/>
                                          <w:color w:val="156082" w:themeColor="accent1"/>
                                          <w:sz w:val="36"/>
                                          <w:szCs w:val="36"/>
                                        </w:rPr>
                                        <w:t>Policing Reform in England and Wales: Assessing the Implications of Nationalisation for Contemporary Policing Practice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39D041"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97CC3EC" w14:textId="5F005D94" w:rsidR="00BA6BBF" w:rsidRDefault="002E6AD4" w:rsidP="00BA6BBF">
                                <w:pPr>
                                  <w:pStyle w:val="NoSpacing"/>
                                  <w:spacing w:before="120"/>
                                  <w:jc w:val="center"/>
                                  <w:rPr>
                                    <w:color w:val="FFFFFF" w:themeColor="background1"/>
                                  </w:rPr>
                                </w:pPr>
                                <w:r>
                                  <w:rPr>
                                    <w:color w:val="FFFFFF" w:themeColor="background1"/>
                                  </w:rPr>
                                  <w:t>Kendra Wedgwood</w:t>
                                </w:r>
                              </w:p>
                            </w:sdtContent>
                          </w:sdt>
                          <w:p w14:paraId="14910C9A" w14:textId="2A8BF44E" w:rsidR="00BA6BBF" w:rsidRDefault="00BA6BBF" w:rsidP="00BA6BBF">
                            <w:pPr>
                              <w:pStyle w:val="NoSpacing"/>
                              <w:spacing w:before="120"/>
                              <w:jc w:val="center"/>
                              <w:rPr>
                                <w:color w:val="FFFFFF" w:themeColor="background1"/>
                              </w:rPr>
                            </w:pPr>
                            <w:r>
                              <w:rPr>
                                <w:color w:val="FFFFFF" w:themeColor="background1"/>
                              </w:rPr>
                              <w:t>UWTSD - 2406211</w:t>
                            </w:r>
                          </w:p>
                          <w:p w14:paraId="6C1E00B6" w14:textId="735A8FE7" w:rsidR="00BA6BBF" w:rsidRDefault="008F4EA1" w:rsidP="00BA6BBF">
                            <w:pPr>
                              <w:pStyle w:val="NoSpacing"/>
                              <w:spacing w:before="120"/>
                              <w:jc w:val="center"/>
                              <w:rPr>
                                <w:color w:val="FFFFFF" w:themeColor="background1"/>
                              </w:rPr>
                            </w:pPr>
                            <w:r>
                              <w:rPr>
                                <w:color w:val="FFFFFF" w:themeColor="background1"/>
                              </w:rPr>
                              <w:t xml:space="preserve">BMPO7006D - </w:t>
                            </w:r>
                            <w:r w:rsidR="00BA6BBF">
                              <w:rPr>
                                <w:color w:val="FFFFFF" w:themeColor="background1"/>
                              </w:rPr>
                              <w:t>April 2026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925A67E" w14:textId="6304878B" w:rsidR="00BA6BBF" w:rsidRDefault="00BA6BBF">
                                <w:pPr>
                                  <w:pStyle w:val="NoSpacing"/>
                                  <w:jc w:val="center"/>
                                  <w:rPr>
                                    <w:rFonts w:asciiTheme="majorHAnsi" w:eastAsiaTheme="majorEastAsia" w:hAnsiTheme="majorHAnsi" w:cstheme="majorBidi"/>
                                    <w:caps/>
                                    <w:color w:val="156082" w:themeColor="accent1"/>
                                    <w:sz w:val="72"/>
                                    <w:szCs w:val="72"/>
                                  </w:rPr>
                                </w:pPr>
                                <w:r w:rsidRPr="00BA6BBF">
                                  <w:rPr>
                                    <w:rFonts w:asciiTheme="majorHAnsi" w:eastAsiaTheme="majorEastAsia" w:hAnsiTheme="majorHAnsi" w:cstheme="majorBidi"/>
                                    <w:caps/>
                                    <w:color w:val="156082" w:themeColor="accent1"/>
                                    <w:sz w:val="36"/>
                                    <w:szCs w:val="36"/>
                                  </w:rPr>
                                  <w:t>Policing Reform in England and Wales: Assessing the Implications of Nationalisation for Contemporary Policing Practice</w:t>
                                </w:r>
                              </w:p>
                            </w:sdtContent>
                          </w:sdt>
                        </w:txbxContent>
                      </v:textbox>
                    </v:shape>
                    <w10:wrap anchorx="page" anchory="page"/>
                  </v:group>
                </w:pict>
              </mc:Fallback>
            </mc:AlternateContent>
          </w:r>
        </w:p>
        <w:p w14:paraId="19BBB0CD" w14:textId="25215290" w:rsidR="00BA6BBF" w:rsidRDefault="00BA6BBF" w:rsidP="00A17B90">
          <w:pPr>
            <w:spacing w:line="360" w:lineRule="auto"/>
          </w:pPr>
          <w:r>
            <w:br w:type="page"/>
          </w:r>
        </w:p>
      </w:sdtContent>
    </w:sdt>
    <w:sdt>
      <w:sdtPr>
        <w:rPr>
          <w:rFonts w:asciiTheme="minorHAnsi" w:eastAsiaTheme="minorEastAsia" w:hAnsiTheme="minorHAnsi" w:cstheme="minorBidi"/>
          <w:color w:val="auto"/>
          <w:sz w:val="24"/>
          <w:szCs w:val="24"/>
          <w:lang w:val="en-US" w:eastAsia="ja-JP"/>
        </w:rPr>
        <w:id w:val="-826587258"/>
        <w:docPartObj>
          <w:docPartGallery w:val="Table of Contents"/>
          <w:docPartUnique/>
        </w:docPartObj>
      </w:sdtPr>
      <w:sdtEndPr>
        <w:rPr>
          <w:b/>
          <w:bCs/>
        </w:rPr>
      </w:sdtEndPr>
      <w:sdtContent>
        <w:p w14:paraId="7A36F23B" w14:textId="29F2EC41" w:rsidR="00BA6BBF" w:rsidRDefault="00BA6BBF" w:rsidP="00A17B90">
          <w:pPr>
            <w:pStyle w:val="TOCHeading"/>
            <w:spacing w:line="360" w:lineRule="auto"/>
          </w:pPr>
          <w:r>
            <w:t>Contents</w:t>
          </w:r>
        </w:p>
        <w:p w14:paraId="29508F21" w14:textId="57552483" w:rsidR="0058409A" w:rsidRDefault="00BA6BBF">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27360949" w:history="1">
            <w:r w:rsidR="0058409A" w:rsidRPr="00E5511A">
              <w:rPr>
                <w:rStyle w:val="Hyperlink"/>
                <w:noProof/>
              </w:rPr>
              <w:t>Introduction</w:t>
            </w:r>
            <w:r w:rsidR="0058409A">
              <w:rPr>
                <w:noProof/>
                <w:webHidden/>
              </w:rPr>
              <w:tab/>
            </w:r>
            <w:r w:rsidR="0058409A">
              <w:rPr>
                <w:noProof/>
                <w:webHidden/>
              </w:rPr>
              <w:fldChar w:fldCharType="begin"/>
            </w:r>
            <w:r w:rsidR="0058409A">
              <w:rPr>
                <w:noProof/>
                <w:webHidden/>
              </w:rPr>
              <w:instrText xml:space="preserve"> PAGEREF _Toc227360949 \h </w:instrText>
            </w:r>
            <w:r w:rsidR="0058409A">
              <w:rPr>
                <w:noProof/>
                <w:webHidden/>
              </w:rPr>
            </w:r>
            <w:r w:rsidR="0058409A">
              <w:rPr>
                <w:noProof/>
                <w:webHidden/>
              </w:rPr>
              <w:fldChar w:fldCharType="separate"/>
            </w:r>
            <w:r w:rsidR="0058409A">
              <w:rPr>
                <w:noProof/>
                <w:webHidden/>
              </w:rPr>
              <w:t>2</w:t>
            </w:r>
            <w:r w:rsidR="0058409A">
              <w:rPr>
                <w:noProof/>
                <w:webHidden/>
              </w:rPr>
              <w:fldChar w:fldCharType="end"/>
            </w:r>
          </w:hyperlink>
        </w:p>
        <w:p w14:paraId="128F9E9C" w14:textId="12039BDA" w:rsidR="0058409A" w:rsidRDefault="0058409A">
          <w:pPr>
            <w:pStyle w:val="TOC1"/>
            <w:tabs>
              <w:tab w:val="right" w:leader="dot" w:pos="9350"/>
            </w:tabs>
            <w:rPr>
              <w:noProof/>
              <w:kern w:val="2"/>
              <w:lang w:val="en-GB" w:eastAsia="en-GB"/>
              <w14:ligatures w14:val="standardContextual"/>
            </w:rPr>
          </w:pPr>
          <w:hyperlink w:anchor="_Toc227360950" w:history="1">
            <w:r w:rsidRPr="00E5511A">
              <w:rPr>
                <w:rStyle w:val="Hyperlink"/>
                <w:noProof/>
              </w:rPr>
              <w:t>Development of Policing Structure and Legitimacy</w:t>
            </w:r>
            <w:r>
              <w:rPr>
                <w:noProof/>
                <w:webHidden/>
              </w:rPr>
              <w:tab/>
            </w:r>
            <w:r>
              <w:rPr>
                <w:noProof/>
                <w:webHidden/>
              </w:rPr>
              <w:fldChar w:fldCharType="begin"/>
            </w:r>
            <w:r>
              <w:rPr>
                <w:noProof/>
                <w:webHidden/>
              </w:rPr>
              <w:instrText xml:space="preserve"> PAGEREF _Toc227360950 \h </w:instrText>
            </w:r>
            <w:r>
              <w:rPr>
                <w:noProof/>
                <w:webHidden/>
              </w:rPr>
            </w:r>
            <w:r>
              <w:rPr>
                <w:noProof/>
                <w:webHidden/>
              </w:rPr>
              <w:fldChar w:fldCharType="separate"/>
            </w:r>
            <w:r>
              <w:rPr>
                <w:noProof/>
                <w:webHidden/>
              </w:rPr>
              <w:t>3</w:t>
            </w:r>
            <w:r>
              <w:rPr>
                <w:noProof/>
                <w:webHidden/>
              </w:rPr>
              <w:fldChar w:fldCharType="end"/>
            </w:r>
          </w:hyperlink>
        </w:p>
        <w:p w14:paraId="2AC4944D" w14:textId="29F07020" w:rsidR="0058409A" w:rsidRDefault="0058409A">
          <w:pPr>
            <w:pStyle w:val="TOC2"/>
            <w:tabs>
              <w:tab w:val="right" w:leader="dot" w:pos="9350"/>
            </w:tabs>
            <w:rPr>
              <w:noProof/>
              <w:kern w:val="2"/>
              <w:lang w:val="en-GB" w:eastAsia="en-GB"/>
              <w14:ligatures w14:val="standardContextual"/>
            </w:rPr>
          </w:pPr>
          <w:hyperlink w:anchor="_Toc227360951" w:history="1">
            <w:r w:rsidRPr="00E5511A">
              <w:rPr>
                <w:rStyle w:val="Hyperlink"/>
                <w:noProof/>
              </w:rPr>
              <w:t>Policing by Consent and Legitimacy</w:t>
            </w:r>
            <w:r>
              <w:rPr>
                <w:noProof/>
                <w:webHidden/>
              </w:rPr>
              <w:tab/>
            </w:r>
            <w:r>
              <w:rPr>
                <w:noProof/>
                <w:webHidden/>
              </w:rPr>
              <w:fldChar w:fldCharType="begin"/>
            </w:r>
            <w:r>
              <w:rPr>
                <w:noProof/>
                <w:webHidden/>
              </w:rPr>
              <w:instrText xml:space="preserve"> PAGEREF _Toc227360951 \h </w:instrText>
            </w:r>
            <w:r>
              <w:rPr>
                <w:noProof/>
                <w:webHidden/>
              </w:rPr>
            </w:r>
            <w:r>
              <w:rPr>
                <w:noProof/>
                <w:webHidden/>
              </w:rPr>
              <w:fldChar w:fldCharType="separate"/>
            </w:r>
            <w:r>
              <w:rPr>
                <w:noProof/>
                <w:webHidden/>
              </w:rPr>
              <w:t>3</w:t>
            </w:r>
            <w:r>
              <w:rPr>
                <w:noProof/>
                <w:webHidden/>
              </w:rPr>
              <w:fldChar w:fldCharType="end"/>
            </w:r>
          </w:hyperlink>
        </w:p>
        <w:p w14:paraId="527A0857" w14:textId="0A7B8196" w:rsidR="0058409A" w:rsidRDefault="0058409A">
          <w:pPr>
            <w:pStyle w:val="TOC2"/>
            <w:tabs>
              <w:tab w:val="right" w:leader="dot" w:pos="9350"/>
            </w:tabs>
            <w:rPr>
              <w:noProof/>
              <w:kern w:val="2"/>
              <w:lang w:val="en-GB" w:eastAsia="en-GB"/>
              <w14:ligatures w14:val="standardContextual"/>
            </w:rPr>
          </w:pPr>
          <w:hyperlink w:anchor="_Toc227360952" w:history="1">
            <w:r w:rsidRPr="00E5511A">
              <w:rPr>
                <w:rStyle w:val="Hyperlink"/>
                <w:noProof/>
              </w:rPr>
              <w:t>Structural Development and Specialisation</w:t>
            </w:r>
            <w:r>
              <w:rPr>
                <w:noProof/>
                <w:webHidden/>
              </w:rPr>
              <w:tab/>
            </w:r>
            <w:r>
              <w:rPr>
                <w:noProof/>
                <w:webHidden/>
              </w:rPr>
              <w:fldChar w:fldCharType="begin"/>
            </w:r>
            <w:r>
              <w:rPr>
                <w:noProof/>
                <w:webHidden/>
              </w:rPr>
              <w:instrText xml:space="preserve"> PAGEREF _Toc227360952 \h </w:instrText>
            </w:r>
            <w:r>
              <w:rPr>
                <w:noProof/>
                <w:webHidden/>
              </w:rPr>
            </w:r>
            <w:r>
              <w:rPr>
                <w:noProof/>
                <w:webHidden/>
              </w:rPr>
              <w:fldChar w:fldCharType="separate"/>
            </w:r>
            <w:r>
              <w:rPr>
                <w:noProof/>
                <w:webHidden/>
              </w:rPr>
              <w:t>4</w:t>
            </w:r>
            <w:r>
              <w:rPr>
                <w:noProof/>
                <w:webHidden/>
              </w:rPr>
              <w:fldChar w:fldCharType="end"/>
            </w:r>
          </w:hyperlink>
        </w:p>
        <w:p w14:paraId="2E9EDE8D" w14:textId="5747247D" w:rsidR="0058409A" w:rsidRDefault="0058409A">
          <w:pPr>
            <w:pStyle w:val="TOC2"/>
            <w:tabs>
              <w:tab w:val="right" w:leader="dot" w:pos="9350"/>
            </w:tabs>
            <w:rPr>
              <w:noProof/>
              <w:kern w:val="2"/>
              <w:lang w:val="en-GB" w:eastAsia="en-GB"/>
              <w14:ligatures w14:val="standardContextual"/>
            </w:rPr>
          </w:pPr>
          <w:hyperlink w:anchor="_Toc227360953" w:history="1">
            <w:r w:rsidRPr="00E5511A">
              <w:rPr>
                <w:rStyle w:val="Hyperlink"/>
                <w:noProof/>
              </w:rPr>
              <w:t>Crisis Legitimacy and Reform</w:t>
            </w:r>
            <w:r>
              <w:rPr>
                <w:noProof/>
                <w:webHidden/>
              </w:rPr>
              <w:tab/>
            </w:r>
            <w:r>
              <w:rPr>
                <w:noProof/>
                <w:webHidden/>
              </w:rPr>
              <w:fldChar w:fldCharType="begin"/>
            </w:r>
            <w:r>
              <w:rPr>
                <w:noProof/>
                <w:webHidden/>
              </w:rPr>
              <w:instrText xml:space="preserve"> PAGEREF _Toc227360953 \h </w:instrText>
            </w:r>
            <w:r>
              <w:rPr>
                <w:noProof/>
                <w:webHidden/>
              </w:rPr>
            </w:r>
            <w:r>
              <w:rPr>
                <w:noProof/>
                <w:webHidden/>
              </w:rPr>
              <w:fldChar w:fldCharType="separate"/>
            </w:r>
            <w:r>
              <w:rPr>
                <w:noProof/>
                <w:webHidden/>
              </w:rPr>
              <w:t>5</w:t>
            </w:r>
            <w:r>
              <w:rPr>
                <w:noProof/>
                <w:webHidden/>
              </w:rPr>
              <w:fldChar w:fldCharType="end"/>
            </w:r>
          </w:hyperlink>
        </w:p>
        <w:p w14:paraId="1FCCA51C" w14:textId="1169E7E7" w:rsidR="0058409A" w:rsidRDefault="0058409A">
          <w:pPr>
            <w:pStyle w:val="TOC1"/>
            <w:tabs>
              <w:tab w:val="right" w:leader="dot" w:pos="9350"/>
            </w:tabs>
            <w:rPr>
              <w:noProof/>
              <w:kern w:val="2"/>
              <w:lang w:val="en-GB" w:eastAsia="en-GB"/>
              <w14:ligatures w14:val="standardContextual"/>
            </w:rPr>
          </w:pPr>
          <w:hyperlink w:anchor="_Toc227360954" w:history="1">
            <w:r w:rsidRPr="00E5511A">
              <w:rPr>
                <w:rStyle w:val="Hyperlink"/>
                <w:noProof/>
              </w:rPr>
              <w:t>Contemporary Policing Demand and Reform</w:t>
            </w:r>
            <w:r>
              <w:rPr>
                <w:noProof/>
                <w:webHidden/>
              </w:rPr>
              <w:tab/>
            </w:r>
            <w:r>
              <w:rPr>
                <w:noProof/>
                <w:webHidden/>
              </w:rPr>
              <w:fldChar w:fldCharType="begin"/>
            </w:r>
            <w:r>
              <w:rPr>
                <w:noProof/>
                <w:webHidden/>
              </w:rPr>
              <w:instrText xml:space="preserve"> PAGEREF _Toc227360954 \h </w:instrText>
            </w:r>
            <w:r>
              <w:rPr>
                <w:noProof/>
                <w:webHidden/>
              </w:rPr>
            </w:r>
            <w:r>
              <w:rPr>
                <w:noProof/>
                <w:webHidden/>
              </w:rPr>
              <w:fldChar w:fldCharType="separate"/>
            </w:r>
            <w:r>
              <w:rPr>
                <w:noProof/>
                <w:webHidden/>
              </w:rPr>
              <w:t>6</w:t>
            </w:r>
            <w:r>
              <w:rPr>
                <w:noProof/>
                <w:webHidden/>
              </w:rPr>
              <w:fldChar w:fldCharType="end"/>
            </w:r>
          </w:hyperlink>
        </w:p>
        <w:p w14:paraId="08E6ED81" w14:textId="3859A577" w:rsidR="0058409A" w:rsidRDefault="0058409A">
          <w:pPr>
            <w:pStyle w:val="TOC2"/>
            <w:tabs>
              <w:tab w:val="right" w:leader="dot" w:pos="9350"/>
            </w:tabs>
            <w:rPr>
              <w:noProof/>
              <w:kern w:val="2"/>
              <w:lang w:val="en-GB" w:eastAsia="en-GB"/>
              <w14:ligatures w14:val="standardContextual"/>
            </w:rPr>
          </w:pPr>
          <w:hyperlink w:anchor="_Toc227360955" w:history="1">
            <w:r w:rsidRPr="00E5511A">
              <w:rPr>
                <w:rStyle w:val="Hyperlink"/>
                <w:noProof/>
              </w:rPr>
              <w:t>Contemporary Policing Demand</w:t>
            </w:r>
            <w:r>
              <w:rPr>
                <w:noProof/>
                <w:webHidden/>
              </w:rPr>
              <w:tab/>
            </w:r>
            <w:r>
              <w:rPr>
                <w:noProof/>
                <w:webHidden/>
              </w:rPr>
              <w:fldChar w:fldCharType="begin"/>
            </w:r>
            <w:r>
              <w:rPr>
                <w:noProof/>
                <w:webHidden/>
              </w:rPr>
              <w:instrText xml:space="preserve"> PAGEREF _Toc227360955 \h </w:instrText>
            </w:r>
            <w:r>
              <w:rPr>
                <w:noProof/>
                <w:webHidden/>
              </w:rPr>
            </w:r>
            <w:r>
              <w:rPr>
                <w:noProof/>
                <w:webHidden/>
              </w:rPr>
              <w:fldChar w:fldCharType="separate"/>
            </w:r>
            <w:r>
              <w:rPr>
                <w:noProof/>
                <w:webHidden/>
              </w:rPr>
              <w:t>6</w:t>
            </w:r>
            <w:r>
              <w:rPr>
                <w:noProof/>
                <w:webHidden/>
              </w:rPr>
              <w:fldChar w:fldCharType="end"/>
            </w:r>
          </w:hyperlink>
        </w:p>
        <w:p w14:paraId="1E322889" w14:textId="09577BC0" w:rsidR="0058409A" w:rsidRDefault="0058409A">
          <w:pPr>
            <w:pStyle w:val="TOC2"/>
            <w:tabs>
              <w:tab w:val="right" w:leader="dot" w:pos="9350"/>
            </w:tabs>
            <w:rPr>
              <w:noProof/>
              <w:kern w:val="2"/>
              <w:lang w:val="en-GB" w:eastAsia="en-GB"/>
              <w14:ligatures w14:val="standardContextual"/>
            </w:rPr>
          </w:pPr>
          <w:hyperlink w:anchor="_Toc227360956" w:history="1">
            <w:r w:rsidRPr="00E5511A">
              <w:rPr>
                <w:rStyle w:val="Hyperlink"/>
                <w:noProof/>
              </w:rPr>
              <w:t>Vulnerability and Safeguarding in Policing</w:t>
            </w:r>
            <w:r>
              <w:rPr>
                <w:noProof/>
                <w:webHidden/>
              </w:rPr>
              <w:tab/>
            </w:r>
            <w:r>
              <w:rPr>
                <w:noProof/>
                <w:webHidden/>
              </w:rPr>
              <w:fldChar w:fldCharType="begin"/>
            </w:r>
            <w:r>
              <w:rPr>
                <w:noProof/>
                <w:webHidden/>
              </w:rPr>
              <w:instrText xml:space="preserve"> PAGEREF _Toc227360956 \h </w:instrText>
            </w:r>
            <w:r>
              <w:rPr>
                <w:noProof/>
                <w:webHidden/>
              </w:rPr>
            </w:r>
            <w:r>
              <w:rPr>
                <w:noProof/>
                <w:webHidden/>
              </w:rPr>
              <w:fldChar w:fldCharType="separate"/>
            </w:r>
            <w:r>
              <w:rPr>
                <w:noProof/>
                <w:webHidden/>
              </w:rPr>
              <w:t>7</w:t>
            </w:r>
            <w:r>
              <w:rPr>
                <w:noProof/>
                <w:webHidden/>
              </w:rPr>
              <w:fldChar w:fldCharType="end"/>
            </w:r>
          </w:hyperlink>
        </w:p>
        <w:p w14:paraId="0549CBDE" w14:textId="54B4670C" w:rsidR="0058409A" w:rsidRDefault="0058409A">
          <w:pPr>
            <w:pStyle w:val="TOC2"/>
            <w:tabs>
              <w:tab w:val="right" w:leader="dot" w:pos="9350"/>
            </w:tabs>
            <w:rPr>
              <w:noProof/>
              <w:kern w:val="2"/>
              <w:lang w:val="en-GB" w:eastAsia="en-GB"/>
              <w14:ligatures w14:val="standardContextual"/>
            </w:rPr>
          </w:pPr>
          <w:hyperlink w:anchor="_Toc227360957" w:history="1">
            <w:r w:rsidRPr="00E5511A">
              <w:rPr>
                <w:rStyle w:val="Hyperlink"/>
                <w:noProof/>
              </w:rPr>
              <w:t>Policing Reform and National Coordination</w:t>
            </w:r>
            <w:r>
              <w:rPr>
                <w:noProof/>
                <w:webHidden/>
              </w:rPr>
              <w:tab/>
            </w:r>
            <w:r>
              <w:rPr>
                <w:noProof/>
                <w:webHidden/>
              </w:rPr>
              <w:fldChar w:fldCharType="begin"/>
            </w:r>
            <w:r>
              <w:rPr>
                <w:noProof/>
                <w:webHidden/>
              </w:rPr>
              <w:instrText xml:space="preserve"> PAGEREF _Toc227360957 \h </w:instrText>
            </w:r>
            <w:r>
              <w:rPr>
                <w:noProof/>
                <w:webHidden/>
              </w:rPr>
            </w:r>
            <w:r>
              <w:rPr>
                <w:noProof/>
                <w:webHidden/>
              </w:rPr>
              <w:fldChar w:fldCharType="separate"/>
            </w:r>
            <w:r>
              <w:rPr>
                <w:noProof/>
                <w:webHidden/>
              </w:rPr>
              <w:t>8</w:t>
            </w:r>
            <w:r>
              <w:rPr>
                <w:noProof/>
                <w:webHidden/>
              </w:rPr>
              <w:fldChar w:fldCharType="end"/>
            </w:r>
          </w:hyperlink>
        </w:p>
        <w:p w14:paraId="7B1EAAAF" w14:textId="28B48C71" w:rsidR="0058409A" w:rsidRDefault="0058409A">
          <w:pPr>
            <w:pStyle w:val="TOC2"/>
            <w:tabs>
              <w:tab w:val="right" w:leader="dot" w:pos="9350"/>
            </w:tabs>
            <w:rPr>
              <w:noProof/>
              <w:kern w:val="2"/>
              <w:lang w:val="en-GB" w:eastAsia="en-GB"/>
              <w14:ligatures w14:val="standardContextual"/>
            </w:rPr>
          </w:pPr>
          <w:hyperlink w:anchor="_Toc227360958" w:history="1">
            <w:r w:rsidRPr="00E5511A">
              <w:rPr>
                <w:rStyle w:val="Hyperlink"/>
                <w:noProof/>
              </w:rPr>
              <w:t>Implications for Contemporary Policing Practice</w:t>
            </w:r>
            <w:r>
              <w:rPr>
                <w:noProof/>
                <w:webHidden/>
              </w:rPr>
              <w:tab/>
            </w:r>
            <w:r>
              <w:rPr>
                <w:noProof/>
                <w:webHidden/>
              </w:rPr>
              <w:fldChar w:fldCharType="begin"/>
            </w:r>
            <w:r>
              <w:rPr>
                <w:noProof/>
                <w:webHidden/>
              </w:rPr>
              <w:instrText xml:space="preserve"> PAGEREF _Toc227360958 \h </w:instrText>
            </w:r>
            <w:r>
              <w:rPr>
                <w:noProof/>
                <w:webHidden/>
              </w:rPr>
            </w:r>
            <w:r>
              <w:rPr>
                <w:noProof/>
                <w:webHidden/>
              </w:rPr>
              <w:fldChar w:fldCharType="separate"/>
            </w:r>
            <w:r>
              <w:rPr>
                <w:noProof/>
                <w:webHidden/>
              </w:rPr>
              <w:t>10</w:t>
            </w:r>
            <w:r>
              <w:rPr>
                <w:noProof/>
                <w:webHidden/>
              </w:rPr>
              <w:fldChar w:fldCharType="end"/>
            </w:r>
          </w:hyperlink>
        </w:p>
        <w:p w14:paraId="6286EDC3" w14:textId="10878D49" w:rsidR="0058409A" w:rsidRDefault="0058409A">
          <w:pPr>
            <w:pStyle w:val="TOC1"/>
            <w:tabs>
              <w:tab w:val="right" w:leader="dot" w:pos="9350"/>
            </w:tabs>
            <w:rPr>
              <w:noProof/>
              <w:kern w:val="2"/>
              <w:lang w:val="en-GB" w:eastAsia="en-GB"/>
              <w14:ligatures w14:val="standardContextual"/>
            </w:rPr>
          </w:pPr>
          <w:hyperlink w:anchor="_Toc227360959" w:history="1">
            <w:r w:rsidRPr="00E5511A">
              <w:rPr>
                <w:rStyle w:val="Hyperlink"/>
                <w:noProof/>
              </w:rPr>
              <w:t>Conclusion</w:t>
            </w:r>
            <w:r>
              <w:rPr>
                <w:noProof/>
                <w:webHidden/>
              </w:rPr>
              <w:tab/>
            </w:r>
            <w:r>
              <w:rPr>
                <w:noProof/>
                <w:webHidden/>
              </w:rPr>
              <w:fldChar w:fldCharType="begin"/>
            </w:r>
            <w:r>
              <w:rPr>
                <w:noProof/>
                <w:webHidden/>
              </w:rPr>
              <w:instrText xml:space="preserve"> PAGEREF _Toc227360959 \h </w:instrText>
            </w:r>
            <w:r>
              <w:rPr>
                <w:noProof/>
                <w:webHidden/>
              </w:rPr>
            </w:r>
            <w:r>
              <w:rPr>
                <w:noProof/>
                <w:webHidden/>
              </w:rPr>
              <w:fldChar w:fldCharType="separate"/>
            </w:r>
            <w:r>
              <w:rPr>
                <w:noProof/>
                <w:webHidden/>
              </w:rPr>
              <w:t>11</w:t>
            </w:r>
            <w:r>
              <w:rPr>
                <w:noProof/>
                <w:webHidden/>
              </w:rPr>
              <w:fldChar w:fldCharType="end"/>
            </w:r>
          </w:hyperlink>
        </w:p>
        <w:p w14:paraId="6D5C4B25" w14:textId="383F54C1" w:rsidR="0058409A" w:rsidRDefault="0058409A">
          <w:pPr>
            <w:pStyle w:val="TOC1"/>
            <w:tabs>
              <w:tab w:val="right" w:leader="dot" w:pos="9350"/>
            </w:tabs>
            <w:rPr>
              <w:noProof/>
              <w:kern w:val="2"/>
              <w:lang w:val="en-GB" w:eastAsia="en-GB"/>
              <w14:ligatures w14:val="standardContextual"/>
            </w:rPr>
          </w:pPr>
          <w:hyperlink w:anchor="_Toc227360960" w:history="1">
            <w:r w:rsidRPr="00E5511A">
              <w:rPr>
                <w:rStyle w:val="Hyperlink"/>
                <w:noProof/>
              </w:rPr>
              <w:t>References</w:t>
            </w:r>
            <w:r>
              <w:rPr>
                <w:noProof/>
                <w:webHidden/>
              </w:rPr>
              <w:tab/>
            </w:r>
            <w:r>
              <w:rPr>
                <w:noProof/>
                <w:webHidden/>
              </w:rPr>
              <w:fldChar w:fldCharType="begin"/>
            </w:r>
            <w:r>
              <w:rPr>
                <w:noProof/>
                <w:webHidden/>
              </w:rPr>
              <w:instrText xml:space="preserve"> PAGEREF _Toc227360960 \h </w:instrText>
            </w:r>
            <w:r>
              <w:rPr>
                <w:noProof/>
                <w:webHidden/>
              </w:rPr>
            </w:r>
            <w:r>
              <w:rPr>
                <w:noProof/>
                <w:webHidden/>
              </w:rPr>
              <w:fldChar w:fldCharType="separate"/>
            </w:r>
            <w:r>
              <w:rPr>
                <w:noProof/>
                <w:webHidden/>
              </w:rPr>
              <w:t>12</w:t>
            </w:r>
            <w:r>
              <w:rPr>
                <w:noProof/>
                <w:webHidden/>
              </w:rPr>
              <w:fldChar w:fldCharType="end"/>
            </w:r>
          </w:hyperlink>
        </w:p>
        <w:p w14:paraId="08BBCD92" w14:textId="4211360E" w:rsidR="0058409A" w:rsidRDefault="0058409A">
          <w:pPr>
            <w:pStyle w:val="TOC1"/>
            <w:tabs>
              <w:tab w:val="right" w:leader="dot" w:pos="9350"/>
            </w:tabs>
            <w:rPr>
              <w:noProof/>
              <w:kern w:val="2"/>
              <w:lang w:val="en-GB" w:eastAsia="en-GB"/>
              <w14:ligatures w14:val="standardContextual"/>
            </w:rPr>
          </w:pPr>
          <w:hyperlink w:anchor="_Toc227360961" w:history="1">
            <w:r w:rsidRPr="00E5511A">
              <w:rPr>
                <w:rStyle w:val="Hyperlink"/>
                <w:noProof/>
              </w:rPr>
              <w:t>AI Acknowledgement</w:t>
            </w:r>
            <w:r>
              <w:rPr>
                <w:noProof/>
                <w:webHidden/>
              </w:rPr>
              <w:tab/>
            </w:r>
            <w:r>
              <w:rPr>
                <w:noProof/>
                <w:webHidden/>
              </w:rPr>
              <w:fldChar w:fldCharType="begin"/>
            </w:r>
            <w:r>
              <w:rPr>
                <w:noProof/>
                <w:webHidden/>
              </w:rPr>
              <w:instrText xml:space="preserve"> PAGEREF _Toc227360961 \h </w:instrText>
            </w:r>
            <w:r>
              <w:rPr>
                <w:noProof/>
                <w:webHidden/>
              </w:rPr>
            </w:r>
            <w:r>
              <w:rPr>
                <w:noProof/>
                <w:webHidden/>
              </w:rPr>
              <w:fldChar w:fldCharType="separate"/>
            </w:r>
            <w:r>
              <w:rPr>
                <w:noProof/>
                <w:webHidden/>
              </w:rPr>
              <w:t>13</w:t>
            </w:r>
            <w:r>
              <w:rPr>
                <w:noProof/>
                <w:webHidden/>
              </w:rPr>
              <w:fldChar w:fldCharType="end"/>
            </w:r>
          </w:hyperlink>
        </w:p>
        <w:p w14:paraId="28F7C23D" w14:textId="27CA08B9" w:rsidR="00BA6BBF" w:rsidRDefault="00BA6BBF" w:rsidP="00A17B90">
          <w:pPr>
            <w:spacing w:line="360" w:lineRule="auto"/>
          </w:pPr>
          <w:r>
            <w:rPr>
              <w:b/>
              <w:bCs/>
            </w:rPr>
            <w:fldChar w:fldCharType="end"/>
          </w:r>
        </w:p>
      </w:sdtContent>
    </w:sdt>
    <w:p w14:paraId="70F14998" w14:textId="00040661" w:rsidR="4DD5A8F3" w:rsidRDefault="4DD5A8F3" w:rsidP="00A17B90">
      <w:pPr>
        <w:spacing w:line="360" w:lineRule="auto"/>
      </w:pPr>
    </w:p>
    <w:p w14:paraId="61694DAB" w14:textId="66F5ABC3" w:rsidR="482DE958" w:rsidRDefault="482DE958" w:rsidP="00A17B90">
      <w:pPr>
        <w:spacing w:line="360" w:lineRule="auto"/>
      </w:pPr>
    </w:p>
    <w:p w14:paraId="5DC0AC78" w14:textId="77777777" w:rsidR="00A17B90" w:rsidRDefault="00A17B90">
      <w:pPr>
        <w:rPr>
          <w:rFonts w:asciiTheme="majorHAnsi" w:eastAsiaTheme="majorEastAsia" w:hAnsiTheme="majorHAnsi" w:cstheme="majorBidi"/>
          <w:color w:val="0F4761" w:themeColor="accent1" w:themeShade="BF"/>
          <w:sz w:val="32"/>
          <w:szCs w:val="32"/>
        </w:rPr>
      </w:pPr>
      <w:r>
        <w:br w:type="page"/>
      </w:r>
    </w:p>
    <w:p w14:paraId="6680AC18" w14:textId="460F8DD3" w:rsidR="7452B508" w:rsidRDefault="7452B508" w:rsidP="00A17B90">
      <w:pPr>
        <w:pStyle w:val="Heading1"/>
        <w:spacing w:line="360" w:lineRule="auto"/>
      </w:pPr>
      <w:bookmarkStart w:id="0" w:name="_Toc227360949"/>
      <w:r>
        <w:lastRenderedPageBreak/>
        <w:t>Introduction</w:t>
      </w:r>
      <w:bookmarkEnd w:id="0"/>
    </w:p>
    <w:p w14:paraId="7D715E82" w14:textId="346DC9F2" w:rsidR="7452B508" w:rsidRDefault="60CCADD9" w:rsidP="00A17B90">
      <w:pPr>
        <w:spacing w:line="360" w:lineRule="auto"/>
        <w:rPr>
          <w:color w:val="000000" w:themeColor="text1"/>
        </w:rPr>
      </w:pPr>
      <w:r w:rsidRPr="4DD5A8F3">
        <w:rPr>
          <w:color w:val="000000" w:themeColor="text1"/>
        </w:rPr>
        <w:t xml:space="preserve">Policing in England and Wales </w:t>
      </w:r>
      <w:r w:rsidR="37268ADF" w:rsidRPr="4DD5A8F3">
        <w:rPr>
          <w:color w:val="000000" w:themeColor="text1"/>
        </w:rPr>
        <w:t>is traditionally understood as deriving its authority from public approval with cooperation rather than coercion underpinning its legitimacy.</w:t>
      </w:r>
      <w:r w:rsidR="6EA11E1C" w:rsidRPr="4DD5A8F3">
        <w:rPr>
          <w:color w:val="000000" w:themeColor="text1"/>
        </w:rPr>
        <w:t xml:space="preserve"> </w:t>
      </w:r>
      <w:r w:rsidR="58D25181" w:rsidRPr="4DD5A8F3">
        <w:rPr>
          <w:color w:val="000000" w:themeColor="text1"/>
        </w:rPr>
        <w:t xml:space="preserve">This model emphasises that policing is </w:t>
      </w:r>
      <w:r w:rsidR="7CE716BF" w:rsidRPr="4DD5A8F3">
        <w:rPr>
          <w:color w:val="000000" w:themeColor="text1"/>
        </w:rPr>
        <w:t>reliant on public trust and voluntary compliance, rather than the routine use of force</w:t>
      </w:r>
      <w:r w:rsidR="58D25181" w:rsidRPr="4DD5A8F3">
        <w:rPr>
          <w:color w:val="000000" w:themeColor="text1"/>
        </w:rPr>
        <w:t>. (Reiner, 2010). Newburn (2017) similarly identifies that policing effectiveness i</w:t>
      </w:r>
      <w:r w:rsidR="66EA43EB" w:rsidRPr="4DD5A8F3">
        <w:rPr>
          <w:color w:val="000000" w:themeColor="text1"/>
        </w:rPr>
        <w:t>s closely linked to public willingness to comply with the law, reinforcing the centrality of legitimacy within policing practice. Over time, policing has developed in response to changes in crime, public expectations and national security requiremen</w:t>
      </w:r>
      <w:r w:rsidR="15F56769" w:rsidRPr="4DD5A8F3">
        <w:rPr>
          <w:color w:val="000000" w:themeColor="text1"/>
        </w:rPr>
        <w:t xml:space="preserve">ts. These developments have contributed to increasing </w:t>
      </w:r>
      <w:r w:rsidR="72F1A55D" w:rsidRPr="4DD5A8F3">
        <w:rPr>
          <w:color w:val="000000" w:themeColor="text1"/>
        </w:rPr>
        <w:t xml:space="preserve">organisational complexity, the growth of specialist functions and the expansion of policing responsibilities. Brodeur (2010) identifies this as a shift towards more differentiated and complex </w:t>
      </w:r>
      <w:r w:rsidR="2B06B028" w:rsidRPr="4DD5A8F3">
        <w:rPr>
          <w:color w:val="000000" w:themeColor="text1"/>
        </w:rPr>
        <w:t xml:space="preserve">policing systems, where a range of functions operate alongside traditional policing roles. Recent policy developments, particularly the Home Office reform paper </w:t>
      </w:r>
      <w:r w:rsidR="2B06B028" w:rsidRPr="4DD5A8F3">
        <w:rPr>
          <w:i/>
          <w:iCs/>
          <w:color w:val="000000" w:themeColor="text1"/>
        </w:rPr>
        <w:t>From local to national:</w:t>
      </w:r>
      <w:r w:rsidR="05A5A353" w:rsidRPr="4DD5A8F3">
        <w:rPr>
          <w:i/>
          <w:iCs/>
          <w:color w:val="000000" w:themeColor="text1"/>
        </w:rPr>
        <w:t xml:space="preserve"> a new model for policing </w:t>
      </w:r>
      <w:r w:rsidR="05A5A353" w:rsidRPr="4DD5A8F3">
        <w:rPr>
          <w:color w:val="000000" w:themeColor="text1"/>
        </w:rPr>
        <w:t xml:space="preserve">(Home Office, 2026), identify structural challenges within the current policing system. These include </w:t>
      </w:r>
      <w:r w:rsidR="6198B0AB" w:rsidRPr="4DD5A8F3">
        <w:rPr>
          <w:color w:val="000000" w:themeColor="text1"/>
        </w:rPr>
        <w:t>inconsistencies between forces, alongside uneven levels of capability and performance</w:t>
      </w:r>
      <w:r w:rsidR="5C84FB56" w:rsidRPr="4DD5A8F3">
        <w:rPr>
          <w:color w:val="000000" w:themeColor="text1"/>
        </w:rPr>
        <w:t>. This literature review examines how academic and policy literature describe the development of policing and how contemporary challenges have influ</w:t>
      </w:r>
      <w:r w:rsidR="5F49F9E4" w:rsidRPr="4DD5A8F3">
        <w:rPr>
          <w:color w:val="000000" w:themeColor="text1"/>
        </w:rPr>
        <w:t>enced structural reform, with particular focus on national coordination and capability.</w:t>
      </w:r>
    </w:p>
    <w:p w14:paraId="0CC7A300" w14:textId="500383B2" w:rsidR="1DB71AE8" w:rsidRDefault="1DB71AE8" w:rsidP="00A17B90">
      <w:pPr>
        <w:spacing w:line="360" w:lineRule="auto"/>
        <w:rPr>
          <w:color w:val="000000" w:themeColor="text1"/>
        </w:rPr>
      </w:pPr>
      <w:r w:rsidRPr="4DD5A8F3">
        <w:rPr>
          <w:color w:val="000000" w:themeColor="text1"/>
        </w:rPr>
        <w:t xml:space="preserve">The Home Office reform paper </w:t>
      </w:r>
      <w:r w:rsidRPr="4DD5A8F3">
        <w:rPr>
          <w:i/>
          <w:iCs/>
          <w:color w:val="000000" w:themeColor="text1"/>
        </w:rPr>
        <w:t xml:space="preserve">From local to national: a new model for policing </w:t>
      </w:r>
      <w:r w:rsidRPr="4DD5A8F3">
        <w:rPr>
          <w:color w:val="000000" w:themeColor="text1"/>
        </w:rPr>
        <w:t>(Home Office, 2026) further situates these developments within a context of structural fragmentation. The document identifies variation in c</w:t>
      </w:r>
      <w:r w:rsidR="61AA0E6F" w:rsidRPr="4DD5A8F3">
        <w:rPr>
          <w:color w:val="000000" w:themeColor="text1"/>
        </w:rPr>
        <w:t>apability, performance and access to specialist functions across forces, particularly in relation to serious and organised crime and cross-border threats. It highlights that policing demand increasingly extends beyond local boundaries, requi</w:t>
      </w:r>
      <w:r w:rsidR="4224338D" w:rsidRPr="4DD5A8F3">
        <w:rPr>
          <w:color w:val="000000" w:themeColor="text1"/>
        </w:rPr>
        <w:t>ring coordinated responses at regional and national levels. This reflects a shift in policy emphasis towards consistency, interoperability and shared capability across the policing system (Home Office, 2026). Academic l</w:t>
      </w:r>
      <w:r w:rsidR="2C7396A0" w:rsidRPr="4DD5A8F3">
        <w:rPr>
          <w:color w:val="000000" w:themeColor="text1"/>
        </w:rPr>
        <w:t xml:space="preserve">iterature similarly identifies that increasing organisational complexity has required policing to move beyond </w:t>
      </w:r>
      <w:r w:rsidR="2C7396A0" w:rsidRPr="4DD5A8F3">
        <w:rPr>
          <w:color w:val="000000" w:themeColor="text1"/>
        </w:rPr>
        <w:lastRenderedPageBreak/>
        <w:t>locally bounded models towards more integrated and differentiated systems (Brodeur, 2010).</w:t>
      </w:r>
    </w:p>
    <w:p w14:paraId="043C2E34" w14:textId="2526DA91" w:rsidR="482DE958" w:rsidRPr="00A17B90" w:rsidRDefault="00BA6BBF" w:rsidP="00A17B90">
      <w:pPr>
        <w:pStyle w:val="Heading1"/>
      </w:pPr>
      <w:bookmarkStart w:id="1" w:name="_Toc227360950"/>
      <w:r>
        <w:t>Development of Policing Structure and Legitimacy</w:t>
      </w:r>
      <w:bookmarkEnd w:id="1"/>
    </w:p>
    <w:p w14:paraId="1E4F85D3" w14:textId="38061ACC" w:rsidR="1DDA41A3" w:rsidRDefault="5F49F9E4" w:rsidP="00A17B90">
      <w:pPr>
        <w:pStyle w:val="Heading2"/>
        <w:spacing w:line="360" w:lineRule="auto"/>
      </w:pPr>
      <w:bookmarkStart w:id="2" w:name="_Toc227360951"/>
      <w:r w:rsidRPr="4DD5A8F3">
        <w:t>Policing by Consent and Legitimacy</w:t>
      </w:r>
      <w:bookmarkEnd w:id="2"/>
    </w:p>
    <w:p w14:paraId="263585A6" w14:textId="25B4C9AD" w:rsidR="1DDA41A3" w:rsidRDefault="5F49F9E4" w:rsidP="00A17B90">
      <w:pPr>
        <w:spacing w:line="360" w:lineRule="auto"/>
        <w:rPr>
          <w:color w:val="000000" w:themeColor="text1"/>
        </w:rPr>
      </w:pPr>
      <w:r w:rsidRPr="4DD5A8F3">
        <w:rPr>
          <w:color w:val="000000" w:themeColor="text1"/>
        </w:rPr>
        <w:t xml:space="preserve">Policing by consent has been central to the development of policing in England and Wales. Reiner (2010) identifies legitimacy as a defining feature of British policing, with authority derived from public approval </w:t>
      </w:r>
      <w:r w:rsidR="29BC2B75" w:rsidRPr="4DD5A8F3">
        <w:rPr>
          <w:color w:val="000000" w:themeColor="text1"/>
        </w:rPr>
        <w:t>rather than force. This reflects a model in which policing is dependent on cooperation and trust rather than co</w:t>
      </w:r>
      <w:r w:rsidR="5B43ECEA" w:rsidRPr="4DD5A8F3">
        <w:rPr>
          <w:color w:val="000000" w:themeColor="text1"/>
        </w:rPr>
        <w:t>-</w:t>
      </w:r>
      <w:r w:rsidR="29BC2B75" w:rsidRPr="4DD5A8F3">
        <w:rPr>
          <w:color w:val="000000" w:themeColor="text1"/>
        </w:rPr>
        <w:t>oercion. Newburn (2017</w:t>
      </w:r>
      <w:r w:rsidR="0C7BA4D5" w:rsidRPr="4DD5A8F3">
        <w:rPr>
          <w:color w:val="000000" w:themeColor="text1"/>
        </w:rPr>
        <w:t>) similarly outlines that the effectiveness of policing is linked to public willingness to comply with the law and support police activity</w:t>
      </w:r>
      <w:r w:rsidR="34C53CE1" w:rsidRPr="4DD5A8F3">
        <w:rPr>
          <w:color w:val="000000" w:themeColor="text1"/>
        </w:rPr>
        <w:t>. The use of force is therefore limited, with policing framed as preventative and service-orientated function. This alignment between legitimacy and effectiveness demonstrates the foundational role of public consent within policing practi</w:t>
      </w:r>
      <w:r w:rsidR="7806EC0B" w:rsidRPr="4DD5A8F3">
        <w:rPr>
          <w:color w:val="000000" w:themeColor="text1"/>
        </w:rPr>
        <w:t>ce. This model positioned policing as visible and locally embedded, with officers operating within communities. Legitimacy was maintained through engagement, accountability and responsiveness to public concerns. Ho</w:t>
      </w:r>
      <w:r w:rsidR="7E0B7C0F" w:rsidRPr="4DD5A8F3">
        <w:rPr>
          <w:color w:val="000000" w:themeColor="text1"/>
        </w:rPr>
        <w:t>wever, as Brodeur (2010) identifies, modern policing systems have developed beyond this localised model, incorporating a range of specialised functions that are less visible but operat</w:t>
      </w:r>
      <w:r w:rsidR="065335DB" w:rsidRPr="4DD5A8F3">
        <w:rPr>
          <w:color w:val="000000" w:themeColor="text1"/>
        </w:rPr>
        <w:t xml:space="preserve">ionally significant. This indicates that while the principle of legitimacy remains central, the context in which it operates has expanded, requiring policing to balance </w:t>
      </w:r>
      <w:r w:rsidR="7B9CBD14" w:rsidRPr="4DD5A8F3">
        <w:rPr>
          <w:color w:val="000000" w:themeColor="text1"/>
        </w:rPr>
        <w:t>visibility</w:t>
      </w:r>
      <w:r w:rsidR="065335DB" w:rsidRPr="4DD5A8F3">
        <w:rPr>
          <w:color w:val="000000" w:themeColor="text1"/>
        </w:rPr>
        <w:t xml:space="preserve"> with increasingly complex operational demands.</w:t>
      </w:r>
    </w:p>
    <w:p w14:paraId="55411ADD" w14:textId="2463F67A" w:rsidR="482DE958" w:rsidRDefault="1C95C761" w:rsidP="00A17B90">
      <w:pPr>
        <w:spacing w:line="360" w:lineRule="auto"/>
        <w:rPr>
          <w:color w:val="000000" w:themeColor="text1"/>
        </w:rPr>
      </w:pPr>
      <w:r w:rsidRPr="4DD5A8F3">
        <w:rPr>
          <w:color w:val="000000" w:themeColor="text1"/>
        </w:rPr>
        <w:t xml:space="preserve">Reiner (2010) further identifies that while legitimacy remains central, its operational context has altered as policing has expanded into areas that are less visible to the public, including intelligence-led and specialist functions. This creates </w:t>
      </w:r>
      <w:r w:rsidR="5535CC27" w:rsidRPr="4DD5A8F3">
        <w:rPr>
          <w:color w:val="000000" w:themeColor="text1"/>
        </w:rPr>
        <w:t>a distinction between traditional visible policing and contemporary operational requirements. Newburn (2017) similarly identifies that legitimacy must now be maintained w</w:t>
      </w:r>
      <w:r w:rsidR="11951052" w:rsidRPr="4DD5A8F3">
        <w:rPr>
          <w:color w:val="000000" w:themeColor="text1"/>
        </w:rPr>
        <w:t>ithin a system that includes both community-based engagement and less visible forms of policing activity. This reflects a shift from a purely localised model towards one that incorporates organisational structures and capabilites.</w:t>
      </w:r>
    </w:p>
    <w:p w14:paraId="73E86390" w14:textId="4CDD461D" w:rsidR="40EE90D0" w:rsidRDefault="0FDE9693" w:rsidP="00A17B90">
      <w:pPr>
        <w:pStyle w:val="Heading2"/>
        <w:spacing w:line="360" w:lineRule="auto"/>
      </w:pPr>
      <w:bookmarkStart w:id="3" w:name="_Toc227360952"/>
      <w:r w:rsidRPr="4DD5A8F3">
        <w:lastRenderedPageBreak/>
        <w:t>Structural Development and Specialisation</w:t>
      </w:r>
      <w:bookmarkEnd w:id="3"/>
    </w:p>
    <w:p w14:paraId="168BE997" w14:textId="2A5C35A7" w:rsidR="40EE90D0" w:rsidRDefault="0FDE9693" w:rsidP="00A17B90">
      <w:pPr>
        <w:spacing w:line="360" w:lineRule="auto"/>
        <w:rPr>
          <w:color w:val="000000" w:themeColor="text1"/>
        </w:rPr>
      </w:pPr>
      <w:r w:rsidRPr="4DD5A8F3">
        <w:rPr>
          <w:color w:val="000000" w:themeColor="text1"/>
        </w:rPr>
        <w:t>The structure of policing in England and Wales has evolved from a loc</w:t>
      </w:r>
      <w:r w:rsidR="707BCEF0" w:rsidRPr="4DD5A8F3">
        <w:rPr>
          <w:color w:val="000000" w:themeColor="text1"/>
        </w:rPr>
        <w:t>al</w:t>
      </w:r>
      <w:r w:rsidRPr="4DD5A8F3">
        <w:rPr>
          <w:color w:val="000000" w:themeColor="text1"/>
        </w:rPr>
        <w:t xml:space="preserve">ised and generalist model towards a more complex and </w:t>
      </w:r>
      <w:r w:rsidR="6B9AD1CA" w:rsidRPr="4DD5A8F3">
        <w:rPr>
          <w:color w:val="000000" w:themeColor="text1"/>
        </w:rPr>
        <w:t>dedicated</w:t>
      </w:r>
      <w:r w:rsidRPr="4DD5A8F3">
        <w:rPr>
          <w:color w:val="000000" w:themeColor="text1"/>
        </w:rPr>
        <w:t xml:space="preserve"> system. Reiner (2010) identifies the expansion of policing through legislation as a key sta</w:t>
      </w:r>
      <w:r w:rsidR="580FAC0B" w:rsidRPr="4DD5A8F3">
        <w:rPr>
          <w:color w:val="000000" w:themeColor="text1"/>
        </w:rPr>
        <w:t xml:space="preserve">ge in establishing a national framework, providing consistency in organisation and governance. Over time, policing became increasingly </w:t>
      </w:r>
      <w:r w:rsidR="4751A50B" w:rsidRPr="4DD5A8F3">
        <w:rPr>
          <w:color w:val="000000" w:themeColor="text1"/>
        </w:rPr>
        <w:t>expert-led</w:t>
      </w:r>
      <w:r w:rsidR="580FAC0B" w:rsidRPr="4DD5A8F3">
        <w:rPr>
          <w:color w:val="000000" w:themeColor="text1"/>
        </w:rPr>
        <w:t xml:space="preserve">. The introduction of the Criminal Investigation Department, </w:t>
      </w:r>
      <w:r w:rsidR="47ACD458" w:rsidRPr="4DD5A8F3">
        <w:rPr>
          <w:color w:val="000000" w:themeColor="text1"/>
        </w:rPr>
        <w:t>formalised investigative work and separated it from uniform patrol duties. Newburn (2017) identifies this as part of the professionalism of policing, where distinct roles and expertise became</w:t>
      </w:r>
      <w:r w:rsidR="330E66BF" w:rsidRPr="4DD5A8F3">
        <w:rPr>
          <w:color w:val="000000" w:themeColor="text1"/>
        </w:rPr>
        <w:t xml:space="preserve"> necessary to address different forms of criminal activity. Brodeur (2010) further develops this by identifying modern policing as a system character</w:t>
      </w:r>
      <w:r w:rsidR="32EDD6C3" w:rsidRPr="4DD5A8F3">
        <w:rPr>
          <w:color w:val="000000" w:themeColor="text1"/>
        </w:rPr>
        <w:t xml:space="preserve">ised by differentiation and complexity. Policing now involves a range of functions, including intelligence, investigation and public protection, which operate within structured organisational frameworks. </w:t>
      </w:r>
      <w:r w:rsidR="4E12DDA2" w:rsidRPr="4DD5A8F3">
        <w:rPr>
          <w:color w:val="000000" w:themeColor="text1"/>
        </w:rPr>
        <w:t xml:space="preserve">This </w:t>
      </w:r>
      <w:r w:rsidR="44BB32DF" w:rsidRPr="4DD5A8F3">
        <w:rPr>
          <w:color w:val="000000" w:themeColor="text1"/>
        </w:rPr>
        <w:t>suggests</w:t>
      </w:r>
      <w:r w:rsidR="4E12DDA2" w:rsidRPr="4DD5A8F3">
        <w:rPr>
          <w:color w:val="000000" w:themeColor="text1"/>
        </w:rPr>
        <w:t xml:space="preserve"> a shift away from the generalist constable model towards a system that requires varied capabilities. The literature demonstrates that specia</w:t>
      </w:r>
      <w:r w:rsidR="01683D3A" w:rsidRPr="4DD5A8F3">
        <w:rPr>
          <w:color w:val="000000" w:themeColor="text1"/>
        </w:rPr>
        <w:t>lisation is not a recent development but a gradual process linked to changes in crime and operational requirements. This aligns with contemporary policy emphasis on capability and specialist functions.</w:t>
      </w:r>
    </w:p>
    <w:p w14:paraId="37F87FD7" w14:textId="62F4D02C" w:rsidR="0CFA0AB8" w:rsidRDefault="0CFA0AB8" w:rsidP="00A17B90">
      <w:pPr>
        <w:spacing w:line="360" w:lineRule="auto"/>
        <w:rPr>
          <w:color w:val="000000" w:themeColor="text1"/>
        </w:rPr>
      </w:pPr>
      <w:r w:rsidRPr="4DD5A8F3">
        <w:rPr>
          <w:color w:val="000000" w:themeColor="text1"/>
        </w:rPr>
        <w:t xml:space="preserve">Bordeur (2010) conceptualises this </w:t>
      </w:r>
      <w:r w:rsidR="009B3CE8" w:rsidRPr="4DD5A8F3">
        <w:rPr>
          <w:color w:val="000000" w:themeColor="text1"/>
        </w:rPr>
        <w:t>development</w:t>
      </w:r>
      <w:r w:rsidRPr="4DD5A8F3">
        <w:rPr>
          <w:color w:val="000000" w:themeColor="text1"/>
        </w:rPr>
        <w:t xml:space="preserve"> as part of a </w:t>
      </w:r>
      <w:r w:rsidR="009B3CE8" w:rsidRPr="4DD5A8F3">
        <w:rPr>
          <w:color w:val="000000" w:themeColor="text1"/>
        </w:rPr>
        <w:t>broader</w:t>
      </w:r>
      <w:r w:rsidRPr="4DD5A8F3">
        <w:rPr>
          <w:color w:val="000000" w:themeColor="text1"/>
        </w:rPr>
        <w:t xml:space="preserve"> transformation towards what is described as a “policing web”, where multiple</w:t>
      </w:r>
      <w:r w:rsidR="47E533D7" w:rsidRPr="4DD5A8F3">
        <w:rPr>
          <w:color w:val="000000" w:themeColor="text1"/>
        </w:rPr>
        <w:t xml:space="preserve"> functions operate across interconnected organisational structures. This includes the integration of intelligence, investigation and preventative functions within a coordinated system. Newburn (2017) similarly identif</w:t>
      </w:r>
      <w:r w:rsidR="1B00ECDE" w:rsidRPr="4DD5A8F3">
        <w:rPr>
          <w:color w:val="000000" w:themeColor="text1"/>
        </w:rPr>
        <w:t xml:space="preserve">ies that policing has become increasingly professionalised with greater reliance on expertise, structured processes and formal governance arrangements. </w:t>
      </w:r>
      <w:r w:rsidR="19766E34" w:rsidRPr="4DD5A8F3">
        <w:rPr>
          <w:color w:val="000000" w:themeColor="text1"/>
        </w:rPr>
        <w:t>These developments demonstrate that structural change in policing is closely linked to the need to respond to increasingly complex and diverse forms of criminality.</w:t>
      </w:r>
    </w:p>
    <w:p w14:paraId="609AE6C1" w14:textId="56BC9612" w:rsidR="482DE958" w:rsidRDefault="482DE958" w:rsidP="00A17B90">
      <w:pPr>
        <w:spacing w:line="360" w:lineRule="auto"/>
        <w:rPr>
          <w:color w:val="000000" w:themeColor="text1"/>
        </w:rPr>
      </w:pPr>
    </w:p>
    <w:p w14:paraId="066DC2D3" w14:textId="7D4A454E" w:rsidR="763B537E" w:rsidRDefault="763B537E" w:rsidP="00A17B90">
      <w:pPr>
        <w:pStyle w:val="Heading2"/>
        <w:spacing w:line="360" w:lineRule="auto"/>
      </w:pPr>
      <w:bookmarkStart w:id="4" w:name="_Toc227360953"/>
      <w:r w:rsidRPr="482DE958">
        <w:lastRenderedPageBreak/>
        <w:t>Crisis Legitimacy and Reform</w:t>
      </w:r>
      <w:bookmarkEnd w:id="4"/>
    </w:p>
    <w:p w14:paraId="14F0782C" w14:textId="3F08549C" w:rsidR="763B537E" w:rsidRDefault="09EDFEE8" w:rsidP="00A17B90">
      <w:pPr>
        <w:spacing w:line="360" w:lineRule="auto"/>
        <w:rPr>
          <w:color w:val="000000" w:themeColor="text1"/>
        </w:rPr>
      </w:pPr>
      <w:r w:rsidRPr="4DD5A8F3">
        <w:rPr>
          <w:color w:val="000000" w:themeColor="text1"/>
        </w:rPr>
        <w:t xml:space="preserve">Historical events have played a significant role in shaping policing policy and practice. The Brixton riots of 1981 highlighted tensions between policing practices and community trust. The Scarman </w:t>
      </w:r>
      <w:r w:rsidR="3552B1A2" w:rsidRPr="4DD5A8F3">
        <w:rPr>
          <w:color w:val="000000" w:themeColor="text1"/>
        </w:rPr>
        <w:t xml:space="preserve">Report identified weaknesses in police-community relations and emphasised the need for improved engagement and accountability (Scarman, 1981). The MacPherson Report (1999), following the murder of Stephen Lawrence, </w:t>
      </w:r>
      <w:r w:rsidR="4201D4C8" w:rsidRPr="4DD5A8F3">
        <w:rPr>
          <w:color w:val="000000" w:themeColor="text1"/>
        </w:rPr>
        <w:t>concluded that systemic racial bias was present within policing practices in the</w:t>
      </w:r>
      <w:r w:rsidR="5B35BC1E" w:rsidRPr="4DD5A8F3">
        <w:rPr>
          <w:color w:val="000000" w:themeColor="text1"/>
        </w:rPr>
        <w:t xml:space="preserve"> Metropolitan Police. The report documented failures in investigative processes, </w:t>
      </w:r>
      <w:r w:rsidR="0F0D53E3" w:rsidRPr="4DD5A8F3">
        <w:rPr>
          <w:color w:val="000000" w:themeColor="text1"/>
        </w:rPr>
        <w:t>leadership,</w:t>
      </w:r>
      <w:r w:rsidR="5B35BC1E" w:rsidRPr="4DD5A8F3">
        <w:rPr>
          <w:color w:val="000000" w:themeColor="text1"/>
        </w:rPr>
        <w:t xml:space="preserve"> and communication, and highlighted the impact of policing practices on public confiden</w:t>
      </w:r>
      <w:r w:rsidR="593C2E16" w:rsidRPr="4DD5A8F3">
        <w:rPr>
          <w:color w:val="000000" w:themeColor="text1"/>
        </w:rPr>
        <w:t xml:space="preserve">ce. </w:t>
      </w:r>
    </w:p>
    <w:p w14:paraId="231ABBC8" w14:textId="2A6CA965" w:rsidR="074DB10F" w:rsidRDefault="593C2E16" w:rsidP="00A17B90">
      <w:pPr>
        <w:spacing w:line="360" w:lineRule="auto"/>
        <w:rPr>
          <w:color w:val="000000" w:themeColor="text1"/>
        </w:rPr>
      </w:pPr>
      <w:r w:rsidRPr="4DD5A8F3">
        <w:rPr>
          <w:color w:val="000000" w:themeColor="text1"/>
        </w:rPr>
        <w:t xml:space="preserve">These reports contributed to reforms </w:t>
      </w:r>
      <w:r w:rsidR="0FBAD9A1" w:rsidRPr="4DD5A8F3">
        <w:rPr>
          <w:color w:val="000000" w:themeColor="text1"/>
        </w:rPr>
        <w:t>focused</w:t>
      </w:r>
      <w:r w:rsidRPr="4DD5A8F3">
        <w:rPr>
          <w:color w:val="000000" w:themeColor="text1"/>
        </w:rPr>
        <w:t xml:space="preserve"> on accountability, </w:t>
      </w:r>
      <w:r w:rsidR="26FD30E8" w:rsidRPr="4DD5A8F3">
        <w:rPr>
          <w:color w:val="000000" w:themeColor="text1"/>
        </w:rPr>
        <w:t>transparency,</w:t>
      </w:r>
      <w:r w:rsidRPr="4DD5A8F3">
        <w:rPr>
          <w:color w:val="000000" w:themeColor="text1"/>
        </w:rPr>
        <w:t xml:space="preserve"> and equality. They demonstrate that legitimacy is subject to ongoing scrutiny and requires adaptation in response to</w:t>
      </w:r>
      <w:r w:rsidR="6BE1F6B6" w:rsidRPr="4DD5A8F3">
        <w:rPr>
          <w:color w:val="000000" w:themeColor="text1"/>
        </w:rPr>
        <w:t xml:space="preserve"> public concern. Reiner (2010) identifies legitimacy as a central feature of policing, and these inquiries illustrate how legitimacy can be challenged and reshaped </w:t>
      </w:r>
      <w:r w:rsidR="14A47D2A" w:rsidRPr="4DD5A8F3">
        <w:rPr>
          <w:color w:val="000000" w:themeColor="text1"/>
        </w:rPr>
        <w:t>through</w:t>
      </w:r>
      <w:r w:rsidR="6BE1F6B6" w:rsidRPr="4DD5A8F3">
        <w:rPr>
          <w:color w:val="000000" w:themeColor="text1"/>
        </w:rPr>
        <w:t xml:space="preserve"> institutional reform. </w:t>
      </w:r>
      <w:r w:rsidR="567EA767" w:rsidRPr="4DD5A8F3">
        <w:rPr>
          <w:color w:val="000000" w:themeColor="text1"/>
        </w:rPr>
        <w:t xml:space="preserve">This indicates that policing and development is </w:t>
      </w:r>
      <w:r w:rsidR="77E7BE21" w:rsidRPr="4DD5A8F3">
        <w:rPr>
          <w:color w:val="000000" w:themeColor="text1"/>
        </w:rPr>
        <w:t>influenced</w:t>
      </w:r>
      <w:r w:rsidR="567EA767" w:rsidRPr="4DD5A8F3">
        <w:rPr>
          <w:color w:val="000000" w:themeColor="text1"/>
        </w:rPr>
        <w:t xml:space="preserve"> not only by changes in crime but also by public expectations and formal inquiry.</w:t>
      </w:r>
    </w:p>
    <w:p w14:paraId="7E63DA9D" w14:textId="02669802" w:rsidR="00BA6BBF" w:rsidRDefault="50640F3F" w:rsidP="00A17B90">
      <w:pPr>
        <w:spacing w:line="360" w:lineRule="auto"/>
        <w:rPr>
          <w:color w:val="000000" w:themeColor="text1"/>
        </w:rPr>
      </w:pPr>
      <w:r w:rsidRPr="4DD5A8F3">
        <w:rPr>
          <w:color w:val="000000" w:themeColor="text1"/>
        </w:rPr>
        <w:t>The Macpherson report (1999) further identifies that failures in policing practice can have a significant impact on public confidence and institutional legitimacy. The report documents deficiencies in organisational culture</w:t>
      </w:r>
      <w:r w:rsidR="5ADAECAF" w:rsidRPr="4DD5A8F3">
        <w:rPr>
          <w:color w:val="000000" w:themeColor="text1"/>
        </w:rPr>
        <w:t>, leadership and accountability, highlighting the need for structural and proecdural reform. These findings reinforce the relationship between legitimacy and organisational practice, demonstrating that public confidence is influenced not only</w:t>
      </w:r>
      <w:r w:rsidR="0A0E5CE5" w:rsidRPr="4DD5A8F3">
        <w:rPr>
          <w:color w:val="000000" w:themeColor="text1"/>
        </w:rPr>
        <w:t xml:space="preserve"> by outcomes but also by the processes through which policing is delivered. This aligns with Reiner’s (2010) identification of legitimacy as a central and continually contested feature of policing.</w:t>
      </w:r>
    </w:p>
    <w:p w14:paraId="11FB531B" w14:textId="77777777" w:rsidR="00745DB8" w:rsidRDefault="00745DB8" w:rsidP="00A17B90">
      <w:pPr>
        <w:spacing w:line="360" w:lineRule="auto"/>
        <w:rPr>
          <w:color w:val="000000" w:themeColor="text1"/>
        </w:rPr>
      </w:pPr>
    </w:p>
    <w:p w14:paraId="69B4DDF6" w14:textId="3FA696EC" w:rsidR="52CBA227" w:rsidRDefault="52CBA227" w:rsidP="00A17B90">
      <w:pPr>
        <w:pStyle w:val="Heading1"/>
        <w:spacing w:line="360" w:lineRule="auto"/>
      </w:pPr>
      <w:bookmarkStart w:id="5" w:name="_Toc227360954"/>
      <w:r w:rsidRPr="482DE958">
        <w:lastRenderedPageBreak/>
        <w:t>Contemporary Policing Demand</w:t>
      </w:r>
      <w:r w:rsidR="00BA6BBF">
        <w:t xml:space="preserve"> and Reform</w:t>
      </w:r>
      <w:bookmarkEnd w:id="5"/>
    </w:p>
    <w:p w14:paraId="0246D201" w14:textId="1AE3ECA1" w:rsidR="00BA6BBF" w:rsidRDefault="00BA6BBF" w:rsidP="00A17B90">
      <w:pPr>
        <w:pStyle w:val="Heading2"/>
        <w:spacing w:line="360" w:lineRule="auto"/>
      </w:pPr>
      <w:bookmarkStart w:id="6" w:name="_Toc227360955"/>
      <w:r>
        <w:t>Contemporary Policing Demand</w:t>
      </w:r>
      <w:bookmarkEnd w:id="6"/>
    </w:p>
    <w:p w14:paraId="2F4E9EF9" w14:textId="4388D0B3" w:rsidR="52CBA227" w:rsidRDefault="0076E3EC" w:rsidP="00A17B90">
      <w:pPr>
        <w:spacing w:line="360" w:lineRule="auto"/>
        <w:rPr>
          <w:color w:val="000000" w:themeColor="text1"/>
        </w:rPr>
      </w:pPr>
      <w:r w:rsidRPr="4DD5A8F3">
        <w:rPr>
          <w:color w:val="000000" w:themeColor="text1"/>
        </w:rPr>
        <w:t>Contemporary policing operates within a more complex and expanded environment. The Strategic Policing Requirement outlines national threats including terrorism, serious and organised crime and public disorder (Home Office, 2023)</w:t>
      </w:r>
      <w:r w:rsidR="1536F41B" w:rsidRPr="4DD5A8F3">
        <w:rPr>
          <w:color w:val="000000" w:themeColor="text1"/>
        </w:rPr>
        <w:t xml:space="preserve">. These threats operate </w:t>
      </w:r>
      <w:r w:rsidR="5E54C239" w:rsidRPr="4DD5A8F3">
        <w:rPr>
          <w:color w:val="000000" w:themeColor="text1"/>
        </w:rPr>
        <w:t>acr</w:t>
      </w:r>
      <w:r w:rsidR="1536F41B" w:rsidRPr="4DD5A8F3">
        <w:rPr>
          <w:color w:val="000000" w:themeColor="text1"/>
        </w:rPr>
        <w:t>oss geographic boundaries and require co</w:t>
      </w:r>
      <w:r w:rsidR="0069513E">
        <w:rPr>
          <w:color w:val="000000" w:themeColor="text1"/>
        </w:rPr>
        <w:t>-</w:t>
      </w:r>
      <w:r w:rsidR="1536F41B" w:rsidRPr="4DD5A8F3">
        <w:rPr>
          <w:color w:val="000000" w:themeColor="text1"/>
        </w:rPr>
        <w:t xml:space="preserve">orindated responses. The document </w:t>
      </w:r>
      <w:r w:rsidR="7546A0AD" w:rsidRPr="4DD5A8F3">
        <w:rPr>
          <w:color w:val="000000" w:themeColor="text1"/>
        </w:rPr>
        <w:t xml:space="preserve">emphasises interoperability, intelligence sharing and sufficient capability across forces. This </w:t>
      </w:r>
      <w:r w:rsidR="00A1EF3E" w:rsidRPr="4DD5A8F3">
        <w:rPr>
          <w:color w:val="000000" w:themeColor="text1"/>
        </w:rPr>
        <w:t>reflects</w:t>
      </w:r>
      <w:r w:rsidR="7546A0AD" w:rsidRPr="4DD5A8F3">
        <w:rPr>
          <w:color w:val="000000" w:themeColor="text1"/>
        </w:rPr>
        <w:t xml:space="preserve"> the need for collective capacity rather than isolated local responses, aligning with Brodeur’s (2010)</w:t>
      </w:r>
      <w:r w:rsidR="53309964" w:rsidRPr="4DD5A8F3">
        <w:rPr>
          <w:color w:val="000000" w:themeColor="text1"/>
        </w:rPr>
        <w:t xml:space="preserve"> description of increasingly complex systems. The Government Cyber Security Strategy identifies cyber threats as </w:t>
      </w:r>
      <w:r w:rsidR="7F59065E" w:rsidRPr="4DD5A8F3">
        <w:rPr>
          <w:color w:val="000000" w:themeColor="text1"/>
        </w:rPr>
        <w:t>growing in both volume and sophistication, with more frequent and complex incidents</w:t>
      </w:r>
      <w:r w:rsidR="53309964" w:rsidRPr="4DD5A8F3">
        <w:rPr>
          <w:color w:val="000000" w:themeColor="text1"/>
        </w:rPr>
        <w:t xml:space="preserve"> (HM Government</w:t>
      </w:r>
      <w:r w:rsidR="07523F25" w:rsidRPr="4DD5A8F3">
        <w:rPr>
          <w:color w:val="000000" w:themeColor="text1"/>
        </w:rPr>
        <w:t>, 2022). These include cyber-dependent crime, data breaches and hostile activity. The strategy highlights the need for specialist skills, technological capability and co</w:t>
      </w:r>
      <w:r w:rsidR="0B698E3D" w:rsidRPr="4DD5A8F3">
        <w:rPr>
          <w:color w:val="000000" w:themeColor="text1"/>
        </w:rPr>
        <w:t>ordinated responses across organisations.</w:t>
      </w:r>
    </w:p>
    <w:p w14:paraId="753ADCBE" w14:textId="1BC4A739" w:rsidR="1BCAF3A5" w:rsidRDefault="0B698E3D" w:rsidP="00A17B90">
      <w:pPr>
        <w:spacing w:line="360" w:lineRule="auto"/>
        <w:rPr>
          <w:color w:val="000000" w:themeColor="text1"/>
        </w:rPr>
      </w:pPr>
      <w:r w:rsidRPr="4DD5A8F3">
        <w:rPr>
          <w:color w:val="000000" w:themeColor="text1"/>
        </w:rPr>
        <w:t>In addition to these threats, policing has expanded its role in relation to vulnerability and safeguarding. Brothers (2015) identifies the importance of partnership working in addressing complex social issues. Chanan and Mil</w:t>
      </w:r>
      <w:r w:rsidR="6E8ECEDA" w:rsidRPr="4DD5A8F3">
        <w:rPr>
          <w:color w:val="000000" w:themeColor="text1"/>
        </w:rPr>
        <w:t>ler (2013) emphasise community-based approaches, while James, Mullins and Bovaird (2012) highlight the role of collaboration in service delivery. T</w:t>
      </w:r>
      <w:r w:rsidR="73124C62" w:rsidRPr="4DD5A8F3">
        <w:rPr>
          <w:color w:val="000000" w:themeColor="text1"/>
        </w:rPr>
        <w:t xml:space="preserve">hese developments demonstrate that policing now involves a combination of enforcement, prevention and safeguarding function. This </w:t>
      </w:r>
      <w:r w:rsidR="205DDCE7" w:rsidRPr="4DD5A8F3">
        <w:rPr>
          <w:color w:val="000000" w:themeColor="text1"/>
        </w:rPr>
        <w:t>indicates</w:t>
      </w:r>
      <w:r w:rsidR="73124C62" w:rsidRPr="4DD5A8F3">
        <w:rPr>
          <w:color w:val="000000" w:themeColor="text1"/>
        </w:rPr>
        <w:t xml:space="preserve"> an expansion in both scope and responsibility, re</w:t>
      </w:r>
      <w:r w:rsidR="5F952724" w:rsidRPr="4DD5A8F3">
        <w:rPr>
          <w:color w:val="000000" w:themeColor="text1"/>
        </w:rPr>
        <w:t>quiring organisational adaptation and coordination.</w:t>
      </w:r>
    </w:p>
    <w:p w14:paraId="52F09576" w14:textId="0EB5E7EA" w:rsidR="2E361E0A" w:rsidRDefault="2E361E0A" w:rsidP="00A17B90">
      <w:pPr>
        <w:spacing w:line="360" w:lineRule="auto"/>
        <w:rPr>
          <w:color w:val="000000" w:themeColor="text1"/>
        </w:rPr>
      </w:pPr>
      <w:r w:rsidRPr="4DD5A8F3">
        <w:rPr>
          <w:color w:val="000000" w:themeColor="text1"/>
        </w:rPr>
        <w:t>Contemporary policing demand has also been shaped by</w:t>
      </w:r>
      <w:r w:rsidR="52E9284E" w:rsidRPr="4DD5A8F3">
        <w:rPr>
          <w:color w:val="000000" w:themeColor="text1"/>
        </w:rPr>
        <w:t xml:space="preserve"> the increasing requirement for forces to maintain consistent capability in responding to national threats. The Strategic Policing Requirement specifies that forces must demonstrate the </w:t>
      </w:r>
      <w:r w:rsidR="74AA6D54" w:rsidRPr="4DD5A8F3">
        <w:rPr>
          <w:color w:val="000000" w:themeColor="text1"/>
        </w:rPr>
        <w:t>capacity</w:t>
      </w:r>
      <w:r w:rsidR="52E9284E" w:rsidRPr="4DD5A8F3">
        <w:rPr>
          <w:color w:val="000000" w:themeColor="text1"/>
        </w:rPr>
        <w:t xml:space="preserve"> to contribute to national responses, particula</w:t>
      </w:r>
      <w:r w:rsidR="5FD91DBC" w:rsidRPr="4DD5A8F3">
        <w:rPr>
          <w:color w:val="000000" w:themeColor="text1"/>
        </w:rPr>
        <w:t>rly in relation to serious and organised crime and terrorism (Home Office, 2023). This includes the ability to deploy resources across force boundaries and to operate within coordinated national frameworks.</w:t>
      </w:r>
    </w:p>
    <w:p w14:paraId="1934DCB3" w14:textId="5A563BEA" w:rsidR="5FD91DBC" w:rsidRDefault="5FD91DBC" w:rsidP="00A17B90">
      <w:pPr>
        <w:spacing w:line="360" w:lineRule="auto"/>
        <w:rPr>
          <w:color w:val="000000" w:themeColor="text1"/>
        </w:rPr>
      </w:pPr>
      <w:r w:rsidRPr="4DD5A8F3">
        <w:rPr>
          <w:color w:val="000000" w:themeColor="text1"/>
        </w:rPr>
        <w:lastRenderedPageBreak/>
        <w:t xml:space="preserve">The requirement for interoperability reflects the nature of contemporary threats, which are not confined to local geographical areas. The Home Office (2023) identifies that forces must maintain the ability to operate collectively, including sharing </w:t>
      </w:r>
      <w:r w:rsidR="507847E6" w:rsidRPr="4DD5A8F3">
        <w:rPr>
          <w:color w:val="000000" w:themeColor="text1"/>
        </w:rPr>
        <w:t>intelligence, resources and specialist capabilities. This reflects a shift from locally contained policing activity towards a model requiring coordinated operational delivery.</w:t>
      </w:r>
    </w:p>
    <w:p w14:paraId="4B7F5728" w14:textId="00048659" w:rsidR="507847E6" w:rsidRDefault="507847E6" w:rsidP="00A17B90">
      <w:pPr>
        <w:spacing w:line="360" w:lineRule="auto"/>
        <w:rPr>
          <w:color w:val="000000" w:themeColor="text1"/>
        </w:rPr>
      </w:pPr>
      <w:r w:rsidRPr="4DD5A8F3">
        <w:rPr>
          <w:color w:val="000000" w:themeColor="text1"/>
        </w:rPr>
        <w:t xml:space="preserve">The Government Cyber Security </w:t>
      </w:r>
      <w:r w:rsidR="0069513E" w:rsidRPr="4DD5A8F3">
        <w:rPr>
          <w:color w:val="000000" w:themeColor="text1"/>
        </w:rPr>
        <w:t>Strategy</w:t>
      </w:r>
      <w:r w:rsidRPr="4DD5A8F3">
        <w:rPr>
          <w:color w:val="000000" w:themeColor="text1"/>
        </w:rPr>
        <w:t xml:space="preserve"> further identifies that cyber threats require a </w:t>
      </w:r>
      <w:r w:rsidR="0069513E" w:rsidRPr="4DD5A8F3">
        <w:rPr>
          <w:color w:val="000000" w:themeColor="text1"/>
        </w:rPr>
        <w:t>coordinated</w:t>
      </w:r>
      <w:r w:rsidRPr="4DD5A8F3">
        <w:rPr>
          <w:color w:val="000000" w:themeColor="text1"/>
        </w:rPr>
        <w:t xml:space="preserve"> and capability-based response across public sector organisations (HM Government, 2022). </w:t>
      </w:r>
      <w:r w:rsidR="16120E65" w:rsidRPr="4DD5A8F3">
        <w:rPr>
          <w:color w:val="000000" w:themeColor="text1"/>
        </w:rPr>
        <w:t xml:space="preserve">The strategy outlines that cyber incidents can affect multiple organisations simultaneously, requiring consistent standards and coordinated management. This reinforces the requirement for policing to operate within a broader national framework when </w:t>
      </w:r>
      <w:r w:rsidR="3D6A2F7A" w:rsidRPr="4DD5A8F3">
        <w:rPr>
          <w:color w:val="000000" w:themeColor="text1"/>
        </w:rPr>
        <w:t>responding to technologically enabled crime.</w:t>
      </w:r>
    </w:p>
    <w:p w14:paraId="6BF302D3" w14:textId="26D98FA1" w:rsidR="4DD5A8F3" w:rsidRDefault="42F1764D" w:rsidP="00A17B90">
      <w:pPr>
        <w:spacing w:line="360" w:lineRule="auto"/>
        <w:rPr>
          <w:color w:val="000000" w:themeColor="text1"/>
        </w:rPr>
      </w:pPr>
      <w:r w:rsidRPr="4DD5A8F3">
        <w:rPr>
          <w:color w:val="000000" w:themeColor="text1"/>
        </w:rPr>
        <w:t xml:space="preserve">The Home office (2026) reform paper identifies that these demands expose limitations within the current policing structure, particularly where forces operate </w:t>
      </w:r>
      <w:r w:rsidR="3400BD07" w:rsidRPr="4DD5A8F3">
        <w:rPr>
          <w:color w:val="000000" w:themeColor="text1"/>
        </w:rPr>
        <w:t>independently</w:t>
      </w:r>
      <w:r w:rsidRPr="4DD5A8F3">
        <w:rPr>
          <w:color w:val="000000" w:themeColor="text1"/>
        </w:rPr>
        <w:t xml:space="preserve"> in responding to threats that are inher</w:t>
      </w:r>
      <w:r w:rsidR="6A347FCC" w:rsidRPr="4DD5A8F3">
        <w:rPr>
          <w:color w:val="000000" w:themeColor="text1"/>
        </w:rPr>
        <w:t xml:space="preserve">ently cross-border. The document highlights that serious and organised crime, cyber-enabled offending and terrorism require coordinated responses that </w:t>
      </w:r>
      <w:r w:rsidR="78C08149" w:rsidRPr="4DD5A8F3">
        <w:rPr>
          <w:color w:val="000000" w:themeColor="text1"/>
        </w:rPr>
        <w:t>ext</w:t>
      </w:r>
      <w:r w:rsidR="6A347FCC" w:rsidRPr="4DD5A8F3">
        <w:rPr>
          <w:color w:val="000000" w:themeColor="text1"/>
        </w:rPr>
        <w:t>end beyond individual force capability. It identifies the need for shared services, regional coordinati</w:t>
      </w:r>
      <w:r w:rsidR="4059A4BD" w:rsidRPr="4DD5A8F3">
        <w:rPr>
          <w:color w:val="000000" w:themeColor="text1"/>
        </w:rPr>
        <w:t xml:space="preserve">on and national oversight to ensure consistent standards and effective deployment of specialist resources (home Office, 2026). This reflects a policy shift towards integrated </w:t>
      </w:r>
      <w:r w:rsidR="2DB09646" w:rsidRPr="4DD5A8F3">
        <w:rPr>
          <w:color w:val="000000" w:themeColor="text1"/>
        </w:rPr>
        <w:t>capability</w:t>
      </w:r>
      <w:r w:rsidR="4059A4BD" w:rsidRPr="4DD5A8F3">
        <w:rPr>
          <w:color w:val="000000" w:themeColor="text1"/>
        </w:rPr>
        <w:t xml:space="preserve"> and collective response </w:t>
      </w:r>
      <w:r w:rsidR="2FA52248" w:rsidRPr="4DD5A8F3">
        <w:rPr>
          <w:color w:val="000000" w:themeColor="text1"/>
        </w:rPr>
        <w:t>across</w:t>
      </w:r>
      <w:r w:rsidR="4059A4BD" w:rsidRPr="4DD5A8F3">
        <w:rPr>
          <w:color w:val="000000" w:themeColor="text1"/>
        </w:rPr>
        <w:t xml:space="preserve"> the policing system. </w:t>
      </w:r>
    </w:p>
    <w:p w14:paraId="7E679DF8" w14:textId="77777777" w:rsidR="00745DB8" w:rsidRDefault="00745DB8" w:rsidP="00A17B90">
      <w:pPr>
        <w:spacing w:line="360" w:lineRule="auto"/>
        <w:rPr>
          <w:color w:val="000000" w:themeColor="text1"/>
        </w:rPr>
      </w:pPr>
    </w:p>
    <w:p w14:paraId="0C59C142" w14:textId="319B7EC8" w:rsidR="24F2FC6F" w:rsidRDefault="24F2FC6F" w:rsidP="00A17B90">
      <w:pPr>
        <w:pStyle w:val="Heading2"/>
        <w:spacing w:line="360" w:lineRule="auto"/>
      </w:pPr>
      <w:bookmarkStart w:id="7" w:name="_Toc227360956"/>
      <w:r w:rsidRPr="4DD5A8F3">
        <w:t xml:space="preserve">Vulnerability and </w:t>
      </w:r>
      <w:r w:rsidR="521D9A66" w:rsidRPr="4DD5A8F3">
        <w:t>S</w:t>
      </w:r>
      <w:r w:rsidRPr="4DD5A8F3">
        <w:t>afeguarding in Policing</w:t>
      </w:r>
      <w:bookmarkEnd w:id="7"/>
    </w:p>
    <w:p w14:paraId="36074EFF" w14:textId="2987BB68" w:rsidR="24F2FC6F" w:rsidRDefault="24F2FC6F" w:rsidP="00A17B90">
      <w:pPr>
        <w:spacing w:line="360" w:lineRule="auto"/>
        <w:rPr>
          <w:color w:val="000000" w:themeColor="text1"/>
        </w:rPr>
      </w:pPr>
      <w:r w:rsidRPr="4DD5A8F3">
        <w:rPr>
          <w:color w:val="000000" w:themeColor="text1"/>
        </w:rPr>
        <w:t xml:space="preserve">The role of policing has expanded to include a significant focus on vulnerability and safeguarding. This includes areas such as domestic abuse, child </w:t>
      </w:r>
      <w:r w:rsidR="2C53C592" w:rsidRPr="4DD5A8F3">
        <w:rPr>
          <w:color w:val="000000" w:themeColor="text1"/>
        </w:rPr>
        <w:t>protection</w:t>
      </w:r>
      <w:r w:rsidR="2B3A8320" w:rsidRPr="4DD5A8F3">
        <w:rPr>
          <w:color w:val="000000" w:themeColor="text1"/>
        </w:rPr>
        <w:t xml:space="preserve"> </w:t>
      </w:r>
      <w:r w:rsidRPr="4DD5A8F3">
        <w:rPr>
          <w:color w:val="000000" w:themeColor="text1"/>
        </w:rPr>
        <w:t>and exploitation, which require structured approaches to risk assessment and intervention. Brothers (</w:t>
      </w:r>
      <w:r w:rsidR="0C02FB5A" w:rsidRPr="4DD5A8F3">
        <w:rPr>
          <w:color w:val="000000" w:themeColor="text1"/>
        </w:rPr>
        <w:t>2015) identifies that public services increasingly operate in partnership to address complex social issues, particularly where vulnerability intersects with crime. This reflects a shift towards collaborative approaches involving multiple agencies.</w:t>
      </w:r>
    </w:p>
    <w:p w14:paraId="0FBF3AC9" w14:textId="43C33AC0" w:rsidR="32782C72" w:rsidRDefault="32782C72" w:rsidP="00A17B90">
      <w:pPr>
        <w:spacing w:line="360" w:lineRule="auto"/>
        <w:rPr>
          <w:color w:val="000000" w:themeColor="text1"/>
        </w:rPr>
      </w:pPr>
      <w:r w:rsidRPr="4DD5A8F3">
        <w:rPr>
          <w:color w:val="000000" w:themeColor="text1"/>
        </w:rPr>
        <w:lastRenderedPageBreak/>
        <w:t>Chanan and Miller (2013) describe how community-based approaches contribute to addressing underlying causes of harm, emphasising engagement and coordination between services. This approach extends policing activity beyond enforcement into broader public protecti</w:t>
      </w:r>
      <w:r w:rsidR="500D863A" w:rsidRPr="4DD5A8F3">
        <w:rPr>
          <w:color w:val="000000" w:themeColor="text1"/>
        </w:rPr>
        <w:t xml:space="preserve">on functions. James, </w:t>
      </w:r>
      <w:r w:rsidR="61306C39" w:rsidRPr="4DD5A8F3">
        <w:rPr>
          <w:color w:val="000000" w:themeColor="text1"/>
        </w:rPr>
        <w:t>Mullins</w:t>
      </w:r>
      <w:r w:rsidR="500D863A" w:rsidRPr="4DD5A8F3">
        <w:rPr>
          <w:color w:val="000000" w:themeColor="text1"/>
        </w:rPr>
        <w:t xml:space="preserve"> and Bovaird (2012) identify that partnership working enables more effective service delivery where issues are multi-dimensional. In the</w:t>
      </w:r>
      <w:r w:rsidR="3ADEDACA" w:rsidRPr="4DD5A8F3">
        <w:rPr>
          <w:color w:val="000000" w:themeColor="text1"/>
        </w:rPr>
        <w:t xml:space="preserve"> context of policing, this includes joint working with health, social </w:t>
      </w:r>
      <w:r w:rsidR="4E05CC75" w:rsidRPr="4DD5A8F3">
        <w:rPr>
          <w:color w:val="000000" w:themeColor="text1"/>
        </w:rPr>
        <w:t>care</w:t>
      </w:r>
      <w:r w:rsidR="3ADEDACA" w:rsidRPr="4DD5A8F3">
        <w:rPr>
          <w:color w:val="000000" w:themeColor="text1"/>
        </w:rPr>
        <w:t xml:space="preserve"> and other agencies to manage risk and support vulnerable individuals. These developments demonstrate that vulnerability has become a central component of contemporary poli</w:t>
      </w:r>
      <w:r w:rsidR="37975303" w:rsidRPr="4DD5A8F3">
        <w:rPr>
          <w:color w:val="000000" w:themeColor="text1"/>
        </w:rPr>
        <w:t>cing practice, requiring coordinated and preventative approaches.</w:t>
      </w:r>
    </w:p>
    <w:p w14:paraId="2151867D" w14:textId="440D474C" w:rsidR="482DE958" w:rsidRDefault="0C6C9F57" w:rsidP="00A17B90">
      <w:pPr>
        <w:spacing w:line="360" w:lineRule="auto"/>
        <w:rPr>
          <w:color w:val="000000" w:themeColor="text1"/>
        </w:rPr>
      </w:pPr>
      <w:r w:rsidRPr="4DD5A8F3">
        <w:rPr>
          <w:color w:val="000000" w:themeColor="text1"/>
        </w:rPr>
        <w:t xml:space="preserve">Brothers (2015) identifies that </w:t>
      </w:r>
      <w:r w:rsidR="0069513E" w:rsidRPr="4DD5A8F3">
        <w:rPr>
          <w:color w:val="000000" w:themeColor="text1"/>
        </w:rPr>
        <w:t>partnership</w:t>
      </w:r>
      <w:r w:rsidRPr="4DD5A8F3">
        <w:rPr>
          <w:color w:val="000000" w:themeColor="text1"/>
        </w:rPr>
        <w:t>-based approaches are necessary where issues are complex and extend beyond the remit of single agency. This is particularly relevant in the context of vulnerability, where policing interacts with health, social care and other public service</w:t>
      </w:r>
      <w:r w:rsidR="2AFF4416" w:rsidRPr="4DD5A8F3">
        <w:rPr>
          <w:color w:val="000000" w:themeColor="text1"/>
        </w:rPr>
        <w:t xml:space="preserve">s. Chanan and </w:t>
      </w:r>
      <w:r w:rsidR="0069513E">
        <w:rPr>
          <w:color w:val="000000" w:themeColor="text1"/>
        </w:rPr>
        <w:t>M</w:t>
      </w:r>
      <w:r w:rsidR="2AFF4416" w:rsidRPr="4DD5A8F3">
        <w:rPr>
          <w:color w:val="000000" w:themeColor="text1"/>
        </w:rPr>
        <w:t xml:space="preserve">iller (2013) further identify that effective responses require coordination and community-based approaches with an emphasis on </w:t>
      </w:r>
      <w:r w:rsidR="0069513E" w:rsidRPr="4DD5A8F3">
        <w:rPr>
          <w:color w:val="000000" w:themeColor="text1"/>
        </w:rPr>
        <w:t>prevention</w:t>
      </w:r>
      <w:r w:rsidR="2AFF4416" w:rsidRPr="4DD5A8F3">
        <w:rPr>
          <w:color w:val="000000" w:themeColor="text1"/>
        </w:rPr>
        <w:t xml:space="preserve"> and early intervention. These developments demonstrate that vulnerability has become embedded</w:t>
      </w:r>
      <w:r w:rsidR="2AF67882" w:rsidRPr="4DD5A8F3">
        <w:rPr>
          <w:color w:val="000000" w:themeColor="text1"/>
        </w:rPr>
        <w:t xml:space="preserve"> within policing practice, reflecting an expanded role that </w:t>
      </w:r>
      <w:r w:rsidR="004906DB" w:rsidRPr="4DD5A8F3">
        <w:rPr>
          <w:color w:val="000000" w:themeColor="text1"/>
        </w:rPr>
        <w:t>incorporates</w:t>
      </w:r>
      <w:r w:rsidR="2AF67882" w:rsidRPr="4DD5A8F3">
        <w:rPr>
          <w:color w:val="000000" w:themeColor="text1"/>
        </w:rPr>
        <w:t xml:space="preserve"> safeguarding alongside traditional enforcement functions.</w:t>
      </w:r>
    </w:p>
    <w:p w14:paraId="556C338C" w14:textId="77777777" w:rsidR="00745DB8" w:rsidRDefault="00745DB8" w:rsidP="00A17B90">
      <w:pPr>
        <w:spacing w:line="360" w:lineRule="auto"/>
        <w:rPr>
          <w:color w:val="000000" w:themeColor="text1"/>
        </w:rPr>
      </w:pPr>
    </w:p>
    <w:p w14:paraId="6DD8B870" w14:textId="1C8EE8EE" w:rsidR="7752C06E" w:rsidRDefault="7752C06E" w:rsidP="00A17B90">
      <w:pPr>
        <w:pStyle w:val="Heading2"/>
        <w:spacing w:line="360" w:lineRule="auto"/>
      </w:pPr>
      <w:bookmarkStart w:id="8" w:name="_Toc227360957"/>
      <w:r w:rsidRPr="482DE958">
        <w:t>Policing Reform and National Coordination</w:t>
      </w:r>
      <w:bookmarkEnd w:id="8"/>
    </w:p>
    <w:p w14:paraId="1AC524C5" w14:textId="0C47907C" w:rsidR="7752C06E" w:rsidRDefault="5F952724" w:rsidP="00A17B90">
      <w:pPr>
        <w:spacing w:line="360" w:lineRule="auto"/>
        <w:rPr>
          <w:color w:val="000000" w:themeColor="text1"/>
        </w:rPr>
      </w:pPr>
      <w:r w:rsidRPr="4DD5A8F3">
        <w:rPr>
          <w:color w:val="000000" w:themeColor="text1"/>
        </w:rPr>
        <w:t xml:space="preserve">The Home Office reform paper </w:t>
      </w:r>
      <w:r w:rsidRPr="4DD5A8F3">
        <w:rPr>
          <w:i/>
          <w:iCs/>
          <w:color w:val="000000" w:themeColor="text1"/>
        </w:rPr>
        <w:t xml:space="preserve">From local to national: a new model for policing </w:t>
      </w:r>
      <w:r w:rsidRPr="4DD5A8F3">
        <w:rPr>
          <w:color w:val="000000" w:themeColor="text1"/>
        </w:rPr>
        <w:t xml:space="preserve">identifies structural challenges within the current policing system (Home Office, 2026). The existing model of forty-three forces is </w:t>
      </w:r>
      <w:r w:rsidR="5E213862" w:rsidRPr="4DD5A8F3">
        <w:rPr>
          <w:color w:val="000000" w:themeColor="text1"/>
        </w:rPr>
        <w:t xml:space="preserve">described as fragmented, with variation in capability and performance. The document identifies </w:t>
      </w:r>
      <w:r w:rsidR="1B49B205" w:rsidRPr="4DD5A8F3">
        <w:rPr>
          <w:color w:val="000000" w:themeColor="text1"/>
        </w:rPr>
        <w:t>limitations</w:t>
      </w:r>
      <w:r w:rsidR="5E213862" w:rsidRPr="4DD5A8F3">
        <w:rPr>
          <w:color w:val="000000" w:themeColor="text1"/>
        </w:rPr>
        <w:t xml:space="preserve"> in responding to serious and organised crime and cross-border threats. It proposes increased regionalisation</w:t>
      </w:r>
      <w:r w:rsidR="6652E0B4" w:rsidRPr="4DD5A8F3">
        <w:rPr>
          <w:color w:val="000000" w:themeColor="text1"/>
        </w:rPr>
        <w:t xml:space="preserve">, shared </w:t>
      </w:r>
      <w:r w:rsidR="03F57FD5" w:rsidRPr="4DD5A8F3">
        <w:rPr>
          <w:color w:val="000000" w:themeColor="text1"/>
        </w:rPr>
        <w:t>services,</w:t>
      </w:r>
      <w:r w:rsidR="6652E0B4" w:rsidRPr="4DD5A8F3">
        <w:rPr>
          <w:color w:val="000000" w:themeColor="text1"/>
        </w:rPr>
        <w:t xml:space="preserve"> and stronger national coordination. These proposals are presented as mechanisms to improve consistency, </w:t>
      </w:r>
      <w:r w:rsidR="7B993AA5" w:rsidRPr="4DD5A8F3">
        <w:rPr>
          <w:color w:val="000000" w:themeColor="text1"/>
        </w:rPr>
        <w:t>capability,</w:t>
      </w:r>
      <w:r w:rsidR="6652E0B4" w:rsidRPr="4DD5A8F3">
        <w:rPr>
          <w:color w:val="000000" w:themeColor="text1"/>
        </w:rPr>
        <w:t xml:space="preserve"> and resilience. </w:t>
      </w:r>
    </w:p>
    <w:p w14:paraId="0205B4BD" w14:textId="05645DA5" w:rsidR="1A597F07" w:rsidRDefault="6652E0B4" w:rsidP="00A17B90">
      <w:pPr>
        <w:spacing w:line="360" w:lineRule="auto"/>
        <w:rPr>
          <w:color w:val="000000" w:themeColor="text1"/>
        </w:rPr>
      </w:pPr>
      <w:r w:rsidRPr="4DD5A8F3">
        <w:rPr>
          <w:color w:val="000000" w:themeColor="text1"/>
        </w:rPr>
        <w:t xml:space="preserve">This emphasis on coordination aligns with the Strategic Policing Requirement, which identifies the need for collective capability across forces (Home Office, 2023). It also </w:t>
      </w:r>
      <w:r w:rsidRPr="4DD5A8F3">
        <w:rPr>
          <w:color w:val="000000" w:themeColor="text1"/>
        </w:rPr>
        <w:lastRenderedPageBreak/>
        <w:t>reflects the Government Cyber Securit</w:t>
      </w:r>
      <w:r w:rsidR="55B36D66" w:rsidRPr="4DD5A8F3">
        <w:rPr>
          <w:color w:val="000000" w:themeColor="text1"/>
        </w:rPr>
        <w:t>y Strategy, which highlights the importance of coordinated national approaches in managing cyber threats (HM Government, 2022). The literature demonstrates that policing has developed towards increasing</w:t>
      </w:r>
      <w:r w:rsidR="6A4F338E" w:rsidRPr="4DD5A8F3">
        <w:rPr>
          <w:color w:val="000000" w:themeColor="text1"/>
        </w:rPr>
        <w:t xml:space="preserve"> complexity and </w:t>
      </w:r>
      <w:r w:rsidR="35C99D37" w:rsidRPr="4DD5A8F3">
        <w:rPr>
          <w:color w:val="000000" w:themeColor="text1"/>
        </w:rPr>
        <w:t>differentiation</w:t>
      </w:r>
      <w:r w:rsidR="6A4F338E" w:rsidRPr="4DD5A8F3">
        <w:rPr>
          <w:color w:val="000000" w:themeColor="text1"/>
        </w:rPr>
        <w:t xml:space="preserve"> (Brodeur, 2010), and the reform proposals reflect this trajectory by emphasising integration and capability.</w:t>
      </w:r>
    </w:p>
    <w:p w14:paraId="33BD4D2E" w14:textId="059C3DF6" w:rsidR="482DE958" w:rsidRDefault="402BB834" w:rsidP="00A17B90">
      <w:pPr>
        <w:spacing w:line="360" w:lineRule="auto"/>
        <w:rPr>
          <w:color w:val="000000" w:themeColor="text1"/>
        </w:rPr>
      </w:pPr>
      <w:r w:rsidRPr="4DD5A8F3">
        <w:rPr>
          <w:color w:val="000000" w:themeColor="text1"/>
        </w:rPr>
        <w:t xml:space="preserve">The Home </w:t>
      </w:r>
      <w:r w:rsidR="00A73D3C" w:rsidRPr="4DD5A8F3">
        <w:rPr>
          <w:color w:val="000000" w:themeColor="text1"/>
        </w:rPr>
        <w:t>O</w:t>
      </w:r>
      <w:r w:rsidRPr="4DD5A8F3">
        <w:rPr>
          <w:color w:val="000000" w:themeColor="text1"/>
        </w:rPr>
        <w:t>ffice (2026) identifies that variation in capability across forces limits effectiveness of responses to serious and organised crime. The document highlights that some forces lack sufficient specialist capability to addr</w:t>
      </w:r>
      <w:r w:rsidR="24A7BF22" w:rsidRPr="4DD5A8F3">
        <w:rPr>
          <w:color w:val="000000" w:themeColor="text1"/>
        </w:rPr>
        <w:t>ess where criminal activity operates across multiple jurisdictions. The reform paper identifies that the current structure can lead to duplication of functions and inconsistency in service delivery. It poposes that shared services</w:t>
      </w:r>
      <w:r w:rsidR="6A52A82D" w:rsidRPr="4DD5A8F3">
        <w:rPr>
          <w:color w:val="000000" w:themeColor="text1"/>
        </w:rPr>
        <w:t xml:space="preserve"> and regional structures would enable more efficient use of resources and improved access to specialist capability</w:t>
      </w:r>
      <w:r w:rsidR="66E3362D" w:rsidRPr="4DD5A8F3">
        <w:rPr>
          <w:color w:val="000000" w:themeColor="text1"/>
        </w:rPr>
        <w:t xml:space="preserve"> consolidation rather than independent force-level provision. The document also identifies that national coordination is necessary to ensure consistency in operational standards. This includes the development of unified approaches to intelligence, </w:t>
      </w:r>
      <w:r w:rsidR="7682B125" w:rsidRPr="4DD5A8F3">
        <w:rPr>
          <w:color w:val="000000" w:themeColor="text1"/>
        </w:rPr>
        <w:t>investigation</w:t>
      </w:r>
      <w:r w:rsidR="66E3362D" w:rsidRPr="4DD5A8F3">
        <w:rPr>
          <w:color w:val="000000" w:themeColor="text1"/>
        </w:rPr>
        <w:t xml:space="preserve"> and response. </w:t>
      </w:r>
    </w:p>
    <w:p w14:paraId="4ECAE5B2" w14:textId="7D388B59" w:rsidR="482DE958" w:rsidRDefault="66E3362D" w:rsidP="00A17B90">
      <w:pPr>
        <w:spacing w:line="360" w:lineRule="auto"/>
        <w:rPr>
          <w:color w:val="000000" w:themeColor="text1"/>
        </w:rPr>
      </w:pPr>
      <w:r w:rsidRPr="4DD5A8F3">
        <w:rPr>
          <w:color w:val="000000" w:themeColor="text1"/>
        </w:rPr>
        <w:t xml:space="preserve">The emphasis on coordination aligns with the Strategic Policing Requirement, which identifies </w:t>
      </w:r>
      <w:r w:rsidR="0DD3E0F0" w:rsidRPr="4DD5A8F3">
        <w:rPr>
          <w:color w:val="000000" w:themeColor="text1"/>
        </w:rPr>
        <w:t>the need for forces to operate as part of a collective national system (Home Office, 2023).</w:t>
      </w:r>
      <w:r w:rsidR="11114A26" w:rsidRPr="4DD5A8F3">
        <w:rPr>
          <w:color w:val="000000" w:themeColor="text1"/>
        </w:rPr>
        <w:t xml:space="preserve"> These proposals indicate a structural response to the challenges identified within both academic and policy literature, particularly in relation to complexity, capability and cross-border criminal activity.</w:t>
      </w:r>
    </w:p>
    <w:p w14:paraId="1FCF9FE6" w14:textId="3FCA45D8" w:rsidR="482DE958" w:rsidRDefault="2AC01D97" w:rsidP="00A17B90">
      <w:pPr>
        <w:spacing w:line="360" w:lineRule="auto"/>
        <w:rPr>
          <w:color w:val="000000" w:themeColor="text1"/>
        </w:rPr>
      </w:pPr>
      <w:r w:rsidRPr="4DD5A8F3">
        <w:rPr>
          <w:color w:val="000000" w:themeColor="text1"/>
        </w:rPr>
        <w:t>The Home Office (2026) identifies that the current model of forty-three territorial forces results in variation in capability and access to specialist resources. The document highlights that some forces lack the capacity to respond effectively to</w:t>
      </w:r>
      <w:r w:rsidR="79EC0A0C" w:rsidRPr="4DD5A8F3">
        <w:rPr>
          <w:color w:val="000000" w:themeColor="text1"/>
        </w:rPr>
        <w:t xml:space="preserve"> complex and serious threats, particularly those that operate across multiple jurisdictions. It identifies </w:t>
      </w:r>
      <w:r w:rsidR="004906DB">
        <w:rPr>
          <w:color w:val="000000" w:themeColor="text1"/>
        </w:rPr>
        <w:t>d</w:t>
      </w:r>
      <w:r w:rsidR="79EC0A0C" w:rsidRPr="4DD5A8F3">
        <w:rPr>
          <w:color w:val="000000" w:themeColor="text1"/>
        </w:rPr>
        <w:t>uplication of functions and inconsistency in service delivery as key challenges within the existing structure. To address</w:t>
      </w:r>
      <w:r w:rsidR="5BEC23F6" w:rsidRPr="4DD5A8F3">
        <w:rPr>
          <w:color w:val="000000" w:themeColor="text1"/>
        </w:rPr>
        <w:t xml:space="preserve"> this, the reform paper proposes increased regionalisation, the development of shared services and enhanced national coordination mechanisms (Home Office, 2026). This aligns with the Strategic Policing Requirement (Home Office, </w:t>
      </w:r>
      <w:r w:rsidR="5BEC23F6" w:rsidRPr="4DD5A8F3">
        <w:rPr>
          <w:color w:val="000000" w:themeColor="text1"/>
        </w:rPr>
        <w:lastRenderedPageBreak/>
        <w:t>2013), which specifies that forces m</w:t>
      </w:r>
      <w:r w:rsidR="6D526F81" w:rsidRPr="4DD5A8F3">
        <w:rPr>
          <w:color w:val="000000" w:themeColor="text1"/>
        </w:rPr>
        <w:t>ust operate as part of a collective national system in responding to serious and organised crime and terrorism. Similarly the Government Cyber Security Strategy identifies that cyber threats require</w:t>
      </w:r>
      <w:r w:rsidR="664E1496" w:rsidRPr="4DD5A8F3">
        <w:rPr>
          <w:color w:val="000000" w:themeColor="text1"/>
        </w:rPr>
        <w:t xml:space="preserve"> consistent standards and coordinated responses across organisations (HM Government, 2022). These policy documents demonstrate a consistent emphasis on integration, interoperability and shared capability as central components of contemporary policing.</w:t>
      </w:r>
    </w:p>
    <w:p w14:paraId="34CE5ED3" w14:textId="415E9C45" w:rsidR="482DE958" w:rsidRDefault="482DE958" w:rsidP="00A17B90">
      <w:pPr>
        <w:pStyle w:val="Heading2"/>
        <w:spacing w:line="360" w:lineRule="auto"/>
      </w:pPr>
    </w:p>
    <w:p w14:paraId="3168BCDA" w14:textId="6BF18026" w:rsidR="4AA833D8" w:rsidRDefault="4AA833D8" w:rsidP="00A17B90">
      <w:pPr>
        <w:pStyle w:val="Heading2"/>
        <w:spacing w:line="360" w:lineRule="auto"/>
      </w:pPr>
      <w:bookmarkStart w:id="9" w:name="_Toc227360958"/>
      <w:r w:rsidRPr="482DE958">
        <w:t>Implications for Contemporary Policing Practice</w:t>
      </w:r>
      <w:bookmarkEnd w:id="9"/>
    </w:p>
    <w:p w14:paraId="39EF9808" w14:textId="1674AEED" w:rsidR="4AA833D8" w:rsidRDefault="6A4F338E" w:rsidP="00A17B90">
      <w:pPr>
        <w:spacing w:line="360" w:lineRule="auto"/>
        <w:rPr>
          <w:color w:val="000000" w:themeColor="text1"/>
        </w:rPr>
      </w:pPr>
      <w:r w:rsidRPr="4DD5A8F3">
        <w:rPr>
          <w:color w:val="000000" w:themeColor="text1"/>
        </w:rPr>
        <w:t>The literature demonstrates that policing has evolved in response to changes in demand, structure and policy. While legitimacy remains central, operational practice now incorporates speciali</w:t>
      </w:r>
      <w:r w:rsidR="5FC880FD" w:rsidRPr="4DD5A8F3">
        <w:rPr>
          <w:color w:val="000000" w:themeColor="text1"/>
        </w:rPr>
        <w:t xml:space="preserve">st functions and broader responsibilities. Specialisation has become a defining feature, with roles </w:t>
      </w:r>
      <w:r w:rsidR="004906DB" w:rsidRPr="4DD5A8F3">
        <w:rPr>
          <w:color w:val="000000" w:themeColor="text1"/>
        </w:rPr>
        <w:t>focused</w:t>
      </w:r>
      <w:r w:rsidR="5FC880FD" w:rsidRPr="4DD5A8F3">
        <w:rPr>
          <w:color w:val="000000" w:themeColor="text1"/>
        </w:rPr>
        <w:t xml:space="preserve"> on investigation, intelligence and safeguarding. Partnership working has also become central, partic</w:t>
      </w:r>
      <w:r w:rsidR="1B21F686" w:rsidRPr="4DD5A8F3">
        <w:rPr>
          <w:color w:val="000000" w:themeColor="text1"/>
        </w:rPr>
        <w:t>ularly in addressing vulnerability and complex social issues (Chanan and Miller, 2013; Brothers, 2015; James, Mullins and Bovaird, 2012).</w:t>
      </w:r>
    </w:p>
    <w:p w14:paraId="3A422A68" w14:textId="3D7B9FB6" w:rsidR="50FFDBDC" w:rsidRDefault="50FFDBDC" w:rsidP="00A17B90">
      <w:pPr>
        <w:spacing w:line="360" w:lineRule="auto"/>
        <w:rPr>
          <w:color w:val="000000" w:themeColor="text1"/>
        </w:rPr>
      </w:pPr>
      <w:r w:rsidRPr="4DD5A8F3">
        <w:rPr>
          <w:color w:val="000000" w:themeColor="text1"/>
        </w:rPr>
        <w:t xml:space="preserve">Bordeur (2010) identifies that increasing differentiation within policing systems requires coordination mechanisms to ensure effectiveness across </w:t>
      </w:r>
      <w:r w:rsidR="18D3CB80" w:rsidRPr="4DD5A8F3">
        <w:rPr>
          <w:color w:val="000000" w:themeColor="text1"/>
        </w:rPr>
        <w:t>multiple</w:t>
      </w:r>
      <w:r w:rsidRPr="4DD5A8F3">
        <w:rPr>
          <w:color w:val="000000" w:themeColor="text1"/>
        </w:rPr>
        <w:t xml:space="preserve"> functions. </w:t>
      </w:r>
      <w:r w:rsidR="004906DB" w:rsidRPr="4DD5A8F3">
        <w:rPr>
          <w:color w:val="000000" w:themeColor="text1"/>
        </w:rPr>
        <w:t>Newburn</w:t>
      </w:r>
      <w:r w:rsidRPr="4DD5A8F3">
        <w:rPr>
          <w:color w:val="000000" w:themeColor="text1"/>
        </w:rPr>
        <w:t xml:space="preserve"> (2017) similarly identifies that modern policing operates within a multi-layered</w:t>
      </w:r>
      <w:r w:rsidR="3453C720" w:rsidRPr="4DD5A8F3">
        <w:rPr>
          <w:color w:val="000000" w:themeColor="text1"/>
        </w:rPr>
        <w:t xml:space="preserve"> structure that combines local, regional and national </w:t>
      </w:r>
      <w:r w:rsidR="07C34E9D" w:rsidRPr="4DD5A8F3">
        <w:rPr>
          <w:color w:val="000000" w:themeColor="text1"/>
        </w:rPr>
        <w:t>elements</w:t>
      </w:r>
      <w:r w:rsidR="3453C720" w:rsidRPr="4DD5A8F3">
        <w:rPr>
          <w:color w:val="000000" w:themeColor="text1"/>
        </w:rPr>
        <w:t>. These developments indicate that contemporary policing is characterised by both specialisation and integration, requiring alignment between organisational structure and operational demand.</w:t>
      </w:r>
    </w:p>
    <w:p w14:paraId="1D12CEE6" w14:textId="48A2C119" w:rsidR="0D77EFC2" w:rsidRDefault="1B21F686" w:rsidP="00A17B90">
      <w:pPr>
        <w:spacing w:line="360" w:lineRule="auto"/>
        <w:rPr>
          <w:color w:val="000000" w:themeColor="text1"/>
        </w:rPr>
      </w:pPr>
      <w:r w:rsidRPr="4DD5A8F3">
        <w:rPr>
          <w:color w:val="000000" w:themeColor="text1"/>
        </w:rPr>
        <w:t xml:space="preserve">National threats and cross-border crime require coordination beyond individual forces. Policy documents emphasise shared capability, intelligence and </w:t>
      </w:r>
      <w:r w:rsidR="00CD267E">
        <w:rPr>
          <w:color w:val="000000" w:themeColor="text1"/>
        </w:rPr>
        <w:t>integrated working</w:t>
      </w:r>
      <w:r w:rsidRPr="4DD5A8F3">
        <w:rPr>
          <w:color w:val="000000" w:themeColor="text1"/>
        </w:rPr>
        <w:t xml:space="preserve"> </w:t>
      </w:r>
      <w:r w:rsidR="43E150D8" w:rsidRPr="4DD5A8F3">
        <w:rPr>
          <w:color w:val="000000" w:themeColor="text1"/>
        </w:rPr>
        <w:t>(Home Office, 2023; HM Government, 2022). The Home Office (2026) reform paper reflects these developments, identifying structural reform as necessary to support contempo</w:t>
      </w:r>
      <w:r w:rsidR="5531D96F" w:rsidRPr="4DD5A8F3">
        <w:rPr>
          <w:color w:val="000000" w:themeColor="text1"/>
        </w:rPr>
        <w:t>rary policing demands. This aligns with academic literature which identifies the need for coordinated and specialist approaches within modern policing.</w:t>
      </w:r>
    </w:p>
    <w:p w14:paraId="01CC56BC" w14:textId="497E9B05" w:rsidR="4DD5A8F3" w:rsidRDefault="4DD5A8F3" w:rsidP="00A17B90">
      <w:pPr>
        <w:spacing w:line="360" w:lineRule="auto"/>
        <w:rPr>
          <w:color w:val="000000" w:themeColor="text1"/>
        </w:rPr>
      </w:pPr>
    </w:p>
    <w:p w14:paraId="0D566F3C" w14:textId="7C3ADE61" w:rsidR="482DE958" w:rsidRDefault="482DE958" w:rsidP="00A17B90">
      <w:pPr>
        <w:spacing w:line="360" w:lineRule="auto"/>
        <w:rPr>
          <w:color w:val="000000" w:themeColor="text1"/>
        </w:rPr>
      </w:pPr>
    </w:p>
    <w:p w14:paraId="59244C69" w14:textId="69354808" w:rsidR="7EA29087" w:rsidRDefault="7EA29087" w:rsidP="00A17B90">
      <w:pPr>
        <w:pStyle w:val="Heading1"/>
        <w:spacing w:line="360" w:lineRule="auto"/>
      </w:pPr>
      <w:bookmarkStart w:id="10" w:name="_Toc227360959"/>
      <w:r w:rsidRPr="482DE958">
        <w:t>Conclusion</w:t>
      </w:r>
      <w:bookmarkEnd w:id="10"/>
    </w:p>
    <w:p w14:paraId="0F9A2B93" w14:textId="6D17F407" w:rsidR="7EA29087" w:rsidRDefault="5531D96F" w:rsidP="00A17B90">
      <w:pPr>
        <w:spacing w:line="360" w:lineRule="auto"/>
        <w:rPr>
          <w:color w:val="000000" w:themeColor="text1"/>
        </w:rPr>
      </w:pPr>
      <w:r w:rsidRPr="4DD5A8F3">
        <w:rPr>
          <w:color w:val="000000" w:themeColor="text1"/>
        </w:rPr>
        <w:t>The literature reviewed demonstrates that policing in England and Wales has evolved from a locally based model based on legitimacy and consent to a more complex and speci</w:t>
      </w:r>
      <w:r w:rsidR="16638E1A" w:rsidRPr="4DD5A8F3">
        <w:rPr>
          <w:color w:val="000000" w:themeColor="text1"/>
        </w:rPr>
        <w:t>ali</w:t>
      </w:r>
      <w:r w:rsidRPr="4DD5A8F3">
        <w:rPr>
          <w:color w:val="000000" w:themeColor="text1"/>
        </w:rPr>
        <w:t>sed system. Academic literature</w:t>
      </w:r>
      <w:r w:rsidR="632F67A5" w:rsidRPr="4DD5A8F3">
        <w:rPr>
          <w:color w:val="000000" w:themeColor="text1"/>
        </w:rPr>
        <w:t xml:space="preserve"> identifies increasing organisational complexity and differentiation, while policy documents highlight the need to respond to national threats and emerging forms of crime. Historical inquiries have shaped policing by emphasising </w:t>
      </w:r>
      <w:r w:rsidR="49713AD8" w:rsidRPr="4DD5A8F3">
        <w:rPr>
          <w:color w:val="000000" w:themeColor="text1"/>
        </w:rPr>
        <w:t>accountability and public confidence, while contemporary developments have expanded the role of policing in safeguarding and public protection.</w:t>
      </w:r>
    </w:p>
    <w:p w14:paraId="3BD7E5C6" w14:textId="297C4382" w:rsidR="0336462C" w:rsidRDefault="49713AD8" w:rsidP="00A17B90">
      <w:pPr>
        <w:spacing w:line="360" w:lineRule="auto"/>
        <w:rPr>
          <w:color w:val="000000" w:themeColor="text1"/>
        </w:rPr>
      </w:pPr>
      <w:r w:rsidRPr="4DD5A8F3">
        <w:rPr>
          <w:color w:val="000000" w:themeColor="text1"/>
        </w:rPr>
        <w:t xml:space="preserve">The Home Office (2026) reform paper reflects these developments, proposing structural changes to improve coordination, capability and consistency. </w:t>
      </w:r>
      <w:r w:rsidR="6C4E782A" w:rsidRPr="4DD5A8F3">
        <w:rPr>
          <w:color w:val="000000" w:themeColor="text1"/>
        </w:rPr>
        <w:t xml:space="preserve"> The literature demonstrates developments in policing structure are closely linked to changes in crime patterns, public expectations and national security requirements. Academic and policy sources consistently identify increasing complexity, </w:t>
      </w:r>
      <w:r w:rsidR="603ECE79" w:rsidRPr="4DD5A8F3">
        <w:rPr>
          <w:color w:val="000000" w:themeColor="text1"/>
        </w:rPr>
        <w:t>differentiation</w:t>
      </w:r>
      <w:r w:rsidR="6C4E782A" w:rsidRPr="4DD5A8F3">
        <w:rPr>
          <w:color w:val="000000" w:themeColor="text1"/>
        </w:rPr>
        <w:t xml:space="preserve"> and the need for coordin</w:t>
      </w:r>
      <w:r w:rsidR="358C1E7C" w:rsidRPr="4DD5A8F3">
        <w:rPr>
          <w:color w:val="000000" w:themeColor="text1"/>
        </w:rPr>
        <w:t xml:space="preserve">ated capability. The Home Office </w:t>
      </w:r>
      <w:r w:rsidR="00745DB8">
        <w:rPr>
          <w:color w:val="000000" w:themeColor="text1"/>
        </w:rPr>
        <w:t>(</w:t>
      </w:r>
      <w:r w:rsidR="358C1E7C" w:rsidRPr="4DD5A8F3">
        <w:rPr>
          <w:color w:val="000000" w:themeColor="text1"/>
        </w:rPr>
        <w:t>2026) reform paper reflects these developments by proposing structural changes aimed at improving consistency, capability and resilience across the policing</w:t>
      </w:r>
      <w:r w:rsidR="09BD683E" w:rsidRPr="4DD5A8F3">
        <w:rPr>
          <w:color w:val="000000" w:themeColor="text1"/>
        </w:rPr>
        <w:t xml:space="preserve"> system.</w:t>
      </w:r>
      <w:r w:rsidR="0BED017D" w:rsidRPr="4DD5A8F3">
        <w:rPr>
          <w:color w:val="000000" w:themeColor="text1"/>
        </w:rPr>
        <w:t xml:space="preserve"> </w:t>
      </w:r>
      <w:r w:rsidRPr="4DD5A8F3">
        <w:rPr>
          <w:color w:val="000000" w:themeColor="text1"/>
        </w:rPr>
        <w:t xml:space="preserve">This aligns with wider literature which identifies the need for integrated and specialist approaches </w:t>
      </w:r>
      <w:r w:rsidR="7CF44644" w:rsidRPr="4DD5A8F3">
        <w:rPr>
          <w:color w:val="000000" w:themeColor="text1"/>
        </w:rPr>
        <w:t>to policing in response to modern challenges.</w:t>
      </w:r>
    </w:p>
    <w:p w14:paraId="2362E628" w14:textId="741BF615" w:rsidR="482DE958" w:rsidRDefault="482DE958" w:rsidP="00A17B90">
      <w:pPr>
        <w:spacing w:line="360" w:lineRule="auto"/>
        <w:rPr>
          <w:color w:val="000000" w:themeColor="text1"/>
        </w:rPr>
      </w:pPr>
    </w:p>
    <w:p w14:paraId="7D55AF8F" w14:textId="77777777" w:rsidR="00BA6BBF" w:rsidRDefault="00BA6BBF" w:rsidP="00A17B90">
      <w:pPr>
        <w:spacing w:line="360" w:lineRule="auto"/>
        <w:rPr>
          <w:color w:val="000000" w:themeColor="text1"/>
        </w:rPr>
      </w:pPr>
      <w:r>
        <w:rPr>
          <w:color w:val="000000" w:themeColor="text1"/>
        </w:rPr>
        <w:br w:type="page"/>
      </w:r>
    </w:p>
    <w:p w14:paraId="618A38D9" w14:textId="57C6B68A" w:rsidR="5419CE6D" w:rsidRDefault="5419CE6D" w:rsidP="00A17B90">
      <w:pPr>
        <w:pStyle w:val="Heading1"/>
        <w:spacing w:line="360" w:lineRule="auto"/>
      </w:pPr>
      <w:bookmarkStart w:id="11" w:name="_Toc227360960"/>
      <w:r w:rsidRPr="482DE958">
        <w:lastRenderedPageBreak/>
        <w:t>References</w:t>
      </w:r>
      <w:bookmarkEnd w:id="11"/>
    </w:p>
    <w:p w14:paraId="640CE7C7" w14:textId="5780C46D" w:rsidR="5419CE6D" w:rsidRDefault="5419CE6D" w:rsidP="00A17B90">
      <w:pPr>
        <w:spacing w:line="360" w:lineRule="auto"/>
        <w:rPr>
          <w:color w:val="000000" w:themeColor="text1"/>
        </w:rPr>
      </w:pPr>
      <w:r w:rsidRPr="482DE958">
        <w:rPr>
          <w:color w:val="000000" w:themeColor="text1"/>
        </w:rPr>
        <w:t xml:space="preserve">Brodeur, J.P. (2010) </w:t>
      </w:r>
      <w:r w:rsidRPr="482DE958">
        <w:rPr>
          <w:i/>
          <w:iCs/>
          <w:color w:val="000000" w:themeColor="text1"/>
        </w:rPr>
        <w:t xml:space="preserve">The policing web. </w:t>
      </w:r>
      <w:r w:rsidRPr="482DE958">
        <w:rPr>
          <w:color w:val="000000" w:themeColor="text1"/>
        </w:rPr>
        <w:t>Oxford: Oxford University Press</w:t>
      </w:r>
      <w:r w:rsidR="3F31933E" w:rsidRPr="482DE958">
        <w:rPr>
          <w:color w:val="000000" w:themeColor="text1"/>
        </w:rPr>
        <w:t>.</w:t>
      </w:r>
    </w:p>
    <w:p w14:paraId="3D53E551" w14:textId="5120DB5E" w:rsidR="5419CE6D" w:rsidRDefault="5419CE6D" w:rsidP="00A17B90">
      <w:pPr>
        <w:spacing w:line="360" w:lineRule="auto"/>
        <w:rPr>
          <w:color w:val="000000" w:themeColor="text1"/>
        </w:rPr>
      </w:pPr>
      <w:r w:rsidRPr="482DE958">
        <w:rPr>
          <w:color w:val="000000" w:themeColor="text1"/>
        </w:rPr>
        <w:t xml:space="preserve">Brothers, J. (2015) </w:t>
      </w:r>
      <w:r w:rsidRPr="482DE958">
        <w:rPr>
          <w:i/>
          <w:iCs/>
          <w:color w:val="000000" w:themeColor="text1"/>
        </w:rPr>
        <w:t xml:space="preserve">rebalancing public partnership: innovative practice between government nonprofits from around the world. </w:t>
      </w:r>
      <w:r w:rsidRPr="482DE958">
        <w:rPr>
          <w:color w:val="000000" w:themeColor="text1"/>
        </w:rPr>
        <w:t>Oxford: Routledge</w:t>
      </w:r>
      <w:r w:rsidR="1CEB372A" w:rsidRPr="482DE958">
        <w:rPr>
          <w:color w:val="000000" w:themeColor="text1"/>
        </w:rPr>
        <w:t>.</w:t>
      </w:r>
    </w:p>
    <w:p w14:paraId="361D539A" w14:textId="719533C6" w:rsidR="5419CE6D" w:rsidRDefault="5419CE6D" w:rsidP="00A17B90">
      <w:pPr>
        <w:spacing w:line="360" w:lineRule="auto"/>
        <w:rPr>
          <w:color w:val="000000" w:themeColor="text1"/>
        </w:rPr>
      </w:pPr>
      <w:r w:rsidRPr="482DE958">
        <w:rPr>
          <w:color w:val="000000" w:themeColor="text1"/>
        </w:rPr>
        <w:t xml:space="preserve">Chanan, G. and Miller, C. (2013) </w:t>
      </w:r>
      <w:r w:rsidRPr="482DE958">
        <w:rPr>
          <w:i/>
          <w:iCs/>
          <w:color w:val="000000" w:themeColor="text1"/>
        </w:rPr>
        <w:t xml:space="preserve">Rethinking community practice: developing transformative neighbourhoods. </w:t>
      </w:r>
      <w:r w:rsidRPr="482DE958">
        <w:rPr>
          <w:color w:val="000000" w:themeColor="text1"/>
        </w:rPr>
        <w:t>Bristol: Policy Press</w:t>
      </w:r>
      <w:r w:rsidR="61A7BFE8" w:rsidRPr="482DE958">
        <w:rPr>
          <w:color w:val="000000" w:themeColor="text1"/>
        </w:rPr>
        <w:t>.</w:t>
      </w:r>
    </w:p>
    <w:p w14:paraId="5B40987A" w14:textId="4B7F750E" w:rsidR="4B34C36A" w:rsidRDefault="4B34C36A" w:rsidP="00A17B90">
      <w:pPr>
        <w:spacing w:line="360" w:lineRule="auto"/>
        <w:rPr>
          <w:color w:val="000000" w:themeColor="text1"/>
        </w:rPr>
      </w:pPr>
      <w:r w:rsidRPr="482DE958">
        <w:rPr>
          <w:color w:val="000000" w:themeColor="text1"/>
        </w:rPr>
        <w:t xml:space="preserve">HM Government (2022) </w:t>
      </w:r>
      <w:r w:rsidRPr="482DE958">
        <w:rPr>
          <w:i/>
          <w:iCs/>
          <w:color w:val="000000" w:themeColor="text1"/>
        </w:rPr>
        <w:t xml:space="preserve">Government cyber security strategy 2022 to 2030. </w:t>
      </w:r>
      <w:r w:rsidRPr="482DE958">
        <w:rPr>
          <w:color w:val="000000" w:themeColor="text1"/>
        </w:rPr>
        <w:t>London: Cabinet Office.</w:t>
      </w:r>
    </w:p>
    <w:p w14:paraId="601CD02F" w14:textId="74444987" w:rsidR="25356CF7" w:rsidRDefault="25356CF7" w:rsidP="00A17B90">
      <w:pPr>
        <w:spacing w:line="360" w:lineRule="auto"/>
        <w:rPr>
          <w:color w:val="000000" w:themeColor="text1"/>
        </w:rPr>
      </w:pPr>
      <w:r w:rsidRPr="482DE958">
        <w:rPr>
          <w:color w:val="000000" w:themeColor="text1"/>
        </w:rPr>
        <w:t xml:space="preserve">Home Office (2023) </w:t>
      </w:r>
      <w:r w:rsidRPr="482DE958">
        <w:rPr>
          <w:i/>
          <w:iCs/>
          <w:color w:val="000000" w:themeColor="text1"/>
        </w:rPr>
        <w:t xml:space="preserve">Strategic policing requirement. </w:t>
      </w:r>
      <w:r w:rsidRPr="482DE958">
        <w:rPr>
          <w:color w:val="000000" w:themeColor="text1"/>
        </w:rPr>
        <w:t>London: Home Office.</w:t>
      </w:r>
    </w:p>
    <w:p w14:paraId="2D3FF2F3" w14:textId="36904F47" w:rsidR="25356CF7" w:rsidRDefault="25356CF7" w:rsidP="00A17B90">
      <w:pPr>
        <w:spacing w:line="360" w:lineRule="auto"/>
        <w:rPr>
          <w:color w:val="000000" w:themeColor="text1"/>
        </w:rPr>
      </w:pPr>
      <w:r w:rsidRPr="482DE958">
        <w:rPr>
          <w:color w:val="000000" w:themeColor="text1"/>
        </w:rPr>
        <w:t xml:space="preserve">Home Office (2026) </w:t>
      </w:r>
      <w:r w:rsidRPr="482DE958">
        <w:rPr>
          <w:i/>
          <w:iCs/>
          <w:color w:val="000000" w:themeColor="text1"/>
        </w:rPr>
        <w:t xml:space="preserve">From local to national: a new model for policing. </w:t>
      </w:r>
      <w:r w:rsidRPr="482DE958">
        <w:rPr>
          <w:color w:val="000000" w:themeColor="text1"/>
        </w:rPr>
        <w:t>London: Home Office.</w:t>
      </w:r>
    </w:p>
    <w:p w14:paraId="64976AF7" w14:textId="08C90510" w:rsidR="25356CF7" w:rsidRDefault="25356CF7" w:rsidP="00A17B90">
      <w:pPr>
        <w:spacing w:line="360" w:lineRule="auto"/>
        <w:rPr>
          <w:color w:val="000000" w:themeColor="text1"/>
        </w:rPr>
      </w:pPr>
      <w:r w:rsidRPr="482DE958">
        <w:rPr>
          <w:color w:val="000000" w:themeColor="text1"/>
        </w:rPr>
        <w:t xml:space="preserve">James, R., Mullins, D. and Bovaird, T. (2012) </w:t>
      </w:r>
      <w:r w:rsidRPr="482DE958">
        <w:rPr>
          <w:i/>
          <w:iCs/>
          <w:color w:val="000000" w:themeColor="text1"/>
        </w:rPr>
        <w:t xml:space="preserve">Partnership working. </w:t>
      </w:r>
      <w:r w:rsidR="6027E13B" w:rsidRPr="482DE958">
        <w:rPr>
          <w:color w:val="000000" w:themeColor="text1"/>
        </w:rPr>
        <w:t>Birmingham: Third Sector Research Centre.</w:t>
      </w:r>
    </w:p>
    <w:p w14:paraId="4F7C7BBA" w14:textId="53E58FBA" w:rsidR="6027E13B" w:rsidRDefault="6027E13B" w:rsidP="00A17B90">
      <w:pPr>
        <w:spacing w:line="360" w:lineRule="auto"/>
        <w:rPr>
          <w:color w:val="000000" w:themeColor="text1"/>
        </w:rPr>
      </w:pPr>
      <w:r w:rsidRPr="482DE958">
        <w:rPr>
          <w:color w:val="000000" w:themeColor="text1"/>
        </w:rPr>
        <w:t xml:space="preserve">Macpherson, W. (1999) </w:t>
      </w:r>
      <w:r w:rsidRPr="482DE958">
        <w:rPr>
          <w:i/>
          <w:iCs/>
          <w:color w:val="000000" w:themeColor="text1"/>
        </w:rPr>
        <w:t xml:space="preserve">The Stephen Lawrence Inquiry. </w:t>
      </w:r>
      <w:r w:rsidRPr="482DE958">
        <w:rPr>
          <w:color w:val="000000" w:themeColor="text1"/>
        </w:rPr>
        <w:t>London: The Stationary Office.</w:t>
      </w:r>
    </w:p>
    <w:p w14:paraId="69016659" w14:textId="408F4F57" w:rsidR="6027E13B" w:rsidRDefault="6027E13B" w:rsidP="00A17B90">
      <w:pPr>
        <w:spacing w:line="360" w:lineRule="auto"/>
        <w:rPr>
          <w:color w:val="000000" w:themeColor="text1"/>
        </w:rPr>
      </w:pPr>
      <w:r w:rsidRPr="482DE958">
        <w:rPr>
          <w:color w:val="000000" w:themeColor="text1"/>
        </w:rPr>
        <w:t xml:space="preserve">Newburn, T. (2017) </w:t>
      </w:r>
      <w:r w:rsidRPr="482DE958">
        <w:rPr>
          <w:i/>
          <w:iCs/>
          <w:color w:val="000000" w:themeColor="text1"/>
        </w:rPr>
        <w:t xml:space="preserve">Criminology. </w:t>
      </w:r>
      <w:r w:rsidRPr="482DE958">
        <w:rPr>
          <w:color w:val="000000" w:themeColor="text1"/>
        </w:rPr>
        <w:t>3</w:t>
      </w:r>
      <w:r w:rsidRPr="482DE958">
        <w:rPr>
          <w:color w:val="000000" w:themeColor="text1"/>
          <w:vertAlign w:val="superscript"/>
        </w:rPr>
        <w:t>rd</w:t>
      </w:r>
      <w:r w:rsidRPr="482DE958">
        <w:rPr>
          <w:color w:val="000000" w:themeColor="text1"/>
        </w:rPr>
        <w:t xml:space="preserve"> edn. London: Routlege.</w:t>
      </w:r>
    </w:p>
    <w:p w14:paraId="6296E859" w14:textId="24AD6A0D" w:rsidR="6027E13B" w:rsidRDefault="6027E13B" w:rsidP="00A17B90">
      <w:pPr>
        <w:spacing w:line="360" w:lineRule="auto"/>
        <w:rPr>
          <w:color w:val="000000" w:themeColor="text1"/>
        </w:rPr>
      </w:pPr>
      <w:r w:rsidRPr="482DE958">
        <w:rPr>
          <w:color w:val="000000" w:themeColor="text1"/>
        </w:rPr>
        <w:t xml:space="preserve">Reiner, R. (2010) </w:t>
      </w:r>
      <w:r w:rsidRPr="482DE958">
        <w:rPr>
          <w:i/>
          <w:iCs/>
          <w:color w:val="000000" w:themeColor="text1"/>
        </w:rPr>
        <w:t xml:space="preserve">The Politics of the police. </w:t>
      </w:r>
      <w:r w:rsidR="00C5BBF9" w:rsidRPr="482DE958">
        <w:rPr>
          <w:color w:val="000000" w:themeColor="text1"/>
        </w:rPr>
        <w:t>4</w:t>
      </w:r>
      <w:r w:rsidR="00C5BBF9" w:rsidRPr="482DE958">
        <w:rPr>
          <w:color w:val="000000" w:themeColor="text1"/>
          <w:vertAlign w:val="superscript"/>
        </w:rPr>
        <w:t>th</w:t>
      </w:r>
      <w:r w:rsidR="00C5BBF9" w:rsidRPr="482DE958">
        <w:rPr>
          <w:color w:val="000000" w:themeColor="text1"/>
        </w:rPr>
        <w:t xml:space="preserve"> edn. Oxford: Oxford University Press.</w:t>
      </w:r>
    </w:p>
    <w:p w14:paraId="19C76BB2" w14:textId="137ECF3A" w:rsidR="002E6AD4" w:rsidRDefault="00C5BBF9" w:rsidP="00A17B90">
      <w:pPr>
        <w:spacing w:line="360" w:lineRule="auto"/>
        <w:rPr>
          <w:color w:val="000000" w:themeColor="text1"/>
        </w:rPr>
      </w:pPr>
      <w:r w:rsidRPr="482DE958">
        <w:rPr>
          <w:color w:val="000000" w:themeColor="text1"/>
        </w:rPr>
        <w:t xml:space="preserve">Scarman, L. (1981) </w:t>
      </w:r>
      <w:r w:rsidRPr="482DE958">
        <w:rPr>
          <w:i/>
          <w:iCs/>
          <w:color w:val="000000" w:themeColor="text1"/>
        </w:rPr>
        <w:t xml:space="preserve">The Brixton disorders 10-12 April 1981: report of an inquiry. </w:t>
      </w:r>
      <w:r w:rsidRPr="482DE958">
        <w:rPr>
          <w:color w:val="000000" w:themeColor="text1"/>
        </w:rPr>
        <w:t>London: HMSO.</w:t>
      </w:r>
    </w:p>
    <w:p w14:paraId="02E09FB8" w14:textId="77777777" w:rsidR="002E6AD4" w:rsidRDefault="002E6AD4">
      <w:pPr>
        <w:rPr>
          <w:color w:val="000000" w:themeColor="text1"/>
        </w:rPr>
      </w:pPr>
      <w:r>
        <w:rPr>
          <w:color w:val="000000" w:themeColor="text1"/>
        </w:rPr>
        <w:br w:type="page"/>
      </w:r>
    </w:p>
    <w:p w14:paraId="4704BA93" w14:textId="77777777" w:rsidR="002E6AD4" w:rsidRDefault="002E6AD4" w:rsidP="002E6AD4">
      <w:pPr>
        <w:pStyle w:val="Heading1"/>
      </w:pPr>
      <w:bookmarkStart w:id="12" w:name="_Toc227360961"/>
      <w:r>
        <w:lastRenderedPageBreak/>
        <w:t>AI Acknowledgement</w:t>
      </w:r>
      <w:bookmarkEnd w:id="12"/>
    </w:p>
    <w:p w14:paraId="08BE9C4C" w14:textId="2D802CCA" w:rsidR="00C5BBF9" w:rsidRDefault="002E6AD4" w:rsidP="00A17B90">
      <w:pPr>
        <w:spacing w:line="360" w:lineRule="auto"/>
        <w:rPr>
          <w:color w:val="000000" w:themeColor="text1"/>
        </w:rPr>
      </w:pPr>
      <w:r w:rsidRPr="002E6AD4">
        <w:rPr>
          <w:color w:val="000000" w:themeColor="text1"/>
        </w:rPr>
        <w:t xml:space="preserve">I </w:t>
      </w:r>
      <w:r w:rsidR="006C2147">
        <w:rPr>
          <w:color w:val="000000" w:themeColor="text1"/>
        </w:rPr>
        <w:t>acknowledge the use of C</w:t>
      </w:r>
      <w:r w:rsidR="003B112B">
        <w:rPr>
          <w:color w:val="000000" w:themeColor="text1"/>
        </w:rPr>
        <w:t>h</w:t>
      </w:r>
      <w:r w:rsidR="006C2147">
        <w:rPr>
          <w:color w:val="000000" w:themeColor="text1"/>
        </w:rPr>
        <w:t>atGPT to support the structuring and organi</w:t>
      </w:r>
      <w:r w:rsidR="000009DB">
        <w:rPr>
          <w:color w:val="000000" w:themeColor="text1"/>
        </w:rPr>
        <w:t>s</w:t>
      </w:r>
      <w:r w:rsidR="006C2147">
        <w:rPr>
          <w:color w:val="000000" w:themeColor="text1"/>
        </w:rPr>
        <w:t>ation of this assignment. AI tools were used to assist with developing the structure</w:t>
      </w:r>
      <w:r w:rsidR="006A770F">
        <w:rPr>
          <w:color w:val="000000" w:themeColor="text1"/>
        </w:rPr>
        <w:t>, organi</w:t>
      </w:r>
      <w:r w:rsidR="00D76A3F">
        <w:rPr>
          <w:color w:val="000000" w:themeColor="text1"/>
        </w:rPr>
        <w:t>s</w:t>
      </w:r>
      <w:r w:rsidR="006A770F">
        <w:rPr>
          <w:color w:val="000000" w:themeColor="text1"/>
        </w:rPr>
        <w:t>ing key themes and refining clarity of expression. AIl content has been independently written, reviewed and verified against original academic sources. I confirm that I have not presented AI generated</w:t>
      </w:r>
      <w:r w:rsidR="003B112B">
        <w:rPr>
          <w:color w:val="000000" w:themeColor="text1"/>
        </w:rPr>
        <w:t xml:space="preserve"> material as my own work. I confirm that I have retained drafts, notes and source materials which may be provided if required.</w:t>
      </w:r>
    </w:p>
    <w:p w14:paraId="504E7537" w14:textId="7B1000FE" w:rsidR="482DE958" w:rsidRDefault="482DE958" w:rsidP="00A17B90">
      <w:pPr>
        <w:spacing w:line="360" w:lineRule="auto"/>
      </w:pPr>
    </w:p>
    <w:p w14:paraId="39A936C0" w14:textId="1ED0D1A3" w:rsidR="482DE958" w:rsidRDefault="482DE958" w:rsidP="00A17B90">
      <w:pPr>
        <w:spacing w:line="360" w:lineRule="auto"/>
      </w:pPr>
    </w:p>
    <w:sectPr w:rsidR="482DE958" w:rsidSect="00BA6BBF">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2C9BE" w14:textId="77777777" w:rsidR="00BE180A" w:rsidRDefault="00BE180A" w:rsidP="00BE180A">
      <w:pPr>
        <w:spacing w:after="0" w:line="240" w:lineRule="auto"/>
      </w:pPr>
      <w:r>
        <w:separator/>
      </w:r>
    </w:p>
  </w:endnote>
  <w:endnote w:type="continuationSeparator" w:id="0">
    <w:p w14:paraId="684D0769" w14:textId="77777777" w:rsidR="00BE180A" w:rsidRDefault="00BE180A" w:rsidP="00BE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7392463"/>
      <w:docPartObj>
        <w:docPartGallery w:val="Page Numbers (Bottom of Page)"/>
        <w:docPartUnique/>
      </w:docPartObj>
    </w:sdtPr>
    <w:sdtContent>
      <w:p w14:paraId="6712BE49" w14:textId="05CE5083" w:rsidR="00FC5276" w:rsidRDefault="00FC5276">
        <w:pPr>
          <w:pStyle w:val="Footer"/>
          <w:jc w:val="right"/>
        </w:pPr>
        <w:r>
          <w:fldChar w:fldCharType="begin"/>
        </w:r>
        <w:r>
          <w:instrText>PAGE   \* MERGEFORMAT</w:instrText>
        </w:r>
        <w:r>
          <w:fldChar w:fldCharType="separate"/>
        </w:r>
        <w:r>
          <w:rPr>
            <w:lang w:val="en-GB"/>
          </w:rPr>
          <w:t>2</w:t>
        </w:r>
        <w:r>
          <w:fldChar w:fldCharType="end"/>
        </w:r>
      </w:p>
    </w:sdtContent>
  </w:sdt>
  <w:p w14:paraId="59DF4F42" w14:textId="77777777" w:rsidR="00BE180A" w:rsidRDefault="00BE1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2F15C" w14:textId="77777777" w:rsidR="00BE180A" w:rsidRDefault="00BE180A" w:rsidP="00BE180A">
      <w:pPr>
        <w:spacing w:after="0" w:line="240" w:lineRule="auto"/>
      </w:pPr>
      <w:r>
        <w:separator/>
      </w:r>
    </w:p>
  </w:footnote>
  <w:footnote w:type="continuationSeparator" w:id="0">
    <w:p w14:paraId="7AD5F4B9" w14:textId="77777777" w:rsidR="00BE180A" w:rsidRDefault="00BE180A" w:rsidP="00BE18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EFE44C"/>
    <w:rsid w:val="000009DB"/>
    <w:rsid w:val="0010E4D3"/>
    <w:rsid w:val="002177C3"/>
    <w:rsid w:val="0022384F"/>
    <w:rsid w:val="002628F2"/>
    <w:rsid w:val="002E6AD4"/>
    <w:rsid w:val="003B112B"/>
    <w:rsid w:val="004906DB"/>
    <w:rsid w:val="004C4BED"/>
    <w:rsid w:val="00525458"/>
    <w:rsid w:val="0054C6E7"/>
    <w:rsid w:val="0058409A"/>
    <w:rsid w:val="006466BF"/>
    <w:rsid w:val="0069513E"/>
    <w:rsid w:val="006A770F"/>
    <w:rsid w:val="006C1C75"/>
    <w:rsid w:val="006C2147"/>
    <w:rsid w:val="00745DB8"/>
    <w:rsid w:val="0076E3EC"/>
    <w:rsid w:val="00876E08"/>
    <w:rsid w:val="008F4EA1"/>
    <w:rsid w:val="009B3CE8"/>
    <w:rsid w:val="009C4CCE"/>
    <w:rsid w:val="00A17B90"/>
    <w:rsid w:val="00A1EF3E"/>
    <w:rsid w:val="00A73D3C"/>
    <w:rsid w:val="00A7DFD4"/>
    <w:rsid w:val="00BA6BBF"/>
    <w:rsid w:val="00BE180A"/>
    <w:rsid w:val="00C5BBF9"/>
    <w:rsid w:val="00CC3800"/>
    <w:rsid w:val="00CD267E"/>
    <w:rsid w:val="00D250E2"/>
    <w:rsid w:val="00D76A3F"/>
    <w:rsid w:val="00E257D4"/>
    <w:rsid w:val="00FC5276"/>
    <w:rsid w:val="015EE0F8"/>
    <w:rsid w:val="01683D3A"/>
    <w:rsid w:val="01C6DD7F"/>
    <w:rsid w:val="02C3EF2D"/>
    <w:rsid w:val="031C7B83"/>
    <w:rsid w:val="0336462C"/>
    <w:rsid w:val="033D27BB"/>
    <w:rsid w:val="0363ED02"/>
    <w:rsid w:val="03F2955A"/>
    <w:rsid w:val="03F57FD5"/>
    <w:rsid w:val="0524A73A"/>
    <w:rsid w:val="0576C03E"/>
    <w:rsid w:val="05A5A353"/>
    <w:rsid w:val="05C94977"/>
    <w:rsid w:val="05D145A4"/>
    <w:rsid w:val="065335DB"/>
    <w:rsid w:val="066C5C40"/>
    <w:rsid w:val="068E399D"/>
    <w:rsid w:val="06F44C1D"/>
    <w:rsid w:val="0704FD76"/>
    <w:rsid w:val="0710E6A2"/>
    <w:rsid w:val="074DB10F"/>
    <w:rsid w:val="07523F25"/>
    <w:rsid w:val="07625F0D"/>
    <w:rsid w:val="07C34E9D"/>
    <w:rsid w:val="07E79F90"/>
    <w:rsid w:val="086C28E5"/>
    <w:rsid w:val="087CBB24"/>
    <w:rsid w:val="08B2FA1D"/>
    <w:rsid w:val="09A13B6F"/>
    <w:rsid w:val="09BD683E"/>
    <w:rsid w:val="09EDFEE8"/>
    <w:rsid w:val="0A0B0D73"/>
    <w:rsid w:val="0A0E5CE5"/>
    <w:rsid w:val="0A46B235"/>
    <w:rsid w:val="0B074629"/>
    <w:rsid w:val="0B698E3D"/>
    <w:rsid w:val="0BD3373D"/>
    <w:rsid w:val="0BED017D"/>
    <w:rsid w:val="0C02FB5A"/>
    <w:rsid w:val="0C1C0ABA"/>
    <w:rsid w:val="0C1D29E1"/>
    <w:rsid w:val="0C5CF491"/>
    <w:rsid w:val="0C6C9F57"/>
    <w:rsid w:val="0C7BA4D5"/>
    <w:rsid w:val="0CA47B93"/>
    <w:rsid w:val="0CDF675E"/>
    <w:rsid w:val="0CFA0AB8"/>
    <w:rsid w:val="0D3E6AE1"/>
    <w:rsid w:val="0D77EFC2"/>
    <w:rsid w:val="0DD3E0F0"/>
    <w:rsid w:val="0F0D53E3"/>
    <w:rsid w:val="0F4A74B9"/>
    <w:rsid w:val="0F781692"/>
    <w:rsid w:val="0FBAD9A1"/>
    <w:rsid w:val="0FDE9693"/>
    <w:rsid w:val="103EAC15"/>
    <w:rsid w:val="10727F8D"/>
    <w:rsid w:val="107904B4"/>
    <w:rsid w:val="11114A26"/>
    <w:rsid w:val="11457635"/>
    <w:rsid w:val="11951052"/>
    <w:rsid w:val="11DFB702"/>
    <w:rsid w:val="1212CB62"/>
    <w:rsid w:val="1229EC98"/>
    <w:rsid w:val="129A27A9"/>
    <w:rsid w:val="12BFA7F3"/>
    <w:rsid w:val="134EF670"/>
    <w:rsid w:val="136BDC5B"/>
    <w:rsid w:val="14A47D2A"/>
    <w:rsid w:val="14D708B0"/>
    <w:rsid w:val="1536F41B"/>
    <w:rsid w:val="157DE9F9"/>
    <w:rsid w:val="1598A9B0"/>
    <w:rsid w:val="15F56769"/>
    <w:rsid w:val="16120E65"/>
    <w:rsid w:val="16638E1A"/>
    <w:rsid w:val="1693DFB4"/>
    <w:rsid w:val="16CDF986"/>
    <w:rsid w:val="1745BBC1"/>
    <w:rsid w:val="174C164C"/>
    <w:rsid w:val="17928013"/>
    <w:rsid w:val="1832530D"/>
    <w:rsid w:val="18A5AD41"/>
    <w:rsid w:val="18D3CB80"/>
    <w:rsid w:val="192C0E90"/>
    <w:rsid w:val="193BDDA1"/>
    <w:rsid w:val="194EC289"/>
    <w:rsid w:val="195A91AE"/>
    <w:rsid w:val="19766E34"/>
    <w:rsid w:val="1A597F07"/>
    <w:rsid w:val="1B00ECDE"/>
    <w:rsid w:val="1B21F686"/>
    <w:rsid w:val="1B285458"/>
    <w:rsid w:val="1B49B205"/>
    <w:rsid w:val="1BCAF3A5"/>
    <w:rsid w:val="1C95C761"/>
    <w:rsid w:val="1CB5E2E2"/>
    <w:rsid w:val="1CEB372A"/>
    <w:rsid w:val="1DB71AE8"/>
    <w:rsid w:val="1DDA41A3"/>
    <w:rsid w:val="1F0320B4"/>
    <w:rsid w:val="1FA276C8"/>
    <w:rsid w:val="1FC1E2D3"/>
    <w:rsid w:val="1FE358CF"/>
    <w:rsid w:val="2052C16D"/>
    <w:rsid w:val="205DDCE7"/>
    <w:rsid w:val="209B37CC"/>
    <w:rsid w:val="20ABE60F"/>
    <w:rsid w:val="228A5F3B"/>
    <w:rsid w:val="2344045B"/>
    <w:rsid w:val="23A1FFB5"/>
    <w:rsid w:val="240FDA75"/>
    <w:rsid w:val="24A7BF22"/>
    <w:rsid w:val="24E07487"/>
    <w:rsid w:val="24F2FC6F"/>
    <w:rsid w:val="25356CF7"/>
    <w:rsid w:val="25B1EEDF"/>
    <w:rsid w:val="2612A802"/>
    <w:rsid w:val="262E5E12"/>
    <w:rsid w:val="26FD30E8"/>
    <w:rsid w:val="27E17EC4"/>
    <w:rsid w:val="28E1B65F"/>
    <w:rsid w:val="28FB132F"/>
    <w:rsid w:val="29BC2B75"/>
    <w:rsid w:val="2AC01D97"/>
    <w:rsid w:val="2AF67882"/>
    <w:rsid w:val="2AFF4416"/>
    <w:rsid w:val="2B06B028"/>
    <w:rsid w:val="2B3A8320"/>
    <w:rsid w:val="2B4EB3B8"/>
    <w:rsid w:val="2B55DA4D"/>
    <w:rsid w:val="2C0B3B07"/>
    <w:rsid w:val="2C53C592"/>
    <w:rsid w:val="2C7396A0"/>
    <w:rsid w:val="2C9120F1"/>
    <w:rsid w:val="2CB96CAD"/>
    <w:rsid w:val="2CC2C639"/>
    <w:rsid w:val="2CE5AB04"/>
    <w:rsid w:val="2D76A305"/>
    <w:rsid w:val="2DB09646"/>
    <w:rsid w:val="2DD1FDE0"/>
    <w:rsid w:val="2DE571A3"/>
    <w:rsid w:val="2E361E0A"/>
    <w:rsid w:val="2E859646"/>
    <w:rsid w:val="2F0F3670"/>
    <w:rsid w:val="2FA52248"/>
    <w:rsid w:val="302C2D2F"/>
    <w:rsid w:val="303B0BCF"/>
    <w:rsid w:val="31AC1CBD"/>
    <w:rsid w:val="32782C72"/>
    <w:rsid w:val="328B2C22"/>
    <w:rsid w:val="32BC44FC"/>
    <w:rsid w:val="32CFF0E3"/>
    <w:rsid w:val="32E3AB56"/>
    <w:rsid w:val="32EDD6C3"/>
    <w:rsid w:val="33096E8B"/>
    <w:rsid w:val="330E66BF"/>
    <w:rsid w:val="3350CAE3"/>
    <w:rsid w:val="33569370"/>
    <w:rsid w:val="3400BD07"/>
    <w:rsid w:val="340327FD"/>
    <w:rsid w:val="34271E56"/>
    <w:rsid w:val="3453C720"/>
    <w:rsid w:val="347E2F1B"/>
    <w:rsid w:val="34A836DE"/>
    <w:rsid w:val="34B39DA2"/>
    <w:rsid w:val="34B48E66"/>
    <w:rsid w:val="34C53CE1"/>
    <w:rsid w:val="351695CE"/>
    <w:rsid w:val="35174EFF"/>
    <w:rsid w:val="3552B1A2"/>
    <w:rsid w:val="357F42EA"/>
    <w:rsid w:val="358C1E7C"/>
    <w:rsid w:val="35C99D37"/>
    <w:rsid w:val="35E4E42E"/>
    <w:rsid w:val="35F63766"/>
    <w:rsid w:val="361DDC6B"/>
    <w:rsid w:val="3686DF9C"/>
    <w:rsid w:val="36CA96FB"/>
    <w:rsid w:val="37268ADF"/>
    <w:rsid w:val="372C92E2"/>
    <w:rsid w:val="372D881D"/>
    <w:rsid w:val="378B84BB"/>
    <w:rsid w:val="37975303"/>
    <w:rsid w:val="37E2BF3F"/>
    <w:rsid w:val="389B1524"/>
    <w:rsid w:val="38F4F481"/>
    <w:rsid w:val="39C6C262"/>
    <w:rsid w:val="39D46782"/>
    <w:rsid w:val="3A1113DC"/>
    <w:rsid w:val="3A526B3A"/>
    <w:rsid w:val="3A58520C"/>
    <w:rsid w:val="3ADEDACA"/>
    <w:rsid w:val="3B2DE771"/>
    <w:rsid w:val="3BC4CB8D"/>
    <w:rsid w:val="3C5AB183"/>
    <w:rsid w:val="3D3D2BFC"/>
    <w:rsid w:val="3D6A2F7A"/>
    <w:rsid w:val="3D7E96A3"/>
    <w:rsid w:val="3DBFA0DA"/>
    <w:rsid w:val="3DD0450F"/>
    <w:rsid w:val="3F31933E"/>
    <w:rsid w:val="3F501BFE"/>
    <w:rsid w:val="3FC2A998"/>
    <w:rsid w:val="3FEEFB22"/>
    <w:rsid w:val="402BB834"/>
    <w:rsid w:val="4059A4BD"/>
    <w:rsid w:val="4060785A"/>
    <w:rsid w:val="40AEB213"/>
    <w:rsid w:val="40E4DA11"/>
    <w:rsid w:val="40EE90D0"/>
    <w:rsid w:val="41118E39"/>
    <w:rsid w:val="4201D4C8"/>
    <w:rsid w:val="4215AFE8"/>
    <w:rsid w:val="4224338D"/>
    <w:rsid w:val="426989B6"/>
    <w:rsid w:val="42B03EB3"/>
    <w:rsid w:val="42F1764D"/>
    <w:rsid w:val="433F6588"/>
    <w:rsid w:val="437781EA"/>
    <w:rsid w:val="43C05A8A"/>
    <w:rsid w:val="43D84975"/>
    <w:rsid w:val="43E150D8"/>
    <w:rsid w:val="44BB32DF"/>
    <w:rsid w:val="44D64688"/>
    <w:rsid w:val="454DF53E"/>
    <w:rsid w:val="454E39CE"/>
    <w:rsid w:val="4595ADD3"/>
    <w:rsid w:val="45C5C826"/>
    <w:rsid w:val="46370C7D"/>
    <w:rsid w:val="465874C2"/>
    <w:rsid w:val="46AC7DC9"/>
    <w:rsid w:val="46DD0CB6"/>
    <w:rsid w:val="470A09B6"/>
    <w:rsid w:val="4751A50B"/>
    <w:rsid w:val="47ACD458"/>
    <w:rsid w:val="47E533D7"/>
    <w:rsid w:val="47FDBE4F"/>
    <w:rsid w:val="482DE958"/>
    <w:rsid w:val="488579F7"/>
    <w:rsid w:val="49713AD8"/>
    <w:rsid w:val="498D265B"/>
    <w:rsid w:val="49B49649"/>
    <w:rsid w:val="49D76F99"/>
    <w:rsid w:val="4A0244C6"/>
    <w:rsid w:val="4A5BB4F6"/>
    <w:rsid w:val="4AA833D8"/>
    <w:rsid w:val="4B34C36A"/>
    <w:rsid w:val="4D4397F5"/>
    <w:rsid w:val="4DD5A8F3"/>
    <w:rsid w:val="4DDBE73F"/>
    <w:rsid w:val="4E05CC75"/>
    <w:rsid w:val="4E12DDA2"/>
    <w:rsid w:val="4E6882F6"/>
    <w:rsid w:val="4E9EFF7C"/>
    <w:rsid w:val="4F9615FB"/>
    <w:rsid w:val="4F9C5E65"/>
    <w:rsid w:val="4FAC3742"/>
    <w:rsid w:val="500D863A"/>
    <w:rsid w:val="50640F3F"/>
    <w:rsid w:val="507847E6"/>
    <w:rsid w:val="50C15C9A"/>
    <w:rsid w:val="50FFDBDC"/>
    <w:rsid w:val="513D8186"/>
    <w:rsid w:val="51DDDB27"/>
    <w:rsid w:val="521D9A66"/>
    <w:rsid w:val="52CBA227"/>
    <w:rsid w:val="52E60BC5"/>
    <w:rsid w:val="52E9284E"/>
    <w:rsid w:val="53309964"/>
    <w:rsid w:val="53580F32"/>
    <w:rsid w:val="538F024B"/>
    <w:rsid w:val="53B108AF"/>
    <w:rsid w:val="53B59BBA"/>
    <w:rsid w:val="5419CE6D"/>
    <w:rsid w:val="5419D722"/>
    <w:rsid w:val="546011A2"/>
    <w:rsid w:val="54978BBC"/>
    <w:rsid w:val="5531D96F"/>
    <w:rsid w:val="5535CC27"/>
    <w:rsid w:val="5599921C"/>
    <w:rsid w:val="55B36D66"/>
    <w:rsid w:val="55D4594B"/>
    <w:rsid w:val="56694E7A"/>
    <w:rsid w:val="567EA767"/>
    <w:rsid w:val="571108EE"/>
    <w:rsid w:val="57A70CC1"/>
    <w:rsid w:val="58015171"/>
    <w:rsid w:val="580FAC0B"/>
    <w:rsid w:val="5863A399"/>
    <w:rsid w:val="5870E05B"/>
    <w:rsid w:val="58BD4C5E"/>
    <w:rsid w:val="58D25181"/>
    <w:rsid w:val="593C2E16"/>
    <w:rsid w:val="596D3A8D"/>
    <w:rsid w:val="5998885B"/>
    <w:rsid w:val="59D5DF25"/>
    <w:rsid w:val="5A16E594"/>
    <w:rsid w:val="5ADAECAF"/>
    <w:rsid w:val="5AFC1816"/>
    <w:rsid w:val="5B356673"/>
    <w:rsid w:val="5B35BC1E"/>
    <w:rsid w:val="5B43ECEA"/>
    <w:rsid w:val="5B9E135D"/>
    <w:rsid w:val="5BA67B19"/>
    <w:rsid w:val="5BEC23F6"/>
    <w:rsid w:val="5C3DDD25"/>
    <w:rsid w:val="5C3E9A46"/>
    <w:rsid w:val="5C84FB56"/>
    <w:rsid w:val="5C9C63F1"/>
    <w:rsid w:val="5CD35AAF"/>
    <w:rsid w:val="5CF36CDD"/>
    <w:rsid w:val="5D1CA7EB"/>
    <w:rsid w:val="5DCC8AB7"/>
    <w:rsid w:val="5E213862"/>
    <w:rsid w:val="5E54923C"/>
    <w:rsid w:val="5E54C239"/>
    <w:rsid w:val="5EB49B33"/>
    <w:rsid w:val="5F0FD670"/>
    <w:rsid w:val="5F3939E2"/>
    <w:rsid w:val="5F49F9E4"/>
    <w:rsid w:val="5F952724"/>
    <w:rsid w:val="5FC880FD"/>
    <w:rsid w:val="5FD91DBC"/>
    <w:rsid w:val="6027E13B"/>
    <w:rsid w:val="603ECE79"/>
    <w:rsid w:val="60CCADD9"/>
    <w:rsid w:val="60E44136"/>
    <w:rsid w:val="6111C11C"/>
    <w:rsid w:val="61306C39"/>
    <w:rsid w:val="6145B55F"/>
    <w:rsid w:val="6198B0AB"/>
    <w:rsid w:val="61A7BFE8"/>
    <w:rsid w:val="61AA0E6F"/>
    <w:rsid w:val="61CA03B2"/>
    <w:rsid w:val="62133F3A"/>
    <w:rsid w:val="62329F33"/>
    <w:rsid w:val="625DA0E4"/>
    <w:rsid w:val="62E829C7"/>
    <w:rsid w:val="62F4D0EA"/>
    <w:rsid w:val="632F67A5"/>
    <w:rsid w:val="63440E8C"/>
    <w:rsid w:val="63CA7274"/>
    <w:rsid w:val="6409F5DE"/>
    <w:rsid w:val="643F52B4"/>
    <w:rsid w:val="64DBEF7C"/>
    <w:rsid w:val="656C6756"/>
    <w:rsid w:val="664E1496"/>
    <w:rsid w:val="6652E0B4"/>
    <w:rsid w:val="665B9A14"/>
    <w:rsid w:val="66C4B117"/>
    <w:rsid w:val="66E3362D"/>
    <w:rsid w:val="66EA43EB"/>
    <w:rsid w:val="67D8343F"/>
    <w:rsid w:val="68721D09"/>
    <w:rsid w:val="689DD8B8"/>
    <w:rsid w:val="68B15D8F"/>
    <w:rsid w:val="68CD62E4"/>
    <w:rsid w:val="6A347FCC"/>
    <w:rsid w:val="6A4CB02F"/>
    <w:rsid w:val="6A4F338E"/>
    <w:rsid w:val="6A52A82D"/>
    <w:rsid w:val="6A5F8F6E"/>
    <w:rsid w:val="6A8F2FE0"/>
    <w:rsid w:val="6AA63301"/>
    <w:rsid w:val="6ADC9956"/>
    <w:rsid w:val="6B2FDC00"/>
    <w:rsid w:val="6B9AD1CA"/>
    <w:rsid w:val="6BE1F6B6"/>
    <w:rsid w:val="6C38A5C6"/>
    <w:rsid w:val="6C4E782A"/>
    <w:rsid w:val="6C8822D6"/>
    <w:rsid w:val="6D526F81"/>
    <w:rsid w:val="6D99062F"/>
    <w:rsid w:val="6DA1CD70"/>
    <w:rsid w:val="6E740595"/>
    <w:rsid w:val="6E8ECEDA"/>
    <w:rsid w:val="6EA11E1C"/>
    <w:rsid w:val="6EED8698"/>
    <w:rsid w:val="6F59B755"/>
    <w:rsid w:val="707BCEF0"/>
    <w:rsid w:val="71766C4B"/>
    <w:rsid w:val="71DC4CE3"/>
    <w:rsid w:val="720BEF3E"/>
    <w:rsid w:val="72F1A55D"/>
    <w:rsid w:val="73124C62"/>
    <w:rsid w:val="73AADE0F"/>
    <w:rsid w:val="73C57A3E"/>
    <w:rsid w:val="744BB33E"/>
    <w:rsid w:val="7452B508"/>
    <w:rsid w:val="74627639"/>
    <w:rsid w:val="74AA6D54"/>
    <w:rsid w:val="7546A0AD"/>
    <w:rsid w:val="763B537E"/>
    <w:rsid w:val="765CF6CD"/>
    <w:rsid w:val="7682B125"/>
    <w:rsid w:val="76D7492C"/>
    <w:rsid w:val="76E041AD"/>
    <w:rsid w:val="7752C06E"/>
    <w:rsid w:val="77BCF82F"/>
    <w:rsid w:val="77E7BE21"/>
    <w:rsid w:val="7806EC0B"/>
    <w:rsid w:val="7882232F"/>
    <w:rsid w:val="78862224"/>
    <w:rsid w:val="78C08149"/>
    <w:rsid w:val="78E08B08"/>
    <w:rsid w:val="793041C9"/>
    <w:rsid w:val="79557E30"/>
    <w:rsid w:val="79B0B222"/>
    <w:rsid w:val="79EC0A0C"/>
    <w:rsid w:val="7A0E58E9"/>
    <w:rsid w:val="7A69F385"/>
    <w:rsid w:val="7AA0791B"/>
    <w:rsid w:val="7B8F3F1A"/>
    <w:rsid w:val="7B993AA5"/>
    <w:rsid w:val="7B9CBD14"/>
    <w:rsid w:val="7BB35F31"/>
    <w:rsid w:val="7BC799C6"/>
    <w:rsid w:val="7CE716BF"/>
    <w:rsid w:val="7CF44644"/>
    <w:rsid w:val="7D1414E9"/>
    <w:rsid w:val="7D9A6730"/>
    <w:rsid w:val="7DBFFCE6"/>
    <w:rsid w:val="7DDB369F"/>
    <w:rsid w:val="7DEFE44C"/>
    <w:rsid w:val="7E0B7C0F"/>
    <w:rsid w:val="7EA29087"/>
    <w:rsid w:val="7F1437E3"/>
    <w:rsid w:val="7F59065E"/>
    <w:rsid w:val="7F8966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FE44C"/>
  <w15:chartTrackingRefBased/>
  <w15:docId w15:val="{EAE6E306-15A7-49FF-993C-B06BF1B41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BB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BA6BB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6BBF"/>
    <w:pPr>
      <w:spacing w:after="0" w:line="240" w:lineRule="auto"/>
    </w:pPr>
    <w:rPr>
      <w:sz w:val="22"/>
      <w:szCs w:val="22"/>
      <w:lang w:val="en-GB" w:eastAsia="en-GB"/>
    </w:rPr>
  </w:style>
  <w:style w:type="character" w:customStyle="1" w:styleId="NoSpacingChar">
    <w:name w:val="No Spacing Char"/>
    <w:basedOn w:val="DefaultParagraphFont"/>
    <w:link w:val="NoSpacing"/>
    <w:uiPriority w:val="1"/>
    <w:rsid w:val="00BA6BBF"/>
    <w:rPr>
      <w:sz w:val="22"/>
      <w:szCs w:val="22"/>
      <w:lang w:val="en-GB" w:eastAsia="en-GB"/>
    </w:rPr>
  </w:style>
  <w:style w:type="character" w:customStyle="1" w:styleId="Heading1Char">
    <w:name w:val="Heading 1 Char"/>
    <w:basedOn w:val="DefaultParagraphFont"/>
    <w:link w:val="Heading1"/>
    <w:uiPriority w:val="9"/>
    <w:rsid w:val="00BA6BBF"/>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BA6BBF"/>
    <w:pPr>
      <w:spacing w:line="259" w:lineRule="auto"/>
      <w:outlineLvl w:val="9"/>
    </w:pPr>
    <w:rPr>
      <w:lang w:val="en-GB" w:eastAsia="en-GB"/>
    </w:rPr>
  </w:style>
  <w:style w:type="character" w:customStyle="1" w:styleId="Heading2Char">
    <w:name w:val="Heading 2 Char"/>
    <w:basedOn w:val="DefaultParagraphFont"/>
    <w:link w:val="Heading2"/>
    <w:uiPriority w:val="9"/>
    <w:rsid w:val="00BA6BBF"/>
    <w:rPr>
      <w:rFonts w:asciiTheme="majorHAnsi" w:eastAsiaTheme="majorEastAsia" w:hAnsiTheme="majorHAnsi" w:cstheme="majorBidi"/>
      <w:color w:val="0F4761" w:themeColor="accent1" w:themeShade="BF"/>
      <w:sz w:val="26"/>
      <w:szCs w:val="26"/>
    </w:rPr>
  </w:style>
  <w:style w:type="paragraph" w:styleId="TOC1">
    <w:name w:val="toc 1"/>
    <w:basedOn w:val="Normal"/>
    <w:next w:val="Normal"/>
    <w:autoRedefine/>
    <w:uiPriority w:val="39"/>
    <w:unhideWhenUsed/>
    <w:rsid w:val="006466BF"/>
    <w:pPr>
      <w:spacing w:after="100"/>
    </w:pPr>
  </w:style>
  <w:style w:type="paragraph" w:styleId="TOC2">
    <w:name w:val="toc 2"/>
    <w:basedOn w:val="Normal"/>
    <w:next w:val="Normal"/>
    <w:autoRedefine/>
    <w:uiPriority w:val="39"/>
    <w:unhideWhenUsed/>
    <w:rsid w:val="006466BF"/>
    <w:pPr>
      <w:spacing w:after="100"/>
      <w:ind w:left="240"/>
    </w:pPr>
  </w:style>
  <w:style w:type="character" w:styleId="Hyperlink">
    <w:name w:val="Hyperlink"/>
    <w:basedOn w:val="DefaultParagraphFont"/>
    <w:uiPriority w:val="99"/>
    <w:unhideWhenUsed/>
    <w:rsid w:val="006466BF"/>
    <w:rPr>
      <w:color w:val="467886" w:themeColor="hyperlink"/>
      <w:u w:val="single"/>
    </w:rPr>
  </w:style>
  <w:style w:type="paragraph" w:styleId="Header">
    <w:name w:val="header"/>
    <w:basedOn w:val="Normal"/>
    <w:link w:val="HeaderChar"/>
    <w:uiPriority w:val="99"/>
    <w:unhideWhenUsed/>
    <w:rsid w:val="00BE1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80A"/>
  </w:style>
  <w:style w:type="paragraph" w:styleId="Footer">
    <w:name w:val="footer"/>
    <w:basedOn w:val="Normal"/>
    <w:link w:val="FooterChar"/>
    <w:uiPriority w:val="99"/>
    <w:unhideWhenUsed/>
    <w:rsid w:val="00BE1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8F9F3-D2F3-4DD4-989D-CB1E8350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3514</Words>
  <Characters>20030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Reform in England and Wales: Assessing the Implications of Nationalisation for Contemporary Policing Practice</dc:title>
  <dc:subject/>
  <dc:creator>Kendra Wedgwood</dc:creator>
  <cp:keywords/>
  <dc:description/>
  <cp:lastModifiedBy>Wedgwood, Kendra 5550</cp:lastModifiedBy>
  <cp:revision>20</cp:revision>
  <cp:lastPrinted>2026-04-17T21:59:00Z</cp:lastPrinted>
  <dcterms:created xsi:type="dcterms:W3CDTF">2026-04-17T22:05:00Z</dcterms:created>
  <dcterms:modified xsi:type="dcterms:W3CDTF">2026-04-18T21:02:00Z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2026-04-06T13:34:45Z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3e727c02-eae0-4bed-a0a8-6d2204216068</vt:lpwstr>
  </property>
  <property fmtid="{D5CDD505-2E9C-101B-9397-08002B2CF9AE}" pid="8" name="MSIP_Label_f529d828-a824-4b78-ab24-eaae5922aa38_ContentBits">
    <vt:lpwstr>0</vt:lpwstr>
  </property>
  <property fmtid="{D5CDD505-2E9C-101B-9397-08002B2CF9AE}" pid="9" name="MSIP_Label_f529d828-a824-4b78-ab24-eaae5922aa38_Tag">
    <vt:lpwstr>10, 3, 0, 2</vt:lpwstr>
  </property>
</Properties>
</file>