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924EE" w:rsidRDefault="001924EE" w:rsidP="001924EE">
      <w:pPr>
        <w:jc w:val="center"/>
        <w:rPr>
          <w:i/>
        </w:rPr>
      </w:pPr>
      <w:r>
        <w:rPr>
          <w:i/>
        </w:rPr>
        <w:t>‘What were the burial customs of the Classical Athenians?’</w:t>
      </w:r>
    </w:p>
    <w:p w:rsidR="001924EE" w:rsidRDefault="006744F9" w:rsidP="001924EE">
      <w:r>
        <w:t xml:space="preserve">Burial in Classical Athens followed a very strict and systematic </w:t>
      </w:r>
      <w:r w:rsidR="00535690">
        <w:t>format. The way that a burial was done was different during the classical period compared to the extravagance of the archaic or Hellenistic period</w:t>
      </w:r>
      <w:r w:rsidR="00535690">
        <w:rPr>
          <w:rStyle w:val="FootnoteReference"/>
        </w:rPr>
        <w:footnoteReference w:id="1"/>
      </w:r>
      <w:r w:rsidR="00374053">
        <w:t>. The burial was done in this way to appease the god</w:t>
      </w:r>
      <w:r w:rsidR="005C58AE">
        <w:t>s</w:t>
      </w:r>
      <w:r w:rsidR="006E66E6">
        <w:t xml:space="preserve">, something which </w:t>
      </w:r>
      <w:r w:rsidR="005C58AE">
        <w:t>was</w:t>
      </w:r>
      <w:r w:rsidR="006E66E6">
        <w:t xml:space="preserve"> above the law of mortals in Classical Greece</w:t>
      </w:r>
      <w:r w:rsidR="006E66E6">
        <w:rPr>
          <w:rStyle w:val="FootnoteReference"/>
        </w:rPr>
        <w:footnoteReference w:id="2"/>
      </w:r>
      <w:r w:rsidR="006E66E6">
        <w:t>.</w:t>
      </w:r>
    </w:p>
    <w:p w:rsidR="006E66E6" w:rsidRDefault="00E213A7" w:rsidP="001924EE">
      <w:r>
        <w:t>There are three s</w:t>
      </w:r>
      <w:r w:rsidR="005C58AE">
        <w:t>tep</w:t>
      </w:r>
      <w:r>
        <w:t xml:space="preserve">s to the funeral </w:t>
      </w:r>
      <w:r w:rsidR="00E42C90">
        <w:t>ritual in Classical Athens</w:t>
      </w:r>
      <w:r w:rsidR="00E42C90">
        <w:rPr>
          <w:rStyle w:val="FootnoteReference"/>
        </w:rPr>
        <w:footnoteReference w:id="3"/>
      </w:r>
      <w:r w:rsidR="00B30FD6">
        <w:t>. Firstly, there is the process in which the corpse is washed, anointed, and then wrapped in a white shroud before being laid on a bed</w:t>
      </w:r>
      <w:r w:rsidR="00B30FD6">
        <w:rPr>
          <w:rStyle w:val="FootnoteReference"/>
        </w:rPr>
        <w:footnoteReference w:id="4"/>
      </w:r>
      <w:r w:rsidR="00B30FD6">
        <w:t xml:space="preserve">. </w:t>
      </w:r>
      <w:r w:rsidR="00B30FD6" w:rsidRPr="00B30FD6">
        <w:rPr>
          <w:i/>
        </w:rPr>
        <w:t>Prothesis</w:t>
      </w:r>
      <w:r w:rsidR="00B30FD6">
        <w:rPr>
          <w:i/>
        </w:rPr>
        <w:t xml:space="preserve"> </w:t>
      </w:r>
      <w:r w:rsidR="00B30FD6">
        <w:t>is the term used for the next part of the ritual in which the body is kept on the table for a day whilst the women weep over the body</w:t>
      </w:r>
      <w:r w:rsidR="00B30FD6">
        <w:rPr>
          <w:rStyle w:val="FootnoteReference"/>
        </w:rPr>
        <w:footnoteReference w:id="5"/>
      </w:r>
      <w:r w:rsidR="00B30FD6">
        <w:t>. An example of this mourning can be seen on a black figure plaque titled ‘The Prothesis’ wh</w:t>
      </w:r>
      <w:r w:rsidR="00825FB2">
        <w:t>ich depicts the procedure</w:t>
      </w:r>
      <w:r w:rsidR="00B30FD6">
        <w:rPr>
          <w:rStyle w:val="FootnoteReference"/>
        </w:rPr>
        <w:footnoteReference w:id="6"/>
      </w:r>
      <w:r w:rsidR="00825FB2">
        <w:t xml:space="preserve">. After this, there is then the process of </w:t>
      </w:r>
      <w:proofErr w:type="spellStart"/>
      <w:r w:rsidR="00825FB2">
        <w:rPr>
          <w:i/>
        </w:rPr>
        <w:t>ekphora</w:t>
      </w:r>
      <w:proofErr w:type="spellEnd"/>
      <w:r w:rsidR="000133E8">
        <w:rPr>
          <w:i/>
        </w:rPr>
        <w:t xml:space="preserve"> </w:t>
      </w:r>
      <w:r w:rsidR="000133E8">
        <w:t>which was where the corpse was carried to a pyre and set alight</w:t>
      </w:r>
      <w:r w:rsidR="000133E8">
        <w:rPr>
          <w:rStyle w:val="FootnoteReference"/>
          <w:i/>
        </w:rPr>
        <w:footnoteReference w:id="7"/>
      </w:r>
      <w:r w:rsidR="000133E8">
        <w:t xml:space="preserve">. Then, the </w:t>
      </w:r>
      <w:r w:rsidR="005C58AE">
        <w:t>ash</w:t>
      </w:r>
      <w:r w:rsidR="000133E8">
        <w:t xml:space="preserve"> is then placed in an urn and buried</w:t>
      </w:r>
      <w:r w:rsidR="000133E8">
        <w:rPr>
          <w:rStyle w:val="FootnoteReference"/>
        </w:rPr>
        <w:footnoteReference w:id="8"/>
      </w:r>
      <w:r w:rsidR="000133E8">
        <w:t xml:space="preserve">. Depending on your status, the </w:t>
      </w:r>
      <w:r w:rsidR="00C24092">
        <w:t>burial mound may have been simply a pit, a hole with stones laid around it, or a tomb, but the ashes always resided in an urn</w:t>
      </w:r>
      <w:r w:rsidR="00C24092">
        <w:rPr>
          <w:rStyle w:val="FootnoteReference"/>
        </w:rPr>
        <w:footnoteReference w:id="9"/>
      </w:r>
      <w:r w:rsidR="00C24092">
        <w:t>.</w:t>
      </w:r>
      <w:r w:rsidR="000133E8">
        <w:t xml:space="preserve"> An example of the Classical Athenian </w:t>
      </w:r>
      <w:proofErr w:type="spellStart"/>
      <w:r w:rsidR="000133E8" w:rsidRPr="000133E8">
        <w:rPr>
          <w:i/>
        </w:rPr>
        <w:t>ekphora</w:t>
      </w:r>
      <w:proofErr w:type="spellEnd"/>
      <w:r w:rsidR="000133E8">
        <w:t xml:space="preserve"> can be found on the Sappho Painter’s Loutrophoros Amphora which shows the burial of the ashes after cremation</w:t>
      </w:r>
      <w:r w:rsidR="000133E8">
        <w:rPr>
          <w:rStyle w:val="FootnoteReference"/>
        </w:rPr>
        <w:footnoteReference w:id="10"/>
      </w:r>
      <w:r w:rsidR="000133E8">
        <w:t xml:space="preserve">. </w:t>
      </w:r>
      <w:r w:rsidR="00C24092">
        <w:t>The Classical Athenian burial customs differ from the Archaic and Hellenistic customs due to their simplicity for, during the classical period, the extravagance of the procedure was</w:t>
      </w:r>
      <w:r w:rsidR="00CD2889">
        <w:t xml:space="preserve"> reduced</w:t>
      </w:r>
      <w:r w:rsidR="00C24092">
        <w:rPr>
          <w:rStyle w:val="FootnoteReference"/>
        </w:rPr>
        <w:footnoteReference w:id="11"/>
      </w:r>
      <w:r w:rsidR="008840B9">
        <w:t>. Whilst during the Archaic period, people mourned the loss for three days, in the classical period it became one day</w:t>
      </w:r>
      <w:r w:rsidR="008840B9">
        <w:rPr>
          <w:rStyle w:val="FootnoteReference"/>
        </w:rPr>
        <w:footnoteReference w:id="12"/>
      </w:r>
      <w:r w:rsidR="008840B9">
        <w:t>, public mourning was also prohibited by the end of the archaic period, so the journey from the house of mourning to the pyre was done in silence during the morning</w:t>
      </w:r>
      <w:r w:rsidR="008840B9">
        <w:rPr>
          <w:rStyle w:val="FootnoteReference"/>
        </w:rPr>
        <w:footnoteReference w:id="13"/>
      </w:r>
      <w:r w:rsidR="008840B9">
        <w:t xml:space="preserve">. </w:t>
      </w:r>
      <w:r w:rsidR="00F46A1D">
        <w:t>After the procession had finished, there would have been a funeral meal and, depending on household income, funeral games</w:t>
      </w:r>
      <w:r w:rsidR="00F46A1D">
        <w:rPr>
          <w:rStyle w:val="FootnoteReference"/>
        </w:rPr>
        <w:footnoteReference w:id="14"/>
      </w:r>
      <w:r w:rsidR="00F46A1D">
        <w:t>. The cutbacks on expenditure made it much easier for poorer households to hold funerals</w:t>
      </w:r>
      <w:r w:rsidR="00F46A1D">
        <w:rPr>
          <w:rStyle w:val="FootnoteReference"/>
        </w:rPr>
        <w:footnoteReference w:id="15"/>
      </w:r>
      <w:r w:rsidR="00F46A1D">
        <w:t>. In Antigone by Sophocles, we can see how important the funeral customs are to the Ancient Greeks, for Antigone goes against man-made laws to follow customs that appease the gods</w:t>
      </w:r>
      <w:r w:rsidR="005C58AE">
        <w:t>, endangering her life in the process</w:t>
      </w:r>
      <w:r w:rsidR="005C58AE">
        <w:rPr>
          <w:rStyle w:val="FootnoteReference"/>
        </w:rPr>
        <w:footnoteReference w:id="16"/>
      </w:r>
      <w:r w:rsidR="005C58AE">
        <w:t>.</w:t>
      </w:r>
    </w:p>
    <w:p w:rsidR="005C58AE" w:rsidRDefault="005C58AE" w:rsidP="001924EE">
      <w:r>
        <w:t>In conclusion, Classical Athenians follow a burial ritual with three steps that are followed to appease the gods.</w:t>
      </w:r>
      <w:r w:rsidR="00E978C0">
        <w:t xml:space="preserve"> </w:t>
      </w:r>
    </w:p>
    <w:p w:rsidR="005C58AE" w:rsidRDefault="005C58AE" w:rsidP="001924EE"/>
    <w:p w:rsidR="005C58AE" w:rsidRDefault="005C58AE" w:rsidP="001924EE">
      <w:r>
        <w:t>Words: 54</w:t>
      </w:r>
      <w:r w:rsidR="00E978C0">
        <w:t>5</w:t>
      </w:r>
    </w:p>
    <w:p w:rsidR="00E978C0" w:rsidRDefault="00E978C0" w:rsidP="001924EE">
      <w:r>
        <w:rPr>
          <w:u w:val="single"/>
        </w:rPr>
        <w:lastRenderedPageBreak/>
        <w:t>Bibliography</w:t>
      </w:r>
    </w:p>
    <w:p w:rsidR="00E978C0" w:rsidRPr="00E978C0" w:rsidRDefault="00E978C0" w:rsidP="00E978C0">
      <w:r w:rsidRPr="00E978C0">
        <w:t>CLOSTERMAN, W.E., 2007. THE SAPPHO PAINTER'S LOUTROPHOROS AMPHORA (ATHENS, NM 450) AND ATHENIAN BURIAL RITUAL. Classical Bulletin, 83(1), pp. 49-64.</w:t>
      </w:r>
    </w:p>
    <w:p w:rsidR="00E978C0" w:rsidRPr="00E978C0" w:rsidRDefault="00E978C0" w:rsidP="00E978C0">
      <w:r w:rsidRPr="00E978C0">
        <w:t xml:space="preserve">Hauser, Stefan R. (Berlin) and </w:t>
      </w:r>
      <w:proofErr w:type="spellStart"/>
      <w:r w:rsidRPr="00E978C0">
        <w:t>Kierdorf</w:t>
      </w:r>
      <w:proofErr w:type="spellEnd"/>
      <w:r w:rsidRPr="00E978C0">
        <w:t xml:space="preserve">, Wilhelm (Cologne), “Burial”, in: Brill’s New Pauly, Antiquity volumes edited by: Hubert </w:t>
      </w:r>
      <w:proofErr w:type="spellStart"/>
      <w:r w:rsidRPr="00E978C0">
        <w:t>Cancik</w:t>
      </w:r>
      <w:proofErr w:type="spellEnd"/>
      <w:r w:rsidRPr="00E978C0">
        <w:t xml:space="preserve"> </w:t>
      </w:r>
      <w:proofErr w:type="gramStart"/>
      <w:r w:rsidRPr="00E978C0">
        <w:t>and ,</w:t>
      </w:r>
      <w:proofErr w:type="gramEnd"/>
      <w:r w:rsidRPr="00E978C0">
        <w:t xml:space="preserve"> Helmuth Schneider, English Edition by: Christine F. Salazar, Classical Tradition volumes edited by: Manfred </w:t>
      </w:r>
      <w:proofErr w:type="spellStart"/>
      <w:r w:rsidRPr="00E978C0">
        <w:t>Landfester</w:t>
      </w:r>
      <w:proofErr w:type="spellEnd"/>
      <w:r w:rsidRPr="00E978C0">
        <w:t xml:space="preserve">, English Edition by: Francis G. Gentry. Consulted online on 03 October 2018 </w:t>
      </w:r>
      <w:hyperlink r:id="rId7" w:history="1">
        <w:r w:rsidRPr="00E978C0">
          <w:rPr>
            <w:rStyle w:val="Hyperlink"/>
          </w:rPr>
          <w:t>http://dx.doi.org.ezproxy.uwtsd.ac.uk/10.1163/1574-9347_bnp_e215970</w:t>
        </w:r>
      </w:hyperlink>
      <w:r w:rsidRPr="00E978C0">
        <w:br/>
        <w:t>First published online: 2006</w:t>
      </w:r>
      <w:r w:rsidRPr="00E978C0">
        <w:br/>
        <w:t>First print edition: 9789004122598, 20110510</w:t>
      </w:r>
    </w:p>
    <w:p w:rsidR="00E978C0" w:rsidRPr="00E978C0" w:rsidRDefault="00E978C0" w:rsidP="00E978C0">
      <w:proofErr w:type="spellStart"/>
      <w:r w:rsidRPr="00E978C0">
        <w:t>Kierdorf</w:t>
      </w:r>
      <w:proofErr w:type="spellEnd"/>
      <w:r w:rsidRPr="00E978C0">
        <w:t>, Wilhelm (Cologne), “</w:t>
      </w:r>
      <w:proofErr w:type="spellStart"/>
      <w:r w:rsidRPr="00E978C0">
        <w:t>Ekphora</w:t>
      </w:r>
      <w:proofErr w:type="spellEnd"/>
      <w:r w:rsidRPr="00E978C0">
        <w:t xml:space="preserve">”, in: Brill’s New Pauly, Antiquity volumes edited by: Hubert </w:t>
      </w:r>
      <w:proofErr w:type="spellStart"/>
      <w:r w:rsidRPr="00E978C0">
        <w:t>Cancik</w:t>
      </w:r>
      <w:proofErr w:type="spellEnd"/>
      <w:r w:rsidRPr="00E978C0">
        <w:t xml:space="preserve"> </w:t>
      </w:r>
      <w:proofErr w:type="gramStart"/>
      <w:r w:rsidRPr="00E978C0">
        <w:t>and ,</w:t>
      </w:r>
      <w:proofErr w:type="gramEnd"/>
      <w:r w:rsidRPr="00E978C0">
        <w:t xml:space="preserve"> Helmuth Schneider, English Edition by: Christine F. Salazar, Classical Tradition volumes edited by: Manfred </w:t>
      </w:r>
      <w:proofErr w:type="spellStart"/>
      <w:r w:rsidRPr="00E978C0">
        <w:t>Landfester</w:t>
      </w:r>
      <w:proofErr w:type="spellEnd"/>
      <w:r w:rsidRPr="00E978C0">
        <w:t xml:space="preserve">, English Edition by: Francis G. Gentry. Consulted online on 03 October 2018 </w:t>
      </w:r>
      <w:hyperlink r:id="rId8" w:history="1">
        <w:r w:rsidRPr="00E978C0">
          <w:rPr>
            <w:rStyle w:val="Hyperlink"/>
          </w:rPr>
          <w:t>http://dx.doi.org.ezproxy.uwtsd.ac.uk/10.1163/1574-9347_bnp_e328100</w:t>
        </w:r>
      </w:hyperlink>
      <w:r w:rsidRPr="00E978C0">
        <w:br/>
        <w:t>First published online: 2006</w:t>
      </w:r>
      <w:r w:rsidRPr="00E978C0">
        <w:br/>
        <w:t>First print edition: 9789004122598, 20110510</w:t>
      </w:r>
    </w:p>
    <w:p w:rsidR="00E978C0" w:rsidRPr="00E978C0" w:rsidRDefault="00E978C0" w:rsidP="00E978C0">
      <w:proofErr w:type="spellStart"/>
      <w:r w:rsidRPr="00E978C0">
        <w:t>Kierdorf</w:t>
      </w:r>
      <w:proofErr w:type="spellEnd"/>
      <w:r w:rsidRPr="00E978C0">
        <w:t xml:space="preserve">, Wilhelm (Cologne), “Prothesis”, in: Brill’s New Pauly, Antiquity volumes edited by: Hubert </w:t>
      </w:r>
      <w:proofErr w:type="spellStart"/>
      <w:r w:rsidRPr="00E978C0">
        <w:t>Cancik</w:t>
      </w:r>
      <w:proofErr w:type="spellEnd"/>
      <w:r w:rsidRPr="00E978C0">
        <w:t xml:space="preserve"> </w:t>
      </w:r>
      <w:proofErr w:type="gramStart"/>
      <w:r w:rsidRPr="00E978C0">
        <w:t>and ,</w:t>
      </w:r>
      <w:proofErr w:type="gramEnd"/>
      <w:r w:rsidRPr="00E978C0">
        <w:t xml:space="preserve"> Helmuth Schneider, English Edition by: Christine F. Salazar, Classical Tradition volumes edited by: Manfred </w:t>
      </w:r>
      <w:proofErr w:type="spellStart"/>
      <w:r w:rsidRPr="00E978C0">
        <w:t>Landfester</w:t>
      </w:r>
      <w:proofErr w:type="spellEnd"/>
      <w:r w:rsidRPr="00E978C0">
        <w:t xml:space="preserve">, English Edition by: Francis G. Gentry. Consulted online on 03 October 2018 </w:t>
      </w:r>
      <w:hyperlink r:id="rId9" w:history="1">
        <w:r w:rsidRPr="00E978C0">
          <w:rPr>
            <w:rStyle w:val="Hyperlink"/>
          </w:rPr>
          <w:t>http://dx.doi.org.ezproxy.uwtsd.ac.uk/10.1163/1574-9347_bnp_e1011300</w:t>
        </w:r>
      </w:hyperlink>
      <w:r w:rsidRPr="00E978C0">
        <w:br/>
        <w:t>First published online: 2006</w:t>
      </w:r>
      <w:r w:rsidRPr="00E978C0">
        <w:br/>
        <w:t>First print edition: 9789004122598, 20110510</w:t>
      </w:r>
    </w:p>
    <w:p w:rsidR="00E978C0" w:rsidRPr="00E978C0" w:rsidRDefault="00E978C0" w:rsidP="00E978C0">
      <w:r w:rsidRPr="00E978C0">
        <w:t>Patterson, C. B. (2006) ‘The Place and Practice of Burial in Sophocles’ Athens’, Helios, 33, pp. 9–48. Available at: https://ezproxy.uwtsd.ac.uk/login?url=https://search.ebscohost.com/login.aspx?direct=true&amp;db=aph&amp;AN=23654139&amp;site=ehost-live (Accessed: 2 October 2018).</w:t>
      </w:r>
    </w:p>
    <w:p w:rsidR="00E978C0" w:rsidRPr="00E978C0" w:rsidRDefault="00E978C0" w:rsidP="00E978C0">
      <w:r w:rsidRPr="00E978C0">
        <w:t>Shapiro, H. (1991). The Iconography of Mourning in Athenian Art. American Journal of Archaeology, 95(4), 629-656. doi:10.2307/505896</w:t>
      </w:r>
    </w:p>
    <w:p w:rsidR="00E978C0" w:rsidRPr="00E978C0" w:rsidRDefault="00E978C0" w:rsidP="00E978C0">
      <w:r w:rsidRPr="00E978C0">
        <w:t xml:space="preserve">Sophocles. “Antigone”. R. </w:t>
      </w:r>
      <w:proofErr w:type="spellStart"/>
      <w:r w:rsidRPr="00E978C0">
        <w:t>Fagles</w:t>
      </w:r>
      <w:proofErr w:type="spellEnd"/>
      <w:r w:rsidRPr="00E978C0">
        <w:t xml:space="preserve"> (trans.). 1982. New York, USA</w:t>
      </w:r>
      <w:r>
        <w:t>.</w:t>
      </w:r>
      <w:bookmarkStart w:id="1" w:name="_GoBack"/>
      <w:bookmarkEnd w:id="1"/>
      <w:r w:rsidRPr="00E978C0">
        <w:t xml:space="preserve"> Lines 509-510</w:t>
      </w:r>
    </w:p>
    <w:p w:rsidR="00E978C0" w:rsidRPr="00E978C0" w:rsidRDefault="00E978C0" w:rsidP="001924EE">
      <w:pPr>
        <w:rPr>
          <w:sz w:val="20"/>
          <w:szCs w:val="20"/>
        </w:rPr>
      </w:pPr>
    </w:p>
    <w:sectPr w:rsidR="00E978C0" w:rsidRPr="00E978C0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64F3E" w:rsidRDefault="00564F3E" w:rsidP="001924EE">
      <w:pPr>
        <w:spacing w:after="0" w:line="240" w:lineRule="auto"/>
      </w:pPr>
      <w:r>
        <w:separator/>
      </w:r>
    </w:p>
  </w:endnote>
  <w:endnote w:type="continuationSeparator" w:id="0">
    <w:p w:rsidR="00564F3E" w:rsidRDefault="00564F3E" w:rsidP="001924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64F3E" w:rsidRDefault="00564F3E" w:rsidP="001924EE">
      <w:pPr>
        <w:spacing w:after="0" w:line="240" w:lineRule="auto"/>
      </w:pPr>
      <w:r>
        <w:separator/>
      </w:r>
    </w:p>
  </w:footnote>
  <w:footnote w:type="continuationSeparator" w:id="0">
    <w:p w:rsidR="00564F3E" w:rsidRDefault="00564F3E" w:rsidP="001924EE">
      <w:pPr>
        <w:spacing w:after="0" w:line="240" w:lineRule="auto"/>
      </w:pPr>
      <w:r>
        <w:continuationSeparator/>
      </w:r>
    </w:p>
  </w:footnote>
  <w:footnote w:id="1">
    <w:p w:rsidR="00535690" w:rsidRDefault="005356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Kierdorf</w:t>
      </w:r>
      <w:proofErr w:type="spellEnd"/>
      <w:r w:rsidR="00374053">
        <w:t>. 2006. Sec, Greece</w:t>
      </w:r>
      <w:r w:rsidR="00B30FD6">
        <w:t>. “Burial” in Brill’s New Pauly</w:t>
      </w:r>
    </w:p>
  </w:footnote>
  <w:footnote w:id="2">
    <w:p w:rsidR="006E66E6" w:rsidRDefault="006E66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26357617"/>
      <w:r>
        <w:t xml:space="preserve">Sophocles. </w:t>
      </w:r>
      <w:r w:rsidR="00B30FD6">
        <w:t>“</w:t>
      </w:r>
      <w:r>
        <w:t>Antigone</w:t>
      </w:r>
      <w:r w:rsidR="00B30FD6">
        <w:t>”</w:t>
      </w:r>
      <w:r>
        <w:t>. Lines 509-510</w:t>
      </w:r>
      <w:bookmarkEnd w:id="0"/>
    </w:p>
  </w:footnote>
  <w:footnote w:id="3">
    <w:p w:rsidR="00E42C90" w:rsidRDefault="00E42C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Kierdorf</w:t>
      </w:r>
      <w:proofErr w:type="spellEnd"/>
      <w:r>
        <w:t>. 2006. Sec, Greece</w:t>
      </w:r>
      <w:r w:rsidR="00B30FD6">
        <w:t>. “Burial” in Brill’s New Pauly</w:t>
      </w:r>
    </w:p>
  </w:footnote>
  <w:footnote w:id="4">
    <w:p w:rsidR="00B30FD6" w:rsidRDefault="00B30F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Kierdorf</w:t>
      </w:r>
      <w:proofErr w:type="spellEnd"/>
      <w:r>
        <w:t>. 2006. Sec, Greece</w:t>
      </w:r>
      <w:r>
        <w:t>. “Burial” in Brill’s New Pauly</w:t>
      </w:r>
    </w:p>
  </w:footnote>
  <w:footnote w:id="5">
    <w:p w:rsidR="00B30FD6" w:rsidRDefault="00B30F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B30FD6">
        <w:t>Kierdorf</w:t>
      </w:r>
      <w:proofErr w:type="spellEnd"/>
      <w:r>
        <w:t xml:space="preserve">. 2006. </w:t>
      </w:r>
      <w:r w:rsidRPr="00B30FD6">
        <w:t>“Prothesis”, in: Brill’s New Pauly</w:t>
      </w:r>
    </w:p>
  </w:footnote>
  <w:footnote w:id="6">
    <w:p w:rsidR="00B30FD6" w:rsidRDefault="00B30FD6">
      <w:pPr>
        <w:pStyle w:val="FootnoteText"/>
      </w:pPr>
      <w:r>
        <w:rPr>
          <w:rStyle w:val="FootnoteReference"/>
        </w:rPr>
        <w:footnoteRef/>
      </w:r>
      <w:r>
        <w:t xml:space="preserve"> Shap</w:t>
      </w:r>
      <w:r w:rsidR="00825FB2">
        <w:t xml:space="preserve">iro. 1991. “The Iconography of Mourning in Athenian Art” </w:t>
      </w:r>
      <w:proofErr w:type="spellStart"/>
      <w:r w:rsidR="00825FB2">
        <w:t>pg</w:t>
      </w:r>
      <w:proofErr w:type="spellEnd"/>
      <w:r w:rsidR="00825FB2">
        <w:t xml:space="preserve"> 630 fig 1</w:t>
      </w:r>
    </w:p>
  </w:footnote>
  <w:footnote w:id="7">
    <w:p w:rsidR="000133E8" w:rsidRDefault="000133E8" w:rsidP="000133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133E8">
        <w:t>Kierdorf</w:t>
      </w:r>
      <w:proofErr w:type="spellEnd"/>
      <w:r>
        <w:t>. 2006.</w:t>
      </w:r>
      <w:r w:rsidRPr="000133E8">
        <w:t xml:space="preserve"> “</w:t>
      </w:r>
      <w:proofErr w:type="spellStart"/>
      <w:r w:rsidRPr="000133E8">
        <w:t>Ekphora</w:t>
      </w:r>
      <w:proofErr w:type="spellEnd"/>
      <w:r w:rsidRPr="000133E8">
        <w:t>” in: Brill’s New Pauly</w:t>
      </w:r>
    </w:p>
  </w:footnote>
  <w:footnote w:id="8">
    <w:p w:rsidR="000133E8" w:rsidRDefault="000133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Kierdorf</w:t>
      </w:r>
      <w:proofErr w:type="spellEnd"/>
      <w:r>
        <w:t>. 2006. Sec, Greece. “Burial” in Brill’s New Pauly</w:t>
      </w:r>
    </w:p>
  </w:footnote>
  <w:footnote w:id="9">
    <w:p w:rsidR="00C24092" w:rsidRDefault="00C24092">
      <w:pPr>
        <w:pStyle w:val="FootnoteText"/>
      </w:pPr>
      <w:r>
        <w:rPr>
          <w:rStyle w:val="FootnoteReference"/>
        </w:rPr>
        <w:footnoteRef/>
      </w:r>
      <w:r>
        <w:t xml:space="preserve"> Burkert. 1977. “Greek Religion”. </w:t>
      </w:r>
      <w:proofErr w:type="spellStart"/>
      <w:r>
        <w:t>Pg</w:t>
      </w:r>
      <w:proofErr w:type="spellEnd"/>
      <w:r>
        <w:t xml:space="preserve"> 191</w:t>
      </w:r>
    </w:p>
  </w:footnote>
  <w:footnote w:id="10">
    <w:p w:rsidR="000133E8" w:rsidRPr="000133E8" w:rsidRDefault="000133E8" w:rsidP="000133E8">
      <w:pPr>
        <w:pStyle w:val="NormalWeb"/>
        <w:shd w:val="clear" w:color="auto" w:fill="FFFFFF"/>
        <w:spacing w:before="0" w:beforeAutospacing="0" w:after="158" w:afterAutospacing="0"/>
        <w:rPr>
          <w:rFonts w:ascii="Verdana" w:hAnsi="Verdana"/>
          <w:color w:val="555555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Theme="minorHAnsi" w:hAnsiTheme="minorHAnsi" w:cstheme="minorHAnsi"/>
          <w:sz w:val="20"/>
        </w:rPr>
        <w:t>C</w:t>
      </w:r>
      <w:r w:rsidRPr="000133E8">
        <w:rPr>
          <w:rFonts w:asciiTheme="minorHAnsi" w:hAnsiTheme="minorHAnsi" w:cstheme="minorHAnsi"/>
          <w:sz w:val="20"/>
        </w:rPr>
        <w:t>losterman</w:t>
      </w:r>
      <w:proofErr w:type="spellEnd"/>
      <w:r>
        <w:rPr>
          <w:rFonts w:asciiTheme="minorHAnsi" w:hAnsiTheme="minorHAnsi" w:cstheme="minorHAnsi"/>
          <w:sz w:val="20"/>
        </w:rPr>
        <w:t>.</w:t>
      </w:r>
      <w:r w:rsidRPr="000133E8">
        <w:rPr>
          <w:rFonts w:asciiTheme="minorHAnsi" w:hAnsiTheme="minorHAnsi" w:cstheme="minorHAnsi"/>
          <w:sz w:val="20"/>
        </w:rPr>
        <w:t xml:space="preserve"> 2007. The Sappho Painter's Loutrophoros Amphora (Athens, Nm 450) And Athenian Burial Ritual. P</w:t>
      </w:r>
      <w:r>
        <w:rPr>
          <w:rFonts w:asciiTheme="minorHAnsi" w:hAnsiTheme="minorHAnsi" w:cstheme="minorHAnsi"/>
          <w:sz w:val="20"/>
        </w:rPr>
        <w:t>g</w:t>
      </w:r>
      <w:r w:rsidRPr="000133E8">
        <w:rPr>
          <w:rFonts w:asciiTheme="minorHAnsi" w:hAnsiTheme="minorHAnsi" w:cstheme="minorHAnsi"/>
          <w:sz w:val="20"/>
        </w:rPr>
        <w:t>. 49.</w:t>
      </w:r>
      <w:r w:rsidR="008840B9">
        <w:rPr>
          <w:rFonts w:asciiTheme="minorHAnsi" w:hAnsiTheme="minorHAnsi" w:cstheme="minorHAnsi"/>
          <w:sz w:val="20"/>
        </w:rPr>
        <w:t xml:space="preserve"> Fig 1</w:t>
      </w:r>
    </w:p>
  </w:footnote>
  <w:footnote w:id="11">
    <w:p w:rsidR="00C24092" w:rsidRDefault="00C240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133E8">
        <w:t>Kierdorf</w:t>
      </w:r>
      <w:proofErr w:type="spellEnd"/>
      <w:r>
        <w:t>. 2006.</w:t>
      </w:r>
      <w:r w:rsidRPr="000133E8">
        <w:t xml:space="preserve"> “</w:t>
      </w:r>
      <w:proofErr w:type="spellStart"/>
      <w:r w:rsidRPr="000133E8">
        <w:t>Ekphora</w:t>
      </w:r>
      <w:proofErr w:type="spellEnd"/>
      <w:r w:rsidRPr="000133E8">
        <w:t>” in: Brill’s New Pauly</w:t>
      </w:r>
    </w:p>
  </w:footnote>
  <w:footnote w:id="12">
    <w:p w:rsidR="008840B9" w:rsidRDefault="008840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133E8">
        <w:t>Kierdorf</w:t>
      </w:r>
      <w:proofErr w:type="spellEnd"/>
      <w:r>
        <w:t>. 2006.</w:t>
      </w:r>
      <w:r w:rsidRPr="000133E8">
        <w:t xml:space="preserve"> “</w:t>
      </w:r>
      <w:proofErr w:type="spellStart"/>
      <w:r w:rsidRPr="000133E8">
        <w:t>Ekphora</w:t>
      </w:r>
      <w:proofErr w:type="spellEnd"/>
      <w:r w:rsidRPr="000133E8">
        <w:t>” in: Brill’s New Pauly</w:t>
      </w:r>
    </w:p>
  </w:footnote>
  <w:footnote w:id="13">
    <w:p w:rsidR="008840B9" w:rsidRDefault="008840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133E8">
        <w:t>Kierdorf</w:t>
      </w:r>
      <w:proofErr w:type="spellEnd"/>
      <w:r>
        <w:t>. 2006.</w:t>
      </w:r>
      <w:r w:rsidRPr="000133E8">
        <w:t xml:space="preserve"> “</w:t>
      </w:r>
      <w:proofErr w:type="spellStart"/>
      <w:r w:rsidRPr="000133E8">
        <w:t>Ekphora</w:t>
      </w:r>
      <w:proofErr w:type="spellEnd"/>
      <w:r w:rsidRPr="000133E8">
        <w:t>” in: Brill’s New Pauly</w:t>
      </w:r>
    </w:p>
  </w:footnote>
  <w:footnote w:id="14">
    <w:p w:rsidR="00F46A1D" w:rsidRDefault="00F46A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Kierdorf</w:t>
      </w:r>
      <w:proofErr w:type="spellEnd"/>
      <w:r>
        <w:t>. 2006. Sec, Greece. “Burial” in Brill’s New Pauly</w:t>
      </w:r>
    </w:p>
  </w:footnote>
  <w:footnote w:id="15">
    <w:p w:rsidR="00F46A1D" w:rsidRDefault="00F46A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133E8">
        <w:t>Kierdorf</w:t>
      </w:r>
      <w:proofErr w:type="spellEnd"/>
      <w:r>
        <w:t>. 2006.</w:t>
      </w:r>
      <w:r w:rsidRPr="000133E8">
        <w:t xml:space="preserve"> “</w:t>
      </w:r>
      <w:proofErr w:type="spellStart"/>
      <w:r w:rsidRPr="000133E8">
        <w:t>Ekphora</w:t>
      </w:r>
      <w:proofErr w:type="spellEnd"/>
      <w:r w:rsidRPr="000133E8">
        <w:t>” in: Brill’s New Pauly</w:t>
      </w:r>
    </w:p>
  </w:footnote>
  <w:footnote w:id="16">
    <w:p w:rsidR="005C58AE" w:rsidRDefault="005C58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Sophocles. “Antigone”. Lines 509-510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924EE" w:rsidRDefault="001924EE">
    <w:pPr>
      <w:pStyle w:val="Header"/>
    </w:pPr>
    <w:r>
      <w:t>Hazel Dawn Carter – Assignment 5 – Due 03/10/18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4EE"/>
    <w:rsid w:val="000133E8"/>
    <w:rsid w:val="00041353"/>
    <w:rsid w:val="001924EE"/>
    <w:rsid w:val="00374053"/>
    <w:rsid w:val="00535690"/>
    <w:rsid w:val="00564F3E"/>
    <w:rsid w:val="005C58AE"/>
    <w:rsid w:val="006744F9"/>
    <w:rsid w:val="006E66E6"/>
    <w:rsid w:val="00825FB2"/>
    <w:rsid w:val="008840B9"/>
    <w:rsid w:val="00B30FD6"/>
    <w:rsid w:val="00C24092"/>
    <w:rsid w:val="00CD2889"/>
    <w:rsid w:val="00E213A7"/>
    <w:rsid w:val="00E42C90"/>
    <w:rsid w:val="00E978C0"/>
    <w:rsid w:val="00F46A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00C6C"/>
  <w15:chartTrackingRefBased/>
  <w15:docId w15:val="{E21AE488-AF86-45DE-963D-A3A9E2FD7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924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24EE"/>
  </w:style>
  <w:style w:type="paragraph" w:styleId="Footer">
    <w:name w:val="footer"/>
    <w:basedOn w:val="Normal"/>
    <w:link w:val="FooterChar"/>
    <w:uiPriority w:val="99"/>
    <w:unhideWhenUsed/>
    <w:rsid w:val="001924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24EE"/>
  </w:style>
  <w:style w:type="paragraph" w:styleId="FootnoteText">
    <w:name w:val="footnote text"/>
    <w:basedOn w:val="Normal"/>
    <w:link w:val="FootnoteTextChar"/>
    <w:uiPriority w:val="99"/>
    <w:semiHidden/>
    <w:unhideWhenUsed/>
    <w:rsid w:val="0053569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3569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35690"/>
    <w:rPr>
      <w:vertAlign w:val="superscript"/>
    </w:rPr>
  </w:style>
  <w:style w:type="character" w:customStyle="1" w:styleId="citationitalic">
    <w:name w:val="citationitalic"/>
    <w:basedOn w:val="DefaultParagraphFont"/>
    <w:rsid w:val="00B30FD6"/>
  </w:style>
  <w:style w:type="paragraph" w:styleId="NormalWeb">
    <w:name w:val="Normal (Web)"/>
    <w:basedOn w:val="Normal"/>
    <w:uiPriority w:val="99"/>
    <w:unhideWhenUsed/>
    <w:rsid w:val="000133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978C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.ezproxy.uwtsd.ac.uk/10.1163/1574-9347_bnp_e328100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dx.doi.org.ezproxy.uwtsd.ac.uk/10.1163/1574-9347_bnp_e21597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dx.doi.org.ezproxy.uwtsd.ac.uk/10.1163/1574-9347_bnp_e10113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A9A6FCC-8279-4905-9BD6-20BF3321FA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2</Pages>
  <Words>693</Words>
  <Characters>3956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Dawn Carter</dc:creator>
  <cp:keywords/>
  <dc:description/>
  <cp:lastModifiedBy>Hazel Dawn Carter</cp:lastModifiedBy>
  <cp:revision>3</cp:revision>
  <dcterms:created xsi:type="dcterms:W3CDTF">2018-10-03T15:09:00Z</dcterms:created>
  <dcterms:modified xsi:type="dcterms:W3CDTF">2018-10-03T18:23:00Z</dcterms:modified>
</cp:coreProperties>
</file>