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1BD9" w:rsidRDefault="005232B6">
      <w:pPr>
        <w:pStyle w:val="Heading1"/>
        <w:jc w:val="center"/>
        <w:rPr>
          <w:sz w:val="26"/>
          <w:szCs w:val="26"/>
        </w:rPr>
      </w:pPr>
      <w:bookmarkStart w:id="0" w:name="_heading=h.3b34vizawzxx" w:colFirst="0" w:colLast="0"/>
      <w:bookmarkEnd w:id="0"/>
      <w:r>
        <w:rPr>
          <w:noProof/>
        </w:rPr>
        <w:drawing>
          <wp:anchor distT="0" distB="0" distL="114300" distR="114300" simplePos="0" relativeHeight="251658240" behindDoc="0" locked="0" layoutInCell="1" allowOverlap="1">
            <wp:simplePos x="0" y="0"/>
            <wp:positionH relativeFrom="column">
              <wp:posOffset>1911927</wp:posOffset>
            </wp:positionH>
            <wp:positionV relativeFrom="paragraph">
              <wp:posOffset>180109</wp:posOffset>
            </wp:positionV>
            <wp:extent cx="1964512" cy="886691"/>
            <wp:effectExtent l="19050" t="0" r="0" b="0"/>
            <wp:wrapNone/>
            <wp:docPr id="15"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1967505" cy="888042"/>
                    </a:xfrm>
                    <a:prstGeom prst="rect">
                      <a:avLst/>
                    </a:prstGeom>
                    <a:ln/>
                  </pic:spPr>
                </pic:pic>
              </a:graphicData>
            </a:graphic>
          </wp:anchor>
        </w:drawing>
      </w:r>
    </w:p>
    <w:p w:rsidR="00801BD9" w:rsidRDefault="00801BD9">
      <w:pPr>
        <w:pStyle w:val="normal0"/>
        <w:pBdr>
          <w:top w:val="nil"/>
          <w:left w:val="nil"/>
          <w:bottom w:val="nil"/>
          <w:right w:val="nil"/>
          <w:between w:val="nil"/>
        </w:pBdr>
        <w:rPr>
          <w:color w:val="000000"/>
        </w:rPr>
      </w:pPr>
    </w:p>
    <w:p w:rsidR="00801BD9" w:rsidRDefault="00801BD9">
      <w:pPr>
        <w:pStyle w:val="normal0"/>
        <w:pBdr>
          <w:top w:val="nil"/>
          <w:left w:val="nil"/>
          <w:bottom w:val="nil"/>
          <w:right w:val="nil"/>
          <w:between w:val="nil"/>
        </w:pBdr>
        <w:rPr>
          <w:color w:val="000000"/>
        </w:rPr>
      </w:pPr>
    </w:p>
    <w:p w:rsidR="00801BD9" w:rsidRDefault="00801BD9">
      <w:pPr>
        <w:pStyle w:val="normal0"/>
        <w:pBdr>
          <w:top w:val="nil"/>
          <w:left w:val="nil"/>
          <w:bottom w:val="nil"/>
          <w:right w:val="nil"/>
          <w:between w:val="nil"/>
        </w:pBdr>
        <w:rPr>
          <w:color w:val="000000"/>
        </w:rPr>
      </w:pPr>
    </w:p>
    <w:p w:rsidR="00801BD9" w:rsidRDefault="00801BD9">
      <w:pPr>
        <w:pStyle w:val="normal0"/>
        <w:pBdr>
          <w:top w:val="nil"/>
          <w:left w:val="nil"/>
          <w:bottom w:val="nil"/>
          <w:right w:val="nil"/>
          <w:between w:val="nil"/>
        </w:pBdr>
        <w:rPr>
          <w:color w:val="000000"/>
        </w:rPr>
      </w:pPr>
    </w:p>
    <w:p w:rsidR="00801BD9" w:rsidRDefault="005232B6">
      <w:pPr>
        <w:pStyle w:val="normal0"/>
        <w:pBdr>
          <w:top w:val="nil"/>
          <w:left w:val="nil"/>
          <w:bottom w:val="nil"/>
          <w:right w:val="nil"/>
          <w:between w:val="nil"/>
        </w:pBdr>
        <w:jc w:val="center"/>
        <w:rPr>
          <w:b/>
          <w:bCs/>
          <w:color w:val="000000"/>
          <w:sz w:val="36"/>
          <w:szCs w:val="36"/>
        </w:rPr>
      </w:pPr>
      <w:r>
        <w:rPr>
          <w:b/>
          <w:bCs/>
          <w:color w:val="000000"/>
          <w:sz w:val="36"/>
          <w:szCs w:val="36"/>
        </w:rPr>
        <w:t>Programme name: Master of Business Administration</w:t>
      </w:r>
    </w:p>
    <w:p w:rsidR="00801BD9" w:rsidRDefault="005232B6">
      <w:pPr>
        <w:pStyle w:val="normal0"/>
        <w:pBdr>
          <w:top w:val="nil"/>
          <w:left w:val="nil"/>
          <w:bottom w:val="nil"/>
          <w:right w:val="nil"/>
          <w:between w:val="nil"/>
        </w:pBdr>
        <w:jc w:val="center"/>
        <w:rPr>
          <w:b/>
          <w:bCs/>
          <w:color w:val="000000"/>
          <w:sz w:val="36"/>
          <w:szCs w:val="36"/>
        </w:rPr>
      </w:pPr>
      <w:r>
        <w:rPr>
          <w:b/>
          <w:bCs/>
          <w:color w:val="000000"/>
          <w:sz w:val="36"/>
          <w:szCs w:val="36"/>
        </w:rPr>
        <w:t>Module name: Business Development Proposal</w:t>
      </w:r>
    </w:p>
    <w:p w:rsidR="00801BD9" w:rsidRDefault="005232B6">
      <w:pPr>
        <w:pStyle w:val="normal0"/>
        <w:pBdr>
          <w:top w:val="nil"/>
          <w:left w:val="nil"/>
          <w:bottom w:val="nil"/>
          <w:right w:val="nil"/>
          <w:between w:val="nil"/>
        </w:pBdr>
        <w:jc w:val="center"/>
        <w:rPr>
          <w:b/>
          <w:bCs/>
          <w:color w:val="000000"/>
          <w:sz w:val="36"/>
          <w:szCs w:val="36"/>
        </w:rPr>
      </w:pPr>
      <w:r>
        <w:rPr>
          <w:b/>
          <w:bCs/>
          <w:color w:val="000000"/>
          <w:sz w:val="36"/>
          <w:szCs w:val="36"/>
        </w:rPr>
        <w:t>Module code: LCMB7037</w:t>
      </w:r>
    </w:p>
    <w:p w:rsidR="00801BD9" w:rsidRDefault="005232B6">
      <w:pPr>
        <w:pStyle w:val="normal0"/>
        <w:pBdr>
          <w:top w:val="nil"/>
          <w:left w:val="nil"/>
          <w:bottom w:val="nil"/>
          <w:right w:val="nil"/>
          <w:between w:val="nil"/>
        </w:pBdr>
        <w:jc w:val="center"/>
        <w:rPr>
          <w:b/>
          <w:bCs/>
          <w:color w:val="000000"/>
          <w:sz w:val="36"/>
          <w:szCs w:val="36"/>
        </w:rPr>
      </w:pPr>
      <w:r>
        <w:rPr>
          <w:b/>
          <w:bCs/>
          <w:color w:val="000000"/>
          <w:sz w:val="36"/>
          <w:szCs w:val="36"/>
        </w:rPr>
        <w:t>Assignment title: Business development proposal on EcoLoop Office</w:t>
      </w:r>
      <w:r w:rsidR="00E075FE">
        <w:rPr>
          <w:b/>
          <w:bCs/>
          <w:color w:val="000000"/>
          <w:sz w:val="36"/>
          <w:szCs w:val="36"/>
        </w:rPr>
        <w:t xml:space="preserve"> (Chapter 1 and 2)</w:t>
      </w:r>
    </w:p>
    <w:p w:rsidR="00801BD9" w:rsidRDefault="002A2E8D">
      <w:pPr>
        <w:pStyle w:val="normal0"/>
        <w:pBdr>
          <w:top w:val="nil"/>
          <w:left w:val="nil"/>
          <w:bottom w:val="nil"/>
          <w:right w:val="nil"/>
          <w:between w:val="nil"/>
        </w:pBdr>
        <w:jc w:val="center"/>
        <w:rPr>
          <w:b/>
          <w:bCs/>
          <w:color w:val="000000"/>
          <w:sz w:val="36"/>
          <w:szCs w:val="36"/>
        </w:rPr>
      </w:pPr>
      <w:r>
        <w:rPr>
          <w:b/>
          <w:bCs/>
          <w:color w:val="000000"/>
          <w:sz w:val="36"/>
          <w:szCs w:val="36"/>
        </w:rPr>
        <w:t>Supervisor’s Name</w:t>
      </w:r>
      <w:r w:rsidR="005232B6">
        <w:rPr>
          <w:b/>
          <w:bCs/>
          <w:color w:val="000000"/>
          <w:sz w:val="36"/>
          <w:szCs w:val="36"/>
        </w:rPr>
        <w:t>: Balendran Kandasamy</w:t>
      </w:r>
    </w:p>
    <w:p w:rsidR="00801BD9" w:rsidRDefault="005232B6">
      <w:pPr>
        <w:pStyle w:val="normal0"/>
        <w:pBdr>
          <w:top w:val="nil"/>
          <w:left w:val="nil"/>
          <w:bottom w:val="nil"/>
          <w:right w:val="nil"/>
          <w:between w:val="nil"/>
        </w:pBdr>
        <w:jc w:val="center"/>
        <w:rPr>
          <w:b/>
          <w:bCs/>
          <w:color w:val="000000"/>
          <w:sz w:val="36"/>
          <w:szCs w:val="36"/>
        </w:rPr>
      </w:pPr>
      <w:r>
        <w:rPr>
          <w:b/>
          <w:bCs/>
          <w:color w:val="000000"/>
          <w:sz w:val="36"/>
          <w:szCs w:val="36"/>
        </w:rPr>
        <w:t>Student ID &amp;</w:t>
      </w:r>
      <w:r>
        <w:rPr>
          <w:b/>
          <w:bCs/>
          <w:color w:val="000000"/>
          <w:sz w:val="36"/>
          <w:szCs w:val="36"/>
        </w:rPr>
        <w:t xml:space="preserve"> Name: Deep J. Viththani - 2508635</w:t>
      </w:r>
    </w:p>
    <w:p w:rsidR="00801BD9" w:rsidRDefault="005232B6">
      <w:pPr>
        <w:pStyle w:val="normal0"/>
        <w:pBdr>
          <w:top w:val="nil"/>
          <w:left w:val="nil"/>
          <w:bottom w:val="nil"/>
          <w:right w:val="nil"/>
          <w:between w:val="nil"/>
        </w:pBdr>
        <w:jc w:val="center"/>
        <w:rPr>
          <w:b/>
          <w:bCs/>
          <w:color w:val="000000"/>
          <w:sz w:val="36"/>
          <w:szCs w:val="36"/>
        </w:rPr>
      </w:pPr>
      <w:r>
        <w:rPr>
          <w:b/>
          <w:bCs/>
          <w:color w:val="000000"/>
          <w:sz w:val="36"/>
          <w:szCs w:val="36"/>
        </w:rPr>
        <w:t>Word Count: 1</w:t>
      </w:r>
      <w:r>
        <w:rPr>
          <w:b/>
          <w:bCs/>
          <w:sz w:val="36"/>
          <w:szCs w:val="36"/>
        </w:rPr>
        <w:t>422</w:t>
      </w:r>
    </w:p>
    <w:p w:rsidR="00801BD9" w:rsidRDefault="005232B6">
      <w:pPr>
        <w:pStyle w:val="normal0"/>
        <w:pBdr>
          <w:top w:val="nil"/>
          <w:left w:val="nil"/>
          <w:bottom w:val="nil"/>
          <w:right w:val="nil"/>
          <w:between w:val="nil"/>
        </w:pBdr>
        <w:jc w:val="center"/>
        <w:rPr>
          <w:b/>
          <w:bCs/>
          <w:color w:val="000000"/>
          <w:sz w:val="32"/>
          <w:szCs w:val="32"/>
        </w:rPr>
      </w:pPr>
      <w:r>
        <w:br w:type="page"/>
      </w:r>
    </w:p>
    <w:p w:rsidR="00801BD9" w:rsidRDefault="005232B6">
      <w:pPr>
        <w:pStyle w:val="normal0"/>
        <w:jc w:val="center"/>
        <w:rPr>
          <w:b/>
          <w:bCs/>
          <w:sz w:val="28"/>
          <w:szCs w:val="28"/>
        </w:rPr>
      </w:pPr>
      <w:r>
        <w:rPr>
          <w:b/>
          <w:bCs/>
          <w:sz w:val="28"/>
          <w:szCs w:val="28"/>
        </w:rPr>
        <w:lastRenderedPageBreak/>
        <w:t>Table of Contents</w:t>
      </w:r>
    </w:p>
    <w:sdt>
      <w:sdtPr>
        <w:id w:val="783044729"/>
        <w:docPartObj>
          <w:docPartGallery w:val="Table of Contents"/>
          <w:docPartUnique/>
        </w:docPartObj>
      </w:sdtPr>
      <w:sdtContent>
        <w:p w:rsidR="00E075FE" w:rsidRDefault="00801BD9">
          <w:pPr>
            <w:pStyle w:val="TOC1"/>
            <w:tabs>
              <w:tab w:val="right" w:leader="dot" w:pos="9350"/>
            </w:tabs>
            <w:rPr>
              <w:rStyle w:val="Hyperlink"/>
              <w:noProof/>
            </w:rPr>
          </w:pPr>
          <w:r>
            <w:fldChar w:fldCharType="begin"/>
          </w:r>
          <w:r w:rsidR="005232B6">
            <w:instrText xml:space="preserve"> TOC \h \u \z \t "Heading 1,1,Heading 2,2,Heading 3,3,"</w:instrText>
          </w:r>
          <w:r>
            <w:fldChar w:fldCharType="separate"/>
          </w:r>
          <w:hyperlink w:anchor="_Toc239110872" w:history="1">
            <w:r w:rsidR="00E075FE" w:rsidRPr="009C451B">
              <w:rPr>
                <w:rStyle w:val="Hyperlink"/>
                <w:noProof/>
              </w:rPr>
              <w:t>1. Introduction</w:t>
            </w:r>
            <w:r w:rsidR="00E075FE">
              <w:rPr>
                <w:noProof/>
                <w:webHidden/>
              </w:rPr>
              <w:tab/>
            </w:r>
            <w:r w:rsidR="00E075FE">
              <w:rPr>
                <w:noProof/>
                <w:webHidden/>
              </w:rPr>
              <w:fldChar w:fldCharType="begin"/>
            </w:r>
            <w:r w:rsidR="00E075FE">
              <w:rPr>
                <w:noProof/>
                <w:webHidden/>
              </w:rPr>
              <w:instrText xml:space="preserve"> PAGEREF _Toc239110872 \h </w:instrText>
            </w:r>
            <w:r w:rsidR="00E075FE">
              <w:rPr>
                <w:noProof/>
                <w:webHidden/>
              </w:rPr>
            </w:r>
            <w:r w:rsidR="00E075FE">
              <w:rPr>
                <w:noProof/>
                <w:webHidden/>
              </w:rPr>
              <w:fldChar w:fldCharType="separate"/>
            </w:r>
            <w:r w:rsidR="00E075FE">
              <w:rPr>
                <w:noProof/>
                <w:webHidden/>
              </w:rPr>
              <w:t>2</w:t>
            </w:r>
            <w:r w:rsidR="00E075FE">
              <w:rPr>
                <w:noProof/>
                <w:webHidden/>
              </w:rPr>
              <w:fldChar w:fldCharType="end"/>
            </w:r>
          </w:hyperlink>
        </w:p>
        <w:p w:rsidR="00E075FE" w:rsidRPr="00E075FE" w:rsidRDefault="00E075FE" w:rsidP="00E075FE">
          <w:pPr>
            <w:pStyle w:val="normal0"/>
            <w:rPr>
              <w:rFonts w:eastAsiaTheme="minorEastAsia"/>
            </w:rPr>
          </w:pPr>
          <w:r>
            <w:rPr>
              <w:rFonts w:eastAsiaTheme="minorEastAsia"/>
            </w:rPr>
            <w:t>1.1 Background and Context………………………………………………………………………2</w:t>
          </w:r>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73" w:history="1">
            <w:r w:rsidRPr="009C451B">
              <w:rPr>
                <w:rStyle w:val="Hyperlink"/>
                <w:noProof/>
              </w:rPr>
              <w:t>1.2 Problem / Opportunity Statement</w:t>
            </w:r>
            <w:r>
              <w:rPr>
                <w:noProof/>
                <w:webHidden/>
              </w:rPr>
              <w:tab/>
            </w:r>
            <w:r>
              <w:rPr>
                <w:noProof/>
                <w:webHidden/>
              </w:rPr>
              <w:fldChar w:fldCharType="begin"/>
            </w:r>
            <w:r>
              <w:rPr>
                <w:noProof/>
                <w:webHidden/>
              </w:rPr>
              <w:instrText xml:space="preserve"> PAGEREF _Toc239110873 \h </w:instrText>
            </w:r>
            <w:r>
              <w:rPr>
                <w:noProof/>
                <w:webHidden/>
              </w:rPr>
            </w:r>
            <w:r>
              <w:rPr>
                <w:noProof/>
                <w:webHidden/>
              </w:rPr>
              <w:fldChar w:fldCharType="separate"/>
            </w:r>
            <w:r>
              <w:rPr>
                <w:noProof/>
                <w:webHidden/>
              </w:rPr>
              <w:t>3</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74" w:history="1">
            <w:r w:rsidRPr="009C451B">
              <w:rPr>
                <w:rStyle w:val="Hyperlink"/>
                <w:noProof/>
              </w:rPr>
              <w:t>1.3 Initial Observation of Demand</w:t>
            </w:r>
            <w:r>
              <w:rPr>
                <w:noProof/>
                <w:webHidden/>
              </w:rPr>
              <w:tab/>
            </w:r>
            <w:r>
              <w:rPr>
                <w:noProof/>
                <w:webHidden/>
              </w:rPr>
              <w:fldChar w:fldCharType="begin"/>
            </w:r>
            <w:r>
              <w:rPr>
                <w:noProof/>
                <w:webHidden/>
              </w:rPr>
              <w:instrText xml:space="preserve"> PAGEREF _Toc239110874 \h </w:instrText>
            </w:r>
            <w:r>
              <w:rPr>
                <w:noProof/>
                <w:webHidden/>
              </w:rPr>
            </w:r>
            <w:r>
              <w:rPr>
                <w:noProof/>
                <w:webHidden/>
              </w:rPr>
              <w:fldChar w:fldCharType="separate"/>
            </w:r>
            <w:r>
              <w:rPr>
                <w:noProof/>
                <w:webHidden/>
              </w:rPr>
              <w:t>4</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75" w:history="1">
            <w:r w:rsidRPr="009C451B">
              <w:rPr>
                <w:rStyle w:val="Hyperlink"/>
                <w:noProof/>
              </w:rPr>
              <w:t>1.4 Aim, Objectives and Research Questions</w:t>
            </w:r>
            <w:r>
              <w:rPr>
                <w:noProof/>
                <w:webHidden/>
              </w:rPr>
              <w:tab/>
            </w:r>
            <w:r>
              <w:rPr>
                <w:noProof/>
                <w:webHidden/>
              </w:rPr>
              <w:fldChar w:fldCharType="begin"/>
            </w:r>
            <w:r>
              <w:rPr>
                <w:noProof/>
                <w:webHidden/>
              </w:rPr>
              <w:instrText xml:space="preserve"> PAGEREF _Toc239110875 \h </w:instrText>
            </w:r>
            <w:r>
              <w:rPr>
                <w:noProof/>
                <w:webHidden/>
              </w:rPr>
            </w:r>
            <w:r>
              <w:rPr>
                <w:noProof/>
                <w:webHidden/>
              </w:rPr>
              <w:fldChar w:fldCharType="separate"/>
            </w:r>
            <w:r>
              <w:rPr>
                <w:noProof/>
                <w:webHidden/>
              </w:rPr>
              <w:t>4</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76" w:history="1">
            <w:r w:rsidRPr="009C451B">
              <w:rPr>
                <w:rStyle w:val="Hyperlink"/>
                <w:noProof/>
              </w:rPr>
              <w:t>Research Aim</w:t>
            </w:r>
            <w:r>
              <w:rPr>
                <w:noProof/>
                <w:webHidden/>
              </w:rPr>
              <w:tab/>
            </w:r>
            <w:r>
              <w:rPr>
                <w:noProof/>
                <w:webHidden/>
              </w:rPr>
              <w:fldChar w:fldCharType="begin"/>
            </w:r>
            <w:r>
              <w:rPr>
                <w:noProof/>
                <w:webHidden/>
              </w:rPr>
              <w:instrText xml:space="preserve"> PAGEREF _Toc239110876 \h </w:instrText>
            </w:r>
            <w:r>
              <w:rPr>
                <w:noProof/>
                <w:webHidden/>
              </w:rPr>
            </w:r>
            <w:r>
              <w:rPr>
                <w:noProof/>
                <w:webHidden/>
              </w:rPr>
              <w:fldChar w:fldCharType="separate"/>
            </w:r>
            <w:r>
              <w:rPr>
                <w:noProof/>
                <w:webHidden/>
              </w:rPr>
              <w:t>4</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77" w:history="1">
            <w:r w:rsidRPr="009C451B">
              <w:rPr>
                <w:rStyle w:val="Hyperlink"/>
                <w:noProof/>
              </w:rPr>
              <w:t>Research Objectives</w:t>
            </w:r>
            <w:r>
              <w:rPr>
                <w:noProof/>
                <w:webHidden/>
              </w:rPr>
              <w:tab/>
            </w:r>
            <w:r>
              <w:rPr>
                <w:noProof/>
                <w:webHidden/>
              </w:rPr>
              <w:fldChar w:fldCharType="begin"/>
            </w:r>
            <w:r>
              <w:rPr>
                <w:noProof/>
                <w:webHidden/>
              </w:rPr>
              <w:instrText xml:space="preserve"> PAGEREF _Toc239110877 \h </w:instrText>
            </w:r>
            <w:r>
              <w:rPr>
                <w:noProof/>
                <w:webHidden/>
              </w:rPr>
            </w:r>
            <w:r>
              <w:rPr>
                <w:noProof/>
                <w:webHidden/>
              </w:rPr>
              <w:fldChar w:fldCharType="separate"/>
            </w:r>
            <w:r>
              <w:rPr>
                <w:noProof/>
                <w:webHidden/>
              </w:rPr>
              <w:t>4</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78" w:history="1">
            <w:r w:rsidRPr="009C451B">
              <w:rPr>
                <w:rStyle w:val="Hyperlink"/>
                <w:noProof/>
              </w:rPr>
              <w:t>Research Questions</w:t>
            </w:r>
            <w:r>
              <w:rPr>
                <w:noProof/>
                <w:webHidden/>
              </w:rPr>
              <w:tab/>
            </w:r>
            <w:r>
              <w:rPr>
                <w:noProof/>
                <w:webHidden/>
              </w:rPr>
              <w:fldChar w:fldCharType="begin"/>
            </w:r>
            <w:r>
              <w:rPr>
                <w:noProof/>
                <w:webHidden/>
              </w:rPr>
              <w:instrText xml:space="preserve"> PAGEREF _Toc239110878 \h </w:instrText>
            </w:r>
            <w:r>
              <w:rPr>
                <w:noProof/>
                <w:webHidden/>
              </w:rPr>
            </w:r>
            <w:r>
              <w:rPr>
                <w:noProof/>
                <w:webHidden/>
              </w:rPr>
              <w:fldChar w:fldCharType="separate"/>
            </w:r>
            <w:r>
              <w:rPr>
                <w:noProof/>
                <w:webHidden/>
              </w:rPr>
              <w:t>5</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79" w:history="1">
            <w:r w:rsidRPr="009C451B">
              <w:rPr>
                <w:rStyle w:val="Hyperlink"/>
                <w:noProof/>
              </w:rPr>
              <w:t>1.5 Scope of Analysis</w:t>
            </w:r>
            <w:r>
              <w:rPr>
                <w:noProof/>
                <w:webHidden/>
              </w:rPr>
              <w:tab/>
            </w:r>
            <w:r>
              <w:rPr>
                <w:noProof/>
                <w:webHidden/>
              </w:rPr>
              <w:fldChar w:fldCharType="begin"/>
            </w:r>
            <w:r>
              <w:rPr>
                <w:noProof/>
                <w:webHidden/>
              </w:rPr>
              <w:instrText xml:space="preserve"> PAGEREF _Toc239110879 \h </w:instrText>
            </w:r>
            <w:r>
              <w:rPr>
                <w:noProof/>
                <w:webHidden/>
              </w:rPr>
            </w:r>
            <w:r>
              <w:rPr>
                <w:noProof/>
                <w:webHidden/>
              </w:rPr>
              <w:fldChar w:fldCharType="separate"/>
            </w:r>
            <w:r>
              <w:rPr>
                <w:noProof/>
                <w:webHidden/>
              </w:rPr>
              <w:t>5</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80" w:history="1">
            <w:r w:rsidRPr="009C451B">
              <w:rPr>
                <w:rStyle w:val="Hyperlink"/>
                <w:noProof/>
              </w:rPr>
              <w:t>1.6 Structure of the Report</w:t>
            </w:r>
            <w:r>
              <w:rPr>
                <w:noProof/>
                <w:webHidden/>
              </w:rPr>
              <w:tab/>
            </w:r>
            <w:r>
              <w:rPr>
                <w:noProof/>
                <w:webHidden/>
              </w:rPr>
              <w:fldChar w:fldCharType="begin"/>
            </w:r>
            <w:r>
              <w:rPr>
                <w:noProof/>
                <w:webHidden/>
              </w:rPr>
              <w:instrText xml:space="preserve"> PAGEREF _Toc239110880 \h </w:instrText>
            </w:r>
            <w:r>
              <w:rPr>
                <w:noProof/>
                <w:webHidden/>
              </w:rPr>
            </w:r>
            <w:r>
              <w:rPr>
                <w:noProof/>
                <w:webHidden/>
              </w:rPr>
              <w:fldChar w:fldCharType="separate"/>
            </w:r>
            <w:r>
              <w:rPr>
                <w:noProof/>
                <w:webHidden/>
              </w:rPr>
              <w:t>5</w:t>
            </w:r>
            <w:r>
              <w:rPr>
                <w:noProof/>
                <w:webHidden/>
              </w:rPr>
              <w:fldChar w:fldCharType="end"/>
            </w:r>
          </w:hyperlink>
        </w:p>
        <w:p w:rsidR="00E075FE" w:rsidRDefault="00E075FE">
          <w:pPr>
            <w:pStyle w:val="TOC1"/>
            <w:tabs>
              <w:tab w:val="right" w:leader="dot" w:pos="9350"/>
            </w:tabs>
            <w:rPr>
              <w:rFonts w:asciiTheme="minorHAnsi" w:eastAsiaTheme="minorEastAsia" w:hAnsiTheme="minorHAnsi" w:cstheme="minorBidi"/>
              <w:noProof/>
              <w:sz w:val="22"/>
              <w:szCs w:val="22"/>
            </w:rPr>
          </w:pPr>
          <w:hyperlink w:anchor="_Toc239110881" w:history="1">
            <w:r w:rsidRPr="009C451B">
              <w:rPr>
                <w:rStyle w:val="Hyperlink"/>
                <w:noProof/>
              </w:rPr>
              <w:t>2. Company Description</w:t>
            </w:r>
            <w:r>
              <w:rPr>
                <w:noProof/>
                <w:webHidden/>
              </w:rPr>
              <w:tab/>
            </w:r>
            <w:r>
              <w:rPr>
                <w:noProof/>
                <w:webHidden/>
              </w:rPr>
              <w:fldChar w:fldCharType="begin"/>
            </w:r>
            <w:r>
              <w:rPr>
                <w:noProof/>
                <w:webHidden/>
              </w:rPr>
              <w:instrText xml:space="preserve"> PAGEREF _Toc239110881 \h </w:instrText>
            </w:r>
            <w:r>
              <w:rPr>
                <w:noProof/>
                <w:webHidden/>
              </w:rPr>
            </w:r>
            <w:r>
              <w:rPr>
                <w:noProof/>
                <w:webHidden/>
              </w:rPr>
              <w:fldChar w:fldCharType="separate"/>
            </w:r>
            <w:r>
              <w:rPr>
                <w:noProof/>
                <w:webHidden/>
              </w:rPr>
              <w:t>6</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82" w:history="1">
            <w:r w:rsidRPr="009C451B">
              <w:rPr>
                <w:rStyle w:val="Hyperlink"/>
                <w:noProof/>
              </w:rPr>
              <w:t>2.1 Business Identity and Legal Structure</w:t>
            </w:r>
            <w:r>
              <w:rPr>
                <w:noProof/>
                <w:webHidden/>
              </w:rPr>
              <w:tab/>
            </w:r>
            <w:r>
              <w:rPr>
                <w:noProof/>
                <w:webHidden/>
              </w:rPr>
              <w:fldChar w:fldCharType="begin"/>
            </w:r>
            <w:r>
              <w:rPr>
                <w:noProof/>
                <w:webHidden/>
              </w:rPr>
              <w:instrText xml:space="preserve"> PAGEREF _Toc239110882 \h </w:instrText>
            </w:r>
            <w:r>
              <w:rPr>
                <w:noProof/>
                <w:webHidden/>
              </w:rPr>
            </w:r>
            <w:r>
              <w:rPr>
                <w:noProof/>
                <w:webHidden/>
              </w:rPr>
              <w:fldChar w:fldCharType="separate"/>
            </w:r>
            <w:r>
              <w:rPr>
                <w:noProof/>
                <w:webHidden/>
              </w:rPr>
              <w:t>6</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83" w:history="1">
            <w:r w:rsidRPr="009C451B">
              <w:rPr>
                <w:rStyle w:val="Hyperlink"/>
                <w:noProof/>
              </w:rPr>
              <w:t>2.2 Product/Service and Problem Solved</w:t>
            </w:r>
            <w:r>
              <w:rPr>
                <w:noProof/>
                <w:webHidden/>
              </w:rPr>
              <w:tab/>
            </w:r>
            <w:r>
              <w:rPr>
                <w:noProof/>
                <w:webHidden/>
              </w:rPr>
              <w:fldChar w:fldCharType="begin"/>
            </w:r>
            <w:r>
              <w:rPr>
                <w:noProof/>
                <w:webHidden/>
              </w:rPr>
              <w:instrText xml:space="preserve"> PAGEREF _Toc239110883 \h </w:instrText>
            </w:r>
            <w:r>
              <w:rPr>
                <w:noProof/>
                <w:webHidden/>
              </w:rPr>
            </w:r>
            <w:r>
              <w:rPr>
                <w:noProof/>
                <w:webHidden/>
              </w:rPr>
              <w:fldChar w:fldCharType="separate"/>
            </w:r>
            <w:r>
              <w:rPr>
                <w:noProof/>
                <w:webHidden/>
              </w:rPr>
              <w:t>7</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84" w:history="1">
            <w:r w:rsidRPr="009C451B">
              <w:rPr>
                <w:rStyle w:val="Hyperlink"/>
                <w:noProof/>
              </w:rPr>
              <w:t>2.3 Founding Idea and History</w:t>
            </w:r>
            <w:r>
              <w:rPr>
                <w:noProof/>
                <w:webHidden/>
              </w:rPr>
              <w:tab/>
            </w:r>
            <w:r>
              <w:rPr>
                <w:noProof/>
                <w:webHidden/>
              </w:rPr>
              <w:fldChar w:fldCharType="begin"/>
            </w:r>
            <w:r>
              <w:rPr>
                <w:noProof/>
                <w:webHidden/>
              </w:rPr>
              <w:instrText xml:space="preserve"> PAGEREF _Toc239110884 \h </w:instrText>
            </w:r>
            <w:r>
              <w:rPr>
                <w:noProof/>
                <w:webHidden/>
              </w:rPr>
            </w:r>
            <w:r>
              <w:rPr>
                <w:noProof/>
                <w:webHidden/>
              </w:rPr>
              <w:fldChar w:fldCharType="separate"/>
            </w:r>
            <w:r>
              <w:rPr>
                <w:noProof/>
                <w:webHidden/>
              </w:rPr>
              <w:t>7</w:t>
            </w:r>
            <w:r>
              <w:rPr>
                <w:noProof/>
                <w:webHidden/>
              </w:rPr>
              <w:fldChar w:fldCharType="end"/>
            </w:r>
          </w:hyperlink>
        </w:p>
        <w:p w:rsidR="00E075FE" w:rsidRDefault="00E075FE">
          <w:pPr>
            <w:pStyle w:val="TOC2"/>
            <w:tabs>
              <w:tab w:val="right" w:leader="dot" w:pos="9350"/>
            </w:tabs>
            <w:rPr>
              <w:rFonts w:asciiTheme="minorHAnsi" w:eastAsiaTheme="minorEastAsia" w:hAnsiTheme="minorHAnsi" w:cstheme="minorBidi"/>
              <w:noProof/>
              <w:sz w:val="22"/>
              <w:szCs w:val="22"/>
            </w:rPr>
          </w:pPr>
          <w:hyperlink w:anchor="_Toc239110885" w:history="1">
            <w:r w:rsidRPr="009C451B">
              <w:rPr>
                <w:rStyle w:val="Hyperlink"/>
                <w:noProof/>
              </w:rPr>
              <w:t>2.4 SMART Business Objectives and Goals</w:t>
            </w:r>
            <w:r>
              <w:rPr>
                <w:noProof/>
                <w:webHidden/>
              </w:rPr>
              <w:tab/>
            </w:r>
            <w:r>
              <w:rPr>
                <w:noProof/>
                <w:webHidden/>
              </w:rPr>
              <w:fldChar w:fldCharType="begin"/>
            </w:r>
            <w:r>
              <w:rPr>
                <w:noProof/>
                <w:webHidden/>
              </w:rPr>
              <w:instrText xml:space="preserve"> PAGEREF _Toc239110885 \h </w:instrText>
            </w:r>
            <w:r>
              <w:rPr>
                <w:noProof/>
                <w:webHidden/>
              </w:rPr>
            </w:r>
            <w:r>
              <w:rPr>
                <w:noProof/>
                <w:webHidden/>
              </w:rPr>
              <w:fldChar w:fldCharType="separate"/>
            </w:r>
            <w:r>
              <w:rPr>
                <w:noProof/>
                <w:webHidden/>
              </w:rPr>
              <w:t>8</w:t>
            </w:r>
            <w:r>
              <w:rPr>
                <w:noProof/>
                <w:webHidden/>
              </w:rPr>
              <w:fldChar w:fldCharType="end"/>
            </w:r>
          </w:hyperlink>
        </w:p>
        <w:p w:rsidR="00E075FE" w:rsidRDefault="00E075FE">
          <w:pPr>
            <w:pStyle w:val="TOC2"/>
            <w:tabs>
              <w:tab w:val="right" w:leader="dot" w:pos="9350"/>
            </w:tabs>
            <w:rPr>
              <w:rStyle w:val="Hyperlink"/>
              <w:noProof/>
            </w:rPr>
          </w:pPr>
          <w:hyperlink w:anchor="_Toc239110886" w:history="1">
            <w:r w:rsidRPr="009C451B">
              <w:rPr>
                <w:rStyle w:val="Hyperlink"/>
                <w:noProof/>
              </w:rPr>
              <w:t>2.5 Core Values and Trend Alignment</w:t>
            </w:r>
            <w:r>
              <w:rPr>
                <w:noProof/>
                <w:webHidden/>
              </w:rPr>
              <w:tab/>
            </w:r>
            <w:r>
              <w:rPr>
                <w:noProof/>
                <w:webHidden/>
              </w:rPr>
              <w:fldChar w:fldCharType="begin"/>
            </w:r>
            <w:r>
              <w:rPr>
                <w:noProof/>
                <w:webHidden/>
              </w:rPr>
              <w:instrText xml:space="preserve"> PAGEREF _Toc239110886 \h </w:instrText>
            </w:r>
            <w:r>
              <w:rPr>
                <w:noProof/>
                <w:webHidden/>
              </w:rPr>
            </w:r>
            <w:r>
              <w:rPr>
                <w:noProof/>
                <w:webHidden/>
              </w:rPr>
              <w:fldChar w:fldCharType="separate"/>
            </w:r>
            <w:r>
              <w:rPr>
                <w:noProof/>
                <w:webHidden/>
              </w:rPr>
              <w:t>9</w:t>
            </w:r>
            <w:r>
              <w:rPr>
                <w:noProof/>
                <w:webHidden/>
              </w:rPr>
              <w:fldChar w:fldCharType="end"/>
            </w:r>
          </w:hyperlink>
        </w:p>
        <w:p w:rsidR="00E075FE" w:rsidRPr="00E075FE" w:rsidRDefault="00E075FE" w:rsidP="00E075FE">
          <w:pPr>
            <w:pStyle w:val="normal0"/>
            <w:rPr>
              <w:rFonts w:eastAsiaTheme="minorEastAsia"/>
            </w:rPr>
          </w:pPr>
          <w:r>
            <w:rPr>
              <w:rFonts w:eastAsiaTheme="minorEastAsia"/>
            </w:rPr>
            <w:t xml:space="preserve">  References………………………………………………………………………………………10</w:t>
          </w:r>
        </w:p>
        <w:p w:rsidR="00E075FE" w:rsidRPr="00E075FE" w:rsidRDefault="00E075FE" w:rsidP="00E075FE">
          <w:pPr>
            <w:pStyle w:val="normal0"/>
            <w:rPr>
              <w:rFonts w:eastAsiaTheme="minorEastAsia"/>
            </w:rPr>
          </w:pPr>
        </w:p>
        <w:p w:rsidR="00801BD9" w:rsidRDefault="00801BD9">
          <w:pPr>
            <w:pStyle w:val="normal0"/>
            <w:widowControl w:val="0"/>
            <w:tabs>
              <w:tab w:val="right" w:leader="dot" w:pos="12000"/>
            </w:tabs>
            <w:spacing w:before="60" w:after="0" w:line="240" w:lineRule="auto"/>
            <w:ind w:left="360"/>
            <w:jc w:val="left"/>
            <w:rPr>
              <w:rFonts w:ascii="Arial" w:eastAsia="Arial" w:hAnsi="Arial" w:cs="Arial"/>
              <w:color w:val="000000"/>
              <w:sz w:val="22"/>
              <w:szCs w:val="22"/>
            </w:rPr>
          </w:pPr>
          <w:r>
            <w:lastRenderedPageBreak/>
            <w:fldChar w:fldCharType="end"/>
          </w:r>
        </w:p>
      </w:sdtContent>
    </w:sdt>
    <w:p w:rsidR="00801BD9" w:rsidRDefault="00801BD9">
      <w:pPr>
        <w:pStyle w:val="normal0"/>
      </w:pPr>
    </w:p>
    <w:p w:rsidR="00801BD9" w:rsidRDefault="005232B6">
      <w:pPr>
        <w:pStyle w:val="Heading1"/>
        <w:keepNext w:val="0"/>
        <w:keepLines w:val="0"/>
      </w:pPr>
      <w:bookmarkStart w:id="1" w:name="_heading=h.jo3sj8wmvji" w:colFirst="0" w:colLast="0"/>
      <w:bookmarkStart w:id="2" w:name="_Toc239110872"/>
      <w:bookmarkEnd w:id="1"/>
      <w:r>
        <w:t>1. Int</w:t>
      </w:r>
      <w:r>
        <w:t>roduction</w:t>
      </w:r>
      <w:bookmarkEnd w:id="2"/>
    </w:p>
    <w:p w:rsidR="00801BD9" w:rsidRDefault="005232B6">
      <w:pPr>
        <w:pStyle w:val="normal0"/>
        <w:pBdr>
          <w:top w:val="nil"/>
          <w:left w:val="nil"/>
          <w:bottom w:val="nil"/>
          <w:right w:val="nil"/>
          <w:between w:val="nil"/>
        </w:pBdr>
      </w:pPr>
      <w:r>
        <w:rPr>
          <w:b/>
          <w:bCs/>
          <w:color w:val="000000"/>
          <w:sz w:val="28"/>
          <w:szCs w:val="28"/>
        </w:rPr>
        <w:t>1.1 Background and Context</w:t>
      </w:r>
    </w:p>
    <w:p w:rsidR="00801BD9" w:rsidRPr="002A2E8D" w:rsidRDefault="005232B6">
      <w:pPr>
        <w:pStyle w:val="normal0"/>
        <w:pBdr>
          <w:top w:val="nil"/>
          <w:left w:val="nil"/>
          <w:bottom w:val="nil"/>
          <w:right w:val="nil"/>
          <w:between w:val="nil"/>
        </w:pBdr>
      </w:pPr>
      <w:r w:rsidRPr="002A2E8D">
        <w:t>Hybrid working, pressure on costs and sustainability demands are changing the face of the UK's workplace. The original blended working at 28% January to March 2025, should be kept but the reference to this should be cha</w:t>
      </w:r>
      <w:r w:rsidRPr="002A2E8D">
        <w:t>nged from ONS (2023) instead of referencing the correct ONS source (2025). The latter quote - 2 in every 3 working adults hybrid worked - should have been stripped out, as it is inconsistent with the 28% figure.</w:t>
      </w:r>
    </w:p>
    <w:p w:rsidR="00801BD9" w:rsidRDefault="005232B6">
      <w:pPr>
        <w:pStyle w:val="normal0"/>
        <w:pBdr>
          <w:top w:val="nil"/>
          <w:left w:val="nil"/>
          <w:bottom w:val="nil"/>
          <w:right w:val="nil"/>
          <w:between w:val="nil"/>
        </w:pBdr>
        <w:jc w:val="center"/>
        <w:rPr>
          <w:b/>
          <w:bCs/>
          <w:i/>
          <w:iCs/>
          <w:color w:val="000000"/>
        </w:rPr>
      </w:pPr>
      <w:r>
        <w:rPr>
          <w:b/>
          <w:bCs/>
          <w:i/>
          <w:iCs/>
          <w:noProof/>
          <w:color w:val="000000"/>
        </w:rPr>
        <w:drawing>
          <wp:inline distT="114300" distB="114300" distL="114300" distR="114300">
            <wp:extent cx="4829175" cy="2878931"/>
            <wp:effectExtent l="12700" t="12700" r="12700" b="1270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29175" cy="2878931"/>
                    </a:xfrm>
                    <a:prstGeom prst="rect">
                      <a:avLst/>
                    </a:prstGeom>
                    <a:ln w="12700">
                      <a:solidFill>
                        <a:srgbClr val="000000"/>
                      </a:solidFill>
                      <a:prstDash val="solid"/>
                    </a:ln>
                  </pic:spPr>
                </pic:pic>
              </a:graphicData>
            </a:graphic>
          </wp:inline>
        </w:drawing>
      </w:r>
    </w:p>
    <w:p w:rsidR="00801BD9" w:rsidRDefault="005232B6">
      <w:pPr>
        <w:pStyle w:val="normal0"/>
        <w:pBdr>
          <w:top w:val="nil"/>
          <w:left w:val="nil"/>
          <w:bottom w:val="nil"/>
          <w:right w:val="nil"/>
          <w:between w:val="nil"/>
        </w:pBdr>
        <w:jc w:val="center"/>
        <w:rPr>
          <w:b/>
          <w:bCs/>
          <w:i/>
          <w:iCs/>
          <w:color w:val="000000"/>
        </w:rPr>
      </w:pPr>
      <w:r>
        <w:rPr>
          <w:b/>
          <w:bCs/>
          <w:i/>
          <w:iCs/>
          <w:color w:val="000000"/>
        </w:rPr>
        <w:t xml:space="preserve">Figure </w:t>
      </w:r>
      <w:r>
        <w:rPr>
          <w:b/>
          <w:bCs/>
          <w:i/>
          <w:iCs/>
        </w:rPr>
        <w:t>1</w:t>
      </w:r>
      <w:r>
        <w:rPr>
          <w:b/>
          <w:bCs/>
          <w:i/>
          <w:iCs/>
          <w:color w:val="000000"/>
        </w:rPr>
        <w:t>: Working from Home Statistics UK (2025)</w:t>
      </w:r>
    </w:p>
    <w:p w:rsidR="00801BD9" w:rsidRDefault="005232B6">
      <w:pPr>
        <w:pStyle w:val="normal0"/>
        <w:pBdr>
          <w:top w:val="nil"/>
          <w:left w:val="nil"/>
          <w:bottom w:val="nil"/>
          <w:right w:val="nil"/>
          <w:between w:val="nil"/>
        </w:pBdr>
        <w:jc w:val="center"/>
        <w:rPr>
          <w:b/>
          <w:bCs/>
          <w:i/>
          <w:iCs/>
          <w:color w:val="000000"/>
        </w:rPr>
      </w:pPr>
      <w:r>
        <w:rPr>
          <w:b/>
          <w:bCs/>
          <w:i/>
          <w:iCs/>
          <w:color w:val="000000"/>
        </w:rPr>
        <w:t>Source:(Dalton, 2025)</w:t>
      </w:r>
    </w:p>
    <w:p w:rsidR="00801BD9" w:rsidRDefault="005232B6">
      <w:pPr>
        <w:pStyle w:val="normal0"/>
        <w:pBdr>
          <w:top w:val="nil"/>
          <w:left w:val="nil"/>
          <w:bottom w:val="nil"/>
          <w:right w:val="nil"/>
          <w:between w:val="nil"/>
        </w:pBdr>
        <w:rPr>
          <w:color w:val="000000"/>
        </w:rPr>
      </w:pPr>
      <w:r>
        <w:rPr>
          <w:color w:val="000000"/>
        </w:rPr>
        <w:t>Technology has the potential to enhance the opportunity by aligning subscriptions, inventory, maintenance, replacement and ESG reporting. Policy is another motivator. There is clear evidence th</w:t>
      </w:r>
      <w:r>
        <w:rPr>
          <w:color w:val="000000"/>
        </w:rPr>
        <w:t xml:space="preserve">at sustainability is becoming part of the standards for furniture and textiles </w:t>
      </w:r>
      <w:r>
        <w:rPr>
          <w:color w:val="000000"/>
        </w:rPr>
        <w:lastRenderedPageBreak/>
        <w:t>procurement, with UK government guidelines covering both materials. Furniture and textiles are both covered by UK government procurement standards, making sustainability an ever</w:t>
      </w:r>
      <w:r>
        <w:rPr>
          <w:color w:val="000000"/>
        </w:rPr>
        <w:t>-increasing part of the purchasing criteria. However, regulation can make things more complicated for the operators without necessarily creating demand.</w:t>
      </w:r>
    </w:p>
    <w:p w:rsidR="00801BD9" w:rsidRDefault="005232B6">
      <w:pPr>
        <w:pStyle w:val="Heading2"/>
        <w:keepNext w:val="0"/>
        <w:keepLines w:val="0"/>
      </w:pPr>
      <w:bookmarkStart w:id="3" w:name="_Toc239110873"/>
      <w:r>
        <w:t>1.2 Problem / Opportunity Statement</w:t>
      </w:r>
      <w:bookmarkEnd w:id="3"/>
    </w:p>
    <w:p w:rsidR="00801BD9" w:rsidRDefault="005232B6">
      <w:pPr>
        <w:pStyle w:val="normal0"/>
        <w:pBdr>
          <w:top w:val="nil"/>
          <w:left w:val="nil"/>
          <w:bottom w:val="nil"/>
          <w:right w:val="nil"/>
          <w:between w:val="nil"/>
        </w:pBdr>
        <w:rPr>
          <w:color w:val="000000"/>
        </w:rPr>
      </w:pPr>
      <w:r>
        <w:rPr>
          <w:color w:val="000000"/>
        </w:rPr>
        <w:t>Businesses in the UK are increasingly facing fluctuating office nee</w:t>
      </w:r>
      <w:r>
        <w:rPr>
          <w:color w:val="000000"/>
        </w:rPr>
        <w:t xml:space="preserve">ds, but the furniture business model doesn't match </w:t>
      </w:r>
      <w:r>
        <w:t>these</w:t>
      </w:r>
      <w:r>
        <w:rPr>
          <w:color w:val="000000"/>
        </w:rPr>
        <w:t xml:space="preserve"> needs, as furniture purchases are usually made as a fixed asset.</w:t>
      </w:r>
      <w:r w:rsidR="00E63255">
        <w:rPr>
          <w:color w:val="000000"/>
        </w:rPr>
        <w:t xml:space="preserve"> </w:t>
      </w:r>
      <w:r>
        <w:rPr>
          <w:color w:val="000000"/>
        </w:rPr>
        <w:t>EcoLoop Office is a response to a gap in the UK corporate furniture industry, as businesses often buy furniture as a fixed asset in the</w:t>
      </w:r>
      <w:r>
        <w:rPr>
          <w:color w:val="000000"/>
        </w:rPr>
        <w:t xml:space="preserve"> face of ever-changing work environments. Furniture that may still be useful, but has been left under-used or thrown out due to relocation, downsizing, refurbishment and redesign. This is important as London is cited as the world's second highest office fi</w:t>
      </w:r>
      <w:r>
        <w:rPr>
          <w:color w:val="000000"/>
        </w:rPr>
        <w:t xml:space="preserve">t-out cost market, with a focus on reducing head-investment (Consultancy UK, 2026). </w:t>
      </w:r>
    </w:p>
    <w:p w:rsidR="00801BD9" w:rsidRDefault="005232B6">
      <w:pPr>
        <w:pStyle w:val="normal0"/>
        <w:pBdr>
          <w:top w:val="nil"/>
          <w:left w:val="nil"/>
          <w:bottom w:val="nil"/>
          <w:right w:val="nil"/>
          <w:between w:val="nil"/>
        </w:pBdr>
        <w:jc w:val="center"/>
        <w:rPr>
          <w:b/>
          <w:bCs/>
          <w:i/>
          <w:iCs/>
          <w:color w:val="000000"/>
        </w:rPr>
      </w:pPr>
      <w:r>
        <w:rPr>
          <w:b/>
          <w:bCs/>
          <w:i/>
          <w:iCs/>
          <w:noProof/>
          <w:color w:val="000000"/>
        </w:rPr>
        <w:drawing>
          <wp:inline distT="114300" distB="114300" distL="114300" distR="114300">
            <wp:extent cx="4041775" cy="3523599"/>
            <wp:effectExtent l="12700" t="12700" r="12700" b="1270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t="11086" b="17705"/>
                    <a:stretch>
                      <a:fillRect/>
                    </a:stretch>
                  </pic:blipFill>
                  <pic:spPr>
                    <a:xfrm>
                      <a:off x="0" y="0"/>
                      <a:ext cx="4041775" cy="3523599"/>
                    </a:xfrm>
                    <a:prstGeom prst="rect">
                      <a:avLst/>
                    </a:prstGeom>
                    <a:ln w="12700">
                      <a:solidFill>
                        <a:srgbClr val="000000"/>
                      </a:solidFill>
                      <a:prstDash val="solid"/>
                    </a:ln>
                  </pic:spPr>
                </pic:pic>
              </a:graphicData>
            </a:graphic>
          </wp:inline>
        </w:drawing>
      </w:r>
    </w:p>
    <w:p w:rsidR="00801BD9" w:rsidRDefault="005232B6">
      <w:pPr>
        <w:pStyle w:val="normal0"/>
        <w:pBdr>
          <w:top w:val="nil"/>
          <w:left w:val="nil"/>
          <w:bottom w:val="nil"/>
          <w:right w:val="nil"/>
          <w:between w:val="nil"/>
        </w:pBdr>
        <w:jc w:val="center"/>
        <w:rPr>
          <w:b/>
          <w:bCs/>
          <w:i/>
          <w:iCs/>
          <w:color w:val="000000"/>
        </w:rPr>
      </w:pPr>
      <w:r>
        <w:rPr>
          <w:b/>
          <w:bCs/>
          <w:i/>
          <w:iCs/>
          <w:color w:val="000000"/>
        </w:rPr>
        <w:t xml:space="preserve">Figure </w:t>
      </w:r>
      <w:r>
        <w:rPr>
          <w:b/>
          <w:bCs/>
          <w:i/>
          <w:iCs/>
        </w:rPr>
        <w:t>2</w:t>
      </w:r>
      <w:r>
        <w:rPr>
          <w:b/>
          <w:bCs/>
          <w:i/>
          <w:iCs/>
          <w:color w:val="000000"/>
        </w:rPr>
        <w:t>: The number of VAT and/or PAYE businesses in the UK increased by 0.4% in the past year</w:t>
      </w:r>
    </w:p>
    <w:p w:rsidR="00801BD9" w:rsidRDefault="005232B6">
      <w:pPr>
        <w:pStyle w:val="normal0"/>
        <w:pBdr>
          <w:top w:val="nil"/>
          <w:left w:val="nil"/>
          <w:bottom w:val="nil"/>
          <w:right w:val="nil"/>
          <w:between w:val="nil"/>
        </w:pBdr>
        <w:jc w:val="center"/>
        <w:rPr>
          <w:b/>
          <w:bCs/>
          <w:i/>
          <w:iCs/>
          <w:color w:val="000000"/>
        </w:rPr>
      </w:pPr>
      <w:r>
        <w:rPr>
          <w:b/>
          <w:bCs/>
          <w:i/>
          <w:iCs/>
          <w:color w:val="000000"/>
        </w:rPr>
        <w:lastRenderedPageBreak/>
        <w:t>Source: (Business Registers Strategy and Outputs team, 2025)</w:t>
      </w:r>
    </w:p>
    <w:p w:rsidR="00801BD9" w:rsidRPr="002A2E8D" w:rsidRDefault="005232B6">
      <w:pPr>
        <w:pStyle w:val="normal0"/>
        <w:pBdr>
          <w:top w:val="nil"/>
          <w:left w:val="nil"/>
          <w:bottom w:val="nil"/>
          <w:right w:val="nil"/>
          <w:between w:val="nil"/>
        </w:pBdr>
      </w:pPr>
      <w:r w:rsidRPr="002A2E8D">
        <w:t>UK businesse</w:t>
      </w:r>
      <w:r w:rsidRPr="002A2E8D">
        <w:t>s are increasingly undergoing a requirement to adapt their offices, so furniture is often being bought as a fixed asset. A subscription-based solution for all EcoLoop Office services: maintenance, refurbishment, swap-out, take-back, resale and reporting on</w:t>
      </w:r>
      <w:r w:rsidRPr="002A2E8D">
        <w:t xml:space="preserve"> ESG. As London is one of the largest cost markets in the world, it is of great importance to minimise the upfront costs for the office fit-outs (Consultancy UK, 2026). UK comprises a wide range of businesses, in particular, within the VAT and/or PAYE sect</w:t>
      </w:r>
      <w:r w:rsidRPr="002A2E8D">
        <w:t>or, with 2.73 million businesses recorded in March 2025, as opposed to EcoLoop's addressable market (ONS, 2025). Thus, there is a need to differentiate between demand and market size.</w:t>
      </w:r>
    </w:p>
    <w:p w:rsidR="00801BD9" w:rsidRDefault="005232B6">
      <w:pPr>
        <w:pStyle w:val="Heading2"/>
        <w:keepNext w:val="0"/>
        <w:keepLines w:val="0"/>
      </w:pPr>
      <w:bookmarkStart w:id="4" w:name="_Toc239110874"/>
      <w:r>
        <w:t>1.3 Initial Observation of Demand</w:t>
      </w:r>
      <w:bookmarkEnd w:id="4"/>
    </w:p>
    <w:p w:rsidR="00801BD9" w:rsidRPr="002A2E8D" w:rsidRDefault="005232B6">
      <w:pPr>
        <w:pStyle w:val="normal0"/>
        <w:pBdr>
          <w:top w:val="nil"/>
          <w:left w:val="nil"/>
          <w:bottom w:val="nil"/>
          <w:right w:val="nil"/>
          <w:between w:val="nil"/>
        </w:pBdr>
      </w:pPr>
      <w:r w:rsidRPr="002A2E8D">
        <w:t>Homes England (2025) evidence shows th</w:t>
      </w:r>
      <w:r w:rsidRPr="002A2E8D">
        <w:t xml:space="preserve">ere has been practical reuse with 21 tonnes of office furniture diverted from disposal in 2024/25, and 543 furniture and office-asset items redistributed. This does not mean that they will be willing to pay for a subscription, however. The revised goal is </w:t>
      </w:r>
      <w:r w:rsidRPr="002A2E8D">
        <w:t xml:space="preserve">to evaluate the potential for the commercialisation and scale of EcoLoop's circular furniture model for furniture </w:t>
      </w:r>
      <w:r w:rsidR="00E63255">
        <w:t>subscription and refurbishment.</w:t>
      </w:r>
      <w:r w:rsidR="00E63255" w:rsidRPr="002A2E8D">
        <w:t>Obj</w:t>
      </w:r>
      <w:r w:rsidR="00E63255">
        <w:t xml:space="preserve">ectives should evaluate aspects </w:t>
      </w:r>
      <w:r w:rsidR="00E63255" w:rsidRPr="002A2E8D">
        <w:t>such as customer adopti</w:t>
      </w:r>
      <w:r w:rsidR="00E63255">
        <w:t>on, financial/ESG implications</w:t>
      </w:r>
      <w:r w:rsidR="00E63255" w:rsidRPr="002A2E8D">
        <w:t>competitive/operational/regulatory aspects and the attractiveness of the target markets, with research questions directly linked to these objectives.</w:t>
      </w:r>
    </w:p>
    <w:p w:rsidR="00801BD9" w:rsidRDefault="005232B6">
      <w:pPr>
        <w:pStyle w:val="Heading2"/>
        <w:keepNext w:val="0"/>
        <w:keepLines w:val="0"/>
      </w:pPr>
      <w:bookmarkStart w:id="5" w:name="_Toc239110875"/>
      <w:r>
        <w:t>1.4 Aim, Objectives and Research Questions</w:t>
      </w:r>
      <w:bookmarkEnd w:id="5"/>
    </w:p>
    <w:p w:rsidR="00801BD9" w:rsidRDefault="005232B6">
      <w:pPr>
        <w:pStyle w:val="Heading2"/>
        <w:keepNext w:val="0"/>
        <w:keepLines w:val="0"/>
      </w:pPr>
      <w:r>
        <w:t xml:space="preserve"> </w:t>
      </w:r>
      <w:bookmarkStart w:id="6" w:name="_Toc239110876"/>
      <w:r>
        <w:t>Research Aim</w:t>
      </w:r>
      <w:bookmarkEnd w:id="6"/>
    </w:p>
    <w:p w:rsidR="00801BD9" w:rsidRDefault="005232B6">
      <w:pPr>
        <w:pStyle w:val="normal0"/>
      </w:pPr>
      <w:r>
        <w:t>This research will be used to determine the market viability and comm</w:t>
      </w:r>
      <w:r>
        <w:t>ercial feasibility of EcoLoop Office as a viable circular furniture subscription and refurbishment platform for the UK.</w:t>
      </w:r>
    </w:p>
    <w:p w:rsidR="00801BD9" w:rsidRDefault="005232B6">
      <w:pPr>
        <w:pStyle w:val="Heading2"/>
        <w:keepNext w:val="0"/>
        <w:keepLines w:val="0"/>
      </w:pPr>
      <w:bookmarkStart w:id="7" w:name="_Toc239110877"/>
      <w:r>
        <w:t>Research Objectives</w:t>
      </w:r>
      <w:bookmarkEnd w:id="7"/>
    </w:p>
    <w:p w:rsidR="00801BD9" w:rsidRDefault="005232B6">
      <w:pPr>
        <w:pStyle w:val="normal0"/>
        <w:numPr>
          <w:ilvl w:val="0"/>
          <w:numId w:val="1"/>
        </w:numPr>
        <w:spacing w:after="0"/>
        <w:jc w:val="left"/>
      </w:pPr>
      <w:r>
        <w:lastRenderedPageBreak/>
        <w:t>To assess the demand (subscriptions) for office furniture in the UK and the market conditions.</w:t>
      </w:r>
    </w:p>
    <w:p w:rsidR="00801BD9" w:rsidRDefault="005232B6">
      <w:pPr>
        <w:pStyle w:val="normal0"/>
        <w:numPr>
          <w:ilvl w:val="0"/>
          <w:numId w:val="1"/>
        </w:numPr>
        <w:spacing w:before="0" w:after="0"/>
        <w:jc w:val="left"/>
      </w:pPr>
      <w:r>
        <w:t>To evaluate furniture renting and refurbishing benefits, compared to cost flexibility, and ESG dimension.</w:t>
      </w:r>
    </w:p>
    <w:p w:rsidR="00801BD9" w:rsidRDefault="005232B6">
      <w:pPr>
        <w:pStyle w:val="normal0"/>
        <w:numPr>
          <w:ilvl w:val="0"/>
          <w:numId w:val="1"/>
        </w:numPr>
        <w:spacing w:before="0" w:after="0"/>
        <w:jc w:val="left"/>
      </w:pPr>
      <w:r>
        <w:t>To see how EcoLoop Office could be viable in the marketplace, and investigate its operating model, its cost and value-added proposition.</w:t>
      </w:r>
    </w:p>
    <w:p w:rsidR="00801BD9" w:rsidRDefault="005232B6">
      <w:pPr>
        <w:pStyle w:val="normal0"/>
        <w:numPr>
          <w:ilvl w:val="0"/>
          <w:numId w:val="1"/>
        </w:numPr>
        <w:spacing w:before="0"/>
        <w:jc w:val="left"/>
      </w:pPr>
      <w:r>
        <w:t>To identify Key opportunities for UK circular office furniture platforms to be identified, as well as competitive pressures, regulatory factors and barriers.</w:t>
      </w:r>
    </w:p>
    <w:p w:rsidR="00801BD9" w:rsidRDefault="005232B6">
      <w:pPr>
        <w:pStyle w:val="Heading2"/>
        <w:keepNext w:val="0"/>
        <w:keepLines w:val="0"/>
      </w:pPr>
      <w:r>
        <w:t xml:space="preserve"> </w:t>
      </w:r>
      <w:bookmarkStart w:id="8" w:name="_Toc239110878"/>
      <w:r>
        <w:t>Research Questions</w:t>
      </w:r>
      <w:bookmarkEnd w:id="8"/>
    </w:p>
    <w:p w:rsidR="00801BD9" w:rsidRDefault="005232B6">
      <w:pPr>
        <w:pStyle w:val="normal0"/>
        <w:numPr>
          <w:ilvl w:val="0"/>
          <w:numId w:val="2"/>
        </w:numPr>
        <w:spacing w:after="0"/>
        <w:jc w:val="left"/>
      </w:pPr>
      <w:r>
        <w:t>How much of a market exists for subscription furniture in the UK Office Fit-ou</w:t>
      </w:r>
      <w:r>
        <w:t>t Industry?</w:t>
      </w:r>
    </w:p>
    <w:p w:rsidR="00801BD9" w:rsidRDefault="005232B6">
      <w:pPr>
        <w:pStyle w:val="normal0"/>
        <w:numPr>
          <w:ilvl w:val="0"/>
          <w:numId w:val="2"/>
        </w:numPr>
        <w:spacing w:before="0" w:after="0"/>
        <w:jc w:val="left"/>
      </w:pPr>
      <w:r>
        <w:t>What is the business case for furniture subscription and refurbishment, offering cost and value flexibility for UK businesses in terms of ESG value?</w:t>
      </w:r>
    </w:p>
    <w:p w:rsidR="00801BD9" w:rsidRDefault="005232B6">
      <w:pPr>
        <w:pStyle w:val="Heading2"/>
        <w:keepNext w:val="0"/>
        <w:keepLines w:val="0"/>
      </w:pPr>
      <w:bookmarkStart w:id="9" w:name="_Toc239110879"/>
      <w:r>
        <w:t>1.5 Scope of Analysis</w:t>
      </w:r>
      <w:bookmarkEnd w:id="9"/>
    </w:p>
    <w:p w:rsidR="00801BD9" w:rsidRDefault="005232B6">
      <w:pPr>
        <w:pStyle w:val="normal0"/>
        <w:pBdr>
          <w:top w:val="nil"/>
          <w:left w:val="nil"/>
          <w:bottom w:val="nil"/>
          <w:right w:val="nil"/>
          <w:between w:val="nil"/>
        </w:pBdr>
        <w:rPr>
          <w:color w:val="000000"/>
        </w:rPr>
      </w:pPr>
      <w:r>
        <w:rPr>
          <w:color w:val="000000"/>
        </w:rPr>
        <w:t>The analysis concentrates on the UK corporate office fit-out and refurbis</w:t>
      </w:r>
      <w:r>
        <w:rPr>
          <w:color w:val="000000"/>
        </w:rPr>
        <w:t>hment market, specifically looking at demand, customer value, competition, cost flexibility, ESG value, regulation and commercial viability of EcoLoop Office. It does not include consumer markets that are not primary, related to the house and interviews/su</w:t>
      </w:r>
      <w:r>
        <w:rPr>
          <w:color w:val="000000"/>
        </w:rPr>
        <w:t>rveys that are not primary. The study is based mainly on secondary evidence, which is in accordance with the proposal.</w:t>
      </w:r>
    </w:p>
    <w:p w:rsidR="00801BD9" w:rsidRDefault="005232B6">
      <w:pPr>
        <w:pStyle w:val="Heading2"/>
        <w:keepNext w:val="0"/>
        <w:keepLines w:val="0"/>
      </w:pPr>
      <w:bookmarkStart w:id="10" w:name="_Toc239110880"/>
      <w:r>
        <w:t>1.6 Structure of the Report</w:t>
      </w:r>
      <w:bookmarkEnd w:id="10"/>
    </w:p>
    <w:p w:rsidR="00801BD9" w:rsidRDefault="005232B6">
      <w:pPr>
        <w:pStyle w:val="normal0"/>
        <w:pBdr>
          <w:top w:val="nil"/>
          <w:left w:val="nil"/>
          <w:bottom w:val="nil"/>
          <w:right w:val="nil"/>
          <w:between w:val="nil"/>
        </w:pBdr>
        <w:rPr>
          <w:color w:val="000000"/>
        </w:rPr>
      </w:pPr>
      <w:r>
        <w:rPr>
          <w:color w:val="000000"/>
        </w:rPr>
        <w:t>This introduction is followed by a critical review of relevant literature and theories, an explanation of the</w:t>
      </w:r>
      <w:r>
        <w:rPr>
          <w:color w:val="000000"/>
        </w:rPr>
        <w:t xml:space="preserve"> secondary research method, an assessment of market opportunity and assessment of the external environment, findings analysis, business model and commercial feasibility analysis, all leading to </w:t>
      </w:r>
      <w:r>
        <w:t>evidence-based</w:t>
      </w:r>
      <w:r>
        <w:rPr>
          <w:color w:val="000000"/>
        </w:rPr>
        <w:t xml:space="preserve"> recommendations.</w:t>
      </w:r>
    </w:p>
    <w:p w:rsidR="00801BD9" w:rsidRDefault="00801BD9">
      <w:pPr>
        <w:pStyle w:val="Heading1"/>
        <w:keepNext w:val="0"/>
        <w:keepLines w:val="0"/>
      </w:pPr>
    </w:p>
    <w:p w:rsidR="00E63255" w:rsidRDefault="00E63255">
      <w:pPr>
        <w:pStyle w:val="Heading1"/>
        <w:keepNext w:val="0"/>
        <w:keepLines w:val="0"/>
      </w:pPr>
    </w:p>
    <w:p w:rsidR="00801BD9" w:rsidRDefault="005232B6">
      <w:pPr>
        <w:pStyle w:val="Heading1"/>
        <w:keepNext w:val="0"/>
        <w:keepLines w:val="0"/>
      </w:pPr>
      <w:bookmarkStart w:id="11" w:name="_Toc239110881"/>
      <w:r>
        <w:t>2. Company Description</w:t>
      </w:r>
      <w:bookmarkEnd w:id="11"/>
    </w:p>
    <w:p w:rsidR="00801BD9" w:rsidRDefault="005232B6">
      <w:pPr>
        <w:pStyle w:val="Heading2"/>
        <w:keepNext w:val="0"/>
        <w:keepLines w:val="0"/>
      </w:pPr>
      <w:bookmarkStart w:id="12" w:name="_Toc239110882"/>
      <w:r>
        <w:t>2.1 Bu</w:t>
      </w:r>
      <w:r>
        <w:t>siness Identity and Legal Structure</w:t>
      </w:r>
      <w:bookmarkEnd w:id="12"/>
      <w:r>
        <w:t xml:space="preserve"> </w:t>
      </w:r>
    </w:p>
    <w:p w:rsidR="00801BD9" w:rsidRPr="00E63255" w:rsidRDefault="005232B6">
      <w:pPr>
        <w:pStyle w:val="normal0"/>
        <w:pBdr>
          <w:top w:val="nil"/>
          <w:left w:val="nil"/>
          <w:bottom w:val="nil"/>
          <w:right w:val="nil"/>
          <w:between w:val="nil"/>
        </w:pBdr>
      </w:pPr>
      <w:r w:rsidRPr="00E63255">
        <w:t>EcoLoop Office is proposed as a B2B Computers-for-access circular furniture as a service offering in the UK. The company structure is explanatory and unconfirmed, as is its London location, though it might be incorporat</w:t>
      </w:r>
      <w:r w:rsidRPr="00E63255">
        <w:t>ed and have a history.No incorporated company or history is provided, suggesting that the company structure is illustrative and that the head office is in London. It has four central values: circularity, affordability, reliability, transparency and custome</w:t>
      </w:r>
      <w:r w:rsidRPr="00E63255">
        <w:t>r flexibility.</w:t>
      </w:r>
    </w:p>
    <w:p w:rsidR="00801BD9" w:rsidRDefault="005232B6">
      <w:pPr>
        <w:pStyle w:val="normal0"/>
        <w:pBdr>
          <w:top w:val="nil"/>
          <w:left w:val="nil"/>
          <w:bottom w:val="nil"/>
          <w:right w:val="nil"/>
          <w:between w:val="nil"/>
        </w:pBdr>
        <w:jc w:val="center"/>
        <w:rPr>
          <w:b/>
          <w:bCs/>
          <w:i/>
          <w:iCs/>
          <w:color w:val="000000"/>
        </w:rPr>
      </w:pPr>
      <w:r>
        <w:rPr>
          <w:b/>
          <w:bCs/>
          <w:i/>
          <w:iCs/>
          <w:noProof/>
          <w:color w:val="000000"/>
        </w:rPr>
        <w:drawing>
          <wp:inline distT="114300" distB="114300" distL="114300" distR="114300">
            <wp:extent cx="4929188" cy="3286125"/>
            <wp:effectExtent l="12700" t="12700" r="12700" b="1270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929188" cy="3286125"/>
                    </a:xfrm>
                    <a:prstGeom prst="rect">
                      <a:avLst/>
                    </a:prstGeom>
                    <a:ln w="12700">
                      <a:solidFill>
                        <a:srgbClr val="000000"/>
                      </a:solidFill>
                      <a:prstDash val="solid"/>
                    </a:ln>
                  </pic:spPr>
                </pic:pic>
              </a:graphicData>
            </a:graphic>
          </wp:inline>
        </w:drawing>
      </w:r>
    </w:p>
    <w:p w:rsidR="00801BD9" w:rsidRDefault="005232B6">
      <w:pPr>
        <w:pStyle w:val="normal0"/>
        <w:pBdr>
          <w:top w:val="nil"/>
          <w:left w:val="nil"/>
          <w:bottom w:val="nil"/>
          <w:right w:val="nil"/>
          <w:between w:val="nil"/>
        </w:pBdr>
        <w:jc w:val="center"/>
        <w:rPr>
          <w:b/>
          <w:bCs/>
          <w:i/>
          <w:iCs/>
          <w:color w:val="000000"/>
        </w:rPr>
      </w:pPr>
      <w:r>
        <w:rPr>
          <w:b/>
          <w:bCs/>
          <w:i/>
          <w:iCs/>
          <w:color w:val="000000"/>
        </w:rPr>
        <w:t>Figure 3: Ecoloop</w:t>
      </w:r>
    </w:p>
    <w:p w:rsidR="00801BD9" w:rsidRDefault="005232B6">
      <w:pPr>
        <w:pStyle w:val="normal0"/>
        <w:pBdr>
          <w:top w:val="nil"/>
          <w:left w:val="nil"/>
          <w:bottom w:val="nil"/>
          <w:right w:val="nil"/>
          <w:between w:val="nil"/>
        </w:pBdr>
        <w:jc w:val="center"/>
        <w:rPr>
          <w:b/>
          <w:bCs/>
          <w:i/>
          <w:iCs/>
          <w:color w:val="000000"/>
        </w:rPr>
      </w:pPr>
      <w:r>
        <w:rPr>
          <w:b/>
          <w:bCs/>
          <w:i/>
          <w:iCs/>
          <w:color w:val="000000"/>
        </w:rPr>
        <w:t>Source: Self-developed</w:t>
      </w:r>
    </w:p>
    <w:p w:rsidR="00801BD9" w:rsidRDefault="005232B6">
      <w:pPr>
        <w:pStyle w:val="normal0"/>
        <w:pBdr>
          <w:top w:val="nil"/>
          <w:left w:val="nil"/>
          <w:bottom w:val="nil"/>
          <w:right w:val="nil"/>
          <w:between w:val="nil"/>
        </w:pBdr>
        <w:rPr>
          <w:color w:val="000000"/>
        </w:rPr>
      </w:pPr>
      <w:r>
        <w:rPr>
          <w:color w:val="000000"/>
        </w:rPr>
        <w:t xml:space="preserve">This is an adequate structure to meet the needs of the model, which need investment in inventory, refurbishment costs, technology and working capital, and where founders also have </w:t>
      </w:r>
      <w:r>
        <w:rPr>
          <w:color w:val="000000"/>
        </w:rPr>
        <w:lastRenderedPageBreak/>
        <w:t>limited personal liability. It aims to be more flexible, affordable and circ</w:t>
      </w:r>
      <w:r>
        <w:rPr>
          <w:color w:val="000000"/>
        </w:rPr>
        <w:t>ular in the world of office furniture and aspires to be a scalable platform for furniture-as-a-service in the UK. Core values are circularity, affordability, reliability, transparency and customer flexibility.</w:t>
      </w:r>
    </w:p>
    <w:p w:rsidR="00801BD9" w:rsidRDefault="005232B6">
      <w:pPr>
        <w:pStyle w:val="Heading2"/>
        <w:keepNext w:val="0"/>
        <w:keepLines w:val="0"/>
      </w:pPr>
      <w:bookmarkStart w:id="13" w:name="_Toc239110883"/>
      <w:r>
        <w:t>2.2 Product/Service and Problem Solved</w:t>
      </w:r>
      <w:bookmarkEnd w:id="13"/>
    </w:p>
    <w:p w:rsidR="00801BD9" w:rsidRPr="00E63255" w:rsidRDefault="005232B6">
      <w:pPr>
        <w:pStyle w:val="normal0"/>
        <w:pBdr>
          <w:top w:val="nil"/>
          <w:left w:val="nil"/>
          <w:bottom w:val="nil"/>
          <w:right w:val="nil"/>
          <w:between w:val="nil"/>
        </w:pBdr>
      </w:pPr>
      <w:r w:rsidRPr="00E63255">
        <w:t>This se</w:t>
      </w:r>
      <w:r w:rsidRPr="00E63255">
        <w:t>rvice includes delivery &amp; installation, maintenance &amp; refurbishment, flexible swap-out, take-back, resale and ESG impact reporting. This counters high initial purchase expenditures, excess desk furnishings resulting from relocating and downsizing and dispo</w:t>
      </w:r>
      <w:r w:rsidRPr="00E63255">
        <w:t xml:space="preserve">sal needs. There is some evidence that around 1.2 million desks and 1.8 million chairs are discarded each year and that 17% of desks can be recycled, so there is some evidence of the resource problem (WRAP, 2025), but it does not prove the customer demand </w:t>
      </w:r>
      <w:r w:rsidRPr="00E63255">
        <w:t>problem. Hence, the quality, hygiene, availability and pricing should be evaluated.</w:t>
      </w:r>
    </w:p>
    <w:p w:rsidR="00801BD9" w:rsidRDefault="005232B6">
      <w:pPr>
        <w:pStyle w:val="Heading2"/>
        <w:keepNext w:val="0"/>
        <w:keepLines w:val="0"/>
      </w:pPr>
      <w:bookmarkStart w:id="14" w:name="_Toc239110884"/>
      <w:r>
        <w:t>2.3 Founding Idea and History</w:t>
      </w:r>
      <w:bookmarkEnd w:id="14"/>
    </w:p>
    <w:p w:rsidR="00801BD9" w:rsidRDefault="005232B6">
      <w:pPr>
        <w:pStyle w:val="normal0"/>
        <w:pBdr>
          <w:top w:val="nil"/>
          <w:left w:val="nil"/>
          <w:bottom w:val="nil"/>
          <w:right w:val="nil"/>
          <w:between w:val="nil"/>
        </w:pBdr>
        <w:rPr>
          <w:color w:val="000000"/>
        </w:rPr>
      </w:pPr>
      <w:r>
        <w:rPr>
          <w:color w:val="000000"/>
        </w:rPr>
        <w:t>EcoLoop Office is not a company; it is a proposed new venture and a founder biography and operating history is not provided. The founding conc</w:t>
      </w:r>
      <w:r>
        <w:rPr>
          <w:color w:val="000000"/>
        </w:rPr>
        <w:t xml:space="preserve">ept is based on the identified gap of the conventional furniture purchase-use-dispose cycle and furniture circular management. The idea is a mix of subscription model and refurbishment, re-use, replacement and lifecycle reporting. </w:t>
      </w:r>
    </w:p>
    <w:p w:rsidR="00801BD9" w:rsidRDefault="005232B6">
      <w:pPr>
        <w:pStyle w:val="normal0"/>
        <w:pBdr>
          <w:top w:val="nil"/>
          <w:left w:val="nil"/>
          <w:bottom w:val="nil"/>
          <w:right w:val="nil"/>
          <w:between w:val="nil"/>
        </w:pBdr>
        <w:jc w:val="center"/>
        <w:rPr>
          <w:b/>
          <w:bCs/>
          <w:i/>
          <w:iCs/>
          <w:color w:val="000000"/>
        </w:rPr>
      </w:pPr>
      <w:r>
        <w:rPr>
          <w:b/>
          <w:bCs/>
          <w:i/>
          <w:iCs/>
          <w:noProof/>
          <w:color w:val="000000"/>
        </w:rPr>
        <w:drawing>
          <wp:inline distT="114300" distB="114300" distL="114300" distR="114300">
            <wp:extent cx="5943600" cy="2765310"/>
            <wp:effectExtent l="12700" t="12700" r="12700" b="1270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t="8639" b="8732"/>
                    <a:stretch>
                      <a:fillRect/>
                    </a:stretch>
                  </pic:blipFill>
                  <pic:spPr>
                    <a:xfrm>
                      <a:off x="0" y="0"/>
                      <a:ext cx="5943600" cy="2765310"/>
                    </a:xfrm>
                    <a:prstGeom prst="rect">
                      <a:avLst/>
                    </a:prstGeom>
                    <a:ln w="12700">
                      <a:solidFill>
                        <a:srgbClr val="000000"/>
                      </a:solidFill>
                      <a:prstDash val="solid"/>
                    </a:ln>
                  </pic:spPr>
                </pic:pic>
              </a:graphicData>
            </a:graphic>
          </wp:inline>
        </w:drawing>
      </w:r>
    </w:p>
    <w:p w:rsidR="00801BD9" w:rsidRDefault="005232B6">
      <w:pPr>
        <w:pStyle w:val="normal0"/>
        <w:pBdr>
          <w:top w:val="nil"/>
          <w:left w:val="nil"/>
          <w:bottom w:val="nil"/>
          <w:right w:val="nil"/>
          <w:between w:val="nil"/>
        </w:pBdr>
        <w:jc w:val="center"/>
        <w:rPr>
          <w:b/>
          <w:bCs/>
          <w:i/>
          <w:iCs/>
          <w:color w:val="000000"/>
        </w:rPr>
      </w:pPr>
      <w:r>
        <w:rPr>
          <w:b/>
          <w:bCs/>
          <w:i/>
          <w:iCs/>
          <w:color w:val="000000"/>
        </w:rPr>
        <w:lastRenderedPageBreak/>
        <w:t>Figure 4: UK Eco-frien</w:t>
      </w:r>
      <w:r>
        <w:rPr>
          <w:b/>
          <w:bCs/>
          <w:i/>
          <w:iCs/>
          <w:color w:val="000000"/>
        </w:rPr>
        <w:t>dly Furniture Market Size &amp; Outlook, 2033</w:t>
      </w:r>
    </w:p>
    <w:p w:rsidR="00801BD9" w:rsidRDefault="005232B6">
      <w:pPr>
        <w:pStyle w:val="normal0"/>
        <w:pBdr>
          <w:top w:val="nil"/>
          <w:left w:val="nil"/>
          <w:bottom w:val="nil"/>
          <w:right w:val="nil"/>
          <w:between w:val="nil"/>
        </w:pBdr>
        <w:jc w:val="center"/>
        <w:rPr>
          <w:b/>
          <w:bCs/>
          <w:i/>
          <w:iCs/>
          <w:color w:val="000000"/>
        </w:rPr>
      </w:pPr>
      <w:r>
        <w:rPr>
          <w:b/>
          <w:bCs/>
          <w:i/>
          <w:iCs/>
          <w:color w:val="000000"/>
        </w:rPr>
        <w:t>Source: (Grand View Research, 2024)</w:t>
      </w:r>
    </w:p>
    <w:p w:rsidR="00801BD9" w:rsidRPr="00E63255" w:rsidRDefault="005232B6">
      <w:pPr>
        <w:pStyle w:val="normal0"/>
        <w:pBdr>
          <w:top w:val="nil"/>
          <w:left w:val="nil"/>
          <w:bottom w:val="nil"/>
          <w:right w:val="nil"/>
          <w:between w:val="nil"/>
        </w:pBdr>
      </w:pPr>
      <w:r w:rsidRPr="00E63255">
        <w:t>For office furniture, refurbishment/repair and redistribution/re-use are estimated to be worth £250 million (excluding VAT) as part of the 2025 sustainable furniture framework (Find a Tender, 2025). This is procrastion and not the level of absolute subscri</w:t>
      </w:r>
      <w:r w:rsidRPr="00E63255">
        <w:t>ption demand. As indicated in the evidence, circular procurement has taken place at the institutions, but not necessarily on a scale that will enable commercial success of a subscription model.</w:t>
      </w:r>
    </w:p>
    <w:p w:rsidR="00801BD9" w:rsidRDefault="005232B6">
      <w:pPr>
        <w:pStyle w:val="Heading2"/>
        <w:keepNext w:val="0"/>
        <w:keepLines w:val="0"/>
      </w:pPr>
      <w:bookmarkStart w:id="15" w:name="_Toc239110885"/>
      <w:r>
        <w:t>2.4 SMART Business Objectives and Goals</w:t>
      </w:r>
      <w:bookmarkEnd w:id="15"/>
    </w:p>
    <w:p w:rsidR="00801BD9" w:rsidRPr="00BF5FC3" w:rsidRDefault="005232B6">
      <w:pPr>
        <w:pStyle w:val="normal0"/>
        <w:rPr>
          <w:b/>
          <w:bCs/>
        </w:rPr>
      </w:pPr>
      <w:r w:rsidRPr="00BF5FC3">
        <w:rPr>
          <w:b/>
          <w:bCs/>
        </w:rPr>
        <w:t>Table 2.1 SMART Object</w:t>
      </w:r>
      <w:r w:rsidRPr="00BF5FC3">
        <w:rPr>
          <w:b/>
          <w:bCs/>
        </w:rPr>
        <w:t>ives</w:t>
      </w:r>
    </w:p>
    <w:tbl>
      <w:tblPr>
        <w:tblStyle w:val="a"/>
        <w:tblW w:w="9360" w:type="dxa"/>
        <w:tblBorders>
          <w:top w:val="nil"/>
          <w:left w:val="nil"/>
          <w:bottom w:val="nil"/>
          <w:right w:val="nil"/>
          <w:insideH w:val="nil"/>
          <w:insideV w:val="nil"/>
        </w:tblBorders>
        <w:tblLayout w:type="fixed"/>
        <w:tblLook w:val="0600"/>
      </w:tblPr>
      <w:tblGrid>
        <w:gridCol w:w="2385"/>
        <w:gridCol w:w="1454"/>
        <w:gridCol w:w="1384"/>
        <w:gridCol w:w="1891"/>
        <w:gridCol w:w="1313"/>
        <w:gridCol w:w="933"/>
      </w:tblGrid>
      <w:tr w:rsidR="00801BD9" w:rsidRPr="00BF5FC3">
        <w:trPr>
          <w:cantSplit/>
          <w:trHeight w:val="800"/>
          <w:tblHeader/>
        </w:trPr>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jc w:val="center"/>
            </w:pPr>
            <w:r w:rsidRPr="00BF5FC3">
              <w:rPr>
                <w:b/>
                <w:bCs/>
              </w:rPr>
              <w:t>Objective</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jc w:val="center"/>
            </w:pPr>
            <w:r w:rsidRPr="00BF5FC3">
              <w:rPr>
                <w:b/>
                <w:bCs/>
              </w:rPr>
              <w:t>Specific</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jc w:val="center"/>
            </w:pPr>
            <w:r w:rsidRPr="00BF5FC3">
              <w:rPr>
                <w:b/>
                <w:bCs/>
              </w:rPr>
              <w:t>Measurable</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jc w:val="center"/>
            </w:pPr>
            <w:r w:rsidRPr="00BF5FC3">
              <w:rPr>
                <w:b/>
                <w:bCs/>
              </w:rPr>
              <w:t>Achievable</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jc w:val="center"/>
            </w:pPr>
            <w:r w:rsidRPr="00BF5FC3">
              <w:rPr>
                <w:b/>
                <w:bCs/>
              </w:rPr>
              <w:t>Relevant</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jc w:val="center"/>
            </w:pPr>
            <w:r w:rsidRPr="00BF5FC3">
              <w:rPr>
                <w:b/>
                <w:bCs/>
              </w:rPr>
              <w:t>Time-bound</w:t>
            </w:r>
          </w:p>
        </w:tc>
      </w:tr>
      <w:tr w:rsidR="00801BD9" w:rsidRPr="00BF5FC3">
        <w:trPr>
          <w:cantSplit/>
          <w:trHeight w:val="1370"/>
          <w:tblHeader/>
        </w:trPr>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Lead over 50 UK customer through direct sales and partnerships.</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UK businesses</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50 customers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Sales/partnerships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Builds customer base</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12 months</w:t>
            </w:r>
          </w:p>
        </w:tc>
      </w:tr>
      <w:tr w:rsidR="00801BD9" w:rsidRPr="00BF5FC3">
        <w:trPr>
          <w:cantSplit/>
          <w:trHeight w:val="1640"/>
          <w:tblHeader/>
        </w:trPr>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To reach the 70% average inventory utilisation with minimum idle inventory and storage expenses.</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Subscription furniture</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70% utilisation</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Reduce idle assets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Improves efficiency</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Month 18</w:t>
            </w:r>
          </w:p>
        </w:tc>
      </w:tr>
      <w:tr w:rsidR="00801BD9" w:rsidRPr="00BF5FC3">
        <w:trPr>
          <w:cantSplit/>
          <w:trHeight w:val="1085"/>
          <w:tblHeader/>
        </w:trPr>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To return at least 80% of furniture for re-use/refurbishment.</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Returned furniture</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80%</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Reduce disposal</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Supports circularity</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24 months</w:t>
            </w:r>
          </w:p>
        </w:tc>
      </w:tr>
      <w:tr w:rsidR="00801BD9" w:rsidRPr="00BF5FC3">
        <w:trPr>
          <w:cantSplit/>
          <w:trHeight w:val="1085"/>
          <w:tblHeader/>
        </w:trPr>
        <w:tc>
          <w:tcPr>
            <w:tcW w:w="23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To achieve 75% customer retention.</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Existing customers</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75% retention</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Maintain relationships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Supports recurring revenue</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01BD9" w:rsidRPr="00BF5FC3" w:rsidRDefault="005232B6">
            <w:pPr>
              <w:pStyle w:val="normal0"/>
              <w:spacing w:before="0" w:after="0" w:line="240" w:lineRule="auto"/>
            </w:pPr>
            <w:r w:rsidRPr="00BF5FC3">
              <w:t>Year 2</w:t>
            </w:r>
          </w:p>
        </w:tc>
      </w:tr>
    </w:tbl>
    <w:p w:rsidR="00BF5FC3" w:rsidRDefault="00BF5FC3">
      <w:pPr>
        <w:pStyle w:val="Heading2"/>
        <w:keepNext w:val="0"/>
        <w:keepLines w:val="0"/>
      </w:pPr>
    </w:p>
    <w:p w:rsidR="00801BD9" w:rsidRDefault="005232B6">
      <w:pPr>
        <w:pStyle w:val="Heading2"/>
        <w:keepNext w:val="0"/>
        <w:keepLines w:val="0"/>
      </w:pPr>
      <w:bookmarkStart w:id="16" w:name="_Toc239110886"/>
      <w:r>
        <w:t>2.5 Core Values and Trend Alignment</w:t>
      </w:r>
      <w:bookmarkEnd w:id="16"/>
    </w:p>
    <w:p w:rsidR="00801BD9" w:rsidRDefault="005232B6">
      <w:pPr>
        <w:pStyle w:val="normal0"/>
        <w:pBdr>
          <w:top w:val="nil"/>
          <w:left w:val="nil"/>
          <w:bottom w:val="nil"/>
          <w:right w:val="nil"/>
          <w:between w:val="nil"/>
        </w:pBdr>
        <w:rPr>
          <w:color w:val="000000"/>
        </w:rPr>
      </w:pPr>
      <w:r>
        <w:rPr>
          <w:color w:val="000000"/>
        </w:rPr>
        <w:t>EcoLoop philosophy resonates well with the concept of the circular economy and flexibility of workplaces. Two in every three working adults hybrid worked throughout January to March 2025, further supporting the argument for the need of flexible workplace r</w:t>
      </w:r>
      <w:r>
        <w:rPr>
          <w:color w:val="000000"/>
        </w:rPr>
        <w:t>esources (ONS 2025). Government modelling also suggests the policies for furniture resource-efficiency could result in a reduction of territorial greenhouse-gas emissions in the UK of 4 MtCO2e from 2021 to 2050 (Department for Environment, Food and Rural A</w:t>
      </w:r>
      <w:r>
        <w:rPr>
          <w:color w:val="000000"/>
        </w:rPr>
        <w:t>ffairs, 2023). EcoLoop therefore combines value for the environment with operational flexibility. Its differentiation, however, has to be proven through measurable cost savings, utilisation, re-use, and reliability of service, and not just the sustainabili</w:t>
      </w:r>
      <w:r>
        <w:rPr>
          <w:color w:val="000000"/>
        </w:rPr>
        <w:t>ty claims. As such, operational measurement becomes a key element of credibility and a successful long-term commercial positioning.</w:t>
      </w:r>
    </w:p>
    <w:p w:rsidR="00BF5FC3" w:rsidRDefault="00BF5FC3">
      <w:pPr>
        <w:pStyle w:val="normal0"/>
        <w:pBdr>
          <w:top w:val="nil"/>
          <w:left w:val="nil"/>
          <w:bottom w:val="nil"/>
          <w:right w:val="nil"/>
          <w:between w:val="nil"/>
        </w:pBdr>
        <w:rPr>
          <w:color w:val="000000"/>
        </w:rPr>
      </w:pPr>
    </w:p>
    <w:p w:rsidR="00BF5FC3" w:rsidRDefault="00BF5FC3">
      <w:pPr>
        <w:pStyle w:val="normal0"/>
        <w:pBdr>
          <w:top w:val="nil"/>
          <w:left w:val="nil"/>
          <w:bottom w:val="nil"/>
          <w:right w:val="nil"/>
          <w:between w:val="nil"/>
        </w:pBdr>
        <w:rPr>
          <w:color w:val="000000"/>
        </w:rPr>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Default="00BF5FC3" w:rsidP="00BF5FC3">
      <w:pPr>
        <w:pStyle w:val="normal1"/>
      </w:pPr>
    </w:p>
    <w:p w:rsidR="00BF5FC3" w:rsidRPr="00BF5FC3" w:rsidRDefault="00BF5FC3" w:rsidP="00BF5FC3">
      <w:pPr>
        <w:pStyle w:val="normal1"/>
        <w:rPr>
          <w:b/>
          <w:sz w:val="32"/>
          <w:szCs w:val="32"/>
        </w:rPr>
      </w:pPr>
      <w:r w:rsidRPr="00BF5FC3">
        <w:rPr>
          <w:b/>
          <w:sz w:val="32"/>
          <w:szCs w:val="32"/>
        </w:rPr>
        <w:t>References</w:t>
      </w:r>
    </w:p>
    <w:p w:rsidR="00BF5FC3" w:rsidRDefault="00BF5FC3" w:rsidP="00BF5FC3">
      <w:pPr>
        <w:pStyle w:val="normal1"/>
      </w:pPr>
      <w:r>
        <w:t>Office for National Statistics (2025) ‘Who has access to hybrid work in Great Britain?’, 11 June. Available at:</w:t>
      </w:r>
      <w:hyperlink r:id="rId13">
        <w:r>
          <w:t xml:space="preserve"> </w:t>
        </w:r>
      </w:hyperlink>
    </w:p>
    <w:p w:rsidR="00BF5FC3" w:rsidRDefault="00BF5FC3" w:rsidP="00BF5FC3">
      <w:pPr>
        <w:pStyle w:val="normal1"/>
      </w:pPr>
      <w:hyperlink r:id="rId14">
        <w:r>
          <w:rPr>
            <w:color w:val="1155CC"/>
            <w:u w:val="single"/>
          </w:rPr>
          <w:t>https://www.ons.gov.uk/employmentandlabourmarket/peopleinwork/employmentandemployeetypes/articles/whohasaccesstohybridworkingreatbritain/latest</w:t>
        </w:r>
      </w:hyperlink>
      <w:r>
        <w:t xml:space="preserve"> (Accessed: 18 August 2026).</w:t>
      </w:r>
    </w:p>
    <w:p w:rsidR="00BF5FC3" w:rsidRDefault="00BF5FC3" w:rsidP="00BF5FC3">
      <w:pPr>
        <w:pStyle w:val="normal0"/>
      </w:pPr>
      <w:r>
        <w:t xml:space="preserve">Dalton, L. (2025). </w:t>
      </w:r>
      <w:r>
        <w:rPr>
          <w:i/>
          <w:iCs/>
        </w:rPr>
        <w:t>Working from Home Statistics UK: The 2025 Report</w:t>
      </w:r>
      <w:r>
        <w:t xml:space="preserve">. [online] Working From Coffee Shops. Available at: </w:t>
      </w:r>
      <w:hyperlink r:id="rId15">
        <w:r>
          <w:rPr>
            <w:color w:val="1155CC"/>
            <w:u w:val="single"/>
          </w:rPr>
          <w:t>https://www.workingfromcoffeeshops.co.uk/blog/working-from-home-statistics-uk</w:t>
        </w:r>
      </w:hyperlink>
      <w:r>
        <w:t xml:space="preserve">  [Accessed 18 Aug. 2026].</w:t>
      </w:r>
    </w:p>
    <w:p w:rsidR="00BF5FC3" w:rsidRDefault="00BF5FC3" w:rsidP="00BF5FC3">
      <w:pPr>
        <w:pStyle w:val="normal1"/>
      </w:pPr>
      <w:r>
        <w:t xml:space="preserve">Consultancy UK (2026) ‘London now world’s second most expensive office fit-out market’, </w:t>
      </w:r>
      <w:r>
        <w:rPr>
          <w:i/>
          <w:iCs/>
        </w:rPr>
        <w:t>Consultancy.uk</w:t>
      </w:r>
      <w:r>
        <w:t>, 2 June. Available at:</w:t>
      </w:r>
      <w:hyperlink r:id="rId16">
        <w:r>
          <w:t xml:space="preserve"> </w:t>
        </w:r>
      </w:hyperlink>
      <w:hyperlink r:id="rId17">
        <w:r>
          <w:rPr>
            <w:color w:val="1155CC"/>
            <w:u w:val="single"/>
          </w:rPr>
          <w:t>https://www.consultancy.uk/news/44287/london-now-worlds-second-most-expensive-office-fit-out-market</w:t>
        </w:r>
      </w:hyperlink>
      <w:r>
        <w:t>(Accessed: 18 August 2026).</w:t>
      </w:r>
    </w:p>
    <w:p w:rsidR="00BF5FC3" w:rsidRDefault="00BF5FC3" w:rsidP="00BF5FC3">
      <w:pPr>
        <w:pStyle w:val="normal0"/>
        <w:spacing w:before="0"/>
      </w:pPr>
      <w:r>
        <w:t xml:space="preserve">Business Registers Strategy and Outputs team (2025). </w:t>
      </w:r>
      <w:r>
        <w:rPr>
          <w:i/>
          <w:iCs/>
        </w:rPr>
        <w:t>UK business; activity, size and location</w:t>
      </w:r>
      <w:r>
        <w:t xml:space="preserve">. [online] Ons.gov.uk. Available at: </w:t>
      </w:r>
    </w:p>
    <w:p w:rsidR="00BF5FC3" w:rsidRDefault="00BF5FC3" w:rsidP="00BF5FC3">
      <w:pPr>
        <w:pStyle w:val="normal0"/>
        <w:spacing w:before="0"/>
      </w:pPr>
      <w:hyperlink r:id="rId18">
        <w:r>
          <w:rPr>
            <w:color w:val="1155CC"/>
            <w:u w:val="single"/>
          </w:rPr>
          <w:t>https://www.ons.gov.uk/businessindustryandtrade/business/activitysizeandlocation/bulletins/ukbusinessactivitysizeandlocation/2025</w:t>
        </w:r>
      </w:hyperlink>
      <w:r>
        <w:t xml:space="preserve">  [Accessed 18 Aug. 2026].</w:t>
      </w:r>
    </w:p>
    <w:p w:rsidR="00BF5FC3" w:rsidRDefault="00BF5FC3" w:rsidP="00BF5FC3">
      <w:pPr>
        <w:pStyle w:val="normal0"/>
        <w:spacing w:before="0"/>
      </w:pPr>
      <w:r>
        <w:t>Office for National Statistics (2025a) ‘UK business; activity, size and location: 2025’, 24 September. Available at:</w:t>
      </w:r>
      <w:hyperlink r:id="rId19">
        <w:r>
          <w:t xml:space="preserve"> </w:t>
        </w:r>
      </w:hyperlink>
    </w:p>
    <w:p w:rsidR="00BF5FC3" w:rsidRDefault="00BF5FC3" w:rsidP="00BF5FC3">
      <w:pPr>
        <w:pStyle w:val="normal0"/>
        <w:spacing w:before="0"/>
      </w:pPr>
      <w:hyperlink r:id="rId20">
        <w:r>
          <w:rPr>
            <w:color w:val="1155CC"/>
            <w:u w:val="single"/>
          </w:rPr>
          <w:t>https://www.ons.gov.uk/businessindustryandtrade/business/activitysizeandlocation/bulletins/ukbusinessactivitysizeandlocation/2025</w:t>
        </w:r>
      </w:hyperlink>
      <w:r>
        <w:t>(Accessed:18August2026).</w:t>
      </w:r>
    </w:p>
    <w:p w:rsidR="00BF5FC3" w:rsidRDefault="00BF5FC3" w:rsidP="00BF5FC3">
      <w:pPr>
        <w:pStyle w:val="normal0"/>
        <w:spacing w:before="0"/>
      </w:pPr>
      <w:r>
        <w:t xml:space="preserve">Homes England (2025) </w:t>
      </w:r>
      <w:r>
        <w:rPr>
          <w:i/>
          <w:iCs/>
        </w:rPr>
        <w:t>Homes England annual report and accounts 2024 to 2025</w:t>
      </w:r>
      <w:r>
        <w:t>. Available at:</w:t>
      </w:r>
      <w:hyperlink r:id="rId21">
        <w:r>
          <w:t xml:space="preserve"> </w:t>
        </w:r>
      </w:hyperlink>
      <w:hyperlink r:id="rId22">
        <w:r>
          <w:rPr>
            <w:color w:val="1155CC"/>
            <w:u w:val="single"/>
          </w:rPr>
          <w:t>https://www.gov.uk/government/publications/homes-england-annual-report-and-accounts-2024-</w:t>
        </w:r>
        <w:r>
          <w:rPr>
            <w:color w:val="1155CC"/>
            <w:u w:val="single"/>
          </w:rPr>
          <w:lastRenderedPageBreak/>
          <w:t>and-2025/homes-england-annual-report-2024-to-2025-chairs-foreword-and-performance-report-accessible-version</w:t>
        </w:r>
      </w:hyperlink>
      <w:r>
        <w:t>(Accessed:18August2026).</w:t>
      </w:r>
    </w:p>
    <w:p w:rsidR="00E075FE" w:rsidRDefault="00E075FE" w:rsidP="00BF5FC3">
      <w:pPr>
        <w:pStyle w:val="normal0"/>
        <w:widowControl w:val="0"/>
      </w:pPr>
    </w:p>
    <w:p w:rsidR="00BF5FC3" w:rsidRDefault="00BF5FC3" w:rsidP="00BF5FC3">
      <w:pPr>
        <w:pStyle w:val="normal0"/>
        <w:widowControl w:val="0"/>
      </w:pPr>
      <w:r>
        <w:t>WRAP (2025) ‘Crown Workspace Ltd: Leading the way in office furniture reuse’, 16 October. Available at:</w:t>
      </w:r>
      <w:hyperlink r:id="rId23">
        <w:r>
          <w:t xml:space="preserve"> </w:t>
        </w:r>
      </w:hyperlink>
      <w:hyperlink r:id="rId24">
        <w:r>
          <w:rPr>
            <w:color w:val="1155CC"/>
            <w:u w:val="single"/>
          </w:rPr>
          <w:t>https://www.wrap.ngo/resources/case-study/crown-workspace-ltd-leading-way-office-furniture-reuse</w:t>
        </w:r>
      </w:hyperlink>
      <w:r>
        <w:t xml:space="preserve"> (Accessed: 18 August 2026).</w:t>
      </w:r>
    </w:p>
    <w:p w:rsidR="00BF5FC3" w:rsidRDefault="00BF5FC3" w:rsidP="00BF5FC3">
      <w:pPr>
        <w:pStyle w:val="normal0"/>
        <w:spacing w:before="0"/>
      </w:pPr>
      <w:r>
        <w:t xml:space="preserve">Grand View Research (2024). </w:t>
      </w:r>
      <w:r>
        <w:rPr>
          <w:i/>
          <w:iCs/>
        </w:rPr>
        <w:t>UK Eco-friendly Furniture Market Size &amp; Outlook, 2030</w:t>
      </w:r>
      <w:r>
        <w:t xml:space="preserve">. [online] </w:t>
      </w:r>
      <w:r>
        <w:rPr>
          <w:i/>
          <w:iCs/>
        </w:rPr>
        <w:t>Grandviewresearch.com</w:t>
      </w:r>
      <w:r>
        <w:t xml:space="preserve">. Available at: </w:t>
      </w:r>
    </w:p>
    <w:p w:rsidR="00BF5FC3" w:rsidRDefault="00BF5FC3" w:rsidP="00BF5FC3">
      <w:pPr>
        <w:pStyle w:val="normal0"/>
        <w:spacing w:before="0"/>
      </w:pPr>
      <w:hyperlink r:id="rId25">
        <w:r>
          <w:rPr>
            <w:color w:val="1155CC"/>
            <w:u w:val="single"/>
          </w:rPr>
          <w:t>https://www.grandviewresearch.com/horizon/outlook/eco-friendly-furniture-market/uk</w:t>
        </w:r>
      </w:hyperlink>
      <w:r>
        <w:t xml:space="preserve">. </w:t>
      </w:r>
    </w:p>
    <w:p w:rsidR="00BF5FC3" w:rsidRDefault="00BF5FC3" w:rsidP="00BF5FC3">
      <w:pPr>
        <w:pStyle w:val="normal0"/>
        <w:widowControl w:val="0"/>
      </w:pPr>
      <w:r>
        <w:t xml:space="preserve">Department for Environment, Food and Rural Affairs (2023) </w:t>
      </w:r>
      <w:r>
        <w:rPr>
          <w:i/>
          <w:iCs/>
        </w:rPr>
        <w:t>Maximising resources, minimising waste: a circular economy approach to resource and waste management in England</w:t>
      </w:r>
      <w:r>
        <w:t xml:space="preserve">. Available at: </w:t>
      </w:r>
      <w:hyperlink r:id="rId26">
        <w:r>
          <w:rPr>
            <w:color w:val="1155CC"/>
            <w:u w:val="single"/>
          </w:rPr>
          <w:t>https://www.gov.uk/government/publications/waste-prevention-programme-for-england-maximising-resources-minimising-waste/the-waste-prevention-programme-for-england-maximising-resources-minimising-waste</w:t>
        </w:r>
      </w:hyperlink>
      <w:r>
        <w:t xml:space="preserve"> (Accessed: 18 August 2026).</w:t>
      </w:r>
    </w:p>
    <w:p w:rsidR="00BF5FC3" w:rsidRDefault="00BF5FC3">
      <w:pPr>
        <w:pStyle w:val="normal0"/>
        <w:pBdr>
          <w:top w:val="nil"/>
          <w:left w:val="nil"/>
          <w:bottom w:val="nil"/>
          <w:right w:val="nil"/>
          <w:between w:val="nil"/>
        </w:pBdr>
        <w:rPr>
          <w:color w:val="000000"/>
        </w:rPr>
      </w:pPr>
    </w:p>
    <w:p w:rsidR="00801BD9" w:rsidRDefault="00801BD9">
      <w:pPr>
        <w:pStyle w:val="normal0"/>
        <w:pBdr>
          <w:top w:val="nil"/>
          <w:left w:val="nil"/>
          <w:bottom w:val="nil"/>
          <w:right w:val="nil"/>
          <w:between w:val="nil"/>
        </w:pBdr>
        <w:rPr>
          <w:color w:val="000000"/>
        </w:rPr>
      </w:pPr>
    </w:p>
    <w:sectPr w:rsidR="00801BD9" w:rsidSect="00801BD9">
      <w:headerReference w:type="default" r:id="rId27"/>
      <w:footerReference w:type="default" r:id="rId28"/>
      <w:footerReference w:type="first" r:id="rId29"/>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32B6" w:rsidRDefault="005232B6" w:rsidP="00801BD9">
      <w:pPr>
        <w:spacing w:before="0" w:after="0" w:line="240" w:lineRule="auto"/>
      </w:pPr>
      <w:r>
        <w:separator/>
      </w:r>
    </w:p>
  </w:endnote>
  <w:endnote w:type="continuationSeparator" w:id="1">
    <w:p w:rsidR="005232B6" w:rsidRDefault="005232B6" w:rsidP="00801BD9">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8E2675E-B1C1-40DA-BA96-2A254E6FC6D0}"/>
  </w:font>
  <w:font w:name="Calibri">
    <w:panose1 w:val="020F0502020204030204"/>
    <w:charset w:val="00"/>
    <w:family w:val="swiss"/>
    <w:pitch w:val="variable"/>
    <w:sig w:usb0="E4002EFF" w:usb1="C200247B" w:usb2="00000009" w:usb3="00000000" w:csb0="000001FF" w:csb1="00000000"/>
    <w:embedRegular r:id="rId2" w:fontKey="{7F40D28B-CADC-4A77-AE7E-4B3EEFFDE7CE}"/>
    <w:embedBold r:id="rId3" w:fontKey="{E846321E-385D-45BB-B3B8-7CDE08121507}"/>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8394A856-90A8-4894-AE09-A844E7792B69}"/>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01BD9" w:rsidRDefault="00801BD9">
    <w:pPr>
      <w:pStyle w:val="normal0"/>
      <w:pBdr>
        <w:top w:val="nil"/>
        <w:left w:val="nil"/>
        <w:bottom w:val="nil"/>
        <w:right w:val="nil"/>
        <w:between w:val="nil"/>
      </w:pBdr>
      <w:jc w:val="right"/>
      <w:rPr>
        <w:color w:val="000000"/>
      </w:rPr>
    </w:pPr>
    <w:r>
      <w:rPr>
        <w:color w:val="000000"/>
      </w:rPr>
      <w:fldChar w:fldCharType="begin"/>
    </w:r>
    <w:r w:rsidR="005232B6">
      <w:rPr>
        <w:color w:val="000000"/>
      </w:rPr>
      <w:instrText>PAGE</w:instrText>
    </w:r>
    <w:r w:rsidR="002A2E8D">
      <w:rPr>
        <w:color w:val="000000"/>
      </w:rPr>
      <w:fldChar w:fldCharType="separate"/>
    </w:r>
    <w:r w:rsidR="00E075FE">
      <w:rPr>
        <w:noProof/>
        <w:color w:val="000000"/>
      </w:rPr>
      <w:t>1</w:t>
    </w:r>
    <w:r>
      <w:rPr>
        <w:color w:val="000000"/>
      </w:rP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01BD9" w:rsidRDefault="00801BD9">
    <w:pPr>
      <w:pStyle w:val="normal0"/>
      <w:pBdr>
        <w:top w:val="nil"/>
        <w:left w:val="nil"/>
        <w:bottom w:val="nil"/>
        <w:right w:val="nil"/>
        <w:between w:val="nil"/>
      </w:pBdr>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32B6" w:rsidRDefault="005232B6" w:rsidP="00801BD9">
      <w:pPr>
        <w:spacing w:before="0" w:after="0" w:line="240" w:lineRule="auto"/>
      </w:pPr>
      <w:r>
        <w:separator/>
      </w:r>
    </w:p>
  </w:footnote>
  <w:footnote w:type="continuationSeparator" w:id="1">
    <w:p w:rsidR="005232B6" w:rsidRDefault="005232B6" w:rsidP="00801BD9">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01BD9" w:rsidRDefault="00801BD9">
    <w:pPr>
      <w:pStyle w:val="normal0"/>
      <w:pBdr>
        <w:top w:val="nil"/>
        <w:left w:val="nil"/>
        <w:bottom w:val="nil"/>
        <w:right w:val="nil"/>
        <w:between w:val="nil"/>
      </w:pBdr>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2A2F7C"/>
    <w:multiLevelType w:val="multilevel"/>
    <w:tmpl w:val="8EF6D9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nsid w:val="4BF009D9"/>
    <w:multiLevelType w:val="multilevel"/>
    <w:tmpl w:val="E0721C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TrueTypeFonts/>
  <w:defaultTabStop w:val="720"/>
  <w:characterSpacingControl w:val="doNotCompress"/>
  <w:footnotePr>
    <w:footnote w:id="0"/>
    <w:footnote w:id="1"/>
  </w:footnotePr>
  <w:endnotePr>
    <w:endnote w:id="0"/>
    <w:endnote w:id="1"/>
  </w:endnotePr>
  <w:compat/>
  <w:rsids>
    <w:rsidRoot w:val="00801BD9"/>
    <w:rsid w:val="002A2E8D"/>
    <w:rsid w:val="00382F5C"/>
    <w:rsid w:val="005232B6"/>
    <w:rsid w:val="00801BD9"/>
    <w:rsid w:val="00BF5FC3"/>
    <w:rsid w:val="00E075FE"/>
    <w:rsid w:val="00E6325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801BD9"/>
    <w:pPr>
      <w:keepNext/>
      <w:keepLines/>
      <w:pBdr>
        <w:top w:val="nil"/>
        <w:left w:val="nil"/>
        <w:bottom w:val="nil"/>
        <w:right w:val="nil"/>
        <w:between w:val="nil"/>
      </w:pBdr>
      <w:spacing w:before="360" w:after="80"/>
      <w:outlineLvl w:val="0"/>
    </w:pPr>
    <w:rPr>
      <w:b/>
      <w:bCs/>
      <w:color w:val="000000"/>
      <w:sz w:val="28"/>
      <w:szCs w:val="28"/>
    </w:rPr>
  </w:style>
  <w:style w:type="paragraph" w:styleId="Heading2">
    <w:name w:val="heading 2"/>
    <w:basedOn w:val="normal0"/>
    <w:next w:val="normal0"/>
    <w:rsid w:val="00801BD9"/>
    <w:pPr>
      <w:keepNext/>
      <w:keepLines/>
      <w:pBdr>
        <w:top w:val="nil"/>
        <w:left w:val="nil"/>
        <w:bottom w:val="nil"/>
        <w:right w:val="nil"/>
        <w:between w:val="nil"/>
      </w:pBdr>
      <w:spacing w:before="280" w:after="80"/>
      <w:outlineLvl w:val="1"/>
    </w:pPr>
    <w:rPr>
      <w:b/>
      <w:bCs/>
      <w:color w:val="000000"/>
      <w:sz w:val="26"/>
      <w:szCs w:val="26"/>
    </w:rPr>
  </w:style>
  <w:style w:type="paragraph" w:styleId="Heading3">
    <w:name w:val="heading 3"/>
    <w:basedOn w:val="normal0"/>
    <w:next w:val="normal0"/>
    <w:rsid w:val="00801BD9"/>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0"/>
    <w:next w:val="normal0"/>
    <w:rsid w:val="00801BD9"/>
    <w:pPr>
      <w:keepNext/>
      <w:keepLines/>
      <w:pBdr>
        <w:top w:val="nil"/>
        <w:left w:val="nil"/>
        <w:bottom w:val="nil"/>
        <w:right w:val="nil"/>
        <w:between w:val="nil"/>
      </w:pBdr>
      <w:spacing w:before="280" w:after="80"/>
      <w:outlineLvl w:val="3"/>
    </w:pPr>
    <w:rPr>
      <w:color w:val="666666"/>
    </w:rPr>
  </w:style>
  <w:style w:type="paragraph" w:styleId="Heading5">
    <w:name w:val="heading 5"/>
    <w:basedOn w:val="normal0"/>
    <w:next w:val="normal0"/>
    <w:rsid w:val="00801BD9"/>
    <w:pPr>
      <w:keepNext/>
      <w:keepLines/>
      <w:pBdr>
        <w:top w:val="nil"/>
        <w:left w:val="nil"/>
        <w:bottom w:val="nil"/>
        <w:right w:val="nil"/>
        <w:between w:val="nil"/>
      </w:pBdr>
      <w:spacing w:after="80"/>
      <w:outlineLvl w:val="4"/>
    </w:pPr>
    <w:rPr>
      <w:color w:val="666666"/>
      <w:sz w:val="22"/>
      <w:szCs w:val="22"/>
    </w:rPr>
  </w:style>
  <w:style w:type="paragraph" w:styleId="Heading6">
    <w:name w:val="heading 6"/>
    <w:basedOn w:val="normal0"/>
    <w:next w:val="normal0"/>
    <w:rsid w:val="00801BD9"/>
    <w:pPr>
      <w:keepNext/>
      <w:keepLines/>
      <w:pBdr>
        <w:top w:val="nil"/>
        <w:left w:val="nil"/>
        <w:bottom w:val="nil"/>
        <w:right w:val="nil"/>
        <w:between w:val="nil"/>
      </w:pBdr>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01BD9"/>
    <w:tblPr>
      <w:tblCellMar>
        <w:top w:w="100" w:type="dxa"/>
        <w:left w:w="100" w:type="dxa"/>
        <w:bottom w:w="100" w:type="dxa"/>
        <w:right w:w="100" w:type="dxa"/>
      </w:tblCellMar>
    </w:tblPr>
  </w:style>
  <w:style w:type="paragraph" w:customStyle="1" w:styleId="normal0">
    <w:name w:val="normal"/>
    <w:rsid w:val="00801BD9"/>
  </w:style>
  <w:style w:type="paragraph" w:styleId="Title">
    <w:name w:val="Title"/>
    <w:basedOn w:val="normal0"/>
    <w:next w:val="normal0"/>
    <w:rsid w:val="00801BD9"/>
    <w:pPr>
      <w:keepNext/>
      <w:keepLines/>
      <w:pBdr>
        <w:top w:val="nil"/>
        <w:left w:val="nil"/>
        <w:bottom w:val="nil"/>
        <w:right w:val="nil"/>
        <w:between w:val="nil"/>
      </w:pBdr>
      <w:spacing w:before="0" w:after="60"/>
    </w:pPr>
    <w:rPr>
      <w:color w:val="000000"/>
      <w:sz w:val="52"/>
      <w:szCs w:val="52"/>
    </w:rPr>
  </w:style>
  <w:style w:type="table" w:customStyle="1" w:styleId="TableNormal1">
    <w:name w:val="TableNormal"/>
    <w:rsid w:val="002777E6"/>
    <w:tblPr>
      <w:tblCellMar>
        <w:top w:w="100" w:type="dxa"/>
        <w:left w:w="100" w:type="dxa"/>
        <w:bottom w:w="100" w:type="dxa"/>
        <w:right w:w="100" w:type="dxa"/>
      </w:tblCellMar>
    </w:tblPr>
  </w:style>
  <w:style w:type="paragraph" w:customStyle="1" w:styleId="normal1">
    <w:name w:val="normal"/>
    <w:rsid w:val="002777E6"/>
  </w:style>
  <w:style w:type="table" w:customStyle="1" w:styleId="TableNormal2">
    <w:name w:val="TableNormal"/>
    <w:rsid w:val="002777E6"/>
    <w:tblPr>
      <w:tblCellMar>
        <w:top w:w="100" w:type="dxa"/>
        <w:left w:w="100" w:type="dxa"/>
        <w:bottom w:w="100" w:type="dxa"/>
        <w:right w:w="100" w:type="dxa"/>
      </w:tblCellMar>
    </w:tblPr>
  </w:style>
  <w:style w:type="paragraph" w:customStyle="1" w:styleId="normal2">
    <w:name w:val="normal"/>
    <w:rsid w:val="002777E6"/>
  </w:style>
  <w:style w:type="paragraph" w:styleId="BalloonText">
    <w:name w:val="Balloon Text"/>
    <w:basedOn w:val="normal0"/>
    <w:link w:val="BalloonTextChar"/>
    <w:uiPriority w:val="99"/>
    <w:semiHidden/>
    <w:unhideWhenUsed/>
    <w:rsid w:val="009C6B6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6B6A"/>
    <w:rPr>
      <w:rFonts w:ascii="Tahoma" w:hAnsi="Tahoma" w:cs="Tahoma"/>
      <w:sz w:val="16"/>
      <w:szCs w:val="16"/>
    </w:rPr>
  </w:style>
  <w:style w:type="paragraph" w:styleId="TOC1">
    <w:name w:val="toc 1"/>
    <w:basedOn w:val="normal0"/>
    <w:next w:val="normal0"/>
    <w:autoRedefine/>
    <w:uiPriority w:val="39"/>
    <w:unhideWhenUsed/>
    <w:rsid w:val="009C6B6A"/>
    <w:pPr>
      <w:spacing w:after="100"/>
    </w:pPr>
  </w:style>
  <w:style w:type="paragraph" w:styleId="TOC2">
    <w:name w:val="toc 2"/>
    <w:basedOn w:val="normal0"/>
    <w:next w:val="normal0"/>
    <w:autoRedefine/>
    <w:uiPriority w:val="39"/>
    <w:unhideWhenUsed/>
    <w:rsid w:val="009C6B6A"/>
    <w:pPr>
      <w:spacing w:after="100"/>
      <w:ind w:left="240"/>
    </w:pPr>
  </w:style>
  <w:style w:type="character" w:styleId="Hyperlink">
    <w:name w:val="Hyperlink"/>
    <w:basedOn w:val="DefaultParagraphFont"/>
    <w:uiPriority w:val="99"/>
    <w:unhideWhenUsed/>
    <w:rsid w:val="009C6B6A"/>
    <w:rPr>
      <w:color w:val="0000FF" w:themeColor="hyperlink"/>
      <w:u w:val="single"/>
    </w:rPr>
  </w:style>
  <w:style w:type="paragraph" w:styleId="TOCHeading">
    <w:name w:val="TOC Heading"/>
    <w:basedOn w:val="Heading1"/>
    <w:next w:val="normal0"/>
    <w:uiPriority w:val="39"/>
    <w:unhideWhenUsed/>
    <w:qFormat/>
    <w:rsid w:val="0021290F"/>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Subtitle">
    <w:name w:val="Subtitle"/>
    <w:basedOn w:val="normal0"/>
    <w:next w:val="normal0"/>
    <w:rsid w:val="00801BD9"/>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a">
    <w:basedOn w:val="TableNormal"/>
    <w:rsid w:val="00801BD9"/>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s.gov.uk/employmentandlabourmarket/peopleinwork/employmentandemployeetypes/articles/whohasaccesstohybridworkingreatbritain/latest" TargetMode="External"/><Relationship Id="rId18" Type="http://schemas.openxmlformats.org/officeDocument/2006/relationships/hyperlink" Target="https://www.ons.gov.uk/businessindustryandtrade/business/activitysizeandlocation/bulletins/ukbusinessactivitysizeandlocation/2025" TargetMode="External"/><Relationship Id="rId26"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3" Type="http://schemas.openxmlformats.org/officeDocument/2006/relationships/styles" Target="styles.xml"/><Relationship Id="rId21"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onsultancy.uk/news/44287/london-now-worlds-second-most-expensive-office-fit-out-market" TargetMode="External"/><Relationship Id="rId25" Type="http://schemas.openxmlformats.org/officeDocument/2006/relationships/hyperlink" Target="https://www.grandviewresearch.com/horizon/outlook/eco-friendly-furniture-market/uk" TargetMode="External"/><Relationship Id="rId2" Type="http://schemas.openxmlformats.org/officeDocument/2006/relationships/numbering" Target="numbering.xml"/><Relationship Id="rId16" Type="http://schemas.openxmlformats.org/officeDocument/2006/relationships/hyperlink" Target="https://www.consultancy.uk/news/44287/london-now-worlds-second-most-expensive-office-fit-out-market?utm_source=chatgpt.com" TargetMode="External"/><Relationship Id="rId20" Type="http://schemas.openxmlformats.org/officeDocument/2006/relationships/hyperlink" Target="https://www.ons.gov.uk/businessindustryandtrade/business/activitysizeandlocation/bulletins/ukbusinessactivitysizeandlocation/2025"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rap.ngo/resources/case-study/crown-workspace-ltd-leading-way-office-furniture-reuse?utm_source=chatgpt.com" TargetMode="External"/><Relationship Id="rId5" Type="http://schemas.openxmlformats.org/officeDocument/2006/relationships/webSettings" Target="webSettings.xml"/><Relationship Id="rId15" Type="http://schemas.openxmlformats.org/officeDocument/2006/relationships/hyperlink" Target="https://www.workingfromcoffeeshops.co.uk/blog/working-from-home-statistics-uk" TargetMode="External"/><Relationship Id="rId23" Type="http://schemas.openxmlformats.org/officeDocument/2006/relationships/hyperlink" Target="https://www.wrap.ngo/resources/case-study/crown-workspace-ltd-leading-way-office-furniture-reuse?utm_source=chatgpt.com"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ons.gov.uk/businessindustryandtrade/business/activitysizeandlocation/bulletins/ukbusinessactivitysizeandlocation/202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employmentandlabourmarket/peopleinwork/employmentandemployeetypes/articles/whohasaccesstohybridworkingreatbritain/latest" TargetMode="External"/><Relationship Id="rId22"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27" Type="http://schemas.openxmlformats.org/officeDocument/2006/relationships/header" Target="header1.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kQ1G65kfzkhHtzXcwKqVME9aFw==">CgMxLjAyDmguM2IzNHZpemF3enh4Mg1oLmpvM3NqOHdtdmppMg5oLnNncGh1NjExdXU4MzIOaC5yb2FlaHZ4cG1iZWgyDmguemk4MzZkNmZicmRuMg5oLm1sZ3gzaHJ5MWxiZzIOaC4zamFqb2hoMGRoZ20yDmgua3Y0eWxsYWNvd2V4Mg5oLmoya3Q0bmYyN3VkcDIOaC5icTQ3YXkzZmFkZnEyDmguajVkcTZyYXN5emcyMg5oLmUwOHgxZ2FxdHp6ejIOaC5hcWF1OHR4Y3EzcXUyDmgucTFycmxsOG1pMDBvMg1oLm01dzZhcWFraTVoMg5oLmV1a21obTg1Y211eTgAciExR09Sd0VWWmZjODZBOVFTU3doZ0V2UUpnN1RJcUlkMX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2414</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2026-08-31T22:25:00Z</dcterms:created>
  <dcterms:modified xsi:type="dcterms:W3CDTF">2026-08-31T22:25:00Z</dcterms:modified>
</cp:coreProperties>
</file>