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2799EA7" w14:textId="77777777" w:rsidR="00AE5B56" w:rsidRDefault="00AE5B56" w:rsidP="005D3F07">
            <w:pPr>
              <w:overflowPunct/>
              <w:autoSpaceDE/>
              <w:autoSpaceDN/>
              <w:adjustRightInd/>
              <w:ind w:right="-957"/>
              <w:textAlignment w:val="auto"/>
              <w:rPr>
                <w:rFonts w:ascii="Times New Roman" w:hAnsi="Times New Roman" w:cs="Times New Roman"/>
                <w:b/>
                <w:color w:val="auto"/>
                <w:sz w:val="48"/>
              </w:rPr>
            </w:pPr>
          </w:p>
          <w:p w14:paraId="2CABB275" w14:textId="400FDD77" w:rsidR="00AE5B56" w:rsidRDefault="00AE5B5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 Crouch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6787CAD3" w14:textId="77777777" w:rsidR="00AE5B56" w:rsidRDefault="00AE5B56" w:rsidP="005D3F07">
            <w:pPr>
              <w:overflowPunct/>
              <w:autoSpaceDE/>
              <w:autoSpaceDN/>
              <w:adjustRightInd/>
              <w:ind w:right="-957"/>
              <w:textAlignment w:val="auto"/>
              <w:rPr>
                <w:rFonts w:ascii="Times New Roman" w:hAnsi="Times New Roman" w:cs="Times New Roman"/>
                <w:b/>
                <w:color w:val="auto"/>
                <w:sz w:val="48"/>
              </w:rPr>
            </w:pPr>
          </w:p>
          <w:p w14:paraId="5491BD0A" w14:textId="76145348" w:rsidR="00AE5B56" w:rsidRDefault="00AE5B5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jackiecrch@hotmail.co.uk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D08BE6A" w14:textId="77777777" w:rsidR="00AE5B56" w:rsidRDefault="00AE5B56" w:rsidP="005D3F07">
            <w:pPr>
              <w:overflowPunct/>
              <w:autoSpaceDE/>
              <w:autoSpaceDN/>
              <w:adjustRightInd/>
              <w:ind w:right="-957"/>
              <w:textAlignment w:val="auto"/>
              <w:rPr>
                <w:rFonts w:ascii="Times New Roman" w:hAnsi="Times New Roman" w:cs="Times New Roman"/>
                <w:b/>
                <w:color w:val="auto"/>
                <w:sz w:val="48"/>
              </w:rPr>
            </w:pPr>
          </w:p>
          <w:p w14:paraId="388D596A" w14:textId="45745D25" w:rsidR="00AE5B56" w:rsidRPr="005D3F07" w:rsidRDefault="00AE5B5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2422204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8539F8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w:t>
      </w:r>
      <w:r w:rsidR="00AE5B56">
        <w:rPr>
          <w:sz w:val="24"/>
          <w:szCs w:val="24"/>
        </w:rPr>
        <w:t>Wednesday 13</w:t>
      </w:r>
      <w:r w:rsidR="00AE5B56" w:rsidRPr="00AE5B56">
        <w:rPr>
          <w:sz w:val="24"/>
          <w:szCs w:val="24"/>
          <w:vertAlign w:val="superscript"/>
        </w:rPr>
        <w:t>th</w:t>
      </w:r>
      <w:r w:rsidR="00AE5B56">
        <w:rPr>
          <w:sz w:val="24"/>
          <w:szCs w:val="24"/>
        </w:rPr>
        <w:t xml:space="preserve"> August 2025</w:t>
      </w:r>
      <w:r w:rsidR="00C7108B">
        <w:rPr>
          <w:sz w:val="24"/>
          <w:szCs w:val="24"/>
        </w:rPr>
        <w:t xml:space="preserve">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D56F104" w14:textId="77777777" w:rsidR="00AE5B56" w:rsidRDefault="00AE5B56" w:rsidP="00D3203C">
            <w:pPr>
              <w:jc w:val="both"/>
              <w:rPr>
                <w:i/>
                <w:sz w:val="24"/>
                <w:szCs w:val="24"/>
              </w:rPr>
            </w:pPr>
          </w:p>
          <w:p w14:paraId="6BA63E4F" w14:textId="77777777" w:rsidR="00AE5B56" w:rsidRPr="00154268" w:rsidRDefault="00AE5B56" w:rsidP="00AE5B56">
            <w:pPr>
              <w:rPr>
                <w:rFonts w:asciiTheme="minorHAnsi" w:hAnsiTheme="minorHAnsi" w:cstheme="minorHAnsi"/>
                <w:sz w:val="24"/>
                <w:szCs w:val="24"/>
              </w:rPr>
            </w:pPr>
            <w:r w:rsidRPr="00154268">
              <w:rPr>
                <w:rFonts w:asciiTheme="minorHAnsi" w:hAnsiTheme="minorHAnsi" w:cstheme="minorHAnsi"/>
                <w:sz w:val="24"/>
                <w:szCs w:val="24"/>
              </w:rPr>
              <w:t xml:space="preserve">The observation aimed to assist an individual in completing a Universal Credit Capability for Work questionnaire. This ensured their health needs and circumstances were clearly represented. As mentioned in the Social Services and Well-being Act 2014 (Welsh Government, 2014), accessing the proper financial support is crucial for promoting independence, well-being, and reducing stress during times of ill health. </w:t>
            </w:r>
          </w:p>
          <w:p w14:paraId="63B1424D" w14:textId="77777777" w:rsidR="00AE5B56" w:rsidRPr="00154268" w:rsidRDefault="00AE5B56" w:rsidP="00AE5B56">
            <w:pPr>
              <w:rPr>
                <w:rFonts w:asciiTheme="minorHAnsi" w:hAnsiTheme="minorHAnsi" w:cstheme="minorHAnsi"/>
                <w:sz w:val="24"/>
                <w:szCs w:val="24"/>
              </w:rPr>
            </w:pPr>
            <w:r w:rsidRPr="00154268">
              <w:rPr>
                <w:rFonts w:asciiTheme="minorHAnsi" w:hAnsiTheme="minorHAnsi" w:cstheme="minorHAnsi"/>
                <w:sz w:val="24"/>
                <w:szCs w:val="24"/>
              </w:rPr>
              <w:t xml:space="preserve">The observation took place in a Hospice, which is a safe and familiar place for the individual. It allows them to access support more easily. Hospice UK (2017) notes that care in a Hospice setting is viewed as holistic. It provides not just medical help but also social, emotional, and financial support. The intervention, therefore, addressed the individual’s needs comprehensively. </w:t>
            </w:r>
          </w:p>
          <w:p w14:paraId="22496981" w14:textId="77777777" w:rsidR="00AE5B56" w:rsidRPr="00154268" w:rsidRDefault="00AE5B56" w:rsidP="00AE5B56">
            <w:pPr>
              <w:rPr>
                <w:rFonts w:asciiTheme="minorHAnsi" w:hAnsiTheme="minorHAnsi" w:cstheme="minorHAnsi"/>
                <w:sz w:val="24"/>
                <w:szCs w:val="24"/>
              </w:rPr>
            </w:pPr>
            <w:r w:rsidRPr="00154268">
              <w:rPr>
                <w:rFonts w:asciiTheme="minorHAnsi" w:hAnsiTheme="minorHAnsi" w:cstheme="minorHAnsi"/>
                <w:sz w:val="24"/>
                <w:szCs w:val="24"/>
              </w:rPr>
              <w:t xml:space="preserve">Throughout this process, we considered any cultural and language barriers. The individual had received support before and continued to do so. They confirmed that they spoke English and chose not to engage in Welsh. This aligned with the ‘Active Offer’ (Welsh Government 2012) and highlighted the ‘More than Just Words’ framework, which focuses on language-sensitive communication and fair service delivery (Welsh Government, 2019). Using the Active Offer showed respect for cultural identity and promoted inclusivity. </w:t>
            </w:r>
          </w:p>
          <w:p w14:paraId="7561320E" w14:textId="77777777" w:rsidR="00AE5B56" w:rsidRPr="00154268" w:rsidRDefault="00AE5B56" w:rsidP="00AE5B56">
            <w:pPr>
              <w:rPr>
                <w:rFonts w:asciiTheme="minorHAnsi" w:hAnsiTheme="minorHAnsi" w:cstheme="minorHAnsi"/>
                <w:sz w:val="24"/>
                <w:szCs w:val="24"/>
              </w:rPr>
            </w:pPr>
            <w:r w:rsidRPr="00154268">
              <w:rPr>
                <w:rFonts w:asciiTheme="minorHAnsi" w:hAnsiTheme="minorHAnsi" w:cstheme="minorHAnsi"/>
                <w:sz w:val="24"/>
                <w:szCs w:val="24"/>
              </w:rPr>
              <w:t>We obtained verbal consent and clearly explained the purpose of the observation before starting, ensuring the individual did not feel overwhelmed with another social worker present. These actions upheld values of dignity, empowerment, and respect, as emphasised by BASW (2021).</w:t>
            </w:r>
          </w:p>
          <w:p w14:paraId="2CCA4C22" w14:textId="77777777" w:rsidR="00AE5B56" w:rsidRPr="00154268" w:rsidRDefault="00AE5B56" w:rsidP="00AE5B56">
            <w:pPr>
              <w:rPr>
                <w:rFonts w:asciiTheme="minorHAnsi" w:hAnsiTheme="minorHAnsi" w:cstheme="minorHAnsi"/>
                <w:sz w:val="24"/>
                <w:szCs w:val="24"/>
              </w:rPr>
            </w:pPr>
            <w:r w:rsidRPr="00154268">
              <w:rPr>
                <w:rFonts w:asciiTheme="minorHAnsi" w:hAnsiTheme="minorHAnsi" w:cstheme="minorHAnsi"/>
                <w:sz w:val="24"/>
                <w:szCs w:val="24"/>
              </w:rPr>
              <w:t>The individual expressed that they felt supported while accessing Hospice services and would not have succeeded without that help. This highlights the importance of advocacy, effective communication, and holistic practice in hospice social work, aligning with NICE guidance on supporting adults (NICE, 2019).</w:t>
            </w:r>
          </w:p>
          <w:p w14:paraId="67D7705E" w14:textId="77777777" w:rsidR="00AE5B56" w:rsidRPr="00154268" w:rsidRDefault="00AE5B56" w:rsidP="00AE5B56">
            <w:pPr>
              <w:rPr>
                <w:rFonts w:asciiTheme="minorHAnsi" w:hAnsiTheme="minorHAnsi" w:cstheme="minorHAnsi"/>
                <w:sz w:val="24"/>
                <w:szCs w:val="24"/>
              </w:rPr>
            </w:pPr>
          </w:p>
          <w:p w14:paraId="066DECB9" w14:textId="77777777" w:rsidR="00AE5B56" w:rsidRDefault="00AE5B56" w:rsidP="00D3203C">
            <w:pPr>
              <w:jc w:val="both"/>
              <w:rPr>
                <w:i/>
                <w:sz w:val="24"/>
                <w:szCs w:val="24"/>
              </w:rPr>
            </w:pPr>
          </w:p>
          <w:p w14:paraId="6E25DE74" w14:textId="5883C346" w:rsidR="00D3203C" w:rsidRPr="00AE5B56" w:rsidRDefault="00AE5B56" w:rsidP="00D3203C">
            <w:pPr>
              <w:jc w:val="both"/>
              <w:rPr>
                <w:b/>
                <w:bCs/>
                <w:iCs/>
                <w:sz w:val="24"/>
                <w:szCs w:val="24"/>
              </w:rPr>
            </w:pPr>
            <w:r w:rsidRPr="00AE5B56">
              <w:rPr>
                <w:b/>
                <w:bCs/>
                <w:iCs/>
                <w:sz w:val="24"/>
                <w:szCs w:val="24"/>
              </w:rPr>
              <w:t>Word Count:</w:t>
            </w:r>
            <w:r>
              <w:rPr>
                <w:b/>
                <w:bCs/>
                <w:iCs/>
                <w:sz w:val="24"/>
                <w:szCs w:val="24"/>
              </w:rPr>
              <w:t xml:space="preserve"> 276</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E84CC1E" w14:textId="77777777" w:rsidR="00AE5B56" w:rsidRDefault="00AE5B56" w:rsidP="00243DB0">
            <w:pPr>
              <w:jc w:val="both"/>
              <w:rPr>
                <w:i/>
                <w:sz w:val="24"/>
                <w:szCs w:val="24"/>
              </w:rPr>
            </w:pPr>
          </w:p>
          <w:p w14:paraId="45A32825" w14:textId="77777777" w:rsidR="00AE5B56" w:rsidRDefault="00AE5B56" w:rsidP="00243DB0">
            <w:pPr>
              <w:jc w:val="both"/>
              <w:rPr>
                <w:i/>
                <w:sz w:val="24"/>
                <w:szCs w:val="24"/>
              </w:rPr>
            </w:pPr>
          </w:p>
          <w:p w14:paraId="542A04F4"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Effective communication is central to social work practice, underpinning the ability to build trust, promote participation, and safeguard the rights of individuals (Trevithick, 2012). Social workers are required to support individuals in a way that respects their dignity, values, and rights, while ensuring that information is accessible and transparent (BASW, 2021). My observation supported the completion of a Universal Credit capability to work questionnaire with a patient I had been working with for some time. The observation and my practice were guided by professional ethics and values. The BASW Code of Ethics (2021) emphasises respect for the inherent dignity and worth of individuals, the promotion of human rights, and the importance of empowering service users —values that were integrated into my approach.</w:t>
            </w:r>
          </w:p>
          <w:p w14:paraId="6B0CF721" w14:textId="77777777" w:rsidR="00AE5B56" w:rsidRPr="00AE5B56" w:rsidRDefault="00AE5B56" w:rsidP="00AE5B56">
            <w:pPr>
              <w:rPr>
                <w:rFonts w:asciiTheme="minorHAnsi" w:hAnsiTheme="minorHAnsi" w:cstheme="minorHAnsi"/>
                <w:sz w:val="24"/>
                <w:szCs w:val="24"/>
              </w:rPr>
            </w:pPr>
          </w:p>
          <w:p w14:paraId="6B719BCE"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The observation required sensitive and person-centred practice. The questionnaire involved the individual answering questions about his health and ability to complete daily living activities. The Hospice provided a safe and familiar environment where the patient attended a 12-week wellbeing programme. Using a private and quiet room allowed for confidentiality and provided the individual with the necessary space to be appropriately supported. Supporting the individual with this questionnaire required clarity, accessibility, and to be in line with the Welsh Government’s principle of the Active Offer (2012) and the ‘More than Just Words’ strategy (2019).</w:t>
            </w:r>
          </w:p>
          <w:p w14:paraId="0073208E" w14:textId="77777777" w:rsidR="00AE5B56" w:rsidRPr="00AE5B56" w:rsidRDefault="00AE5B56" w:rsidP="00AE5B56">
            <w:pPr>
              <w:rPr>
                <w:rFonts w:asciiTheme="minorHAnsi" w:hAnsiTheme="minorHAnsi" w:cstheme="minorHAnsi"/>
                <w:sz w:val="24"/>
                <w:szCs w:val="24"/>
              </w:rPr>
            </w:pPr>
          </w:p>
          <w:p w14:paraId="5BB49EA8"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 xml:space="preserve">During my observation, it was essential to ensure that my patient felt supported and empowered throughout the process. For any individual, completing forms can be quite overwhelming and considered complex. This is often exacerbated for an individual with a life-limiting diagnosis. The Social Services and Well-being Act 2014 places a duty on professionals to promote well-being and to involve individuals in decisions about their care and support (Welsh Government, 2014). My communication reflected this duty, ensuring that the service user was an active participant rather than a passive recipient. </w:t>
            </w:r>
          </w:p>
          <w:p w14:paraId="3B378047"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 xml:space="preserve">Verbal communication played a central role during this process. Aligning with the Active Offer (Welsh Government, 2012), I proactively offered the individual the choice again at the start of the observation to engage in either Welsh or English. The “More than Just Words” framework (Welsh Government, 2019) emphasises that language is not merely a tool for communication, but a crucial </w:t>
            </w:r>
            <w:r w:rsidRPr="00AE5B56">
              <w:rPr>
                <w:rFonts w:asciiTheme="minorHAnsi" w:hAnsiTheme="minorHAnsi" w:cstheme="minorHAnsi"/>
                <w:sz w:val="24"/>
                <w:szCs w:val="24"/>
              </w:rPr>
              <w:lastRenderedPageBreak/>
              <w:t>component of identity, dignity, and access to care. By explicitly acknowledging language choice, I demonstrated sensitivity to these principles. While the individual declined the use of Welsh, the offer itself may have contributed to a sense of empowerment and cultural respect. The individual chose English, which was previously known through prior support; however, the act of offering reinforced respect for linguistic rights and autonomy, underpinning a person-centred approach.</w:t>
            </w:r>
          </w:p>
          <w:p w14:paraId="5B4102A7"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 xml:space="preserve">I used clear and concise language, avoiding jargon and opting for simple, everyday language. I ensured the individual understood the questions by checking in after each one. This demonstrated that the patient’s contributions were heard and valued throughout completion. Using open-ended questions encouraged the patient to express and articulate their experience in their own words, rather than closed questions, allowing them to feel that their situation was being heard. This underpins Trevithick (2012) with the principle of accessibility in communication, which was considered throughout my observation. </w:t>
            </w:r>
          </w:p>
          <w:p w14:paraId="680F98DB"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 xml:space="preserve">As well as verbal, non-verbal communication was just as fundamental. I maintained eye contact during discussions, using a calm tone of voice while positioning myself at the same level as the patient to reduce any perceived power imbalance, as well as leaning in to show the individual the form as I explained it. </w:t>
            </w:r>
            <w:proofErr w:type="spellStart"/>
            <w:r w:rsidRPr="00AE5B56">
              <w:rPr>
                <w:rFonts w:asciiTheme="minorHAnsi" w:hAnsiTheme="minorHAnsi" w:cstheme="minorHAnsi"/>
                <w:sz w:val="24"/>
                <w:szCs w:val="24"/>
              </w:rPr>
              <w:t>Mccluskey</w:t>
            </w:r>
            <w:proofErr w:type="spellEnd"/>
            <w:r w:rsidRPr="00AE5B56">
              <w:rPr>
                <w:rFonts w:asciiTheme="minorHAnsi" w:hAnsiTheme="minorHAnsi" w:cstheme="minorHAnsi"/>
                <w:sz w:val="24"/>
                <w:szCs w:val="24"/>
              </w:rPr>
              <w:t xml:space="preserve"> (2005) describes how an action, such as leaning in, conveys interest, which is suggestive of collaborative working between the individual and the Social Worker.  As the individual had to take time-sensitive medication, I was attentive to its effects prior to the session and adapted the pace accordingly. The hospice environment encouraged holistic and person-centred support, which required me to be attentive not only to spoken language but also to non-verbal cues. This demonstrated empathy and respect, aligning with the BASW Code of Ethics (2021).</w:t>
            </w:r>
          </w:p>
          <w:p w14:paraId="396801BF"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 xml:space="preserve">My role was to support the individual, ensure they were being listened to and also ensure the responses on the form were accurately recorded. Answers recorded were read back to the patient to confirm the accuracy, whilst allowing them to make changes if they felt their circumstances and experiences had not been accurately captured. Taking this collaborative approach and using a variety of communication methods when supporting the patient reflected the principles of person-centred practice (Rogers, 1957), emphasising the impact of empowerment. It demonstrated commitment to advocacy by supporting the patient to express their needs in a way that DWP would be able to understand and recognise. This reflected BASW (2021), whereby Social Workers should strive to tackle disadvantage and promote social justice by supporting them to describe their health needs in their own words, rather than shaping responses to fit bureaucratic expectations. This approach not only enhanced the accuracy of the form but also respected the patient’s autonomy. </w:t>
            </w:r>
          </w:p>
          <w:p w14:paraId="6617BD59" w14:textId="77777777" w:rsidR="00AE5B56" w:rsidRPr="00AE5B56" w:rsidRDefault="00AE5B56" w:rsidP="00AE5B56">
            <w:pPr>
              <w:rPr>
                <w:rFonts w:asciiTheme="minorHAnsi" w:hAnsiTheme="minorHAnsi" w:cstheme="minorHAnsi"/>
                <w:sz w:val="24"/>
                <w:szCs w:val="24"/>
              </w:rPr>
            </w:pPr>
          </w:p>
          <w:p w14:paraId="37C7EBAE"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Prior to this observation, I reflected on whether I had the necessary communication skills and knowledge to work effectively with the individual. I ensured that I was familiar with the questionnaire and was confident that my previous work with this individual gave me a foundation of trust and competence. However, I was also mindful of the potential complexities of the form and the importance of adapting my communication to meet the individual’s needs. It was essential to consider the emotional impact of discussing health conditions in detail, preparing to offer empathetic support and pausing the process if needed. This was done by checking in with the individual to see if he was happy to continue. Having a person-centred approach at the forefront of my practice ensured that the individual’s voice and perspective were central.</w:t>
            </w:r>
          </w:p>
          <w:p w14:paraId="0BA93EB7"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 xml:space="preserve">I was able to acknowledge the limits of my own knowledge and provide reassurance that if I became unsure of things despite becoming familiar, I would need to seek advice from colleagues or specialist </w:t>
            </w:r>
            <w:r w:rsidRPr="00AE5B56">
              <w:rPr>
                <w:rFonts w:asciiTheme="minorHAnsi" w:hAnsiTheme="minorHAnsi" w:cstheme="minorHAnsi"/>
                <w:sz w:val="24"/>
                <w:szCs w:val="24"/>
              </w:rPr>
              <w:lastRenderedPageBreak/>
              <w:t xml:space="preserve">welfare rights advisors. This reflects professional accountability and humility, which are key values in the BASW Code of Ethics (2021). </w:t>
            </w:r>
          </w:p>
          <w:p w14:paraId="76D7B769"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While language choice was considered, I could have strengthened my practice by exploring whether there were any other cultural needs that might have shaped the interaction. Interactions during the observation were based on the methods we had previously employed. However, being able to acknowledge this highlights an area for development and awareness in future practice, highlighting the principle of ongoing self-reflection (Thompson and Thompson, 2018).</w:t>
            </w:r>
          </w:p>
          <w:p w14:paraId="4CA43B8B" w14:textId="77777777" w:rsidR="00AE5B56" w:rsidRPr="00AE5B56" w:rsidRDefault="00AE5B56" w:rsidP="00AE5B56">
            <w:pPr>
              <w:rPr>
                <w:rFonts w:asciiTheme="minorHAnsi" w:hAnsiTheme="minorHAnsi" w:cstheme="minorHAnsi"/>
                <w:sz w:val="24"/>
                <w:szCs w:val="24"/>
              </w:rPr>
            </w:pPr>
          </w:p>
          <w:p w14:paraId="538D1BD6"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This reflection has critically analysed my communication methods and skills during an observation in a hospice setting. The analysis demonstrated that effective communication requires attentiveness, empathy, and adaptability, as well as alignment with professional frameworks such as the Active Offer, More Than Just Words, and the BASW Code of Ethics.</w:t>
            </w:r>
          </w:p>
          <w:p w14:paraId="6771C080"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The experience reinforced my strengths in building trust and using accessible communication, while also highlighting areas for growth, particularly in exploring cultural needs more fully and incorporating alternative communication strategies. Going forward, I will continue to reflect on and develop my communication practice, ensuring that it remains person-centred, inclusive, and ethically grounded.</w:t>
            </w:r>
          </w:p>
          <w:p w14:paraId="11F2CD96" w14:textId="77777777" w:rsidR="00AE5B56" w:rsidRP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While I addressed language choice through the Active Offer, I could have explored cultural needs more broadly. These reflections highlight the importance of continuous professional learning and development.</w:t>
            </w:r>
          </w:p>
          <w:p w14:paraId="2AC5BA3A" w14:textId="77777777" w:rsidR="00AE5B56" w:rsidRDefault="00AE5B56" w:rsidP="00AE5B56">
            <w:pPr>
              <w:rPr>
                <w:rFonts w:asciiTheme="minorHAnsi" w:hAnsiTheme="minorHAnsi" w:cstheme="minorHAnsi"/>
                <w:sz w:val="24"/>
                <w:szCs w:val="24"/>
              </w:rPr>
            </w:pPr>
            <w:r w:rsidRPr="00AE5B56">
              <w:rPr>
                <w:rFonts w:asciiTheme="minorHAnsi" w:hAnsiTheme="minorHAnsi" w:cstheme="minorHAnsi"/>
                <w:sz w:val="24"/>
                <w:szCs w:val="24"/>
              </w:rPr>
              <w:t>Notably, the observation reinforced the significance of communication in Hospice social work. In this setting, effective communication not only facilitates access to practical support but also contributes to emotional and psychological well-being. This is consistent with NICE guidance, which emphasises the importance of holistic communication in end-of-life care (NICE, 2019).</w:t>
            </w:r>
          </w:p>
          <w:p w14:paraId="169637A0" w14:textId="77777777" w:rsidR="00AE5B56" w:rsidRDefault="00AE5B56" w:rsidP="00AE5B56">
            <w:pPr>
              <w:rPr>
                <w:rFonts w:asciiTheme="minorHAnsi" w:hAnsiTheme="minorHAnsi" w:cstheme="minorHAnsi"/>
                <w:sz w:val="24"/>
                <w:szCs w:val="24"/>
              </w:rPr>
            </w:pPr>
          </w:p>
          <w:p w14:paraId="16A2373F" w14:textId="28F07E1D" w:rsidR="00AE5B56" w:rsidRPr="00AE5B56" w:rsidRDefault="00AE5B56" w:rsidP="00AE5B56">
            <w:pPr>
              <w:rPr>
                <w:rFonts w:asciiTheme="minorHAnsi" w:hAnsiTheme="minorHAnsi" w:cstheme="minorHAnsi"/>
                <w:b/>
                <w:bCs/>
                <w:sz w:val="24"/>
                <w:szCs w:val="24"/>
              </w:rPr>
            </w:pPr>
            <w:r w:rsidRPr="00AE5B56">
              <w:rPr>
                <w:rFonts w:asciiTheme="minorHAnsi" w:hAnsiTheme="minorHAnsi" w:cstheme="minorHAnsi"/>
                <w:b/>
                <w:bCs/>
                <w:sz w:val="24"/>
                <w:szCs w:val="24"/>
              </w:rPr>
              <w:t xml:space="preserve">Word Count: 1248 </w:t>
            </w:r>
          </w:p>
          <w:p w14:paraId="4C6184A1" w14:textId="77777777" w:rsidR="00AE5B56" w:rsidRDefault="00AE5B56"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482E7" w14:textId="77777777" w:rsidR="00AF53C7" w:rsidRDefault="00AF53C7">
      <w:r>
        <w:separator/>
      </w:r>
    </w:p>
  </w:endnote>
  <w:endnote w:type="continuationSeparator" w:id="0">
    <w:p w14:paraId="5FAC3134" w14:textId="77777777" w:rsidR="00AF53C7" w:rsidRDefault="00AF5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53E75" w14:textId="77777777" w:rsidR="00AF53C7" w:rsidRDefault="00AF53C7">
      <w:r>
        <w:separator/>
      </w:r>
    </w:p>
  </w:footnote>
  <w:footnote w:type="continuationSeparator" w:id="0">
    <w:p w14:paraId="40D3E0FA" w14:textId="77777777" w:rsidR="00AF53C7" w:rsidRDefault="00AF53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56"/>
    <w:rsid w:val="00AE5BA6"/>
    <w:rsid w:val="00AE6231"/>
    <w:rsid w:val="00AE7077"/>
    <w:rsid w:val="00AF53C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2331</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2020-02-11T19:20:00Z</cp:lastPrinted>
  <dcterms:created xsi:type="dcterms:W3CDTF">2025-10-07T15:11:00Z</dcterms:created>
  <dcterms:modified xsi:type="dcterms:W3CDTF">2025-10-07T15:11:00Z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