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widowControl w:val="0"/>
        <w:pBdr>
          <w:top w:val="none" w:sz="0" w:space="0" w:color="auto"/>
          <w:left w:val="none" w:sz="0" w:space="0" w:color="auto"/>
          <w:bottom w:val="none" w:sz="0" w:space="0" w:color="auto"/>
          <w:right w:val="none" w:sz="0" w:space="0" w:color="auto"/>
          <w:between w:val="none" w:sz="0" w:space="0" w:color="auto"/>
        </w:pBdr>
        <w:spacing w:line="276" w:lineRule="auto"/>
        <w:jc w:val="left"/>
        <w:rPr>
          <w:rFonts w:ascii="Arial" w:eastAsia="Arial" w:cs="Arial" w:hAnsi="Arial"/>
          <w:color w:val="000000"/>
          <w:sz w:val="22"/>
          <w:szCs w:val="22"/>
        </w:rPr>
      </w:pPr>
    </w:p>
    <w:p>
      <w:pPr>
        <w:rPr>
          <w:color w:val="000000"/>
        </w:rPr>
      </w:pPr>
      <w:r>
        <w:rPr>
          <w:color w:val="000000"/>
        </w:rPr>
        <w:drawing>
          <wp:anchor distT="0" distB="0" distL="114300" distR="114300" simplePos="0" relativeHeight="18" behindDoc="1" locked="0" layoutInCell="1" hidden="0" allowOverlap="1">
            <wp:simplePos x="0" y="0"/>
            <wp:positionH relativeFrom="column">
              <wp:posOffset>0</wp:posOffset>
            </wp:positionH>
            <wp:positionV relativeFrom="paragraph">
              <wp:posOffset>254635</wp:posOffset>
            </wp:positionV>
            <wp:extent cx="2856865" cy="1586865"/>
            <wp:effectExtent l="0" t="0" r="0" b="0"/>
            <wp:wrapTopAndBottom/>
            <wp:docPr id="1" name="图片 1"/>
            <wp:cNvGraphicFramePr>
              <a:graphicFrameLocks noChangeAspect="1"/>
            </wp:cNvGraphicFramePr>
            <a:graphic>
              <a:graphicData uri="http://schemas.openxmlformats.org/drawingml/2006/picture">
                <pic:pic>
                  <pic:nvPicPr>
                    <pic:cNvPr id="3" name="图片 3"/>
                    <pic:cNvPicPr/>
                  </pic:nvPicPr>
                  <pic:blipFill>
                    <a:blip r:embed="rId4"/>
                    <a:stretch>
                      <a:fillRect/>
                    </a:stretch>
                  </pic:blipFill>
                  <pic:spPr>
                    <a:xfrm rot="0">
                      <a:off x="0" y="0"/>
                      <a:ext cx="2856865" cy="1586865"/>
                    </a:xfrm>
                    <a:prstGeom prst="rect"/>
                    <a:noFill/>
                    <a:ln w="12700" cmpd="sng" cap="flat">
                      <a:noFill/>
                      <a:prstDash val="solid"/>
                      <a:miter/>
                    </a:ln>
                  </pic:spPr>
                </pic:pic>
              </a:graphicData>
            </a:graphic>
          </wp:anchor>
        </w:drawing>
      </w:r>
    </w:p>
    <w:p>
      <w:pPr>
        <w:jc w:val="right"/>
        <w:rPr>
          <w:b/>
          <w:color w:val="000000"/>
          <w:sz w:val="36"/>
          <w:szCs w:val="36"/>
        </w:rPr>
      </w:pPr>
    </w:p>
    <w:p>
      <w:pPr>
        <w:jc w:val="right"/>
        <w:rPr>
          <w:b/>
          <w:color w:val="000000"/>
          <w:sz w:val="36"/>
          <w:szCs w:val="36"/>
        </w:rPr>
      </w:pPr>
    </w:p>
    <w:p>
      <w:pPr>
        <w:jc w:val="center"/>
        <w:rPr>
          <w:b/>
          <w:color w:val="000000"/>
          <w:sz w:val="28"/>
          <w:szCs w:val="28"/>
        </w:rPr>
      </w:pPr>
      <w:r>
        <w:rPr>
          <w:b/>
          <w:color w:val="000000"/>
          <w:sz w:val="28"/>
          <w:szCs w:val="28"/>
        </w:rPr>
        <w:t xml:space="preserve">TITLE: </w:t>
      </w:r>
    </w:p>
    <w:p>
      <w:pPr>
        <w:jc w:val="center"/>
        <w:rPr>
          <w:bCs/>
          <w:color w:val="000000"/>
          <w:sz w:val="28"/>
          <w:szCs w:val="28"/>
        </w:rPr>
      </w:pPr>
      <w:r>
        <w:rPr>
          <w:bCs/>
          <w:color w:val="000000"/>
          <w:sz w:val="28"/>
          <w:szCs w:val="28"/>
        </w:rPr>
        <w:t>THE IMPACT OF SEMICONDUCTOR SHORTAGE ON APPLE’S SUPPLY CHAIN AND STAKEHOLDER MANAGEMENT: CHALLENGES AND MITIGATION STRATEGIES</w:t>
      </w:r>
    </w:p>
    <w:p>
      <w:pPr>
        <w:jc w:val="center"/>
        <w:rPr>
          <w:bCs/>
          <w:color w:val="000000"/>
          <w:sz w:val="28"/>
          <w:szCs w:val="28"/>
        </w:rPr>
      </w:pPr>
    </w:p>
    <w:p>
      <w:pPr>
        <w:jc w:val="center"/>
        <w:rPr>
          <w:bCs/>
          <w:color w:val="000000"/>
          <w:sz w:val="28"/>
          <w:szCs w:val="28"/>
        </w:rPr>
      </w:pPr>
      <w:r>
        <w:rPr>
          <w:b/>
          <w:color w:val="000000"/>
          <w:sz w:val="28"/>
          <w:szCs w:val="28"/>
        </w:rPr>
        <w:t xml:space="preserve">MODULE NAME: </w:t>
      </w:r>
      <w:r>
        <w:rPr>
          <w:bCs/>
          <w:color w:val="000000"/>
          <w:sz w:val="28"/>
          <w:szCs w:val="28"/>
        </w:rPr>
        <w:t>STRATEGIC MANAGEMENT (LCMB7003)</w:t>
      </w:r>
    </w:p>
    <w:p>
      <w:pPr>
        <w:jc w:val="center"/>
        <w:rPr>
          <w:bCs/>
          <w:color w:val="000000"/>
          <w:sz w:val="28"/>
          <w:szCs w:val="28"/>
        </w:rPr>
      </w:pPr>
      <w:r>
        <w:rPr>
          <w:b/>
          <w:color w:val="000000"/>
          <w:sz w:val="28"/>
          <w:szCs w:val="28"/>
        </w:rPr>
        <w:t>STUDENT NAME:</w:t>
      </w:r>
      <w:r>
        <w:rPr>
          <w:bCs/>
          <w:color w:val="000000"/>
          <w:sz w:val="28"/>
          <w:szCs w:val="28"/>
        </w:rPr>
        <w:t xml:space="preserve"> KOMALPREET KAUR </w:t>
      </w:r>
    </w:p>
    <w:p>
      <w:pPr>
        <w:jc w:val="center"/>
        <w:rPr>
          <w:bCs/>
          <w:color w:val="000000"/>
          <w:sz w:val="28"/>
          <w:szCs w:val="28"/>
        </w:rPr>
      </w:pPr>
      <w:r>
        <w:rPr>
          <w:b/>
          <w:color w:val="000000"/>
          <w:sz w:val="28"/>
          <w:szCs w:val="28"/>
        </w:rPr>
        <w:t xml:space="preserve">STUDENT ID:: </w:t>
      </w:r>
      <w:r>
        <w:rPr>
          <w:bCs/>
          <w:color w:val="000000"/>
          <w:sz w:val="28"/>
          <w:szCs w:val="28"/>
        </w:rPr>
        <w:t xml:space="preserve"> 2223343</w:t>
      </w:r>
    </w:p>
    <w:p>
      <w:pPr>
        <w:rPr>
          <w:bCs/>
          <w:color w:val="000000"/>
          <w:sz w:val="28"/>
          <w:szCs w:val="28"/>
        </w:rPr>
      </w:pPr>
      <w:r>
        <w:rPr>
          <w:b/>
          <w:color w:val="000000"/>
          <w:sz w:val="28"/>
          <w:szCs w:val="28"/>
        </w:rPr>
        <w:t xml:space="preserve">                             </w:t>
      </w:r>
      <w:bookmarkStart w:id="0" w:name="_GoBack"/>
      <w:bookmarkEnd w:id="0"/>
      <w:r>
        <w:rPr>
          <w:b/>
          <w:color w:val="000000"/>
          <w:sz w:val="28"/>
          <w:szCs w:val="28"/>
        </w:rPr>
        <w:t xml:space="preserve">LECTURER NAME: </w:t>
      </w:r>
      <w:r>
        <w:rPr>
          <w:bCs/>
          <w:color w:val="000000"/>
          <w:sz w:val="28"/>
          <w:szCs w:val="28"/>
        </w:rPr>
        <w:t xml:space="preserve">  Dr Gladius Kulothungan</w:t>
      </w:r>
    </w:p>
    <w:p>
      <w:pPr>
        <w:jc w:val="center"/>
        <w:rPr>
          <w:bCs/>
          <w:color w:val="000000"/>
          <w:sz w:val="28"/>
          <w:szCs w:val="28"/>
        </w:rPr>
      </w:pPr>
    </w:p>
    <w:p>
      <w:pPr>
        <w:rPr>
          <w:bCs/>
          <w:color w:val="000000"/>
          <w:sz w:val="28"/>
          <w:szCs w:val="28"/>
        </w:rPr>
      </w:pPr>
      <w:r>
        <w:rPr>
          <w:bCs/>
          <w:color w:val="000000"/>
          <w:sz w:val="28"/>
          <w:szCs w:val="28"/>
        </w:rPr>
        <w:t xml:space="preserve">                                                                    </w:t>
      </w:r>
    </w:p>
    <w:p>
      <w:pPr>
        <w:rPr>
          <w:bCs/>
          <w:color w:val="000000"/>
          <w:sz w:val="28"/>
          <w:szCs w:val="28"/>
        </w:rPr>
      </w:pPr>
      <w:r>
        <w:rPr>
          <w:b/>
          <w:color w:val="000000"/>
          <w:sz w:val="28"/>
          <w:szCs w:val="28"/>
        </w:rPr>
        <w:t xml:space="preserve">                             </w:t>
      </w:r>
    </w:p>
    <w:p>
      <w:pPr>
        <w:jc w:val="right"/>
        <w:rPr>
          <w:b/>
          <w:color w:val="000000"/>
          <w:sz w:val="36"/>
          <w:szCs w:val="36"/>
        </w:rPr>
      </w:pPr>
    </w:p>
    <w:p>
      <w:pPr>
        <w:jc w:val="right"/>
        <w:rPr>
          <w:color w:val="000000"/>
        </w:rPr>
      </w:pPr>
      <w:r>
        <w:rPr>
          <w:color w:val="000000"/>
        </w:rPr>
        <w:br w:type="page"/>
      </w:r>
    </w:p>
    <w:p>
      <w:pPr>
        <w:pStyle w:val="23"/>
        <w:jc w:val="center"/>
        <w:rPr>
          <w:rFonts w:ascii="Times New Roman" w:cs="Times New Roman" w:hAnsi="Times New Roman"/>
          <w:b/>
          <w:bCs/>
          <w:color w:val="000000"/>
        </w:rPr>
      </w:pPr>
      <w:r>
        <w:rPr>
          <w:rFonts w:ascii="Times New Roman" w:cs="Times New Roman" w:hAnsi="Times New Roman"/>
          <w:b/>
          <w:bCs/>
          <w:color w:val="000000"/>
        </w:rPr>
        <w:t>Table of Contents</w:t>
      </w:r>
    </w:p>
    <w:p>
      <w:pPr>
        <w:pStyle w:val="20"/>
        <w:tabs>
          <w:tab w:val="right" w:leader="dot" w:pos="9350"/>
        </w:tabs>
        <w:rPr>
          <w:rFonts w:ascii="Calibri" w:eastAsia="等线" w:cs="Arial" w:hAnsi="Calibri"/>
          <w:kern w:val="2"/>
          <w:sz w:val="22"/>
          <w:szCs w:val="22"/>
          <w:lang w:val="en-IN"/>
        </w:rPr>
      </w:pPr>
      <w:r>
        <w:fldChar w:fldCharType="begin"/>
      </w:r>
      <w:r>
        <w:instrText xml:space="preserve"> TOC \o "1-3" \h \z \u </w:instrText>
      </w:r>
      <w:r>
        <w:fldChar w:fldCharType="separate"/>
      </w:r>
      <w:r>
        <w:fldChar w:fldCharType="begin"/>
      </w:r>
      <w:r>
        <w:instrText>Hyperlink \l "_Toc144278316"</w:instrText>
      </w:r>
      <w:r>
        <w:fldChar w:fldCharType="separate"/>
      </w:r>
      <w:r>
        <w:t>Executive Summary</w:t>
        <w:tab/>
      </w:r>
      <w:r>
        <w:fldChar w:fldCharType="begin"/>
      </w:r>
      <w:r>
        <w:instrText xml:space="preserve"> PAGEREF _Toc144278316 \h </w:instrText>
      </w:r>
      <w:r>
        <w:fldChar w:fldCharType="separate"/>
      </w:r>
      <w:r>
        <w:t>3</w:t>
      </w:r>
      <w:r>
        <w:fldChar w:fldCharType="end"/>
      </w:r>
      <w:r>
        <w:fldChar w:fldCharType="end"/>
      </w:r>
    </w:p>
    <w:p>
      <w:pPr>
        <w:pStyle w:val="20"/>
        <w:tabs>
          <w:tab w:val="right" w:leader="dot" w:pos="9350"/>
        </w:tabs>
        <w:rPr>
          <w:rFonts w:ascii="Calibri" w:eastAsia="等线" w:cs="Arial" w:hAnsi="Calibri"/>
          <w:kern w:val="2"/>
          <w:sz w:val="22"/>
          <w:szCs w:val="22"/>
          <w:lang w:val="en-IN"/>
        </w:rPr>
      </w:pPr>
      <w:r>
        <w:fldChar w:fldCharType="begin"/>
      </w:r>
      <w:r>
        <w:instrText>Hyperlink \l "_Toc144278317"</w:instrText>
      </w:r>
      <w:r>
        <w:fldChar w:fldCharType="separate"/>
      </w:r>
      <w:r>
        <w:t>1.0 Introduction and Background</w:t>
        <w:tab/>
      </w:r>
      <w:r>
        <w:fldChar w:fldCharType="begin"/>
      </w:r>
      <w:r>
        <w:instrText xml:space="preserve"> PAGEREF _Toc144278317 \h </w:instrText>
      </w:r>
      <w:r>
        <w:fldChar w:fldCharType="separate"/>
      </w:r>
      <w:r>
        <w:t>4</w:t>
      </w:r>
      <w:r>
        <w:fldChar w:fldCharType="end"/>
      </w:r>
      <w:r>
        <w:fldChar w:fldCharType="end"/>
      </w:r>
    </w:p>
    <w:p>
      <w:pPr>
        <w:pStyle w:val="20"/>
        <w:tabs>
          <w:tab w:val="right" w:leader="dot" w:pos="9350"/>
        </w:tabs>
        <w:rPr>
          <w:rFonts w:ascii="Calibri" w:eastAsia="等线" w:cs="Arial" w:hAnsi="Calibri"/>
          <w:kern w:val="2"/>
          <w:sz w:val="22"/>
          <w:szCs w:val="22"/>
          <w:lang w:val="en-IN"/>
        </w:rPr>
      </w:pPr>
      <w:r>
        <w:fldChar w:fldCharType="begin"/>
      </w:r>
      <w:r>
        <w:instrText>Hyperlink \l "_Toc144278318"</w:instrText>
      </w:r>
      <w:r>
        <w:fldChar w:fldCharType="separate"/>
      </w:r>
      <w:r>
        <w:rPr>
          <w:b/>
        </w:rPr>
        <w:t>2.0 Mission and objectives:</w:t>
      </w:r>
      <w:r>
        <w:tab/>
      </w:r>
      <w:r>
        <w:fldChar w:fldCharType="begin"/>
      </w:r>
      <w:r>
        <w:instrText xml:space="preserve"> PAGEREF _Toc144278318 \h </w:instrText>
      </w:r>
      <w:r>
        <w:fldChar w:fldCharType="separate"/>
      </w:r>
      <w:r>
        <w:t>4</w:t>
      </w:r>
      <w:r>
        <w:fldChar w:fldCharType="end"/>
      </w:r>
      <w:r>
        <w:fldChar w:fldCharType="end"/>
      </w:r>
    </w:p>
    <w:p>
      <w:pPr>
        <w:pStyle w:val="20"/>
        <w:tabs>
          <w:tab w:val="right" w:leader="dot" w:pos="9350"/>
        </w:tabs>
        <w:rPr>
          <w:rFonts w:ascii="Calibri" w:eastAsia="等线" w:cs="Arial" w:hAnsi="Calibri"/>
          <w:kern w:val="2"/>
          <w:sz w:val="22"/>
          <w:szCs w:val="22"/>
          <w:lang w:val="en-IN"/>
        </w:rPr>
      </w:pPr>
      <w:r>
        <w:fldChar w:fldCharType="begin"/>
      </w:r>
      <w:r>
        <w:instrText>Hyperlink \l "_Toc144278319"</w:instrText>
      </w:r>
      <w:r>
        <w:fldChar w:fldCharType="separate"/>
      </w:r>
      <w:r>
        <w:t>3.0 Challenges the client is facing.</w:t>
        <w:tab/>
      </w:r>
      <w:r>
        <w:fldChar w:fldCharType="begin"/>
      </w:r>
      <w:r>
        <w:instrText xml:space="preserve"> PAGEREF _Toc144278319 \h </w:instrText>
      </w:r>
      <w:r>
        <w:fldChar w:fldCharType="separate"/>
      </w:r>
      <w:r>
        <w:t>5</w:t>
      </w:r>
      <w:r>
        <w:fldChar w:fldCharType="end"/>
      </w:r>
      <w:r>
        <w:fldChar w:fldCharType="end"/>
      </w:r>
    </w:p>
    <w:p>
      <w:pPr>
        <w:pStyle w:val="20"/>
        <w:tabs>
          <w:tab w:val="right" w:leader="dot" w:pos="9350"/>
        </w:tabs>
        <w:rPr>
          <w:rFonts w:ascii="Calibri" w:eastAsia="等线" w:cs="Arial" w:hAnsi="Calibri"/>
          <w:kern w:val="2"/>
          <w:sz w:val="22"/>
          <w:szCs w:val="22"/>
          <w:lang w:val="en-IN"/>
        </w:rPr>
      </w:pPr>
      <w:r>
        <w:fldChar w:fldCharType="begin"/>
      </w:r>
      <w:r>
        <w:instrText>Hyperlink \l "_Toc144278322"</w:instrText>
      </w:r>
      <w:r>
        <w:fldChar w:fldCharType="separate"/>
      </w:r>
      <w:r>
        <w:t>4.0 Purpose of the study</w:t>
        <w:tab/>
      </w:r>
      <w:r>
        <w:fldChar w:fldCharType="begin"/>
      </w:r>
      <w:r>
        <w:instrText xml:space="preserve"> PAGEREF _Toc144278322 \h </w:instrText>
      </w:r>
      <w:r>
        <w:fldChar w:fldCharType="separate"/>
      </w:r>
      <w:r>
        <w:t>6</w:t>
      </w:r>
      <w:r>
        <w:fldChar w:fldCharType="end"/>
      </w:r>
      <w:r>
        <w:fldChar w:fldCharType="end"/>
      </w:r>
    </w:p>
    <w:p>
      <w:pPr>
        <w:pStyle w:val="20"/>
        <w:tabs>
          <w:tab w:val="right" w:leader="dot" w:pos="9350"/>
        </w:tabs>
        <w:rPr>
          <w:rFonts w:ascii="Calibri" w:eastAsia="等线" w:cs="Arial" w:hAnsi="Calibri"/>
          <w:kern w:val="2"/>
          <w:sz w:val="22"/>
          <w:szCs w:val="22"/>
          <w:lang w:val="en-IN"/>
        </w:rPr>
      </w:pPr>
      <w:r>
        <w:fldChar w:fldCharType="begin"/>
      </w:r>
      <w:r>
        <w:instrText>Hyperlink \l "_Toc144278323"</w:instrText>
      </w:r>
      <w:r>
        <w:fldChar w:fldCharType="separate"/>
      </w:r>
      <w:r>
        <w:rPr>
          <w:b/>
        </w:rPr>
        <w:t>5.0 Macro-Environmental Analysis</w:t>
      </w:r>
      <w:r>
        <w:tab/>
      </w:r>
      <w:r>
        <w:fldChar w:fldCharType="begin"/>
      </w:r>
      <w:r>
        <w:instrText xml:space="preserve"> PAGEREF _Toc144278323 \h </w:instrText>
      </w:r>
      <w:r>
        <w:fldChar w:fldCharType="separate"/>
      </w:r>
      <w:r>
        <w:t>7</w:t>
      </w:r>
      <w:r>
        <w:fldChar w:fldCharType="end"/>
      </w:r>
      <w:r>
        <w:fldChar w:fldCharType="end"/>
      </w:r>
    </w:p>
    <w:p>
      <w:pPr>
        <w:pStyle w:val="20"/>
        <w:tabs>
          <w:tab w:val="right" w:leader="dot" w:pos="9350"/>
        </w:tabs>
        <w:rPr>
          <w:rFonts w:ascii="Calibri" w:eastAsia="等线" w:cs="Arial" w:hAnsi="Calibri"/>
          <w:kern w:val="2"/>
          <w:sz w:val="22"/>
          <w:szCs w:val="22"/>
          <w:lang w:val="en-IN"/>
        </w:rPr>
      </w:pPr>
      <w:r>
        <w:fldChar w:fldCharType="begin"/>
      </w:r>
      <w:r>
        <w:instrText>Hyperlink \l "_Toc144278324"</w:instrText>
      </w:r>
      <w:r>
        <w:fldChar w:fldCharType="separate"/>
      </w:r>
      <w:r>
        <w:rPr>
          <w:b/>
        </w:rPr>
        <w:t>6.0 Micro Environmental Analysis</w:t>
      </w:r>
      <w:r>
        <w:tab/>
      </w:r>
      <w:r>
        <w:fldChar w:fldCharType="begin"/>
      </w:r>
      <w:r>
        <w:instrText xml:space="preserve"> PAGEREF _Toc144278324 \h </w:instrText>
      </w:r>
      <w:r>
        <w:fldChar w:fldCharType="separate"/>
      </w:r>
      <w:r>
        <w:t>9</w:t>
      </w:r>
      <w:r>
        <w:fldChar w:fldCharType="end"/>
      </w:r>
      <w:r>
        <w:fldChar w:fldCharType="end"/>
      </w:r>
    </w:p>
    <w:p>
      <w:pPr>
        <w:pStyle w:val="20"/>
        <w:tabs>
          <w:tab w:val="right" w:leader="dot" w:pos="9350"/>
        </w:tabs>
        <w:rPr>
          <w:rFonts w:ascii="Calibri" w:eastAsia="等线" w:cs="Arial" w:hAnsi="Calibri"/>
          <w:kern w:val="2"/>
          <w:sz w:val="22"/>
          <w:szCs w:val="22"/>
          <w:lang w:val="en-IN"/>
        </w:rPr>
      </w:pPr>
      <w:r>
        <w:fldChar w:fldCharType="begin"/>
      </w:r>
      <w:r>
        <w:instrText>Hyperlink \l "_Toc144278325"</w:instrText>
      </w:r>
      <w:r>
        <w:fldChar w:fldCharType="separate"/>
      </w:r>
      <w:r>
        <w:t>7.0 Stakeholder Analysis</w:t>
        <w:tab/>
      </w:r>
      <w:r>
        <w:fldChar w:fldCharType="begin"/>
      </w:r>
      <w:r>
        <w:instrText xml:space="preserve"> PAGEREF _Toc144278325 \h </w:instrText>
      </w:r>
      <w:r>
        <w:fldChar w:fldCharType="separate"/>
      </w:r>
      <w:r>
        <w:t>11</w:t>
      </w:r>
      <w:r>
        <w:fldChar w:fldCharType="end"/>
      </w:r>
      <w:r>
        <w:fldChar w:fldCharType="end"/>
      </w:r>
    </w:p>
    <w:p>
      <w:pPr>
        <w:pStyle w:val="20"/>
        <w:tabs>
          <w:tab w:val="right" w:leader="dot" w:pos="9350"/>
        </w:tabs>
        <w:rPr>
          <w:rFonts w:ascii="Calibri" w:eastAsia="等线" w:cs="Arial" w:hAnsi="Calibri"/>
          <w:kern w:val="2"/>
          <w:sz w:val="22"/>
          <w:szCs w:val="22"/>
          <w:lang w:val="en-IN"/>
        </w:rPr>
      </w:pPr>
      <w:r>
        <w:fldChar w:fldCharType="begin"/>
      </w:r>
      <w:r>
        <w:instrText>Hyperlink \l "_Toc144278326"</w:instrText>
      </w:r>
      <w:r>
        <w:fldChar w:fldCharType="separate"/>
      </w:r>
      <w:r>
        <w:t>8.0 Evaluate with Existing Literature</w:t>
        <w:tab/>
      </w:r>
      <w:r>
        <w:fldChar w:fldCharType="begin"/>
      </w:r>
      <w:r>
        <w:instrText xml:space="preserve"> PAGEREF _Toc144278326 \h </w:instrText>
      </w:r>
      <w:r>
        <w:fldChar w:fldCharType="separate"/>
      </w:r>
      <w:r>
        <w:t>13</w:t>
      </w:r>
      <w:r>
        <w:fldChar w:fldCharType="end"/>
      </w:r>
      <w:r>
        <w:fldChar w:fldCharType="end"/>
      </w:r>
    </w:p>
    <w:p>
      <w:pPr>
        <w:pStyle w:val="21"/>
        <w:tabs>
          <w:tab w:val="right" w:leader="dot" w:pos="9350"/>
        </w:tabs>
        <w:rPr>
          <w:rFonts w:ascii="Calibri" w:eastAsia="等线" w:cs="Arial" w:hAnsi="Calibri"/>
          <w:kern w:val="2"/>
          <w:sz w:val="22"/>
          <w:szCs w:val="22"/>
          <w:lang w:val="en-IN"/>
        </w:rPr>
      </w:pPr>
      <w:r>
        <w:fldChar w:fldCharType="begin"/>
      </w:r>
      <w:r>
        <w:instrText>Hyperlink \l "_Toc144278327"</w:instrText>
      </w:r>
      <w:r>
        <w:fldChar w:fldCharType="separate"/>
      </w:r>
      <w:r>
        <w:t>Figure 2: Supply Chain Issues</w:t>
        <w:tab/>
      </w:r>
      <w:r>
        <w:fldChar w:fldCharType="begin"/>
      </w:r>
      <w:r>
        <w:instrText xml:space="preserve"> PAGEREF _Toc144278327 \h </w:instrText>
      </w:r>
      <w:r>
        <w:fldChar w:fldCharType="separate"/>
      </w:r>
      <w:r>
        <w:t>15</w:t>
      </w:r>
      <w:r>
        <w:fldChar w:fldCharType="end"/>
      </w:r>
      <w:r>
        <w:fldChar w:fldCharType="end"/>
      </w:r>
    </w:p>
    <w:p>
      <w:pPr>
        <w:pStyle w:val="20"/>
        <w:tabs>
          <w:tab w:val="right" w:leader="dot" w:pos="9350"/>
        </w:tabs>
        <w:rPr>
          <w:rFonts w:ascii="Calibri" w:eastAsia="等线" w:cs="Arial" w:hAnsi="Calibri"/>
          <w:kern w:val="2"/>
          <w:sz w:val="22"/>
          <w:szCs w:val="22"/>
          <w:lang w:val="en-IN"/>
        </w:rPr>
      </w:pPr>
      <w:r>
        <w:fldChar w:fldCharType="begin"/>
      </w:r>
      <w:r>
        <w:instrText>Hyperlink \l "_Toc144278328"</w:instrText>
      </w:r>
      <w:r>
        <w:fldChar w:fldCharType="separate"/>
      </w:r>
      <w:r>
        <w:rPr>
          <w:b/>
        </w:rPr>
        <w:t>9.0 Internal Analysis</w:t>
      </w:r>
      <w:r>
        <w:tab/>
      </w:r>
      <w:r>
        <w:fldChar w:fldCharType="begin"/>
      </w:r>
      <w:r>
        <w:instrText xml:space="preserve"> PAGEREF _Toc144278328 \h </w:instrText>
      </w:r>
      <w:r>
        <w:fldChar w:fldCharType="separate"/>
      </w:r>
      <w:r>
        <w:t>15</w:t>
      </w:r>
      <w:r>
        <w:fldChar w:fldCharType="end"/>
      </w:r>
      <w:r>
        <w:fldChar w:fldCharType="end"/>
      </w:r>
    </w:p>
    <w:p>
      <w:pPr>
        <w:pStyle w:val="20"/>
        <w:tabs>
          <w:tab w:val="right" w:leader="dot" w:pos="9350"/>
        </w:tabs>
        <w:rPr>
          <w:rFonts w:ascii="Calibri" w:eastAsia="等线" w:cs="Arial" w:hAnsi="Calibri"/>
          <w:kern w:val="2"/>
          <w:sz w:val="22"/>
          <w:szCs w:val="22"/>
          <w:lang w:val="en-IN"/>
        </w:rPr>
      </w:pPr>
      <w:r>
        <w:fldChar w:fldCharType="begin"/>
      </w:r>
      <w:r>
        <w:instrText>Hyperlink \l "_Toc144278329"</w:instrText>
      </w:r>
      <w:r>
        <w:fldChar w:fldCharType="separate"/>
      </w:r>
      <w:r>
        <w:rPr>
          <w:b/>
        </w:rPr>
        <w:t>10.0 Strategies to Sustain Competitive Advantage</w:t>
      </w:r>
      <w:r>
        <w:tab/>
      </w:r>
      <w:r>
        <w:fldChar w:fldCharType="begin"/>
      </w:r>
      <w:r>
        <w:instrText xml:space="preserve"> PAGEREF _Toc144278329 \h </w:instrText>
      </w:r>
      <w:r>
        <w:fldChar w:fldCharType="separate"/>
      </w:r>
      <w:r>
        <w:t>21</w:t>
      </w:r>
      <w:r>
        <w:fldChar w:fldCharType="end"/>
      </w:r>
      <w:r>
        <w:fldChar w:fldCharType="end"/>
      </w:r>
    </w:p>
    <w:p>
      <w:pPr>
        <w:pStyle w:val="20"/>
        <w:tabs>
          <w:tab w:val="right" w:leader="dot" w:pos="9350"/>
        </w:tabs>
        <w:rPr>
          <w:rFonts w:ascii="Calibri" w:eastAsia="等线" w:cs="Arial" w:hAnsi="Calibri"/>
          <w:kern w:val="2"/>
          <w:sz w:val="22"/>
          <w:szCs w:val="22"/>
          <w:lang w:val="en-IN"/>
        </w:rPr>
      </w:pPr>
      <w:r>
        <w:fldChar w:fldCharType="begin"/>
      </w:r>
      <w:r>
        <w:instrText>Hyperlink \l "_Toc144278330"</w:instrText>
      </w:r>
      <w:r>
        <w:fldChar w:fldCharType="separate"/>
      </w:r>
      <w:r>
        <w:rPr>
          <w:b/>
        </w:rPr>
        <w:t>11.0 Growth Strategies:</w:t>
      </w:r>
      <w:r>
        <w:tab/>
      </w:r>
      <w:r>
        <w:fldChar w:fldCharType="begin"/>
      </w:r>
      <w:r>
        <w:instrText xml:space="preserve"> PAGEREF _Toc144278330 \h </w:instrText>
      </w:r>
      <w:r>
        <w:fldChar w:fldCharType="separate"/>
      </w:r>
      <w:r>
        <w:t>22</w:t>
      </w:r>
      <w:r>
        <w:fldChar w:fldCharType="end"/>
      </w:r>
      <w:r>
        <w:fldChar w:fldCharType="end"/>
      </w:r>
    </w:p>
    <w:p>
      <w:pPr>
        <w:pStyle w:val="20"/>
        <w:tabs>
          <w:tab w:val="right" w:leader="dot" w:pos="9350"/>
        </w:tabs>
        <w:rPr>
          <w:rFonts w:ascii="Calibri" w:eastAsia="等线" w:cs="Arial" w:hAnsi="Calibri"/>
          <w:kern w:val="2"/>
          <w:sz w:val="22"/>
          <w:szCs w:val="22"/>
          <w:lang w:val="en-IN"/>
        </w:rPr>
      </w:pPr>
      <w:r>
        <w:fldChar w:fldCharType="begin"/>
      </w:r>
      <w:r>
        <w:instrText>Hyperlink \l "_Toc144278332"</w:instrText>
      </w:r>
      <w:r>
        <w:fldChar w:fldCharType="separate"/>
      </w:r>
      <w:r>
        <w:t>12.0 Green Strategy and CSR</w:t>
        <w:tab/>
      </w:r>
      <w:r>
        <w:fldChar w:fldCharType="begin"/>
      </w:r>
      <w:r>
        <w:instrText xml:space="preserve"> PAGEREF _Toc144278332 \h </w:instrText>
      </w:r>
      <w:r>
        <w:fldChar w:fldCharType="separate"/>
      </w:r>
      <w:r>
        <w:t>24</w:t>
      </w:r>
      <w:r>
        <w:fldChar w:fldCharType="end"/>
      </w:r>
      <w:r>
        <w:fldChar w:fldCharType="end"/>
      </w:r>
    </w:p>
    <w:p>
      <w:pPr>
        <w:pStyle w:val="20"/>
        <w:tabs>
          <w:tab w:val="right" w:leader="dot" w:pos="9350"/>
        </w:tabs>
        <w:rPr>
          <w:rFonts w:ascii="Calibri" w:eastAsia="等线" w:cs="Arial" w:hAnsi="Calibri"/>
          <w:kern w:val="2"/>
          <w:sz w:val="22"/>
          <w:szCs w:val="22"/>
          <w:lang w:val="en-IN"/>
        </w:rPr>
      </w:pPr>
      <w:r>
        <w:fldChar w:fldCharType="begin"/>
      </w:r>
      <w:r>
        <w:instrText>Hyperlink \l "_Toc144278333"</w:instrText>
      </w:r>
      <w:r>
        <w:fldChar w:fldCharType="separate"/>
      </w:r>
      <w:r>
        <w:t>13.0 Recommendations for the problem and future implications:</w:t>
        <w:tab/>
      </w:r>
      <w:r>
        <w:fldChar w:fldCharType="begin"/>
      </w:r>
      <w:r>
        <w:instrText xml:space="preserve"> PAGEREF _Toc144278333 \h </w:instrText>
      </w:r>
      <w:r>
        <w:fldChar w:fldCharType="separate"/>
      </w:r>
      <w:r>
        <w:t>24</w:t>
      </w:r>
      <w:r>
        <w:fldChar w:fldCharType="end"/>
      </w:r>
      <w:r>
        <w:fldChar w:fldCharType="end"/>
      </w:r>
    </w:p>
    <w:p>
      <w:pPr>
        <w:pStyle w:val="20"/>
        <w:tabs>
          <w:tab w:val="right" w:leader="dot" w:pos="9350"/>
        </w:tabs>
        <w:rPr>
          <w:rFonts w:ascii="Calibri" w:eastAsia="等线" w:cs="Arial" w:hAnsi="Calibri"/>
          <w:kern w:val="2"/>
          <w:sz w:val="22"/>
          <w:szCs w:val="22"/>
          <w:lang w:val="en-IN"/>
        </w:rPr>
      </w:pPr>
      <w:r>
        <w:fldChar w:fldCharType="begin"/>
      </w:r>
      <w:r>
        <w:instrText>Hyperlink \l "_Toc144278335"</w:instrText>
      </w:r>
      <w:r>
        <w:fldChar w:fldCharType="separate"/>
      </w:r>
      <w:r>
        <w:t>14.0 Conclusion</w:t>
        <w:tab/>
      </w:r>
      <w:r>
        <w:fldChar w:fldCharType="begin"/>
      </w:r>
      <w:r>
        <w:instrText xml:space="preserve"> PAGEREF _Toc144278335 \h </w:instrText>
      </w:r>
      <w:r>
        <w:fldChar w:fldCharType="separate"/>
      </w:r>
      <w:r>
        <w:t>27</w:t>
      </w:r>
      <w:r>
        <w:fldChar w:fldCharType="end"/>
      </w:r>
      <w:r>
        <w:fldChar w:fldCharType="end"/>
      </w:r>
    </w:p>
    <w:p>
      <w:pPr>
        <w:pStyle w:val="20"/>
        <w:tabs>
          <w:tab w:val="right" w:leader="dot" w:pos="9350"/>
        </w:tabs>
        <w:rPr>
          <w:rFonts w:ascii="Calibri" w:eastAsia="等线" w:cs="Arial" w:hAnsi="Calibri"/>
          <w:kern w:val="2"/>
          <w:sz w:val="22"/>
          <w:szCs w:val="22"/>
          <w:lang w:val="en-IN"/>
        </w:rPr>
      </w:pPr>
      <w:r>
        <w:fldChar w:fldCharType="begin"/>
      </w:r>
      <w:r>
        <w:instrText>Hyperlink \l "_Toc144278336"</w:instrText>
      </w:r>
      <w:r>
        <w:fldChar w:fldCharType="separate"/>
      </w:r>
      <w:r>
        <w:t>References</w:t>
        <w:tab/>
      </w:r>
      <w:r>
        <w:fldChar w:fldCharType="begin"/>
      </w:r>
      <w:r>
        <w:instrText xml:space="preserve"> PAGEREF _Toc144278336 \h </w:instrText>
      </w:r>
      <w:r>
        <w:fldChar w:fldCharType="separate"/>
      </w:r>
      <w:r>
        <w:t>29</w:t>
      </w:r>
      <w:r>
        <w:fldChar w:fldCharType="end"/>
      </w:r>
      <w:r>
        <w:fldChar w:fldCharType="end"/>
      </w:r>
    </w:p>
    <w:p>
      <w:r>
        <w:rPr>
          <w:b/>
          <w:bCs/>
        </w:rPr>
        <w:fldChar w:fldCharType="end"/>
      </w:r>
    </w:p>
    <w:p>
      <w:pPr>
        <w:pBdr>
          <w:top w:val="none" w:sz="0" w:space="0" w:color="auto"/>
          <w:left w:val="none" w:sz="0" w:space="0" w:color="auto"/>
          <w:bottom w:val="none" w:sz="0" w:space="0" w:color="auto"/>
          <w:right w:val="none" w:sz="0" w:space="0" w:color="auto"/>
          <w:between w:val="none" w:sz="0" w:space="0" w:color="auto"/>
        </w:pBdr>
        <w:tabs>
          <w:tab w:val="right" w:pos="9350"/>
        </w:tabs>
      </w:pPr>
    </w:p>
    <w:p>
      <w:pPr>
        <w:pBdr>
          <w:top w:val="none" w:sz="0" w:space="0" w:color="auto"/>
          <w:left w:val="none" w:sz="0" w:space="0" w:color="auto"/>
          <w:bottom w:val="none" w:sz="0" w:space="0" w:color="auto"/>
          <w:right w:val="none" w:sz="0" w:space="0" w:color="auto"/>
          <w:between w:val="none" w:sz="0" w:space="0" w:color="auto"/>
        </w:pBdr>
        <w:tabs>
          <w:tab w:val="right" w:pos="9350"/>
        </w:tabs>
        <w:rPr>
          <w:rFonts w:ascii="Cambria" w:eastAsia="Cambria" w:cs="Cambria" w:hAnsi="Cambria"/>
          <w:color w:val="000000"/>
          <w:sz w:val="22"/>
          <w:szCs w:val="22"/>
        </w:rPr>
      </w:pPr>
    </w:p>
    <w:p>
      <w:pPr>
        <w:rPr>
          <w:b/>
          <w:color w:val="000000"/>
          <w:sz w:val="28"/>
          <w:szCs w:val="28"/>
        </w:rPr>
      </w:pPr>
    </w:p>
    <w:p>
      <w:pPr>
        <w:pBdr>
          <w:top w:val="none" w:sz="0" w:space="0" w:color="auto"/>
          <w:left w:val="none" w:sz="0" w:space="0" w:color="auto"/>
          <w:bottom w:val="none" w:sz="0" w:space="0" w:color="auto"/>
          <w:right w:val="none" w:sz="0" w:space="0" w:color="auto"/>
          <w:between w:val="none" w:sz="0" w:space="0" w:color="auto"/>
        </w:pBdr>
        <w:tabs>
          <w:tab w:val="right" w:pos="9350"/>
        </w:tabs>
      </w:pPr>
    </w:p>
    <w:p>
      <w:pPr>
        <w:pBdr>
          <w:top w:val="none" w:sz="0" w:space="0" w:color="auto"/>
          <w:left w:val="none" w:sz="0" w:space="0" w:color="auto"/>
          <w:bottom w:val="none" w:sz="0" w:space="0" w:color="auto"/>
          <w:right w:val="none" w:sz="0" w:space="0" w:color="auto"/>
          <w:between w:val="none" w:sz="0" w:space="0" w:color="auto"/>
        </w:pBdr>
        <w:tabs>
          <w:tab w:val="right" w:pos="9350"/>
        </w:tabs>
        <w:rPr>
          <w:rFonts w:ascii="Cambria" w:eastAsia="Cambria" w:cs="Cambria" w:hAnsi="Cambria"/>
          <w:color w:val="000000"/>
          <w:sz w:val="22"/>
          <w:szCs w:val="22"/>
        </w:rPr>
      </w:pPr>
    </w:p>
    <w:p>
      <w:pPr>
        <w:rPr>
          <w:color w:val="000000"/>
        </w:rPr>
      </w:pPr>
      <w:r>
        <w:rPr>
          <w:color w:val="000000"/>
        </w:rPr>
        <w:br w:type="page"/>
      </w:r>
    </w:p>
    <w:p>
      <w:pPr>
        <w:pStyle w:val="24"/>
        <w:jc w:val="center"/>
        <w:rPr>
          <w:b/>
          <w:bCs/>
        </w:rPr>
      </w:pPr>
      <w:bookmarkStart w:id="1" w:name="_Toc144278021"/>
      <w:bookmarkStart w:id="2" w:name="_Toc144278316"/>
      <w:r>
        <w:rPr>
          <w:b/>
          <w:bCs/>
        </w:rPr>
        <w:t>Executive Summary</w:t>
      </w:r>
      <w:bookmarkEnd w:id="1"/>
      <w:bookmarkEnd w:id="2"/>
    </w:p>
    <w:p>
      <w:pPr>
        <w:rPr>
          <w:color w:val="000000"/>
        </w:rPr>
      </w:pPr>
      <w:bookmarkStart w:id="3" w:name="_30j0zll"/>
      <w:bookmarkEnd w:id="3"/>
      <w:r>
        <w:rPr>
          <w:color w:val="000000"/>
        </w:rPr>
        <w:t>The recent analysis underscores a disruption in Apple's supply chain, mainly stemming from a scarcity of semiconductors and skilled workforce. This disruption has led to difficulties in fulfilling consumer demands and manufacturing delays. To counteract these challenges, it's paramount for Apple to formulate a robust inventory management strategy. This strategy should integrate demand prediction, enhanced supplier engagement, and streamlined inventory practices. Implementing key performance metrics like inventory turnover, fill rate, stock out rate, and order cycle time will aid in monitoring and refining this strategy's efficacy. Harnessing advanced technologies, like machine learning, could augment Apple's demand forecasting, providing a more nuanced understanding of market dynamics and customer inclinations. This in turn can facilitate optimized stock levels, mitigating risks of overstock or shortages. Strengthening bonds with suppliers, underlined by consistent communication and transparent information exchange, can assure synchronized production plans and pave the way for potential alternate sourcing avenues. For tangible outcomes, Apple should employ a phased execution of these inventory measures, clearly demarcated by time-specific goals. Broadening relationships with a diverse set of semiconductor suppliers can further insulate Apple from unforeseen supply chain impediments. Moreover, fostering a proactive culture of continuous refinement in supply chain practices is indispensable. This can be propelled by welcoming employee insights, routinely auditing processes, and implementing iterative enhancements. By deploying these strategies, Apple stands a strong chance of reversing the supply chain challenges it currently faces.</w:t>
      </w:r>
    </w:p>
    <w:p>
      <w:pPr>
        <w:pStyle w:val="1"/>
        <w:rPr>
          <w:color w:val="000000"/>
        </w:rPr>
      </w:pPr>
    </w:p>
    <w:p>
      <w:pPr>
        <w:pStyle w:val="1"/>
        <w:rPr>
          <w:color w:val="000000"/>
        </w:rPr>
      </w:pPr>
    </w:p>
    <w:p>
      <w:pPr>
        <w:pStyle w:val="1"/>
        <w:rPr>
          <w:color w:val="000000"/>
        </w:rPr>
      </w:pPr>
    </w:p>
    <w:p>
      <w:pPr>
        <w:pStyle w:val="1"/>
        <w:rPr>
          <w:color w:val="000000"/>
        </w:rPr>
      </w:pPr>
    </w:p>
    <w:p>
      <w:pPr>
        <w:pStyle w:val="1"/>
        <w:rPr>
          <w:color w:val="000000"/>
        </w:rPr>
      </w:pPr>
    </w:p>
    <w:p>
      <w:pPr>
        <w:pStyle w:val="1"/>
        <w:rPr>
          <w:color w:val="000000"/>
        </w:rPr>
      </w:pPr>
    </w:p>
    <w:p>
      <w:pPr>
        <w:pStyle w:val="1"/>
        <w:rPr>
          <w:color w:val="000000"/>
        </w:rPr>
      </w:pPr>
    </w:p>
    <w:p/>
    <w:p/>
    <w:p/>
    <w:p>
      <w:pPr>
        <w:pStyle w:val="24"/>
        <w:rPr>
          <w:b/>
          <w:bCs/>
        </w:rPr>
      </w:pPr>
      <w:bookmarkStart w:id="4" w:name="_Toc144278317"/>
      <w:r>
        <w:rPr>
          <w:b/>
          <w:bCs/>
        </w:rPr>
        <w:t>1.0 Introduction and Background</w:t>
      </w:r>
      <w:bookmarkEnd w:id="4"/>
      <w:r>
        <w:rPr>
          <w:b/>
          <w:bCs/>
        </w:rPr>
        <w:t xml:space="preserve"> </w:t>
      </w:r>
    </w:p>
    <w:p>
      <w:pPr>
        <w:rPr>
          <w:color w:val="000000"/>
        </w:rPr>
      </w:pPr>
    </w:p>
    <w:p>
      <w:pPr>
        <w:rPr>
          <w:color w:val="000000"/>
        </w:rPr>
      </w:pPr>
      <w:r>
        <w:rPr>
          <w:color w:val="000000"/>
        </w:rPr>
        <w:t>Established on April 1, 1976, by visionaries Steve Jobs, Steve Wozniak, and Ronald Wayne, Apple Inc. set up its base in Cupertino, California. Under the leadership of CEO Tim Cook, the tech giant has pioneered numerous technological advancements, launching revolutionary products like the iPhone, iPad, and the Macintosh computer. Apple, beyond its innovations, is also recognized for its commitment to user privacy and sustainable practices. The core objective of this study is to delve into the repercussions of the global semiconductor shortage on Apple's operations, with an emphasis on the ramifications for its intricate supply chain and the management of its stakeholders. A pivotal component in Apple's product lineup, semiconductors are instrumental in the production of their flagship devices such as iPhones, iPads, and Macs. From its humble beginnings producing personal computers, Apple has evolved exponentially, diversifying its offerings to include iPhones, iPods, and iPads. As the company pivots towards automation, its impressive quarterly revenue of approximately $94.8B cements its status as a dominant force in the IT landscape, with iPhones alone contributing to over 20% of its revenue. Apple's consistent growth and innovation in its offerings have been commendable. However, recent challenges in sourcing semiconductors, integral to their manufacturing process, have posed significant disruptions in their supply chain operations. Given the global scarcity of these crucial chips, Apple has confronted production hiccups and constraints in product availability. Nevertheless, Apple remains proactive, seeking strategies to alleviate the chip shortage's impact by broadening its supplier network, considering alternate chip sources, and strategically allocating resources to its primary product lines.</w:t>
      </w:r>
    </w:p>
    <w:p>
      <w:pPr>
        <w:pStyle w:val="24"/>
        <w:rPr>
          <w:b/>
        </w:rPr>
      </w:pPr>
      <w:bookmarkStart w:id="5" w:name="_Toc144278318"/>
      <w:r>
        <w:rPr>
          <w:b/>
        </w:rPr>
        <w:t>2.0 Mission and objectives:</w:t>
      </w:r>
      <w:bookmarkEnd w:id="5"/>
      <w:r>
        <w:rPr>
          <w:b/>
        </w:rPr>
        <w:t xml:space="preserve"> </w:t>
      </w:r>
    </w:p>
    <w:p>
      <w:pPr>
        <w:rPr>
          <w:b/>
          <w:bCs/>
          <w:color w:val="000000"/>
        </w:rPr>
      </w:pPr>
      <w:r>
        <w:rPr>
          <w:b/>
          <w:bCs/>
          <w:color w:val="000000"/>
        </w:rPr>
        <w:t>Mission:</w:t>
      </w:r>
    </w:p>
    <w:p>
      <w:pPr>
        <w:rPr>
          <w:color w:val="000000"/>
        </w:rPr>
      </w:pPr>
      <w:r>
        <w:rPr>
          <w:color w:val="000000"/>
        </w:rPr>
        <w:t>“Apple designs Macs, the best personal computers in the world, along with OS X, iLife, iWork, and professional software. Apple leads the digital music revolution with its iPods and iTunes online store. Apple has reinvented the mobile phone with its revolutionary iPhone and App Store and is defining the future of mobile media and computing devices with iPad.”</w:t>
      </w:r>
    </w:p>
    <w:p>
      <w:pPr>
        <w:rPr>
          <w:b/>
          <w:bCs/>
          <w:color w:val="000000"/>
        </w:rPr>
      </w:pPr>
      <w:r>
        <w:rPr>
          <w:b/>
          <w:bCs/>
          <w:color w:val="000000"/>
        </w:rPr>
        <w:t xml:space="preserve">Objectives </w:t>
      </w:r>
    </w:p>
    <w:p>
      <w:pPr>
        <w:rPr>
          <w:color w:val="000000"/>
        </w:rPr>
      </w:pPr>
      <w:r>
        <w:rPr>
          <w:color w:val="000000"/>
        </w:rPr>
        <w:t>Apple has always been at the forefront of technological innovation, striving to develop and release ground-breaking products that merge sleek design with superior functionality. Their commitment goes beyond just products; they emphasize the seamless integration of hardware, software, and services to provide users with an unmatched experience across all their devices. With a deep sense of environmental responsibility, Apple is driving initiatives to operate on 100% renewable energy and reduce its overall carbon footprint. Privacy remains paramount; Apple staunchly believes in giving users control over their data and champions stringent data protection measures. Simultaneously, the company places immense value on achieving and maintaining high customer satisfaction, constantly refining its ecosystem and support services to meet user needs. Additionally, Apple seeks growth in its services sector, diversifying into areas like entertainment with Apple TV+ and music with Apple Music. Not just focused on business expansion, Apple is committed to fostering education, rolling out curricula and programs such as Everyone Can Code and Everyone Can Create to empower the next generation.</w:t>
      </w:r>
    </w:p>
    <w:p>
      <w:pPr>
        <w:pStyle w:val="24"/>
        <w:rPr>
          <w:b/>
          <w:bCs/>
        </w:rPr>
      </w:pPr>
      <w:bookmarkStart w:id="6" w:name="_1fob9te"/>
      <w:bookmarkStart w:id="7" w:name="_Toc144278319"/>
      <w:bookmarkEnd w:id="6"/>
      <w:r>
        <w:rPr>
          <w:b/>
          <w:bCs/>
        </w:rPr>
        <w:t>3.0 Challenges the client is facing.</w:t>
      </w:r>
      <w:bookmarkEnd w:id="7"/>
    </w:p>
    <w:p>
      <w:pPr>
        <w:rPr>
          <w:color w:val="000000"/>
        </w:rPr>
      </w:pPr>
      <w:r>
        <w:t xml:space="preserve">Apple, the client in focus, is grappling with significant supply chain disruptions. These interruptions have manifested in delayed product deliveries and limited product availability in the marketplace. The intent of this report is to meticulously pinpoint and dissect the challenges Apple is encountering, and to put forth two sets of recommendations aimed at resolving these supply chain-related dilemmas. From a business perspective, the crux of this analysis is to delve deep into factors influencing supply chain dynamics and the resultant service disruption faced by Apple’s consumer base. To achieve a holistic understanding of the situation, frameworks like VRIO, SWOT, and Porter’s Generic Strategy will be employed. While the SWOT analysis will shed light on the intrinsic and extrinsic factors influencing Apple, Porter’s Generic Strategy will be instrumental in discerning issues tied to meeting consumer demands. </w:t>
      </w:r>
      <w:r>
        <w:rPr>
          <w:color w:val="000000"/>
        </w:rPr>
        <w:t>Throughout its nearly five-decade history, Apple Inc. has consistently upheld excellence in its management practices and consumer services. The unparalleled quality and technological prowess of their products have been their distinguishing factors in the marketplace (Hsu et al., 2020). This emphasis on quality has enabled Apple to astutely discern consumer needs and preferences in a timely manner. Consequently, the company's reach and influence have expanded across various nations and continents. However, even with such achievements, Apple has faced persistent challenges in stakeholder management due to the immense market demand for its offerings. Recent reports indicate that Apple's supply chain, the backbone of its operations, encountered a setback owing to issues related to semiconductors, an essential component in their manufacturing process (Glimstedt, 2020).</w:t>
      </w:r>
    </w:p>
    <w:p>
      <w:pPr>
        <w:rPr>
          <w:color w:val="000000"/>
        </w:rPr>
      </w:pPr>
    </w:p>
    <w:p>
      <w:r>
        <w:rPr>
          <w:color w:val="000000"/>
          <w:lang w:val="en-IN"/>
        </w:rPr>
        <mc:AlternateContent>
          <mc:Choice Requires="wps">
            <w:drawing>
              <wp:inline distT="0" distB="0" distL="114298" distR="114298">
                <wp:extent cx="5486270" cy="3096895"/>
                <wp:effectExtent l="0" t="0" r="0" b="0"/>
                <wp:docPr id="4" name="组合 4"/>
                <wp:cNvGraphicFramePr>
                  <a:graphicFrameLocks noChangeAspect="0"/>
                </wp:cNvGraphicFramePr>
                <a:graphic>
                  <a:graphicData uri="http://schemas.microsoft.com/office/word/2010/wordprocessingGroup">
                    <wpg:wgp>
                      <wpg:cNvPr id="5" name="组合 5"/>
                      <wpg:cNvGrpSpPr/>
                      <wpg:grpSpPr>
                        <a:xfrm rot="0">
                          <a:off x="0" y="0"/>
                          <a:ext cx="5486270" cy="3096895"/>
                          <a:chOff x="0" y="0"/>
                          <a:chExt cx="5486270" cy="3096895"/>
                        </a:xfrm>
                        <a:prstGeom prst="rect"/>
                        <a:solidFill>
                          <a:srgbClr val="FFFFFF"/>
                        </a:solidFill>
                        <a:ln w="12700" cmpd="sng" cap="flat">
                          <a:solidFill>
                            <a:srgbClr val="000000"/>
                          </a:solidFill>
                          <a:prstDash val="solid"/>
                          <a:miter/>
                        </a:ln>
                      </wpg:grpSpPr>
                      <wpg:grpSp>
                        <wpg:cNvPr id="6" name="组合 6"/>
                        <wpg:cNvGrpSpPr/>
                        <wpg:grpSpPr>
                          <a:xfrm rot="0">
                            <a:off x="0" y="0"/>
                            <a:ext cx="5486270" cy="3096895"/>
                            <a:chOff x="0" y="0"/>
                            <a:chExt cx="5486270" cy="3096895"/>
                          </a:xfrm>
                          <a:prstGeom prst="rect"/>
                          <a:solidFill>
                            <a:srgbClr val="FFFFFF"/>
                          </a:solidFill>
                          <a:ln w="12700" cmpd="sng" cap="flat">
                            <a:solidFill>
                              <a:srgbClr val="000000"/>
                            </a:solidFill>
                            <a:prstDash val="solid"/>
                            <a:miter/>
                          </a:ln>
                        </wpg:grpSpPr>
                        <wps:wsp>
                          <wps:cNvPr id="7" name="矩形 7"/>
                          <wps:cNvSpPr/>
                          <wps:spPr>
                            <a:xfrm rot="0">
                              <a:off x="0" y="0"/>
                              <a:ext cx="5486270" cy="3096895"/>
                            </a:xfrm>
                            <a:prstGeom prst="rect"/>
                            <a:noFill/>
                            <a:ln w="12700" cmpd="sng" cap="flat">
                              <a:noFill/>
                              <a:prstDash val="solid"/>
                              <a:miter/>
                            </a:ln>
                          </wps:spPr>
                          <wps:txbx id="8">
                            <w:txbxContent>
                              <w:p>
                                <w:pPr>
                                  <w:spacing w:line="240" w:lineRule="auto"/>
                                  <w:jc w:val="left"/>
                                </w:pPr>
                              </w:p>
                            </w:txbxContent>
                          </wps:txbx>
                          <wps:bodyPr vert="horz" wrap="square" lIns="91424" tIns="91424" rIns="91424" bIns="91424" anchor="ctr" anchorCtr="0" upright="1">
                            <a:noAutofit/>
                          </wps:bodyPr>
                        </wps:wsp>
                        <wps:wsp>
                          <wps:cNvPr id="9" name="矩形 9"/>
                          <wps:cNvSpPr/>
                          <wps:spPr>
                            <a:xfrm rot="0">
                              <a:off x="0" y="358100"/>
                              <a:ext cx="5486270" cy="593091"/>
                            </a:xfrm>
                            <a:prstGeom prst="rect"/>
                            <a:solidFill>
                              <a:srgbClr val="FFFFFF">
                                <a:alpha val="90000"/>
                              </a:srgbClr>
                            </a:solidFill>
                            <a:ln w="12700" cmpd="sng" cap="flat">
                              <a:noFill/>
                              <a:prstDash val="solid"/>
                              <a:miter/>
                            </a:ln>
                          </wps:spPr>
                          <wps:txbx id="10">
                            <w:txbxContent>
                              <w:p>
                                <w:pPr>
                                  <w:spacing w:line="240" w:lineRule="auto"/>
                                  <w:jc w:val="left"/>
                                </w:pPr>
                              </w:p>
                            </w:txbxContent>
                          </wps:txbx>
                          <wps:bodyPr vert="horz" wrap="square" lIns="91424" tIns="91424" rIns="91424" bIns="91424" anchor="ctr" anchorCtr="0" upright="1">
                            <a:noAutofit/>
                          </wps:bodyPr>
                        </wps:wsp>
                        <wps:wsp>
                          <wps:cNvPr id="11" name="圆角矩形 11"/>
                          <wps:cNvSpPr/>
                          <wps:spPr>
                            <a:xfrm rot="0">
                              <a:off x="274241" y="10681"/>
                              <a:ext cx="3840428" cy="694656"/>
                            </a:xfrm>
                            <a:prstGeom prst="roundRect">
                              <a:avLst>
                                <a:gd name="adj" fmla="val 16666"/>
                              </a:avLst>
                            </a:prstGeom>
                            <a:solidFill>
                              <a:srgbClr val="BF504D"/>
                            </a:solidFill>
                            <a:ln w="12700" cmpd="sng" cap="flat">
                              <a:noFill/>
                              <a:prstDash val="solid"/>
                              <a:miter/>
                            </a:ln>
                            <a:effectLst>
                              <a:prstShdw prst="shdw14" dist="8980" dir="2700000">
                                <a:srgbClr val="000000">
                                  <a:alpha val="50000"/>
                                </a:srgbClr>
                              </a:prstShdw>
                            </a:effectLst>
                          </wps:spPr>
                          <wps:txbx id="12">
                            <w:txbxContent>
                              <w:p>
                                <w:pPr>
                                  <w:spacing w:line="240" w:lineRule="auto"/>
                                  <w:jc w:val="left"/>
                                </w:pPr>
                              </w:p>
                            </w:txbxContent>
                          </wps:txbx>
                          <wps:bodyPr vert="horz" wrap="square" lIns="91424" tIns="91424" rIns="91424" bIns="91424" anchor="ctr" anchorCtr="0" upright="1">
                            <a:noAutofit/>
                          </wps:bodyPr>
                        </wps:wsp>
                        <wps:wsp>
                          <wps:cNvPr id="13" name="文本框 13"/>
                          <wps:cNvSpPr/>
                          <wps:spPr>
                            <a:xfrm rot="0">
                              <a:off x="298743" y="44536"/>
                              <a:ext cx="3791423" cy="626946"/>
                            </a:xfrm>
                            <a:prstGeom prst="rect"/>
                            <a:noFill/>
                            <a:ln w="12700" cmpd="sng" cap="flat">
                              <a:noFill/>
                              <a:prstDash val="solid"/>
                              <a:miter/>
                            </a:ln>
                          </wps:spPr>
                          <wps:txbx id="14">
                            <w:txbxContent>
                              <w:p>
                                <w:pPr>
                                  <w:spacing w:line="216" w:lineRule="auto"/>
                                  <w:jc w:val="left"/>
                                </w:pPr>
                                <w:r>
                                  <w:rPr>
                                    <w:b/>
                                    <w:i/>
                                    <w:color w:val="000000"/>
                                  </w:rPr>
                                  <w:t>Disrupted supply chain</w:t>
                                </w:r>
                              </w:p>
                            </w:txbxContent>
                          </wps:txbx>
                          <wps:bodyPr vert="horz" wrap="square" lIns="110774" tIns="0" rIns="110774" bIns="0" anchor="ctr" anchorCtr="0" upright="1">
                            <a:noAutofit/>
                          </wps:bodyPr>
                        </wps:wsp>
                        <wps:wsp>
                          <wps:cNvPr id="15" name="矩形 15"/>
                          <wps:cNvSpPr/>
                          <wps:spPr>
                            <a:xfrm rot="0">
                              <a:off x="0" y="1425520"/>
                              <a:ext cx="5486270" cy="593091"/>
                            </a:xfrm>
                            <a:prstGeom prst="rect"/>
                            <a:solidFill>
                              <a:srgbClr val="FFFFFF">
                                <a:alpha val="90000"/>
                              </a:srgbClr>
                            </a:solidFill>
                            <a:ln w="12700" cmpd="sng" cap="flat">
                              <a:noFill/>
                              <a:prstDash val="solid"/>
                              <a:miter/>
                            </a:ln>
                          </wps:spPr>
                          <wps:txbx id="16">
                            <w:txbxContent>
                              <w:p>
                                <w:pPr>
                                  <w:spacing w:line="240" w:lineRule="auto"/>
                                  <w:jc w:val="left"/>
                                </w:pPr>
                              </w:p>
                            </w:txbxContent>
                          </wps:txbx>
                          <wps:bodyPr vert="horz" wrap="square" lIns="91424" tIns="91424" rIns="91424" bIns="91424" anchor="ctr" anchorCtr="0" upright="1">
                            <a:noAutofit/>
                          </wps:bodyPr>
                        </wps:wsp>
                        <wps:wsp>
                          <wps:cNvPr id="17" name="圆角矩形 17"/>
                          <wps:cNvSpPr/>
                          <wps:spPr>
                            <a:xfrm rot="0">
                              <a:off x="274241" y="1078282"/>
                              <a:ext cx="3840428" cy="694656"/>
                            </a:xfrm>
                            <a:prstGeom prst="roundRect">
                              <a:avLst>
                                <a:gd name="adj" fmla="val 16666"/>
                              </a:avLst>
                            </a:prstGeom>
                            <a:solidFill>
                              <a:srgbClr val="A5A5A5"/>
                            </a:solidFill>
                            <a:ln w="12700" cmpd="sng" cap="flat">
                              <a:noFill/>
                              <a:prstDash val="solid"/>
                              <a:miter/>
                            </a:ln>
                            <a:effectLst>
                              <a:prstShdw prst="shdw14" dist="8980" dir="2700000">
                                <a:srgbClr val="000000">
                                  <a:alpha val="50000"/>
                                </a:srgbClr>
                              </a:prstShdw>
                            </a:effectLst>
                          </wps:spPr>
                          <wps:txbx id="18">
                            <w:txbxContent>
                              <w:p>
                                <w:pPr>
                                  <w:spacing w:line="240" w:lineRule="auto"/>
                                  <w:jc w:val="left"/>
                                </w:pPr>
                              </w:p>
                            </w:txbxContent>
                          </wps:txbx>
                          <wps:bodyPr vert="horz" wrap="square" lIns="91424" tIns="91424" rIns="91424" bIns="91424" anchor="ctr" anchorCtr="0" upright="1">
                            <a:noAutofit/>
                          </wps:bodyPr>
                        </wps:wsp>
                        <wps:wsp>
                          <wps:cNvPr id="19" name="文本框 19"/>
                          <wps:cNvSpPr/>
                          <wps:spPr>
                            <a:xfrm rot="0">
                              <a:off x="298743" y="1112137"/>
                              <a:ext cx="3791423" cy="626946"/>
                            </a:xfrm>
                            <a:prstGeom prst="rect"/>
                            <a:noFill/>
                            <a:ln w="12700" cmpd="sng" cap="flat">
                              <a:noFill/>
                              <a:prstDash val="solid"/>
                              <a:miter/>
                            </a:ln>
                          </wps:spPr>
                          <wps:txbx id="20">
                            <w:txbxContent>
                              <w:p>
                                <w:pPr>
                                  <w:spacing w:line="216" w:lineRule="auto"/>
                                  <w:jc w:val="left"/>
                                </w:pPr>
                                <w:r>
                                  <w:rPr>
                                    <w:b/>
                                    <w:i/>
                                    <w:color w:val="000000"/>
                                  </w:rPr>
                                  <w:t>Production delays</w:t>
                                </w:r>
                              </w:p>
                            </w:txbxContent>
                          </wps:txbx>
                          <wps:bodyPr vert="horz" wrap="square" lIns="110774" tIns="0" rIns="110774" bIns="0" anchor="ctr" anchorCtr="0" upright="1">
                            <a:noAutofit/>
                          </wps:bodyPr>
                        </wps:wsp>
                        <wps:wsp>
                          <wps:cNvPr id="21" name="矩形 21"/>
                          <wps:cNvSpPr/>
                          <wps:spPr>
                            <a:xfrm rot="0">
                              <a:off x="0" y="2493122"/>
                              <a:ext cx="5486270" cy="593091"/>
                            </a:xfrm>
                            <a:prstGeom prst="rect"/>
                            <a:solidFill>
                              <a:srgbClr val="FFFFFF">
                                <a:alpha val="90000"/>
                              </a:srgbClr>
                            </a:solidFill>
                            <a:ln w="12700" cmpd="sng" cap="flat">
                              <a:noFill/>
                              <a:prstDash val="solid"/>
                              <a:miter/>
                            </a:ln>
                          </wps:spPr>
                          <wps:txbx id="22">
                            <w:txbxContent>
                              <w:p>
                                <w:pPr>
                                  <w:spacing w:line="240" w:lineRule="auto"/>
                                  <w:jc w:val="left"/>
                                </w:pPr>
                              </w:p>
                            </w:txbxContent>
                          </wps:txbx>
                          <wps:bodyPr vert="horz" wrap="square" lIns="91424" tIns="91424" rIns="91424" bIns="91424" anchor="ctr" anchorCtr="0" upright="1">
                            <a:noAutofit/>
                          </wps:bodyPr>
                        </wps:wsp>
                        <wps:wsp>
                          <wps:cNvPr id="23" name="圆角矩形 23"/>
                          <wps:cNvSpPr/>
                          <wps:spPr>
                            <a:xfrm rot="0">
                              <a:off x="274241" y="2145703"/>
                              <a:ext cx="3840428" cy="694836"/>
                            </a:xfrm>
                            <a:prstGeom prst="roundRect">
                              <a:avLst>
                                <a:gd name="adj" fmla="val 16666"/>
                              </a:avLst>
                            </a:prstGeom>
                            <a:solidFill>
                              <a:srgbClr val="FFC000"/>
                            </a:solidFill>
                            <a:ln w="12700" cmpd="sng" cap="flat">
                              <a:noFill/>
                              <a:prstDash val="solid"/>
                              <a:miter/>
                            </a:ln>
                            <a:effectLst>
                              <a:prstShdw prst="shdw14" dist="8980" dir="2700000">
                                <a:srgbClr val="000000">
                                  <a:alpha val="50000"/>
                                </a:srgbClr>
                              </a:prstShdw>
                            </a:effectLst>
                          </wps:spPr>
                          <wps:txbx id="24">
                            <w:txbxContent>
                              <w:p>
                                <w:pPr>
                                  <w:spacing w:line="240" w:lineRule="auto"/>
                                  <w:jc w:val="left"/>
                                </w:pPr>
                              </w:p>
                            </w:txbxContent>
                          </wps:txbx>
                          <wps:bodyPr vert="horz" wrap="square" lIns="91424" tIns="91424" rIns="91424" bIns="91424" anchor="ctr" anchorCtr="0" upright="1">
                            <a:noAutofit/>
                          </wps:bodyPr>
                        </wps:wsp>
                        <wps:wsp>
                          <wps:cNvPr id="25" name="文本框 25"/>
                          <wps:cNvSpPr/>
                          <wps:spPr>
                            <a:xfrm rot="0">
                              <a:off x="298743" y="2179739"/>
                              <a:ext cx="3791423" cy="626946"/>
                            </a:xfrm>
                            <a:prstGeom prst="rect"/>
                            <a:noFill/>
                            <a:ln w="12700" cmpd="sng" cap="flat">
                              <a:noFill/>
                              <a:prstDash val="solid"/>
                              <a:miter/>
                            </a:ln>
                          </wps:spPr>
                          <wps:txbx id="26">
                            <w:txbxContent>
                              <w:p>
                                <w:pPr>
                                  <w:spacing w:line="216" w:lineRule="auto"/>
                                  <w:jc w:val="left"/>
                                </w:pPr>
                                <w:r>
                                  <w:rPr>
                                    <w:b/>
                                    <w:i/>
                                    <w:color w:val="000000"/>
                                  </w:rPr>
                                  <w:t>Limited availability of certain products</w:t>
                                </w:r>
                              </w:p>
                            </w:txbxContent>
                          </wps:txbx>
                          <wps:bodyPr vert="horz" wrap="square" lIns="110774" tIns="0" rIns="110774" bIns="0" anchor="ctr" anchorCtr="0" upright="1">
                            <a:noAutofit/>
                          </wps:bodyPr>
                        </wps:wsp>
                      </wpg:grpSp>
                      <wps:bodyPr vert="horz" wrap="square" lIns="91440" tIns="45720" rIns="91440" bIns="45720" anchor="t" anchorCtr="0" upright="0">
                        <a:noAutofit/>
                      </wps:bodyPr>
                    </wpg:wgp>
                  </a:graphicData>
                </a:graphic>
              </wp:inline>
            </w:drawing>
          </mc:Choice>
          <mc:Fallback>
            <w:pict>
              <v:group type="#_x0000_t1" id="组合 27" o:spid="_x0000_s27" coordorigin="1440,2916" coordsize="8639,4877" style="width:431.98975pt;&#10;height:243.85002pt;">
                <v:group type="#_x0000_t1" id="组合 28" o:spid="_x0000_s28" coordorigin="1440,2916" coordsize="8639,4877" style="position:absolute;&#10;left:1440;&#10;top:2916;&#10;width:8639;&#10;height:4877;">
                  <v:rect type="#_x0000_t1" id="矩形 29" o:spid="_x0000_s29" style="position:absolute;&#10;left:1440;&#10;top:2916;&#10;width:8639;&#10;height:4877;&#10;mso-wrap-style:square;" filled="f" stroked="f" strokeweight="1.0pt">
                    <v:textbox id="870" inset="2.54mm,2.54mm,2.54mm,2.54mm" o:insetmode="custom" style="layout-flow:horizontal;&#10;v-text-anchor:middle;">
                      <w:txbxContent>
                        <w:p>
                          <w:pPr>
                            <w:spacing w:line="240" w:lineRule="auto"/>
                            <w:jc w:val="left"/>
                          </w:pPr>
                        </w:p>
                      </w:txbxContent>
                    </v:textbox>
                    <v:stroke color="#000000"/>
                  </v:rect>
                  <v:rect type="#_x0000_t1" id="矩形 30" o:spid="_x0000_s30" style="position:absolute;&#10;left:1440;&#10;top:3480;&#10;width:8639;&#10;height:934;&#10;mso-wrap-style:square;" fillcolor="#FFFFFF" stroked="f" strokeweight="1.0pt">
                    <v:textbox id="871" inset="2.54mm,2.54mm,2.54mm,2.54mm" o:insetmode="custom" style="layout-flow:horizontal;&#10;v-text-anchor:middle;">
                      <w:txbxContent>
                        <w:p>
                          <w:pPr>
                            <w:spacing w:line="240" w:lineRule="auto"/>
                            <w:jc w:val="left"/>
                          </w:pPr>
                        </w:p>
                      </w:txbxContent>
                    </v:textbox>
                    <v:fill opacity="58982f"/>
                    <v:stroke color="#000000"/>
                  </v:rect>
                  <v:shape type="#_x0000_t2" id="圆角矩形 31" o:spid="_x0000_s31" style="position:absolute;&#10;left:1871;&#10;top:2933;&#10;width:6047;&#10;height:1093;&#10;mso-wrap-style:square;" fillcolor="#BF504D" stroked="f" strokeweight="1.0pt" adj="3600">
                    <v:shadow on="t" color="#000000" opacity=".5" origin=",.5" offset="0pt,0pt" offset2="-4pt,-4pt"/>
                    <v:textbox id="872" inset="2.54mm,2.54mm,2.54mm,2.54mm" o:insetmode="custom" style="layout-flow:horizontal;&#10;v-text-anchor:middle;">
                      <w:txbxContent>
                        <w:p>
                          <w:pPr>
                            <w:spacing w:line="240" w:lineRule="auto"/>
                            <w:jc w:val="left"/>
                          </w:pPr>
                        </w:p>
                      </w:txbxContent>
                    </v:textbox>
                    <v:stroke color="#000000"/>
                  </v:shape>
                  <v:shape type="#_x0000_t202" id="文本框 32" o:spid="_x0000_s32" style="position:absolute;&#10;left:1910;&#10;top:2986;&#10;width:5970;&#10;height:987;&#10;mso-wrap-style:square;" filled="f" stroked="f" strokeweight="1.0pt">
                    <v:textbox id="849" inset="3.077mm,0mm,3.077mm,0mm" o:insetmode="custom" style="layout-flow:horizontal;&#10;v-text-anchor:middle;">
                      <w:txbxContent>
                        <w:p>
                          <w:pPr>
                            <w:spacing w:line="216" w:lineRule="auto"/>
                            <w:jc w:val="left"/>
                          </w:pPr>
                          <w:r>
                            <w:rPr>
                              <w:b/>
                              <w:i/>
                              <w:color w:val="000000"/>
                            </w:rPr>
                            <w:t>Disrupted supply chain</w:t>
                          </w:r>
                        </w:p>
                      </w:txbxContent>
                    </v:textbox>
                    <v:stroke color="#000000"/>
                  </v:shape>
                  <v:rect type="#_x0000_t1" id="矩形 33" o:spid="_x0000_s33" style="position:absolute;&#10;left:1440;&#10;top:5161;&#10;width:8639;&#10;height:934;&#10;mso-wrap-style:square;" fillcolor="#FFFFFF" stroked="f" strokeweight="1.0pt">
                    <v:textbox id="873" inset="2.54mm,2.54mm,2.54mm,2.54mm" o:insetmode="custom" style="layout-flow:horizontal;&#10;v-text-anchor:middle;">
                      <w:txbxContent>
                        <w:p>
                          <w:pPr>
                            <w:spacing w:line="240" w:lineRule="auto"/>
                            <w:jc w:val="left"/>
                          </w:pPr>
                        </w:p>
                      </w:txbxContent>
                    </v:textbox>
                    <v:fill opacity="58982f"/>
                    <v:stroke color="#000000"/>
                  </v:rect>
                  <v:shape type="#_x0000_t2" id="圆角矩形 34" o:spid="_x0000_s34" style="position:absolute;&#10;left:1871;&#10;top:4614;&#10;width:6047;&#10;height:1093;&#10;mso-wrap-style:square;" fillcolor="#A5A5A5" stroked="f" strokeweight="1.0pt" adj="3600">
                    <v:shadow on="t" color="#000000" opacity=".5" origin=",.5" offset="0pt,0pt" offset2="-4pt,-4pt"/>
                    <v:textbox id="874" inset="2.54mm,2.54mm,2.54mm,2.54mm" o:insetmode="custom" style="layout-flow:horizontal;&#10;v-text-anchor:middle;">
                      <w:txbxContent>
                        <w:p>
                          <w:pPr>
                            <w:spacing w:line="240" w:lineRule="auto"/>
                            <w:jc w:val="left"/>
                          </w:pPr>
                        </w:p>
                      </w:txbxContent>
                    </v:textbox>
                    <v:stroke color="#000000"/>
                  </v:shape>
                  <v:shape type="#_x0000_t202" id="文本框 35" o:spid="_x0000_s35" style="position:absolute;&#10;left:1910;&#10;top:4667;&#10;width:5970;&#10;height:987;&#10;mso-wrap-style:square;" filled="f" stroked="f" strokeweight="1.0pt">
                    <v:textbox id="850" inset="3.077mm,0mm,3.077mm,0mm" o:insetmode="custom" style="layout-flow:horizontal;&#10;v-text-anchor:middle;">
                      <w:txbxContent>
                        <w:p>
                          <w:pPr>
                            <w:spacing w:line="216" w:lineRule="auto"/>
                            <w:jc w:val="left"/>
                          </w:pPr>
                          <w:r>
                            <w:rPr>
                              <w:b/>
                              <w:i/>
                              <w:color w:val="000000"/>
                            </w:rPr>
                            <w:t>Production delays</w:t>
                          </w:r>
                        </w:p>
                      </w:txbxContent>
                    </v:textbox>
                    <v:stroke color="#000000"/>
                  </v:shape>
                  <v:rect type="#_x0000_t1" id="矩形 36" o:spid="_x0000_s36" style="position:absolute;&#10;left:1440;&#10;top:6842;&#10;width:8639;&#10;height:934;&#10;mso-wrap-style:square;" fillcolor="#FFFFFF" stroked="f" strokeweight="1.0pt">
                    <v:textbox id="875" inset="2.54mm,2.54mm,2.54mm,2.54mm" o:insetmode="custom" style="layout-flow:horizontal;&#10;v-text-anchor:middle;">
                      <w:txbxContent>
                        <w:p>
                          <w:pPr>
                            <w:spacing w:line="240" w:lineRule="auto"/>
                            <w:jc w:val="left"/>
                          </w:pPr>
                        </w:p>
                      </w:txbxContent>
                    </v:textbox>
                    <v:fill opacity="58982f"/>
                    <v:stroke color="#000000"/>
                  </v:rect>
                  <v:shape type="#_x0000_t2" id="圆角矩形 37" o:spid="_x0000_s37" style="position:absolute;&#10;left:1871;&#10;top:6295;&#10;width:6047;&#10;height:1094;&#10;mso-wrap-style:square;" fillcolor="#FFC000" stroked="f" strokeweight="1.0pt" adj="3600">
                    <v:shadow on="t" color="#000000" opacity=".5" origin=",.5" offset="0pt,0pt" offset2="-4pt,-4pt"/>
                    <v:textbox id="876" inset="2.54mm,2.54mm,2.54mm,2.54mm" o:insetmode="custom" style="layout-flow:horizontal;&#10;v-text-anchor:middle;">
                      <w:txbxContent>
                        <w:p>
                          <w:pPr>
                            <w:spacing w:line="240" w:lineRule="auto"/>
                            <w:jc w:val="left"/>
                          </w:pPr>
                        </w:p>
                      </w:txbxContent>
                    </v:textbox>
                    <v:stroke color="#000000"/>
                  </v:shape>
                  <v:shape type="#_x0000_t202" id="文本框 38" o:spid="_x0000_s38" style="position:absolute;&#10;left:1910;&#10;top:6349;&#10;width:5970;&#10;height:987;&#10;mso-wrap-style:square;" filled="f" stroked="f" strokeweight="1.0pt">
                    <v:textbox id="851" inset="3.077mm,0mm,3.077mm,0mm" o:insetmode="custom" style="layout-flow:horizontal;&#10;v-text-anchor:middle;">
                      <w:txbxContent>
                        <w:p>
                          <w:pPr>
                            <w:spacing w:line="216" w:lineRule="auto"/>
                            <w:jc w:val="left"/>
                          </w:pPr>
                          <w:r>
                            <w:rPr>
                              <w:b/>
                              <w:i/>
                              <w:color w:val="000000"/>
                            </w:rPr>
                            <w:t>Limited availability of certain products</w:t>
                          </w:r>
                        </w:p>
                      </w:txbxContent>
                    </v:textbox>
                    <v:stroke color="#000000"/>
                  </v:shape>
                </v:group>
                <w10:anchorLock/>
              </v:group>
            </w:pict>
          </mc:Fallback>
        </mc:AlternateContent>
      </w:r>
    </w:p>
    <w:p>
      <w:pPr>
        <w:pStyle w:val="2"/>
        <w:rPr>
          <w:color w:val="000000"/>
        </w:rPr>
      </w:pPr>
      <w:bookmarkStart w:id="8" w:name="_3znysh7"/>
      <w:bookmarkStart w:id="9" w:name="_Toc144278022"/>
      <w:bookmarkStart w:id="10" w:name="_Toc144278227"/>
      <w:bookmarkStart w:id="11" w:name="_Toc144278320"/>
      <w:bookmarkEnd w:id="8"/>
      <w:r>
        <w:rPr>
          <w:color w:val="000000"/>
        </w:rPr>
        <w:t>Figure 1: Problem confronted by Apple</w:t>
      </w:r>
      <w:bookmarkEnd w:id="9"/>
      <w:bookmarkEnd w:id="10"/>
      <w:bookmarkEnd w:id="11"/>
    </w:p>
    <w:p>
      <w:pPr>
        <w:jc w:val="center"/>
        <w:rPr>
          <w:color w:val="000000"/>
        </w:rPr>
      </w:pPr>
      <w:r>
        <w:rPr>
          <w:color w:val="000000"/>
        </w:rPr>
        <w:t>(Source: Self-Created)</w:t>
      </w:r>
    </w:p>
    <w:p>
      <w:pPr>
        <w:jc w:val="center"/>
        <w:rPr>
          <w:color w:val="000000"/>
        </w:rPr>
      </w:pPr>
    </w:p>
    <w:p>
      <w:pPr>
        <w:pStyle w:val="1"/>
        <w:rPr>
          <w:b w:val="0"/>
          <w:color w:val="000000"/>
          <w:sz w:val="24"/>
          <w:szCs w:val="24"/>
        </w:rPr>
      </w:pPr>
      <w:bookmarkStart w:id="12" w:name="_2et92p0"/>
      <w:bookmarkStart w:id="13" w:name="_Toc144278023"/>
      <w:bookmarkStart w:id="14" w:name="_Toc144278228"/>
      <w:bookmarkStart w:id="15" w:name="_Toc144278321"/>
      <w:bookmarkEnd w:id="12"/>
      <w:r>
        <w:rPr>
          <w:b w:val="0"/>
          <w:color w:val="000000"/>
          <w:sz w:val="24"/>
          <w:szCs w:val="24"/>
        </w:rPr>
        <w:t>In recent times, iPhones and iPads have emerged as the most sought-after products in the tech industry. These devices, emblematic of status and modernity, have transformed global lifestyles, attracting a diverse range of consumers (Ellitan, 2020). Apple further enticed tech aficionados by expanding its product line to include Macs and other devices (Apple, 2023). A common thread running through these innovations is the use of semiconductors. However, since September 2021, Apple has grappled with a semiconductor shortage, pivotal for their device manufacturing. This global chip scarcity, influenced by the pandemic's surge in electronic demand and supply chain disruptions, has stymied Apple's production, resulting in market product scarcities and service delays.</w:t>
      </w:r>
      <w:bookmarkEnd w:id="13"/>
      <w:bookmarkEnd w:id="14"/>
      <w:bookmarkEnd w:id="15"/>
    </w:p>
    <w:p>
      <w:pPr>
        <w:pStyle w:val="1"/>
        <w:rPr>
          <w:b w:val="0"/>
          <w:color w:val="000000"/>
          <w:sz w:val="24"/>
          <w:szCs w:val="24"/>
        </w:rPr>
      </w:pPr>
    </w:p>
    <w:p>
      <w:pPr>
        <w:pStyle w:val="24"/>
        <w:rPr>
          <w:b/>
          <w:bCs/>
        </w:rPr>
      </w:pPr>
      <w:bookmarkStart w:id="16" w:name="_Toc144278322"/>
      <w:r>
        <w:rPr>
          <w:b/>
          <w:bCs/>
        </w:rPr>
        <w:t>4.0 Purpose of the study</w:t>
      </w:r>
      <w:bookmarkEnd w:id="16"/>
    </w:p>
    <w:p>
      <w:pPr>
        <w:rPr>
          <w:color w:val="000000"/>
        </w:rPr>
      </w:pPr>
      <w:r>
        <w:rPr>
          <w:color w:val="000000"/>
        </w:rPr>
        <w:t>This study aims to assess the implications of product shortages on Apple’s sales and customer satisfaction, especially due to the semiconductor crisis. It will scrutinize Apple's stakeholder management efficacy in countering the semiconductor deficit and delve into its endeavors to broaden its supply chain and identify alternate chip suppliers. The research will further explore how this shortage has reshaped Apple's business strategy, potentially affecting its brand stature and market adaptability. The semiconductor paucity has posed significant hurdles for Apple's supply chain and inventory management, reflected in decreased sales (Shattuck, 2021) and diminished customer contentment. The analysis will also spotlight the robustness of Apple's stakeholder engagement amidst this crisis. By concluding, the study intends to furnish strategic advice for Apple to navigate the semiconductor challenge and bolster its operations, supply chain, and stakeholder rapport.</w:t>
      </w:r>
    </w:p>
    <w:p>
      <w:pPr>
        <w:rPr>
          <w:color w:val="000000"/>
        </w:rPr>
      </w:pPr>
    </w:p>
    <w:p>
      <w:pPr>
        <w:pStyle w:val="24"/>
        <w:rPr>
          <w:b/>
        </w:rPr>
      </w:pPr>
      <w:bookmarkStart w:id="17" w:name="_Toc144278323"/>
      <w:r>
        <w:rPr>
          <w:b/>
        </w:rPr>
        <w:t>5.0 Macro-Environmental Analysis</w:t>
      </w:r>
      <w:bookmarkEnd w:id="17"/>
      <w:r>
        <w:rPr>
          <w:b/>
        </w:rPr>
        <w:t xml:space="preserve"> </w:t>
      </w:r>
    </w:p>
    <w:p>
      <w:pPr>
        <w:jc w:val="left"/>
        <w:rPr>
          <w:b/>
          <w:bCs/>
          <w:color w:val="000000"/>
        </w:rPr>
      </w:pPr>
    </w:p>
    <w:p>
      <w:pPr>
        <w:jc w:val="left"/>
        <w:rPr>
          <w:b/>
          <w:bCs/>
          <w:color w:val="000000"/>
        </w:rPr>
      </w:pPr>
      <w:r>
        <w:rPr>
          <w:b/>
          <w:bCs/>
          <w:color w:val="000000"/>
        </w:rPr>
        <w:t xml:space="preserve"> PESTLE ANALYSIS</w:t>
      </w:r>
    </w:p>
    <w:p>
      <w:pPr>
        <w:jc w:val="left"/>
        <w:rPr>
          <w:b/>
          <w:bCs/>
          <w:color w:val="000000"/>
        </w:rPr>
      </w:pPr>
    </w:p>
    <w:p>
      <w:pPr>
        <w:jc w:val="center"/>
        <w:rPr>
          <w:b/>
          <w:bCs/>
          <w:color w:val="000000"/>
        </w:rPr>
      </w:pPr>
      <w:r>
        <w:rPr>
          <w:b/>
          <w:bCs/>
          <w:color w:val="000000"/>
        </w:rPr>
        <w:t>Table 1: PESTLE framework for Apple</w:t>
      </w:r>
    </w:p>
    <w:tbl>
      <w:tblPr>
        <w:jc w:val="left"/>
        <w:tblInd w:w="0" w:type="dxa"/>
        <w:tblBorders>
          <w:top w:val="single" w:sz="2" w:space="0" w:color="F4B083"/>
          <w:left w:val="none" w:sz="0" w:space="0" w:color="auto"/>
          <w:bottom w:val="single" w:sz="2" w:space="0" w:color="F4B083"/>
          <w:right w:val="none" w:sz="0" w:space="0" w:color="auto"/>
          <w:insideH w:val="single" w:sz="2" w:space="0" w:color="F4B083"/>
          <w:insideV w:val="single" w:sz="2" w:space="0" w:color="F4B083"/>
        </w:tblBorders>
        <w:tblCellMar>
          <w:top w:w="0" w:type="dxa"/>
          <w:left w:w="0" w:type="dxa"/>
          <w:bottom w:w="0" w:type="dxa"/>
          <w:right w:w="0" w:type="dxa"/>
        </w:tblCellMar>
      </w:tblPr>
      <w:tblGrid>
        <w:gridCol w:w="1517"/>
        <w:gridCol w:w="3352"/>
        <w:gridCol w:w="4496"/>
      </w:tblGrid>
      <w:tr>
        <w:tc>
          <w:tcPr>
            <w:tcBorders>
              <w:top w:val="nil"/>
              <w:bottom w:val="single" w:sz="12" w:space="0" w:color="F4B083"/>
            </w:tcBorders>
            <w:shd w:val="clear" w:color="auto" w:fill="FFFFFF"/>
          </w:tcPr>
          <w:p>
            <w:pPr>
              <w:spacing w:before="480" w:after="480"/>
              <w:jc w:val="center"/>
              <w:rPr>
                <w:lang w:val="en-US" w:eastAsia="en-US"/>
              </w:rPr>
            </w:pPr>
            <w:r>
              <w:rPr>
                <w:bdr w:val="single" w:sz="2" w:space="0" w:color="D9D9E3"/>
                <w:lang w:val="en-US" w:eastAsia="en-US"/>
              </w:rPr>
              <w:t>Element</w:t>
            </w:r>
          </w:p>
        </w:tc>
        <w:tc>
          <w:tcPr>
            <w:tcBorders>
              <w:top w:val="nil"/>
              <w:bottom w:val="single" w:sz="12" w:space="0" w:color="F4B083"/>
            </w:tcBorders>
            <w:shd w:val="clear" w:color="auto" w:fill="FFFFFF"/>
          </w:tcPr>
          <w:p>
            <w:pPr>
              <w:spacing w:before="480" w:after="480" w:line="360" w:lineRule="auto"/>
              <w:jc w:val="center"/>
              <w:rPr>
                <w:lang w:val="en-US" w:eastAsia="en-US"/>
              </w:rPr>
            </w:pPr>
            <w:r>
              <w:rPr>
                <w:bdr w:val="single" w:sz="2" w:space="0" w:color="D9D9E3"/>
                <w:lang w:val="en-US" w:eastAsia="en-US"/>
              </w:rPr>
              <w:t>Explanation</w:t>
            </w:r>
          </w:p>
        </w:tc>
        <w:tc>
          <w:tcPr>
            <w:tcBorders>
              <w:top w:val="nil"/>
              <w:bottom w:val="single" w:sz="12" w:space="0" w:color="F4B083"/>
            </w:tcBorders>
            <w:shd w:val="clear" w:color="auto" w:fill="FFFFFF"/>
          </w:tcPr>
          <w:p>
            <w:pPr>
              <w:spacing w:before="480" w:after="480" w:line="360" w:lineRule="auto"/>
              <w:jc w:val="center"/>
              <w:rPr>
                <w:lang w:val="en-US" w:eastAsia="en-US"/>
              </w:rPr>
            </w:pPr>
            <w:r>
              <w:rPr>
                <w:bdr w:val="single" w:sz="2" w:space="0" w:color="D9D9E3"/>
                <w:lang w:val="en-US" w:eastAsia="en-US"/>
              </w:rPr>
              <w:t>Influence on Apple</w:t>
            </w:r>
          </w:p>
        </w:tc>
      </w:tr>
      <w:tr>
        <w:tc>
          <w:tcPr>
            <w:shd w:val="clear" w:color="auto" w:fill="FBE4D5"/>
          </w:tcPr>
          <w:p>
            <w:pPr>
              <w:spacing w:before="480" w:after="480" w:line="360" w:lineRule="auto"/>
              <w:jc w:val="left"/>
              <w:rPr>
                <w:lang w:val="en-US" w:eastAsia="en-US"/>
              </w:rPr>
            </w:pPr>
            <w:r>
              <w:rPr>
                <w:bdr w:val="single" w:sz="2" w:space="0" w:color="D9D9E3"/>
                <w:lang w:val="en-US" w:eastAsia="en-US"/>
              </w:rPr>
              <w:t>Political</w:t>
            </w:r>
          </w:p>
        </w:tc>
        <w:tc>
          <w:tcPr>
            <w:shd w:val="clear" w:color="auto" w:fill="FBE4D5"/>
          </w:tcPr>
          <w:p>
            <w:pPr>
              <w:spacing w:before="480" w:after="480" w:line="360" w:lineRule="auto"/>
              <w:jc w:val="left"/>
              <w:rPr>
                <w:lang w:val="en-US" w:eastAsia="en-US"/>
              </w:rPr>
            </w:pPr>
            <w:r>
              <w:rPr>
                <w:lang w:val="en-US" w:eastAsia="en-US"/>
              </w:rPr>
              <w:t>Political dynamics, including trade wars and tariffs, especially between the U.S. and key semiconductor producers like China and Taiwan, can significantly influence global supply chains.</w:t>
            </w:r>
          </w:p>
        </w:tc>
        <w:tc>
          <w:tcPr>
            <w:shd w:val="clear" w:color="auto" w:fill="FBE4D5"/>
          </w:tcPr>
          <w:p>
            <w:pPr>
              <w:spacing w:before="480" w:after="480" w:line="360" w:lineRule="auto"/>
              <w:jc w:val="left"/>
              <w:rPr>
                <w:lang w:val="en-US" w:eastAsia="en-US"/>
              </w:rPr>
            </w:pPr>
            <w:r>
              <w:rPr>
                <w:lang w:val="en-US" w:eastAsia="en-US"/>
              </w:rPr>
              <w:t>Policies can exacerbate the semiconductor shortage, increasing Apple's production costs. Apple might also need to reconfigure its supply chain to avoid tariffs or geopolitical tensions.</w:t>
            </w:r>
          </w:p>
        </w:tc>
      </w:tr>
      <w:tr>
        <w:tc>
          <w:tcPr/>
          <w:p>
            <w:pPr>
              <w:spacing w:before="480" w:after="480" w:line="360" w:lineRule="auto"/>
              <w:jc w:val="left"/>
              <w:rPr>
                <w:lang w:val="en-US" w:eastAsia="en-US"/>
              </w:rPr>
            </w:pPr>
            <w:r>
              <w:rPr>
                <w:bdr w:val="single" w:sz="2" w:space="0" w:color="D9D9E3"/>
                <w:lang w:val="en-US" w:eastAsia="en-US"/>
              </w:rPr>
              <w:t>Economic</w:t>
            </w:r>
          </w:p>
        </w:tc>
        <w:tc>
          <w:tcPr/>
          <w:p>
            <w:pPr>
              <w:spacing w:before="480" w:after="480" w:line="360" w:lineRule="auto"/>
              <w:jc w:val="left"/>
              <w:rPr>
                <w:lang w:val="en-US" w:eastAsia="en-US"/>
              </w:rPr>
            </w:pPr>
            <w:r>
              <w:rPr>
                <w:lang w:val="en-US" w:eastAsia="en-US"/>
              </w:rPr>
              <w:t>Economic factors include global economic health, currency exchange rates, and inflation. A semiconductor shortage can result in price inflations and increased production costs.</w:t>
            </w:r>
          </w:p>
        </w:tc>
        <w:tc>
          <w:tcPr/>
          <w:p>
            <w:pPr>
              <w:spacing w:before="480" w:after="480" w:line="360" w:lineRule="auto"/>
              <w:jc w:val="left"/>
              <w:rPr>
                <w:lang w:val="en-US" w:eastAsia="en-US"/>
              </w:rPr>
            </w:pPr>
            <w:r>
              <w:rPr>
                <w:lang w:val="en-US" w:eastAsia="en-US"/>
              </w:rPr>
              <w:t>Economic downturns can compound the challenges of the semiconductor crisis, potentially reducing consumer demand. Exchange rate fluctuations might also affect profit margins for Apple, especially in international markets.</w:t>
            </w:r>
          </w:p>
        </w:tc>
      </w:tr>
      <w:tr>
        <w:tc>
          <w:tcPr>
            <w:shd w:val="clear" w:color="auto" w:fill="FBE4D5"/>
          </w:tcPr>
          <w:p>
            <w:pPr>
              <w:spacing w:before="480" w:after="480" w:line="360" w:lineRule="auto"/>
              <w:jc w:val="left"/>
              <w:rPr>
                <w:lang w:val="en-US" w:eastAsia="en-US"/>
              </w:rPr>
            </w:pPr>
            <w:r>
              <w:rPr>
                <w:bdr w:val="single" w:sz="2" w:space="0" w:color="D9D9E3"/>
                <w:lang w:val="en-US" w:eastAsia="en-US"/>
              </w:rPr>
              <w:t>Sociocultural</w:t>
            </w:r>
          </w:p>
        </w:tc>
        <w:tc>
          <w:tcPr>
            <w:shd w:val="clear" w:color="auto" w:fill="FBE4D5"/>
          </w:tcPr>
          <w:p>
            <w:pPr>
              <w:spacing w:before="480" w:after="480" w:line="360" w:lineRule="auto"/>
              <w:jc w:val="left"/>
              <w:rPr>
                <w:lang w:val="en-US" w:eastAsia="en-US"/>
              </w:rPr>
            </w:pPr>
            <w:r>
              <w:rPr>
                <w:lang w:val="en-US" w:eastAsia="en-US"/>
              </w:rPr>
              <w:t>This relates to societal and cultural factors that influence business. Apple's brand is tied to consistent innovation and timely releases.</w:t>
            </w:r>
          </w:p>
        </w:tc>
        <w:tc>
          <w:tcPr>
            <w:shd w:val="clear" w:color="auto" w:fill="FBE4D5"/>
          </w:tcPr>
          <w:p>
            <w:pPr>
              <w:spacing w:before="480" w:after="480" w:line="360" w:lineRule="auto"/>
              <w:jc w:val="left"/>
              <w:rPr>
                <w:lang w:val="en-US" w:eastAsia="en-US"/>
              </w:rPr>
            </w:pPr>
            <w:r>
              <w:rPr>
                <w:lang w:val="en-US" w:eastAsia="en-US"/>
              </w:rPr>
              <w:t>The semiconductor shortage can strain Apple's brand promise. Delays or perceived quality reductions could lead to decreased brand loyalty or public trust. Apple's communication strategy becomes paramount to maintain its image.</w:t>
            </w:r>
          </w:p>
        </w:tc>
      </w:tr>
      <w:tr>
        <w:tc>
          <w:tcPr/>
          <w:p>
            <w:pPr>
              <w:spacing w:before="480" w:after="480" w:line="360" w:lineRule="auto"/>
              <w:jc w:val="left"/>
              <w:rPr>
                <w:lang w:val="en-US" w:eastAsia="en-US"/>
              </w:rPr>
            </w:pPr>
            <w:r>
              <w:rPr>
                <w:bdr w:val="single" w:sz="2" w:space="0" w:color="D9D9E3"/>
                <w:lang w:val="en-US" w:eastAsia="en-US"/>
              </w:rPr>
              <w:t>Technological</w:t>
            </w:r>
          </w:p>
        </w:tc>
        <w:tc>
          <w:tcPr/>
          <w:p>
            <w:pPr>
              <w:spacing w:before="480" w:after="480" w:line="360" w:lineRule="auto"/>
              <w:jc w:val="left"/>
              <w:rPr>
                <w:lang w:val="en-US" w:eastAsia="en-US"/>
              </w:rPr>
            </w:pPr>
            <w:r>
              <w:rPr>
                <w:lang w:val="en-US" w:eastAsia="en-US"/>
              </w:rPr>
              <w:t>The rapid pace of technological advancement defines Apple's industry. Continuous innovation in semiconductor technology can lead to more efficient, powerful, and smaller chips.</w:t>
            </w:r>
          </w:p>
        </w:tc>
        <w:tc>
          <w:tcPr/>
          <w:p>
            <w:pPr>
              <w:spacing w:before="480" w:after="480" w:line="360" w:lineRule="auto"/>
              <w:jc w:val="left"/>
              <w:rPr>
                <w:lang w:val="en-US" w:eastAsia="en-US"/>
              </w:rPr>
            </w:pPr>
            <w:r>
              <w:rPr>
                <w:lang w:val="en-US" w:eastAsia="en-US"/>
              </w:rPr>
              <w:t>Apple's competitive edge might be at risk if they can't access the latest chip technology due to shortages. The company needs to explore alternatives or foster closer ties with semiconductor innovators to safeguard its tech leadership.</w:t>
            </w:r>
          </w:p>
        </w:tc>
      </w:tr>
      <w:tr>
        <w:tc>
          <w:tcPr>
            <w:shd w:val="clear" w:color="auto" w:fill="FBE4D5"/>
          </w:tcPr>
          <w:p>
            <w:pPr>
              <w:spacing w:before="480" w:after="480" w:line="360" w:lineRule="auto"/>
              <w:jc w:val="left"/>
              <w:rPr>
                <w:lang w:val="en-US" w:eastAsia="en-US"/>
              </w:rPr>
            </w:pPr>
            <w:r>
              <w:rPr>
                <w:bdr w:val="single" w:sz="2" w:space="0" w:color="D9D9E3"/>
                <w:lang w:val="en-US" w:eastAsia="en-US"/>
              </w:rPr>
              <w:t>Environmental</w:t>
            </w:r>
          </w:p>
        </w:tc>
        <w:tc>
          <w:tcPr>
            <w:shd w:val="clear" w:color="auto" w:fill="FBE4D5"/>
          </w:tcPr>
          <w:p>
            <w:pPr>
              <w:spacing w:before="480" w:after="480" w:line="360" w:lineRule="auto"/>
              <w:jc w:val="left"/>
              <w:rPr>
                <w:lang w:val="en-US" w:eastAsia="en-US"/>
              </w:rPr>
            </w:pPr>
            <w:r>
              <w:rPr>
                <w:lang w:val="en-US" w:eastAsia="en-US"/>
              </w:rPr>
              <w:t>Apple's commitment to sustainability is evident. Semiconductor manufacturing has environmental impacts, including water usage and chemical waste.</w:t>
            </w:r>
          </w:p>
        </w:tc>
        <w:tc>
          <w:tcPr>
            <w:shd w:val="clear" w:color="auto" w:fill="FBE4D5"/>
          </w:tcPr>
          <w:p>
            <w:pPr>
              <w:spacing w:before="480" w:after="480" w:line="360" w:lineRule="auto"/>
              <w:jc w:val="left"/>
              <w:rPr>
                <w:lang w:val="en-US" w:eastAsia="en-US"/>
              </w:rPr>
            </w:pPr>
            <w:r>
              <w:rPr>
                <w:lang w:val="en-US" w:eastAsia="en-US"/>
              </w:rPr>
              <w:t>Apple might face challenges in maintaining its sustainability commitments if forced to diversify semiconductor sources. There's a need to vet new suppliers rigorously to ensure they meet Apple's environmental standards.</w:t>
            </w:r>
          </w:p>
        </w:tc>
      </w:tr>
      <w:tr>
        <w:tc>
          <w:tcPr/>
          <w:p>
            <w:pPr>
              <w:spacing w:before="480" w:after="480" w:line="360" w:lineRule="auto"/>
              <w:jc w:val="left"/>
              <w:rPr>
                <w:lang w:val="en-US" w:eastAsia="en-US"/>
              </w:rPr>
            </w:pPr>
            <w:r>
              <w:rPr>
                <w:bdr w:val="single" w:sz="2" w:space="0" w:color="D9D9E3"/>
                <w:lang w:val="en-US" w:eastAsia="en-US"/>
              </w:rPr>
              <w:t>Legal</w:t>
            </w:r>
          </w:p>
        </w:tc>
        <w:tc>
          <w:tcPr/>
          <w:p>
            <w:pPr>
              <w:spacing w:before="480" w:after="480" w:line="360" w:lineRule="auto"/>
              <w:jc w:val="left"/>
              <w:rPr>
                <w:lang w:val="en-US" w:eastAsia="en-US"/>
              </w:rPr>
            </w:pPr>
            <w:r>
              <w:rPr>
                <w:lang w:val="en-US" w:eastAsia="en-US"/>
              </w:rPr>
              <w:t>Legal considerations include international trade laws, contracts, and regulations around technology and data.</w:t>
            </w:r>
          </w:p>
        </w:tc>
        <w:tc>
          <w:tcPr/>
          <w:p>
            <w:pPr>
              <w:spacing w:before="480" w:after="480" w:line="360" w:lineRule="auto"/>
              <w:jc w:val="left"/>
              <w:rPr>
                <w:lang w:val="en-US" w:eastAsia="en-US"/>
              </w:rPr>
            </w:pPr>
            <w:r>
              <w:rPr>
                <w:lang w:val="en-US" w:eastAsia="en-US"/>
              </w:rPr>
              <w:t>The semiconductor crisis might push Apple into new contracts or partnerships, necessitating legal diligence. Furthermore, any supply chain reconfiguration due to the shortage should consider international trade regulations to prevent legal disputes.</w:t>
            </w:r>
          </w:p>
        </w:tc>
      </w:tr>
    </w:tbl>
    <w:p>
      <w:pPr>
        <w:rPr>
          <w:b/>
          <w:bCs/>
          <w:color w:val="000000"/>
        </w:rPr>
      </w:pPr>
    </w:p>
    <w:p>
      <w:pPr>
        <w:pStyle w:val="24"/>
        <w:rPr>
          <w:b/>
        </w:rPr>
      </w:pPr>
      <w:bookmarkStart w:id="18" w:name="_Toc144278324"/>
      <w:r>
        <w:rPr>
          <w:b/>
        </w:rPr>
        <w:t>6.0 Micro Environmental Analysis</w:t>
      </w:r>
      <w:bookmarkEnd w:id="18"/>
      <w:r>
        <w:rPr>
          <w:b/>
        </w:rPr>
        <w:t xml:space="preserve"> </w:t>
      </w:r>
    </w:p>
    <w:p>
      <w:pPr>
        <w:rPr>
          <w:color w:val="000000"/>
        </w:rPr>
      </w:pPr>
      <w:r>
        <w:rPr>
          <w:color w:val="000000"/>
        </w:rPr>
        <w:t>A micro-environmental analysis specifically homes in on factors that are close to a company that have the potential to affect its performance and decision-making. One critical component of this is understanding where the industry (in this case, the tech industry and more specifically the segment Apple operates in) is in its life cycle.</w:t>
      </w:r>
    </w:p>
    <w:p>
      <w:pPr>
        <w:rPr>
          <w:b/>
          <w:bCs/>
          <w:color w:val="000000"/>
        </w:rPr>
      </w:pPr>
      <w:r>
        <w:rPr>
          <w:b/>
          <w:bCs/>
          <w:color w:val="000000"/>
        </w:rPr>
        <w:t xml:space="preserve">Industry life cycle </w:t>
      </w:r>
    </w:p>
    <w:p>
      <w:pPr>
        <w:rPr>
          <w:color w:val="000000"/>
        </w:rPr>
      </w:pPr>
      <w:r>
        <w:rPr>
          <w:color w:val="000000"/>
        </w:rPr>
        <w:t>The industry life cycle refers to the evolution stages an industry undergoes from inception to decline.</w:t>
      </w:r>
    </w:p>
    <w:p>
      <w:pPr>
        <w:jc w:val="center"/>
        <w:rPr>
          <w:b/>
          <w:bCs/>
          <w:color w:val="000000"/>
        </w:rPr>
      </w:pPr>
      <w:r>
        <w:rPr>
          <w:b/>
          <w:bCs/>
          <w:color w:val="000000"/>
        </w:rPr>
        <w:t>Table 2: Industry life cycle</w:t>
      </w:r>
    </w:p>
    <w:tbl>
      <w:tblPr>
        <w:jc w:val="left"/>
        <w:tblInd w:w="0" w:type="dxa"/>
        <w:tblBorders>
          <w:top w:val="single" w:sz="2" w:space="0" w:color="8EAADB"/>
          <w:left w:val="none" w:sz="0" w:space="0" w:color="auto"/>
          <w:bottom w:val="single" w:sz="2" w:space="0" w:color="8EAADB"/>
          <w:right w:val="none" w:sz="0" w:space="0" w:color="auto"/>
          <w:insideH w:val="single" w:sz="2" w:space="0" w:color="8EAADB"/>
          <w:insideV w:val="single" w:sz="2" w:space="0" w:color="8EAADB"/>
        </w:tblBorders>
        <w:tblCellMar>
          <w:top w:w="0" w:type="dxa"/>
          <w:left w:w="0" w:type="dxa"/>
          <w:bottom w:w="0" w:type="dxa"/>
          <w:right w:w="0" w:type="dxa"/>
        </w:tblCellMar>
      </w:tblPr>
      <w:tblGrid>
        <w:gridCol w:w="1282"/>
        <w:gridCol w:w="2949"/>
        <w:gridCol w:w="5134"/>
      </w:tblGrid>
      <w:tr>
        <w:tc>
          <w:tcPr>
            <w:tcBorders>
              <w:top w:val="nil"/>
              <w:bottom w:val="single" w:sz="12" w:space="0" w:color="8EAADB"/>
            </w:tcBorders>
            <w:shd w:val="clear" w:color="auto" w:fill="FFFFFF"/>
          </w:tcPr>
          <w:p>
            <w:pPr>
              <w:spacing w:before="480" w:after="480" w:line="360" w:lineRule="auto"/>
              <w:jc w:val="center"/>
            </w:pPr>
            <w:r>
              <w:rPr>
                <w:bdr w:val="single" w:sz="2" w:space="0" w:color="D9D9E3"/>
              </w:rPr>
              <w:t>Industry Life Cycle Stage</w:t>
            </w:r>
          </w:p>
        </w:tc>
        <w:tc>
          <w:tcPr>
            <w:tcBorders>
              <w:top w:val="nil"/>
              <w:bottom w:val="single" w:sz="12" w:space="0" w:color="8EAADB"/>
            </w:tcBorders>
            <w:shd w:val="clear" w:color="auto" w:fill="FFFFFF"/>
          </w:tcPr>
          <w:p>
            <w:pPr>
              <w:spacing w:before="480" w:after="480" w:line="360" w:lineRule="auto"/>
              <w:jc w:val="center"/>
            </w:pPr>
            <w:r>
              <w:rPr>
                <w:bdr w:val="single" w:sz="2" w:space="0" w:color="D9D9E3"/>
              </w:rPr>
              <w:t>Apple's Position</w:t>
            </w:r>
          </w:p>
        </w:tc>
        <w:tc>
          <w:tcPr>
            <w:tcBorders>
              <w:top w:val="nil"/>
              <w:bottom w:val="single" w:sz="12" w:space="0" w:color="8EAADB"/>
            </w:tcBorders>
            <w:shd w:val="clear" w:color="auto" w:fill="FFFFFF"/>
          </w:tcPr>
          <w:p>
            <w:pPr>
              <w:spacing w:before="480" w:after="480" w:line="360" w:lineRule="auto"/>
              <w:jc w:val="center"/>
            </w:pPr>
            <w:r>
              <w:rPr>
                <w:bdr w:val="single" w:sz="2" w:space="0" w:color="D9D9E3"/>
              </w:rPr>
              <w:t>Influence of the Semiconductor Shortage</w:t>
            </w:r>
          </w:p>
        </w:tc>
      </w:tr>
      <w:tr>
        <w:tc>
          <w:tcPr>
            <w:shd w:val="clear" w:color="auto" w:fill="D9E2F3"/>
          </w:tcPr>
          <w:p>
            <w:pPr>
              <w:spacing w:before="480" w:after="480" w:line="360" w:lineRule="auto"/>
              <w:jc w:val="left"/>
            </w:pPr>
            <w:r>
              <w:rPr>
                <w:bdr w:val="single" w:sz="2" w:space="0" w:color="D9D9E3"/>
              </w:rPr>
              <w:t>Introduction</w:t>
            </w:r>
          </w:p>
        </w:tc>
        <w:tc>
          <w:tcPr>
            <w:shd w:val="clear" w:color="auto" w:fill="D9E2F3"/>
          </w:tcPr>
          <w:p>
            <w:pPr>
              <w:spacing w:before="480" w:after="480" w:line="360" w:lineRule="auto"/>
            </w:pPr>
            <w:r>
              <w:t>- Apple has moved past this stage for all its primary segments.</w:t>
            </w:r>
          </w:p>
        </w:tc>
        <w:tc>
          <w:tcPr>
            <w:shd w:val="clear" w:color="auto" w:fill="D9E2F3"/>
          </w:tcPr>
          <w:p>
            <w:pPr>
              <w:spacing w:before="480" w:after="480" w:line="360" w:lineRule="auto"/>
            </w:pPr>
            <w:r>
              <w:t>- Not applicable as Apple's main products aren't in this stage.</w:t>
            </w:r>
          </w:p>
        </w:tc>
      </w:tr>
      <w:tr>
        <w:tc>
          <w:tcPr/>
          <w:p>
            <w:pPr>
              <w:spacing w:before="480" w:after="480" w:line="360" w:lineRule="auto"/>
            </w:pPr>
            <w:r>
              <w:rPr>
                <w:bdr w:val="single" w:sz="2" w:space="0" w:color="D9D9E3"/>
              </w:rPr>
              <w:t>Growth</w:t>
            </w:r>
          </w:p>
        </w:tc>
        <w:tc>
          <w:tcPr/>
          <w:p>
            <w:pPr>
              <w:spacing w:before="480" w:after="480" w:line="360" w:lineRule="auto"/>
            </w:pPr>
            <w:r>
              <w:t>- Apple Watch and services like Apple TV+ could be in this phase.</w:t>
            </w:r>
          </w:p>
        </w:tc>
        <w:tc>
          <w:tcPr/>
          <w:p>
            <w:pPr>
              <w:spacing w:before="480" w:after="480" w:line="360" w:lineRule="auto"/>
            </w:pPr>
            <w:r>
              <w:t>- Potential delays in technological advancements due to component shortages. &lt;br&gt; - Risk of losing momentum in growing product segments.</w:t>
            </w:r>
          </w:p>
        </w:tc>
      </w:tr>
      <w:tr>
        <w:tc>
          <w:tcPr>
            <w:shd w:val="clear" w:color="auto" w:fill="D9E2F3"/>
          </w:tcPr>
          <w:p>
            <w:pPr>
              <w:spacing w:before="480" w:after="480" w:line="360" w:lineRule="auto"/>
            </w:pPr>
            <w:r>
              <w:rPr>
                <w:bdr w:val="single" w:sz="2" w:space="0" w:color="D9D9E3"/>
              </w:rPr>
              <w:t>Maturity</w:t>
            </w:r>
          </w:p>
        </w:tc>
        <w:tc>
          <w:tcPr>
            <w:shd w:val="clear" w:color="auto" w:fill="D9E2F3"/>
          </w:tcPr>
          <w:p>
            <w:pPr>
              <w:spacing w:before="480" w:after="480" w:line="360" w:lineRule="auto"/>
            </w:pPr>
            <w:r>
              <w:t>- iPhone, iPad, and Mac are in this phase. &lt;br&gt; - Apple continues to innovate within these segments.</w:t>
            </w:r>
          </w:p>
        </w:tc>
        <w:tc>
          <w:tcPr>
            <w:shd w:val="clear" w:color="auto" w:fill="D9E2F3"/>
          </w:tcPr>
          <w:p>
            <w:pPr>
              <w:spacing w:before="480" w:after="480" w:line="360" w:lineRule="auto"/>
            </w:pPr>
            <w:r>
              <w:t>- Delays in rejuvenating mature products could hinder differentiation. &lt;br&gt; - Risk of stagnation and loss of market share if competitors navigate the shortage more effectively.</w:t>
            </w:r>
          </w:p>
        </w:tc>
      </w:tr>
      <w:tr>
        <w:tc>
          <w:tcPr/>
          <w:p>
            <w:pPr>
              <w:spacing w:before="480" w:after="480" w:line="360" w:lineRule="auto"/>
            </w:pPr>
            <w:r>
              <w:rPr>
                <w:bdr w:val="single" w:sz="2" w:space="0" w:color="D9D9E3"/>
              </w:rPr>
              <w:t>Decline</w:t>
            </w:r>
          </w:p>
        </w:tc>
        <w:tc>
          <w:tcPr/>
          <w:p>
            <w:pPr>
              <w:spacing w:before="480" w:after="480" w:line="360" w:lineRule="auto"/>
            </w:pPr>
            <w:r>
              <w:t>- Apple currently doesn't have any major product segment in this stage.</w:t>
            </w:r>
          </w:p>
        </w:tc>
        <w:tc>
          <w:tcPr/>
          <w:p>
            <w:pPr>
              <w:spacing w:before="480" w:after="480" w:line="360" w:lineRule="auto"/>
            </w:pPr>
            <w:r>
              <w:t>- Not applicable as Apple's main products aren't in this stage. &lt;br&gt; - Continuous innovation keeps Apple products from entering this phase.</w:t>
            </w:r>
          </w:p>
        </w:tc>
      </w:tr>
      <w:tr>
        <w:tc>
          <w:tcPr>
            <w:shd w:val="clear" w:color="auto" w:fill="D9E2F3"/>
          </w:tcPr>
          <w:p>
            <w:pPr>
              <w:spacing w:before="480" w:after="480" w:line="360" w:lineRule="auto"/>
            </w:pPr>
            <w:r>
              <w:rPr>
                <w:bdr w:val="single" w:sz="2" w:space="0" w:color="D9D9E3"/>
              </w:rPr>
              <w:t>General Influence</w:t>
            </w:r>
          </w:p>
        </w:tc>
        <w:tc>
          <w:tcPr>
            <w:shd w:val="clear" w:color="auto" w:fill="D9E2F3"/>
          </w:tcPr>
          <w:p>
            <w:pPr>
              <w:spacing w:before="480" w:after="480" w:line="360" w:lineRule="auto"/>
            </w:pPr>
            <w:r>
              <w:t>- Apple maintains established relationships with suppliers.</w:t>
            </w:r>
          </w:p>
        </w:tc>
        <w:tc>
          <w:tcPr>
            <w:shd w:val="clear" w:color="auto" w:fill="D9E2F3"/>
          </w:tcPr>
          <w:p>
            <w:pPr>
              <w:spacing w:before="480" w:after="480" w:line="360" w:lineRule="auto"/>
            </w:pPr>
            <w:r>
              <w:t>- Creates higher entry barriers for new competitors. &lt;br&gt; - Apple's established relationships with suppliers may provide an advantage in securing components.</w:t>
            </w:r>
          </w:p>
        </w:tc>
      </w:tr>
    </w:tbl>
    <w:p>
      <w:pPr>
        <w:rPr>
          <w:color w:val="000000"/>
        </w:rPr>
      </w:pPr>
    </w:p>
    <w:p>
      <w:pPr>
        <w:rPr>
          <w:color w:val="000000"/>
        </w:rPr>
      </w:pPr>
    </w:p>
    <w:p>
      <w:pPr>
        <w:rPr>
          <w:color w:val="000000"/>
        </w:rPr>
      </w:pPr>
      <w:r>
        <w:rPr>
          <w:color w:val="000000"/>
        </w:rPr>
        <w:t>In conclusion, while Apple operates primarily in the maturity phase for its flagship products, the semiconductor shortage poses challenges that could affect its standing and growth in the industry. Apple’s ability to navigate this challenge can influence its position within the industry’s life cycle, either reinforcing its leadership or placing it at risk of stagnation.</w:t>
      </w:r>
    </w:p>
    <w:p>
      <w:pPr>
        <w:rPr>
          <w:color w:val="000000"/>
        </w:rPr>
      </w:pPr>
    </w:p>
    <w:p>
      <w:pPr>
        <w:pStyle w:val="7"/>
      </w:pPr>
      <w:r>
        <w:t>Porter’s Industry Five Forces Analysis</w:t>
      </w:r>
    </w:p>
    <w:p>
      <w:pPr>
        <w:rPr>
          <w:color w:val="000000"/>
        </w:rPr>
      </w:pPr>
      <w:r>
        <w:rPr>
          <w:color w:val="000000"/>
        </w:rPr>
        <w:t>Using Porter’s Five Forces Analysis, based on the provided case study:</w:t>
      </w:r>
    </w:p>
    <w:p>
      <w:pPr>
        <w:pStyle w:val="19"/>
        <w:numPr>
          <w:ilvl w:val="0"/>
          <w:numId w:val="1"/>
        </w:numPr>
        <w:rPr>
          <w:color w:val="000000"/>
        </w:rPr>
      </w:pPr>
      <w:r>
        <w:rPr>
          <w:b/>
          <w:bCs/>
          <w:color w:val="000000"/>
        </w:rPr>
        <w:t>Threat of New Entrants:</w:t>
      </w:r>
      <w:r>
        <w:rPr>
          <w:color w:val="000000"/>
        </w:rPr>
        <w:t xml:space="preserve"> Given Apple’s established brand and high capital requirements in the tech industry, the threat of new entrants is relatively low. </w:t>
      </w:r>
    </w:p>
    <w:p>
      <w:pPr>
        <w:pStyle w:val="19"/>
        <w:numPr>
          <w:ilvl w:val="0"/>
          <w:numId w:val="1"/>
        </w:numPr>
        <w:rPr>
          <w:color w:val="000000"/>
        </w:rPr>
      </w:pPr>
      <w:r>
        <w:rPr>
          <w:b/>
          <w:bCs/>
          <w:color w:val="000000"/>
        </w:rPr>
        <w:t>Bargaining Power of Suppliers:</w:t>
      </w:r>
      <w:r>
        <w:rPr>
          <w:color w:val="000000"/>
        </w:rPr>
        <w:t xml:space="preserve"> The semiconductor shortage has elevated the power of chip suppliers, causing potential disruptions in Apple’s supply chain.</w:t>
      </w:r>
    </w:p>
    <w:p>
      <w:pPr>
        <w:pStyle w:val="19"/>
        <w:numPr>
          <w:ilvl w:val="0"/>
          <w:numId w:val="1"/>
        </w:numPr>
        <w:rPr>
          <w:color w:val="000000"/>
        </w:rPr>
      </w:pPr>
      <w:r>
        <w:rPr>
          <w:b/>
          <w:bCs/>
          <w:color w:val="000000"/>
        </w:rPr>
        <w:t>Bargaining Power of Buyers:</w:t>
      </w:r>
      <w:r>
        <w:rPr>
          <w:color w:val="000000"/>
        </w:rPr>
        <w:t xml:space="preserve"> With Apple’s strong brand loyalty and unique product ecosystem, the bargaining power of buyers is moderate. However, delays might push some consumers to consider alternatives.</w:t>
      </w:r>
    </w:p>
    <w:p>
      <w:pPr>
        <w:pStyle w:val="19"/>
        <w:numPr>
          <w:ilvl w:val="0"/>
          <w:numId w:val="1"/>
        </w:numPr>
        <w:rPr>
          <w:color w:val="000000"/>
        </w:rPr>
      </w:pPr>
      <w:r>
        <w:rPr>
          <w:b/>
          <w:bCs/>
          <w:color w:val="000000"/>
        </w:rPr>
        <w:t>Threat of Substitute Products:</w:t>
      </w:r>
      <w:r>
        <w:rPr>
          <w:color w:val="000000"/>
        </w:rPr>
        <w:t xml:space="preserve"> There are alternative products, but Apple’s integration of hardware, software, and services makes it distinct. Still, supply issues could make substitutes more appealing.</w:t>
      </w:r>
    </w:p>
    <w:p>
      <w:pPr>
        <w:pStyle w:val="19"/>
        <w:numPr>
          <w:ilvl w:val="0"/>
          <w:numId w:val="1"/>
        </w:numPr>
        <w:rPr>
          <w:color w:val="000000"/>
        </w:rPr>
      </w:pPr>
      <w:r>
        <w:rPr>
          <w:b/>
          <w:bCs/>
          <w:color w:val="000000"/>
        </w:rPr>
        <w:t xml:space="preserve">Rivalry Among Existing Competitors: </w:t>
      </w:r>
      <w:r>
        <w:rPr>
          <w:color w:val="000000"/>
        </w:rPr>
        <w:t>The tech industry is fiercely competitive, with giants like Samsung and Google. Any supply chain disruption for Apple could be an advantage for these rivals.</w:t>
      </w:r>
    </w:p>
    <w:p>
      <w:pPr>
        <w:rPr>
          <w:color w:val="000000"/>
        </w:rPr>
      </w:pPr>
      <w:r>
        <w:rPr>
          <w:color w:val="000000"/>
        </w:rPr>
        <w:t>In essence, while Apple holds a formidable position in the market, the semiconductor shortage potentially amplifies certain industry forces against it.</w:t>
      </w:r>
    </w:p>
    <w:p>
      <w:pPr>
        <w:rPr>
          <w:color w:val="000000"/>
        </w:rPr>
      </w:pPr>
    </w:p>
    <w:p>
      <w:pPr>
        <w:pStyle w:val="24"/>
        <w:rPr>
          <w:b/>
          <w:bCs/>
        </w:rPr>
      </w:pPr>
      <w:bookmarkStart w:id="19" w:name="_tyjcwt"/>
      <w:bookmarkStart w:id="20" w:name="_Toc144278325"/>
      <w:bookmarkEnd w:id="19"/>
      <w:r>
        <w:rPr>
          <w:b/>
          <w:bCs/>
        </w:rPr>
        <w:t>7.0 Stakeholder Analysis</w:t>
      </w:r>
      <w:bookmarkEnd w:id="20"/>
    </w:p>
    <w:p>
      <w:pPr>
        <w:rPr>
          <w:color w:val="000000"/>
        </w:rPr>
      </w:pPr>
      <w:r>
        <w:rPr>
          <w:color w:val="000000"/>
        </w:rPr>
        <w:t>Apple's proficiency in stakeholder understanding has historically underpinned the preservation of its operational and manufacturing frameworks. In light of the semiconductor challenge that Apple Inc. faces, several critical stakeholders emerge as notably affected. Manufacturing collaborators, including the likes of Foxconn, play pivotal roles in crafting Apple devices, and the semiconductor crunch may compel them to recalibrate their production timelines, potentially unsettling their established schedules (Oláh et al., 2020). Concurrently, shareholders and investors, intrinsically linked to Apple's fiscal health, might find themselves navigating the turbulence caused by this semiconductor hiccup, which could sway Apple's revenues, profits, and share value, thus influencing their financial commitments. Direct end-users, the customers, remain at the forefront of this challenge, potentially grappling with prolonged waiting periods or difficulties in procuring their preferred Apple gadgets. From a supply standpoint, semiconductor providers, integral to the device assembly, could be strained to meet the surging demand, introducing disruptions in Apple's supply trajectory and potentially triggering production postponements (Ghadge et al., 2020). Indirectly, competitors within the tech realm, such as Samsung, Google, and Microsoft, might also feel the ripples of this semiconductor conundrum. In essence, the semiconductor predicament intertwines a myriad of internal and external stakeholders, casting diverse implications across the board.</w:t>
      </w:r>
    </w:p>
    <w:p>
      <w:pPr>
        <w:jc w:val="center"/>
        <w:rPr>
          <w:b/>
          <w:bCs/>
          <w:color w:val="000000"/>
        </w:rPr>
      </w:pPr>
      <w:r>
        <w:rPr>
          <w:b/>
          <w:bCs/>
          <w:color w:val="000000"/>
        </w:rPr>
        <w:t>Table 3: Stakeholder Power Grid</w:t>
      </w:r>
    </w:p>
    <w:p>
      <w:pPr>
        <w:rPr>
          <w:color w:val="000000"/>
        </w:rPr>
      </w:pPr>
    </w:p>
    <w:tbl>
      <w:tblPr>
        <w:jc w:val="left"/>
        <w:tblInd w:w="0" w:type="dxa"/>
        <w:tblW w:w="906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top w:w="0" w:type="dxa"/>
          <w:left w:w="0" w:type="dxa"/>
          <w:bottom w:w="0" w:type="dxa"/>
          <w:right w:w="0" w:type="dxa"/>
        </w:tblCellMar>
      </w:tblPr>
      <w:tblGrid>
        <w:gridCol w:w="1155"/>
        <w:gridCol w:w="3240"/>
        <w:gridCol w:w="1155"/>
        <w:gridCol w:w="3300"/>
        <w:gridCol w:w="215"/>
      </w:tblGrid>
      <w:tr>
        <w:trPr>
          <w:trHeight w:val="680"/>
        </w:trPr>
        <w:tc>
          <w:tcPr>
            <w:tcW w:w="1155" w:type="dxa"/>
            <w:shd w:val="clear" w:color="auto" w:fill="FFF2CC"/>
          </w:tcPr>
          <w:p>
            <w:pPr>
              <w:rPr>
                <w:color w:val="000000"/>
              </w:rPr>
            </w:pPr>
            <w:r>
              <w:rPr>
                <w:color w:val="000000"/>
              </w:rPr>
              <w:t xml:space="preserve"> </w:t>
            </w:r>
          </w:p>
        </w:tc>
        <w:tc>
          <w:tcPr>
            <w:tcW w:w="3240" w:type="dxa"/>
            <w:shd w:val="clear" w:color="auto" w:fill="FFF2CC"/>
          </w:tcPr>
          <w:p>
            <w:pPr>
              <w:rPr>
                <w:color w:val="000000"/>
              </w:rPr>
            </w:pPr>
            <w:r>
              <w:rPr>
                <w:color w:val="000000"/>
              </w:rPr>
              <w:t>High Power</w:t>
            </w:r>
          </w:p>
        </w:tc>
        <w:tc>
          <w:tcPr>
            <w:tcW w:w="1155" w:type="dxa"/>
            <w:shd w:val="clear" w:color="auto" w:fill="FFF2CC"/>
          </w:tcPr>
          <w:p>
            <w:pPr>
              <w:rPr>
                <w:color w:val="000000"/>
              </w:rPr>
            </w:pPr>
            <w:r>
              <w:rPr>
                <w:color w:val="000000"/>
              </w:rPr>
              <w:t xml:space="preserve"> </w:t>
            </w:r>
          </w:p>
        </w:tc>
        <w:tc>
          <w:tcPr>
            <w:tcW w:w="3300" w:type="dxa"/>
            <w:shd w:val="clear" w:color="auto" w:fill="FFF2CC"/>
          </w:tcPr>
          <w:p>
            <w:pPr>
              <w:rPr>
                <w:color w:val="000000"/>
              </w:rPr>
            </w:pPr>
            <w:r>
              <w:rPr>
                <w:color w:val="000000"/>
              </w:rPr>
              <w:t>High Power</w:t>
            </w:r>
          </w:p>
        </w:tc>
        <w:tc>
          <w:tcPr>
            <w:tcW w:w="215" w:type="dxa"/>
            <w:shd w:val="clear" w:color="auto" w:fill="FFF2CC"/>
          </w:tcPr>
          <w:p>
            <w:pPr>
              <w:rPr>
                <w:color w:val="000000"/>
              </w:rPr>
            </w:pPr>
          </w:p>
        </w:tc>
      </w:tr>
      <w:tr>
        <w:trPr>
          <w:trHeight w:val="965"/>
        </w:trPr>
        <w:tc>
          <w:tcPr>
            <w:tcW w:w="1155" w:type="dxa"/>
            <w:vMerge w:val="restart"/>
            <w:shd w:val="clear" w:color="auto" w:fill="FFF2CC"/>
            <w:textDirection w:val="btLr"/>
          </w:tcPr>
          <w:p>
            <w:pPr>
              <w:ind w:left="120" w:right="120"/>
              <w:rPr>
                <w:color w:val="000000"/>
              </w:rPr>
            </w:pPr>
            <w:r>
              <w:rPr>
                <w:color w:val="000000"/>
              </w:rPr>
              <w:t>Low Interest</w:t>
            </w:r>
          </w:p>
        </w:tc>
        <w:tc>
          <w:tcPr>
            <w:tcW w:w="3240" w:type="dxa"/>
            <w:vMerge w:val="restart"/>
            <w:shd w:val="clear" w:color="auto" w:fill="FFF2CC"/>
          </w:tcPr>
          <w:p>
            <w:pPr>
              <w:numPr>
                <w:ilvl w:val="0"/>
                <w:numId w:val="2"/>
              </w:numPr>
              <w:jc w:val="left"/>
              <w:rPr>
                <w:rFonts w:ascii="Arial" w:eastAsia="Arial" w:cs="Arial" w:hAnsi="Arial"/>
                <w:color w:val="000000"/>
                <w:sz w:val="22"/>
                <w:szCs w:val="22"/>
              </w:rPr>
            </w:pPr>
            <w:r>
              <w:rPr>
                <w:color w:val="000000"/>
              </w:rPr>
              <w:t>Overseas contract labours</w:t>
            </w:r>
          </w:p>
          <w:p>
            <w:pPr>
              <w:numPr>
                <w:ilvl w:val="0"/>
                <w:numId w:val="2"/>
              </w:numPr>
              <w:jc w:val="left"/>
              <w:rPr>
                <w:color w:val="000000"/>
              </w:rPr>
            </w:pPr>
            <w:r>
              <w:rPr>
                <w:color w:val="000000"/>
              </w:rPr>
              <w:t xml:space="preserve"> US government</w:t>
            </w:r>
          </w:p>
          <w:p>
            <w:pPr>
              <w:numPr>
                <w:ilvl w:val="0"/>
                <w:numId w:val="2"/>
              </w:numPr>
              <w:spacing w:after="240"/>
              <w:jc w:val="left"/>
              <w:rPr>
                <w:color w:val="000000"/>
              </w:rPr>
            </w:pPr>
            <w:r>
              <w:rPr>
                <w:color w:val="000000"/>
              </w:rPr>
              <w:t xml:space="preserve"> Overseas government</w:t>
            </w:r>
          </w:p>
        </w:tc>
        <w:tc>
          <w:tcPr>
            <w:tcW w:w="1155" w:type="dxa"/>
            <w:vMerge w:val="restart"/>
            <w:shd w:val="clear" w:color="auto" w:fill="FFF2CC"/>
            <w:textDirection w:val="btLr"/>
          </w:tcPr>
          <w:p>
            <w:pPr>
              <w:ind w:left="120" w:right="120"/>
              <w:rPr>
                <w:color w:val="000000"/>
              </w:rPr>
            </w:pPr>
            <w:r>
              <w:rPr>
                <w:color w:val="000000"/>
              </w:rPr>
              <w:t>High Interest</w:t>
            </w:r>
          </w:p>
        </w:tc>
        <w:tc>
          <w:tcPr>
            <w:tcW w:w="3300" w:type="dxa"/>
            <w:vMerge w:val="restart"/>
            <w:shd w:val="clear" w:color="auto" w:fill="FFF2CC"/>
          </w:tcPr>
          <w:p>
            <w:pPr>
              <w:numPr>
                <w:ilvl w:val="0"/>
                <w:numId w:val="3"/>
              </w:numPr>
              <w:jc w:val="left"/>
              <w:rPr>
                <w:rFonts w:ascii="Arial" w:eastAsia="Arial" w:cs="Arial" w:hAnsi="Arial"/>
                <w:color w:val="000000"/>
                <w:sz w:val="22"/>
                <w:szCs w:val="22"/>
              </w:rPr>
            </w:pPr>
            <w:r>
              <w:rPr>
                <w:color w:val="000000"/>
              </w:rPr>
              <w:t>Owners</w:t>
            </w:r>
          </w:p>
          <w:p>
            <w:pPr>
              <w:numPr>
                <w:ilvl w:val="0"/>
                <w:numId w:val="3"/>
              </w:numPr>
              <w:jc w:val="left"/>
              <w:rPr>
                <w:color w:val="000000"/>
              </w:rPr>
            </w:pPr>
            <w:r>
              <w:rPr>
                <w:color w:val="000000"/>
              </w:rPr>
              <w:t>Investors</w:t>
            </w:r>
          </w:p>
          <w:p>
            <w:pPr>
              <w:numPr>
                <w:ilvl w:val="0"/>
                <w:numId w:val="3"/>
              </w:numPr>
              <w:spacing w:after="240"/>
              <w:jc w:val="left"/>
              <w:rPr>
                <w:color w:val="000000"/>
              </w:rPr>
            </w:pPr>
            <w:r>
              <w:rPr>
                <w:color w:val="000000"/>
              </w:rPr>
              <w:t xml:space="preserve">Media </w:t>
            </w:r>
          </w:p>
        </w:tc>
        <w:tc>
          <w:tcPr>
            <w:tcW w:w="215" w:type="dxa"/>
            <w:shd w:val="clear" w:color="auto" w:fill="FFF2CC"/>
          </w:tcPr>
          <w:p>
            <w:pPr>
              <w:rPr>
                <w:color w:val="000000"/>
              </w:rPr>
            </w:pPr>
          </w:p>
        </w:tc>
      </w:tr>
      <w:tr>
        <w:trPr>
          <w:trHeight w:val="965"/>
        </w:trPr>
        <w:tc>
          <w:tcPr>
            <w:tcW w:w="1155" w:type="dxa"/>
            <w:vMerge/>
            <w:shd w:val="clear" w:color="auto" w:fill="FFF2CC"/>
          </w:tcPr>
          <w:p/>
        </w:tc>
        <w:tc>
          <w:tcPr>
            <w:tcW w:w="3240" w:type="dxa"/>
            <w:vMerge/>
            <w:shd w:val="clear" w:color="auto" w:fill="FFF2CC"/>
          </w:tcPr>
          <w:p/>
        </w:tc>
        <w:tc>
          <w:tcPr>
            <w:tcW w:w="1155" w:type="dxa"/>
            <w:vMerge/>
            <w:shd w:val="clear" w:color="auto" w:fill="FFF2CC"/>
          </w:tcPr>
          <w:p/>
        </w:tc>
        <w:tc>
          <w:tcPr>
            <w:tcW w:w="3300" w:type="dxa"/>
            <w:vMerge/>
            <w:shd w:val="clear" w:color="auto" w:fill="FFF2CC"/>
          </w:tcPr>
          <w:p/>
        </w:tc>
        <w:tc>
          <w:tcPr>
            <w:tcW w:w="215" w:type="dxa"/>
            <w:shd w:val="clear" w:color="auto" w:fill="FFF2CC"/>
          </w:tcPr>
          <w:p>
            <w:pPr>
              <w:widowControl w:val="0"/>
              <w:pBdr>
                <w:top w:val="none" w:sz="0" w:space="0" w:color="auto"/>
                <w:left w:val="none" w:sz="0" w:space="0" w:color="auto"/>
                <w:bottom w:val="none" w:sz="0" w:space="0" w:color="auto"/>
                <w:right w:val="none" w:sz="0" w:space="0" w:color="auto"/>
                <w:between w:val="none" w:sz="0" w:space="0" w:color="auto"/>
              </w:pBdr>
              <w:spacing w:line="276" w:lineRule="auto"/>
              <w:jc w:val="left"/>
              <w:rPr>
                <w:color w:val="000000"/>
              </w:rPr>
            </w:pPr>
          </w:p>
        </w:tc>
      </w:tr>
      <w:tr>
        <w:trPr>
          <w:trHeight w:val="680"/>
        </w:trPr>
        <w:tc>
          <w:tcPr>
            <w:tcW w:w="1155" w:type="dxa"/>
            <w:shd w:val="clear" w:color="auto" w:fill="FFF2CC"/>
          </w:tcPr>
          <w:p>
            <w:pPr>
              <w:rPr>
                <w:color w:val="000000"/>
              </w:rPr>
            </w:pPr>
            <w:r>
              <w:rPr>
                <w:color w:val="000000"/>
              </w:rPr>
              <w:t xml:space="preserve"> </w:t>
            </w:r>
          </w:p>
        </w:tc>
        <w:tc>
          <w:tcPr>
            <w:tcW w:w="3240" w:type="dxa"/>
            <w:shd w:val="clear" w:color="auto" w:fill="FFF2CC"/>
          </w:tcPr>
          <w:p>
            <w:pPr>
              <w:rPr>
                <w:color w:val="000000"/>
              </w:rPr>
            </w:pPr>
            <w:r>
              <w:rPr>
                <w:color w:val="000000"/>
              </w:rPr>
              <w:t>Low Power</w:t>
            </w:r>
          </w:p>
        </w:tc>
        <w:tc>
          <w:tcPr>
            <w:tcW w:w="1155" w:type="dxa"/>
            <w:shd w:val="clear" w:color="auto" w:fill="FFF2CC"/>
          </w:tcPr>
          <w:p>
            <w:pPr>
              <w:rPr>
                <w:color w:val="000000"/>
              </w:rPr>
            </w:pPr>
            <w:r>
              <w:rPr>
                <w:color w:val="000000"/>
              </w:rPr>
              <w:t xml:space="preserve"> </w:t>
            </w:r>
          </w:p>
        </w:tc>
        <w:tc>
          <w:tcPr>
            <w:tcW w:w="3300" w:type="dxa"/>
            <w:shd w:val="clear" w:color="auto" w:fill="FFF2CC"/>
          </w:tcPr>
          <w:p>
            <w:pPr>
              <w:rPr>
                <w:color w:val="000000"/>
              </w:rPr>
            </w:pPr>
            <w:r>
              <w:rPr>
                <w:color w:val="000000"/>
              </w:rPr>
              <w:t>Low Power</w:t>
            </w:r>
          </w:p>
        </w:tc>
        <w:tc>
          <w:tcPr>
            <w:tcW w:w="215" w:type="dxa"/>
            <w:shd w:val="clear" w:color="auto" w:fill="FFF2CC"/>
          </w:tcPr>
          <w:p>
            <w:pPr>
              <w:rPr>
                <w:color w:val="000000"/>
              </w:rPr>
            </w:pPr>
          </w:p>
        </w:tc>
      </w:tr>
      <w:tr>
        <w:trPr>
          <w:trHeight w:val="965"/>
        </w:trPr>
        <w:tc>
          <w:tcPr>
            <w:tcW w:w="1155" w:type="dxa"/>
            <w:vMerge w:val="restart"/>
            <w:shd w:val="clear" w:color="auto" w:fill="FFF2CC"/>
            <w:textDirection w:val="btLr"/>
          </w:tcPr>
          <w:p>
            <w:pPr>
              <w:ind w:left="120" w:right="120"/>
              <w:rPr>
                <w:color w:val="000000"/>
              </w:rPr>
            </w:pPr>
            <w:r>
              <w:rPr>
                <w:color w:val="000000"/>
              </w:rPr>
              <w:t>Low Interest</w:t>
            </w:r>
          </w:p>
        </w:tc>
        <w:tc>
          <w:tcPr>
            <w:tcW w:w="3240" w:type="dxa"/>
            <w:vMerge w:val="restart"/>
            <w:shd w:val="clear" w:color="auto" w:fill="FFF2CC"/>
          </w:tcPr>
          <w:p>
            <w:pPr>
              <w:numPr>
                <w:ilvl w:val="0"/>
                <w:numId w:val="4"/>
              </w:numPr>
              <w:jc w:val="left"/>
              <w:rPr>
                <w:rFonts w:ascii="Arial" w:eastAsia="Arial" w:cs="Arial" w:hAnsi="Arial"/>
                <w:color w:val="000000"/>
                <w:sz w:val="22"/>
                <w:szCs w:val="22"/>
              </w:rPr>
            </w:pPr>
            <w:r>
              <w:rPr>
                <w:color w:val="000000"/>
              </w:rPr>
              <w:t>Competitors</w:t>
            </w:r>
          </w:p>
          <w:p>
            <w:pPr>
              <w:numPr>
                <w:ilvl w:val="0"/>
                <w:numId w:val="4"/>
              </w:numPr>
              <w:spacing w:after="240"/>
              <w:jc w:val="left"/>
              <w:rPr>
                <w:color w:val="000000"/>
              </w:rPr>
            </w:pPr>
            <w:r>
              <w:rPr>
                <w:color w:val="000000"/>
              </w:rPr>
              <w:t>Suppliers</w:t>
            </w:r>
          </w:p>
        </w:tc>
        <w:tc>
          <w:tcPr>
            <w:tcW w:w="1155" w:type="dxa"/>
            <w:vMerge w:val="restart"/>
            <w:shd w:val="clear" w:color="auto" w:fill="FFF2CC"/>
            <w:textDirection w:val="btLr"/>
          </w:tcPr>
          <w:p>
            <w:pPr>
              <w:ind w:left="120" w:right="120"/>
              <w:rPr>
                <w:color w:val="000000"/>
              </w:rPr>
            </w:pPr>
            <w:r>
              <w:rPr>
                <w:color w:val="000000"/>
              </w:rPr>
              <w:t>High Interest</w:t>
            </w:r>
          </w:p>
        </w:tc>
        <w:tc>
          <w:tcPr>
            <w:tcW w:w="3300" w:type="dxa"/>
            <w:vMerge w:val="restart"/>
            <w:shd w:val="clear" w:color="auto" w:fill="FFF2CC"/>
          </w:tcPr>
          <w:p>
            <w:pPr>
              <w:numPr>
                <w:ilvl w:val="0"/>
                <w:numId w:val="5"/>
              </w:numPr>
              <w:jc w:val="left"/>
              <w:rPr>
                <w:rFonts w:ascii="Arial" w:eastAsia="Arial" w:cs="Arial" w:hAnsi="Arial"/>
                <w:color w:val="000000"/>
                <w:sz w:val="22"/>
                <w:szCs w:val="22"/>
              </w:rPr>
            </w:pPr>
            <w:r>
              <w:rPr>
                <w:color w:val="000000"/>
              </w:rPr>
              <w:t>Employees</w:t>
            </w:r>
          </w:p>
          <w:p>
            <w:pPr>
              <w:numPr>
                <w:ilvl w:val="0"/>
                <w:numId w:val="5"/>
              </w:numPr>
              <w:jc w:val="left"/>
              <w:rPr>
                <w:color w:val="000000"/>
              </w:rPr>
            </w:pPr>
            <w:r>
              <w:rPr>
                <w:color w:val="000000"/>
              </w:rPr>
              <w:t>Workers</w:t>
            </w:r>
          </w:p>
          <w:p>
            <w:pPr>
              <w:numPr>
                <w:ilvl w:val="0"/>
                <w:numId w:val="5"/>
              </w:numPr>
              <w:spacing w:after="240"/>
              <w:jc w:val="left"/>
              <w:rPr>
                <w:color w:val="000000"/>
              </w:rPr>
            </w:pPr>
            <w:r>
              <w:rPr>
                <w:color w:val="000000"/>
              </w:rPr>
              <w:t>Stockholders</w:t>
            </w:r>
          </w:p>
        </w:tc>
        <w:tc>
          <w:tcPr>
            <w:tcW w:w="215" w:type="dxa"/>
            <w:shd w:val="clear" w:color="auto" w:fill="FFF2CC"/>
          </w:tcPr>
          <w:p>
            <w:pPr>
              <w:rPr>
                <w:color w:val="000000"/>
              </w:rPr>
            </w:pPr>
          </w:p>
        </w:tc>
      </w:tr>
      <w:tr>
        <w:trPr>
          <w:trHeight w:val="965"/>
        </w:trPr>
        <w:tc>
          <w:tcPr>
            <w:tcW w:w="1155" w:type="dxa"/>
            <w:vMerge/>
            <w:shd w:val="clear" w:color="auto" w:fill="FFF2CC"/>
          </w:tcPr>
          <w:p/>
        </w:tc>
        <w:tc>
          <w:tcPr>
            <w:tcW w:w="3240" w:type="dxa"/>
            <w:vMerge/>
            <w:shd w:val="clear" w:color="auto" w:fill="FFF2CC"/>
          </w:tcPr>
          <w:p/>
        </w:tc>
        <w:tc>
          <w:tcPr>
            <w:tcW w:w="1155" w:type="dxa"/>
            <w:vMerge/>
            <w:shd w:val="clear" w:color="auto" w:fill="FFF2CC"/>
          </w:tcPr>
          <w:p/>
        </w:tc>
        <w:tc>
          <w:tcPr>
            <w:tcW w:w="3300" w:type="dxa"/>
            <w:vMerge/>
            <w:shd w:val="clear" w:color="auto" w:fill="FFF2CC"/>
          </w:tcPr>
          <w:p/>
        </w:tc>
        <w:tc>
          <w:tcPr>
            <w:tcW w:w="215" w:type="dxa"/>
            <w:shd w:val="clear" w:color="auto" w:fill="FFF2CC"/>
          </w:tcPr>
          <w:p>
            <w:pPr>
              <w:widowControl w:val="0"/>
              <w:pBdr>
                <w:top w:val="none" w:sz="0" w:space="0" w:color="auto"/>
                <w:left w:val="none" w:sz="0" w:space="0" w:color="auto"/>
                <w:bottom w:val="none" w:sz="0" w:space="0" w:color="auto"/>
                <w:right w:val="none" w:sz="0" w:space="0" w:color="auto"/>
                <w:between w:val="none" w:sz="0" w:space="0" w:color="auto"/>
              </w:pBdr>
              <w:spacing w:line="276" w:lineRule="auto"/>
              <w:jc w:val="left"/>
              <w:rPr>
                <w:color w:val="000000"/>
              </w:rPr>
            </w:pPr>
          </w:p>
        </w:tc>
      </w:tr>
    </w:tbl>
    <w:p>
      <w:pPr>
        <w:rPr>
          <w:color w:val="000000"/>
        </w:rPr>
      </w:pPr>
    </w:p>
    <w:p>
      <w:pPr>
        <w:rPr>
          <w:bCs/>
          <w:iCs/>
          <w:color w:val="000000"/>
        </w:rPr>
      </w:pPr>
      <w:r>
        <w:rPr>
          <w:bCs/>
          <w:iCs/>
          <w:color w:val="000000"/>
        </w:rPr>
        <w:t>Apple's semiconductor challenge has repercussions that reverberate across a spectrum of internal and external stakeholders. Internally, top-tier executives and management are plunged into the crucible of strategic decision-making, tasked with resource allocation and production prioritization. The R&amp;D teams, meanwhile, grapple with exploring alternate semiconductor avenues and potential product redesigns, striving to keep Apple's edge intact (Faulhaber, 2019). On the ground, employees, especially those intertwined with supply chain management and product development, are recalibrating workflows to navigate the semiconductor drought (Xu et al., 2020). Externally, manufacturing allies like Foxconn face the ripple effects, potentially juggling production schedules and financial outcomes. Shareholders and investors might confront fluctuations in Apple's financial landscape, thereby affecting stock valuations and dividends (Litvinenko, 2020). From the consumer standpoint, the prospect of elevated pricing, product scarcities, or launch postponements looms, potentially swaying their allegiance towards more accessible rival products. Competitors in the tech domain, on the other hand, find themselves in this shared quandary, with the semiconductor deficit either opening up avenues or posing roadblocks (Suddaby et al., 2020). In essence, the stakeholder impact is multifaceted, from consumers grappling with product delays to investors monitoring stock dynamics (Abubakr et al., 2020). Apple's adeptness in managing this predicament, coupled with transparent stakeholder communication, becomes paramount in cushioning the blow and preserving stakeholder trust.</w:t>
      </w:r>
    </w:p>
    <w:p>
      <w:pPr>
        <w:rPr>
          <w:bCs/>
          <w:iCs/>
          <w:color w:val="000000"/>
        </w:rPr>
      </w:pPr>
    </w:p>
    <w:p>
      <w:pPr>
        <w:pStyle w:val="24"/>
      </w:pPr>
      <w:bookmarkStart w:id="21" w:name="_3dy6vkm"/>
      <w:bookmarkStart w:id="22" w:name="_Toc144278326"/>
      <w:bookmarkEnd w:id="21"/>
      <w:r>
        <w:t>8.0 Evaluate with Existing Literature</w:t>
      </w:r>
      <w:bookmarkEnd w:id="22"/>
      <w:r>
        <w:t xml:space="preserve"> </w:t>
      </w:r>
    </w:p>
    <w:p>
      <w:pPr>
        <w:rPr>
          <w:color w:val="000000"/>
        </w:rPr>
      </w:pPr>
      <w:r>
        <w:rPr>
          <w:color w:val="000000"/>
        </w:rPr>
        <w:t>Firms, including Apple, prioritize stakeholder management to foster and maintain constructive ties with diverse stakeholder segments. A robust stakeholder management framework is pivotal for Apple, as it facilitates the identification and fulfilment of varied stakeholder needs and expectations.</w:t>
      </w:r>
    </w:p>
    <w:p>
      <w:pPr>
        <w:rPr>
          <w:color w:val="000000"/>
        </w:rPr>
      </w:pPr>
    </w:p>
    <w:p>
      <w:pPr>
        <w:jc w:val="center"/>
        <w:rPr>
          <w:b/>
          <w:bCs/>
          <w:color w:val="000000"/>
        </w:rPr>
      </w:pPr>
      <w:r>
        <w:rPr>
          <w:b/>
          <w:bCs/>
          <w:color w:val="000000"/>
        </w:rPr>
        <w:t>Table 4: Stakeholders management for given case</w:t>
      </w:r>
    </w:p>
    <w:p>
      <w:pPr>
        <w:rPr>
          <w:color w:val="000000"/>
        </w:rPr>
      </w:pPr>
    </w:p>
    <w:tbl>
      <w:tblPr>
        <w:jc w:val="left"/>
        <w:tblInd w:w="0" w:type="dxa"/>
        <w:tblBorders>
          <w:top w:val="single" w:sz="2" w:space="0" w:color="A8D08D"/>
          <w:left w:val="none" w:sz="0" w:space="0" w:color="auto"/>
          <w:bottom w:val="single" w:sz="2" w:space="0" w:color="A8D08D"/>
          <w:right w:val="none" w:sz="0" w:space="0" w:color="auto"/>
          <w:insideH w:val="single" w:sz="2" w:space="0" w:color="A8D08D"/>
          <w:insideV w:val="single" w:sz="2" w:space="0" w:color="A8D08D"/>
        </w:tblBorders>
        <w:tblCellMar>
          <w:top w:w="0" w:type="dxa"/>
          <w:left w:w="0" w:type="dxa"/>
          <w:bottom w:w="0" w:type="dxa"/>
          <w:right w:w="0" w:type="dxa"/>
        </w:tblCellMar>
      </w:tblPr>
      <w:tblGrid>
        <w:gridCol w:w="1663"/>
        <w:gridCol w:w="7702"/>
      </w:tblGrid>
      <w:tr>
        <w:tc>
          <w:tcPr>
            <w:tcBorders>
              <w:top w:val="nil"/>
              <w:bottom w:val="single" w:sz="12" w:space="0" w:color="A8D08D"/>
            </w:tcBorders>
            <w:shd w:val="clear" w:color="auto" w:fill="FFFFFF"/>
          </w:tcPr>
          <w:p>
            <w:pPr>
              <w:spacing w:before="480"/>
              <w:jc w:val="center"/>
            </w:pPr>
            <w:r>
              <w:rPr>
                <w:bdr w:val="single" w:sz="2" w:space="0" w:color="D9D9E3"/>
              </w:rPr>
              <w:t>Factors</w:t>
            </w:r>
          </w:p>
        </w:tc>
        <w:tc>
          <w:tcPr>
            <w:tcBorders>
              <w:top w:val="nil"/>
              <w:bottom w:val="single" w:sz="12" w:space="0" w:color="A8D08D"/>
            </w:tcBorders>
            <w:shd w:val="clear" w:color="auto" w:fill="FFFFFF"/>
          </w:tcPr>
          <w:p>
            <w:pPr>
              <w:spacing w:before="480" w:line="360" w:lineRule="auto"/>
              <w:jc w:val="center"/>
            </w:pPr>
            <w:r>
              <w:rPr>
                <w:bdr w:val="single" w:sz="2" w:space="0" w:color="D9D9E3"/>
              </w:rPr>
              <w:t>Analysis</w:t>
            </w:r>
          </w:p>
        </w:tc>
      </w:tr>
      <w:tr>
        <w:tc>
          <w:tcPr>
            <w:shd w:val="clear" w:color="auto" w:fill="E2EFD9"/>
          </w:tcPr>
          <w:p>
            <w:pPr>
              <w:spacing w:before="480" w:line="360" w:lineRule="auto"/>
              <w:jc w:val="left"/>
            </w:pPr>
            <w:r>
              <w:t>Reputation &amp; Trust</w:t>
            </w:r>
          </w:p>
        </w:tc>
        <w:tc>
          <w:tcPr>
            <w:shd w:val="clear" w:color="auto" w:fill="E2EFD9"/>
          </w:tcPr>
          <w:p>
            <w:pPr>
              <w:spacing w:before="480" w:line="360" w:lineRule="auto"/>
            </w:pPr>
            <w:r>
              <w:t>Apple bolsters its positive reputation by proactively addressing stakeholder needs, fostering increased trust (Cusumano et al., 2020).</w:t>
            </w:r>
          </w:p>
        </w:tc>
      </w:tr>
      <w:tr>
        <w:tc>
          <w:tcPr/>
          <w:p>
            <w:pPr>
              <w:spacing w:before="480" w:line="360" w:lineRule="auto"/>
            </w:pPr>
            <w:r>
              <w:t>Customer Loyalty</w:t>
            </w:r>
          </w:p>
        </w:tc>
        <w:tc>
          <w:tcPr/>
          <w:p>
            <w:pPr>
              <w:spacing w:before="480" w:line="360" w:lineRule="auto"/>
            </w:pPr>
            <w:r>
              <w:t>Actively engaging with customers enhances their satisfaction and loyalty, driving repeat business (Jones et al., 2020).</w:t>
            </w:r>
          </w:p>
        </w:tc>
      </w:tr>
      <w:tr>
        <w:tc>
          <w:tcPr>
            <w:shd w:val="clear" w:color="auto" w:fill="E2EFD9"/>
          </w:tcPr>
          <w:p>
            <w:pPr>
              <w:spacing w:before="480" w:line="360" w:lineRule="auto"/>
            </w:pPr>
            <w:r>
              <w:t>Investor Confidence</w:t>
            </w:r>
          </w:p>
        </w:tc>
        <w:tc>
          <w:tcPr>
            <w:shd w:val="clear" w:color="auto" w:fill="E2EFD9"/>
          </w:tcPr>
          <w:p>
            <w:pPr>
              <w:spacing w:before="480" w:line="360" w:lineRule="auto"/>
            </w:pPr>
            <w:r>
              <w:t>Clear communication and risk management retain investor trust, influencing financial outcomes (Luetzenburg et al., 2021).</w:t>
            </w:r>
          </w:p>
        </w:tc>
      </w:tr>
      <w:tr>
        <w:tc>
          <w:tcPr/>
          <w:p>
            <w:pPr>
              <w:spacing w:before="480" w:line="360" w:lineRule="auto"/>
            </w:pPr>
            <w:r>
              <w:t>Supplier Relations</w:t>
            </w:r>
          </w:p>
        </w:tc>
        <w:tc>
          <w:tcPr/>
          <w:p>
            <w:pPr>
              <w:spacing w:before="480" w:line="360" w:lineRule="auto"/>
            </w:pPr>
            <w:r>
              <w:t>Strong supplier ties ensure timely component supply and overall efficiency (Hoosain et al., 2020).</w:t>
            </w:r>
          </w:p>
        </w:tc>
      </w:tr>
      <w:tr>
        <w:tc>
          <w:tcPr>
            <w:shd w:val="clear" w:color="auto" w:fill="E2EFD9"/>
          </w:tcPr>
          <w:p>
            <w:pPr>
              <w:spacing w:before="480" w:line="360" w:lineRule="auto"/>
            </w:pPr>
            <w:r>
              <w:t>Employee Engagement</w:t>
            </w:r>
          </w:p>
        </w:tc>
        <w:tc>
          <w:tcPr>
            <w:shd w:val="clear" w:color="auto" w:fill="E2EFD9"/>
          </w:tcPr>
          <w:p>
            <w:pPr>
              <w:spacing w:before="480" w:line="360" w:lineRule="auto"/>
            </w:pPr>
            <w:r>
              <w:t>Valuing employees boosts satisfaction and retention, enhancing Apple's performance.</w:t>
            </w:r>
          </w:p>
        </w:tc>
      </w:tr>
      <w:tr>
        <w:tc>
          <w:tcPr/>
          <w:p>
            <w:pPr>
              <w:spacing w:before="480" w:line="360" w:lineRule="auto"/>
            </w:pPr>
            <w:r>
              <w:t>Compliance &amp; Responsibility</w:t>
            </w:r>
          </w:p>
        </w:tc>
        <w:tc>
          <w:tcPr/>
          <w:p>
            <w:pPr>
              <w:spacing w:before="480" w:line="360" w:lineRule="auto"/>
            </w:pPr>
            <w:r>
              <w:t>Collaborating with regulatory bodies ensures Apple meets environmental and social obligations (Czifra and Molnár, 2020).</w:t>
            </w:r>
          </w:p>
        </w:tc>
      </w:tr>
      <w:tr>
        <w:tc>
          <w:tcPr>
            <w:shd w:val="clear" w:color="auto" w:fill="E2EFD9"/>
          </w:tcPr>
          <w:p>
            <w:pPr>
              <w:spacing w:before="480" w:line="360" w:lineRule="auto"/>
            </w:pPr>
            <w:r>
              <w:t>Innovation</w:t>
            </w:r>
          </w:p>
        </w:tc>
        <w:tc>
          <w:tcPr>
            <w:shd w:val="clear" w:color="auto" w:fill="E2EFD9"/>
          </w:tcPr>
          <w:p>
            <w:pPr>
              <w:spacing w:before="480" w:line="360" w:lineRule="auto"/>
            </w:pPr>
            <w:r>
              <w:t>Engaging external partners drives Apple's innovation, maintaining its market lead.</w:t>
            </w:r>
          </w:p>
        </w:tc>
      </w:tr>
    </w:tbl>
    <w:p>
      <w:pPr>
        <w:pStyle w:val="3"/>
        <w:jc w:val="both"/>
        <w:rPr>
          <w:color w:val="000000"/>
        </w:rPr>
      </w:pPr>
      <w:bookmarkStart w:id="23" w:name="_1t3h5sf"/>
      <w:bookmarkEnd w:id="23"/>
    </w:p>
    <w:p>
      <w:pPr>
        <w:rPr>
          <w:color w:val="000000"/>
        </w:rPr>
      </w:pPr>
      <w:r>
        <w:rPr>
          <w:color w:val="000000"/>
        </w:rPr>
        <w:t>Supply chain complications, especially those concerning inventory and raw material management, significantly influence companies like Apple. Poor inventory or raw material handling can cause delays in production. If Apple lacks the necessary inventory or raw materials, it might face product launch delays, limited product availability, and dissatisfied customers, subsequently impacting revenue. In terms of profit, excess inventory can necessitate markdowns or lead to obsolete stock, diminishing profits. On the other hand, low inventory might mean missed sales opportunities or the need to source pricier alternatives, affecting profit margins (Akbulaev et al., 2020). Such supply chain challenges can thus erode Apple's profitability.</w:t>
      </w:r>
    </w:p>
    <w:p>
      <w:pPr>
        <w:rPr>
          <w:color w:val="000000"/>
        </w:rPr>
      </w:pPr>
    </w:p>
    <w:p>
      <w:pPr>
        <w:rPr>
          <w:color w:val="000000"/>
        </w:rPr>
      </w:pPr>
    </w:p>
    <w:p>
      <w:pPr>
        <w:rPr>
          <w:color w:val="000000"/>
        </w:rPr>
      </w:pPr>
      <w:r>
        <w:rPr>
          <w:color w:val="000000"/>
        </w:rPr>
        <w:t>.</w:t>
      </w:r>
      <w:r>
        <w:rPr>
          <w:color w:val="000000"/>
          <w:lang w:val="en-IN"/>
        </w:rPr>
        <mc:AlternateContent>
          <mc:Choice Requires="wps">
            <w:drawing>
              <wp:inline distT="0" distB="0" distL="114298" distR="114298">
                <wp:extent cx="5486400" cy="3139193"/>
                <wp:effectExtent l="0" t="0" r="0" b="0"/>
                <wp:docPr id="39" name="组合 39"/>
                <wp:cNvGraphicFramePr>
                  <a:graphicFrameLocks noChangeAspect="0"/>
                </wp:cNvGraphicFramePr>
                <a:graphic>
                  <a:graphicData uri="http://schemas.microsoft.com/office/word/2010/wordprocessingGroup">
                    <wpg:wgp>
                      <wpg:cNvPr id="40" name="组合 40"/>
                      <wpg:cNvGrpSpPr/>
                      <wpg:grpSpPr>
                        <a:xfrm rot="0">
                          <a:off x="0" y="0"/>
                          <a:ext cx="5486400" cy="3139193"/>
                          <a:chOff x="0" y="0"/>
                          <a:chExt cx="5486400" cy="3139193"/>
                        </a:xfrm>
                        <a:prstGeom prst="rect"/>
                        <a:solidFill>
                          <a:srgbClr val="FFFFFF"/>
                        </a:solidFill>
                        <a:ln w="12700" cmpd="sng" cap="flat">
                          <a:solidFill>
                            <a:srgbClr val="000000"/>
                          </a:solidFill>
                          <a:prstDash val="solid"/>
                          <a:miter/>
                        </a:ln>
                      </wpg:grpSpPr>
                      <wpg:grpSp>
                        <wpg:cNvPr id="41" name="组合 41"/>
                        <wpg:cNvGrpSpPr/>
                        <wpg:grpSpPr>
                          <a:xfrm rot="0">
                            <a:off x="0" y="0"/>
                            <a:ext cx="5486400" cy="3139193"/>
                            <a:chOff x="0" y="0"/>
                            <a:chExt cx="5486400" cy="3139193"/>
                          </a:xfrm>
                          <a:prstGeom prst="rect"/>
                          <a:solidFill>
                            <a:srgbClr val="FFFFFF"/>
                          </a:solidFill>
                          <a:ln w="12700" cmpd="sng" cap="flat">
                            <a:solidFill>
                              <a:srgbClr val="000000"/>
                            </a:solidFill>
                            <a:prstDash val="solid"/>
                            <a:miter/>
                          </a:ln>
                        </wpg:grpSpPr>
                        <wps:wsp>
                          <wps:cNvPr id="42" name="矩形 42"/>
                          <wps:cNvSpPr/>
                          <wps:spPr>
                            <a:xfrm rot="0">
                              <a:off x="0" y="0"/>
                              <a:ext cx="5486400" cy="3139193"/>
                            </a:xfrm>
                            <a:prstGeom prst="rect"/>
                            <a:noFill/>
                            <a:ln w="12700" cmpd="sng" cap="flat">
                              <a:noFill/>
                              <a:prstDash val="solid"/>
                              <a:miter/>
                            </a:ln>
                          </wps:spPr>
                          <wps:txbx id="43">
                            <w:txbxContent>
                              <w:p>
                                <w:pPr>
                                  <w:spacing w:line="240" w:lineRule="auto"/>
                                  <w:jc w:val="left"/>
                                </w:pPr>
                              </w:p>
                            </w:txbxContent>
                          </wps:txbx>
                          <wps:bodyPr vert="horz" wrap="square" lIns="91424" tIns="91424" rIns="91424" bIns="91424" anchor="ctr" anchorCtr="0" upright="1">
                            <a:noAutofit/>
                          </wps:bodyPr>
                        </wps:wsp>
                        <wps:wsp>
                          <wps:cNvPr id="44" name="椭圆 44"/>
                          <wps:cNvSpPr/>
                          <wps:spPr>
                            <a:xfrm rot="0">
                              <a:off x="2344000" y="490"/>
                              <a:ext cx="798299" cy="783130"/>
                            </a:xfrm>
                            <a:prstGeom prst="ellipse"/>
                            <a:solidFill>
                              <a:srgbClr val="BF504D"/>
                            </a:solidFill>
                            <a:ln w="12700" cmpd="sng" cap="flat">
                              <a:noFill/>
                              <a:prstDash val="solid"/>
                              <a:miter/>
                            </a:ln>
                            <a:effectLst>
                              <a:prstShdw prst="shdw14" dist="8980" dir="2700000">
                                <a:srgbClr val="000000">
                                  <a:alpha val="50000"/>
                                </a:srgbClr>
                              </a:prstShdw>
                            </a:effectLst>
                          </wps:spPr>
                          <wps:txbx id="45">
                            <w:txbxContent>
                              <w:p>
                                <w:pPr>
                                  <w:spacing w:line="240" w:lineRule="auto"/>
                                  <w:jc w:val="left"/>
                                </w:pPr>
                              </w:p>
                            </w:txbxContent>
                          </wps:txbx>
                          <wps:bodyPr vert="horz" wrap="square" lIns="91424" tIns="91424" rIns="91424" bIns="91424" anchor="ctr" anchorCtr="0" upright="1">
                            <a:noAutofit/>
                          </wps:bodyPr>
                        </wps:wsp>
                        <wps:wsp>
                          <wps:cNvPr id="46" name="文本框 46"/>
                          <wps:cNvSpPr/>
                          <wps:spPr>
                            <a:xfrm rot="0">
                              <a:off x="2460900" y="115252"/>
                              <a:ext cx="564498" cy="553606"/>
                            </a:xfrm>
                            <a:prstGeom prst="rect"/>
                            <a:noFill/>
                            <a:ln w="12700" cmpd="sng" cap="flat">
                              <a:noFill/>
                              <a:prstDash val="solid"/>
                              <a:miter/>
                            </a:ln>
                          </wps:spPr>
                          <wps:txbx id="47">
                            <w:txbxContent>
                              <w:p>
                                <w:pPr>
                                  <w:spacing w:line="216" w:lineRule="auto"/>
                                  <w:jc w:val="center"/>
                                </w:pPr>
                                <w:r>
                                  <w:rPr>
                                    <w:b/>
                                    <w:i/>
                                    <w:color w:val="000000"/>
                                    <w:sz w:val="14"/>
                                  </w:rPr>
                                  <w:t>Disrupted Production and Delays</w:t>
                                </w:r>
                              </w:p>
                            </w:txbxContent>
                          </wps:txbx>
                          <wps:bodyPr vert="horz" wrap="square" lIns="8875" tIns="8875" rIns="8875" bIns="8875" anchor="ctr" anchorCtr="0" upright="1">
                            <a:noAutofit/>
                          </wps:bodyPr>
                        </wps:wsp>
                        <wps:wsp>
                          <wps:cNvPr id="48" name="右箭头 48"/>
                          <wps:cNvSpPr/>
                          <wps:spPr>
                            <a:xfrm rot="1800000">
                              <a:off x="3151200" y="551350"/>
                              <a:ext cx="213100" cy="264247"/>
                            </a:xfrm>
                            <a:prstGeom prst="rightArrow">
                              <a:avLst>
                                <a:gd name="adj1" fmla="val 60000"/>
                                <a:gd name="adj2" fmla="val 40322"/>
                              </a:avLst>
                            </a:prstGeom>
                            <a:solidFill>
                              <a:srgbClr val="BF504D"/>
                            </a:solidFill>
                            <a:ln w="12700" cmpd="sng" cap="flat">
                              <a:noFill/>
                              <a:prstDash val="solid"/>
                              <a:miter/>
                            </a:ln>
                          </wps:spPr>
                          <wps:txbx id="49">
                            <w:txbxContent>
                              <w:p>
                                <w:pPr>
                                  <w:spacing w:line="240" w:lineRule="auto"/>
                                  <w:jc w:val="left"/>
                                </w:pPr>
                              </w:p>
                            </w:txbxContent>
                          </wps:txbx>
                          <wps:bodyPr vert="horz" wrap="square" lIns="91424" tIns="91424" rIns="91424" bIns="91424" anchor="ctr" anchorCtr="0" upright="1">
                            <a:noAutofit/>
                          </wps:bodyPr>
                        </wps:wsp>
                        <wps:wsp>
                          <wps:cNvPr id="50" name="文本框 50"/>
                          <wps:cNvSpPr/>
                          <wps:spPr>
                            <a:xfrm rot="1800000">
                              <a:off x="3155500" y="588525"/>
                              <a:ext cx="149100" cy="158509"/>
                            </a:xfrm>
                            <a:prstGeom prst="rect"/>
                            <a:noFill/>
                            <a:ln w="12700" cmpd="sng" cap="flat">
                              <a:noFill/>
                              <a:prstDash val="solid"/>
                              <a:miter/>
                            </a:ln>
                          </wps:spPr>
                          <wps:txbx id="51">
                            <w:txbxContent>
                              <w:p>
                                <w:pPr>
                                  <w:spacing w:line="216" w:lineRule="auto"/>
                                  <w:jc w:val="center"/>
                                </w:pPr>
                              </w:p>
                            </w:txbxContent>
                          </wps:txbx>
                          <wps:bodyPr vert="horz" wrap="square" lIns="0" tIns="0" rIns="0" bIns="0" anchor="ctr" anchorCtr="0" upright="1">
                            <a:noAutofit/>
                          </wps:bodyPr>
                        </wps:wsp>
                        <wps:wsp>
                          <wps:cNvPr id="52" name="椭圆 52"/>
                          <wps:cNvSpPr/>
                          <wps:spPr>
                            <a:xfrm rot="0">
                              <a:off x="3383600" y="589309"/>
                              <a:ext cx="798299" cy="783032"/>
                            </a:xfrm>
                            <a:prstGeom prst="ellipse"/>
                            <a:solidFill>
                              <a:srgbClr val="A5A5A5"/>
                            </a:solidFill>
                            <a:ln w="12700" cmpd="sng" cap="flat">
                              <a:noFill/>
                              <a:prstDash val="solid"/>
                              <a:miter/>
                            </a:ln>
                            <a:effectLst>
                              <a:prstShdw prst="shdw14" dist="8980" dir="2700000">
                                <a:srgbClr val="000000">
                                  <a:alpha val="50000"/>
                                </a:srgbClr>
                              </a:prstShdw>
                            </a:effectLst>
                          </wps:spPr>
                          <wps:txbx id="53">
                            <w:txbxContent>
                              <w:p>
                                <w:pPr>
                                  <w:spacing w:line="240" w:lineRule="auto"/>
                                  <w:jc w:val="left"/>
                                </w:pPr>
                              </w:p>
                            </w:txbxContent>
                          </wps:txbx>
                          <wps:bodyPr vert="horz" wrap="square" lIns="91424" tIns="91424" rIns="91424" bIns="91424" anchor="ctr" anchorCtr="0" upright="1">
                            <a:noAutofit/>
                          </wps:bodyPr>
                        </wps:wsp>
                        <wps:wsp>
                          <wps:cNvPr id="54" name="文本框 54"/>
                          <wps:cNvSpPr/>
                          <wps:spPr>
                            <a:xfrm rot="0">
                              <a:off x="3500500" y="703974"/>
                              <a:ext cx="564498" cy="553703"/>
                            </a:xfrm>
                            <a:prstGeom prst="rect"/>
                            <a:noFill/>
                            <a:ln w="12700" cmpd="sng" cap="flat">
                              <a:noFill/>
                              <a:prstDash val="solid"/>
                              <a:miter/>
                            </a:ln>
                          </wps:spPr>
                          <wps:txbx id="55">
                            <w:txbxContent>
                              <w:p>
                                <w:pPr>
                                  <w:spacing w:line="216" w:lineRule="auto"/>
                                  <w:jc w:val="center"/>
                                </w:pPr>
                                <w:r>
                                  <w:rPr>
                                    <w:b/>
                                    <w:i/>
                                    <w:color w:val="000000"/>
                                    <w:sz w:val="14"/>
                                  </w:rPr>
                                  <w:t>Increased Costs</w:t>
                                </w:r>
                              </w:p>
                            </w:txbxContent>
                          </wps:txbx>
                          <wps:bodyPr vert="horz" wrap="square" lIns="8875" tIns="8875" rIns="8875" bIns="8875" anchor="ctr" anchorCtr="0" upright="1">
                            <a:noAutofit/>
                          </wps:bodyPr>
                        </wps:wsp>
                        <wps:wsp>
                          <wps:cNvPr id="56" name="右箭头 56"/>
                          <wps:cNvSpPr/>
                          <wps:spPr>
                            <a:xfrm rot="5400000">
                              <a:off x="3678238" y="1429011"/>
                              <a:ext cx="209023" cy="269399"/>
                            </a:xfrm>
                            <a:prstGeom prst="rightArrow">
                              <a:avLst>
                                <a:gd name="adj1" fmla="val 60000"/>
                                <a:gd name="adj2" fmla="val 38794"/>
                              </a:avLst>
                            </a:prstGeom>
                            <a:solidFill>
                              <a:srgbClr val="A5A5A5"/>
                            </a:solidFill>
                            <a:ln w="12700" cmpd="sng" cap="flat">
                              <a:noFill/>
                              <a:prstDash val="solid"/>
                              <a:miter/>
                            </a:ln>
                          </wps:spPr>
                          <wps:txbx id="57">
                            <w:txbxContent>
                              <w:p>
                                <w:pPr>
                                  <w:spacing w:line="240" w:lineRule="auto"/>
                                  <w:jc w:val="left"/>
                                </w:pPr>
                              </w:p>
                            </w:txbxContent>
                          </wps:txbx>
                          <wps:bodyPr vert="horz" wrap="square" lIns="91424" tIns="91424" rIns="91424" bIns="91424" anchor="ctr" anchorCtr="0" upright="1">
                            <a:noAutofit/>
                          </wps:bodyPr>
                        </wps:wsp>
                        <wps:wsp>
                          <wps:cNvPr id="58" name="文本框 58"/>
                          <wps:cNvSpPr/>
                          <wps:spPr>
                            <a:xfrm rot="5400000">
                              <a:off x="3709626" y="1451424"/>
                              <a:ext cx="146249" cy="161699"/>
                            </a:xfrm>
                            <a:prstGeom prst="rect"/>
                            <a:noFill/>
                            <a:ln w="12700" cmpd="sng" cap="flat">
                              <a:noFill/>
                              <a:prstDash val="solid"/>
                              <a:miter/>
                            </a:ln>
                          </wps:spPr>
                          <wps:txbx id="59">
                            <w:txbxContent>
                              <w:p>
                                <w:pPr>
                                  <w:spacing w:line="216" w:lineRule="auto"/>
                                  <w:jc w:val="center"/>
                                </w:pPr>
                              </w:p>
                            </w:txbxContent>
                          </wps:txbx>
                          <wps:bodyPr vert="horz" wrap="square" lIns="0" tIns="0" rIns="0" bIns="0" anchor="ctr" anchorCtr="0" upright="1">
                            <a:noAutofit/>
                          </wps:bodyPr>
                        </wps:wsp>
                        <wps:wsp>
                          <wps:cNvPr id="60" name="椭圆 60"/>
                          <wps:cNvSpPr/>
                          <wps:spPr>
                            <a:xfrm rot="0">
                              <a:off x="3383600" y="1766752"/>
                              <a:ext cx="798299" cy="783033"/>
                            </a:xfrm>
                            <a:prstGeom prst="ellipse"/>
                            <a:solidFill>
                              <a:srgbClr val="FFC000"/>
                            </a:solidFill>
                            <a:ln w="12700" cmpd="sng" cap="flat">
                              <a:noFill/>
                              <a:prstDash val="solid"/>
                              <a:miter/>
                            </a:ln>
                            <a:effectLst>
                              <a:prstShdw prst="shdw14" dist="8980" dir="2700000">
                                <a:srgbClr val="000000">
                                  <a:alpha val="50000"/>
                                </a:srgbClr>
                              </a:prstShdw>
                            </a:effectLst>
                          </wps:spPr>
                          <wps:txbx id="61">
                            <w:txbxContent>
                              <w:p>
                                <w:pPr>
                                  <w:spacing w:line="240" w:lineRule="auto"/>
                                  <w:jc w:val="left"/>
                                </w:pPr>
                              </w:p>
                            </w:txbxContent>
                          </wps:txbx>
                          <wps:bodyPr vert="horz" wrap="square" lIns="91424" tIns="91424" rIns="91424" bIns="91424" anchor="ctr" anchorCtr="0" upright="1">
                            <a:noAutofit/>
                          </wps:bodyPr>
                        </wps:wsp>
                        <wps:wsp>
                          <wps:cNvPr id="62" name="文本框 62"/>
                          <wps:cNvSpPr/>
                          <wps:spPr>
                            <a:xfrm rot="0">
                              <a:off x="3500500" y="1881417"/>
                              <a:ext cx="564498" cy="553704"/>
                            </a:xfrm>
                            <a:prstGeom prst="rect"/>
                            <a:noFill/>
                            <a:ln w="12700" cmpd="sng" cap="flat">
                              <a:noFill/>
                              <a:prstDash val="solid"/>
                              <a:miter/>
                            </a:ln>
                          </wps:spPr>
                          <wps:txbx id="63">
                            <w:txbxContent>
                              <w:p>
                                <w:pPr>
                                  <w:spacing w:line="216" w:lineRule="auto"/>
                                  <w:jc w:val="center"/>
                                </w:pPr>
                                <w:r>
                                  <w:rPr>
                                    <w:b/>
                                    <w:i/>
                                    <w:color w:val="000000"/>
                                    <w:sz w:val="14"/>
                                  </w:rPr>
                                  <w:t>Lower Profit Margins</w:t>
                                </w:r>
                              </w:p>
                            </w:txbxContent>
                          </wps:txbx>
                          <wps:bodyPr vert="horz" wrap="square" lIns="8875" tIns="8875" rIns="8875" bIns="8875" anchor="ctr" anchorCtr="0" upright="1">
                            <a:noAutofit/>
                          </wps:bodyPr>
                        </wps:wsp>
                        <wps:wsp>
                          <wps:cNvPr id="64" name="右箭头 64"/>
                          <wps:cNvSpPr/>
                          <wps:spPr>
                            <a:xfrm rot="9000000">
                              <a:off x="3161599" y="2317611"/>
                              <a:ext cx="213100" cy="264248"/>
                            </a:xfrm>
                            <a:prstGeom prst="rightArrow">
                              <a:avLst>
                                <a:gd name="adj1" fmla="val 60000"/>
                                <a:gd name="adj2" fmla="val 40321"/>
                              </a:avLst>
                            </a:prstGeom>
                            <a:solidFill>
                              <a:srgbClr val="FFC000"/>
                            </a:solidFill>
                            <a:ln w="12700" cmpd="sng" cap="flat">
                              <a:noFill/>
                              <a:prstDash val="solid"/>
                              <a:miter/>
                            </a:ln>
                          </wps:spPr>
                          <wps:txbx id="65">
                            <w:txbxContent>
                              <w:p>
                                <w:pPr>
                                  <w:spacing w:line="240" w:lineRule="auto"/>
                                  <w:jc w:val="left"/>
                                </w:pPr>
                              </w:p>
                            </w:txbxContent>
                          </wps:txbx>
                          <wps:bodyPr vert="horz" wrap="square" lIns="91424" tIns="91424" rIns="91424" bIns="91424" anchor="ctr" anchorCtr="0" upright="1">
                            <a:noAutofit/>
                          </wps:bodyPr>
                        </wps:wsp>
                        <wps:wsp>
                          <wps:cNvPr id="66" name="文本框 66"/>
                          <wps:cNvSpPr/>
                          <wps:spPr>
                            <a:xfrm rot="19800000">
                              <a:off x="3221300" y="2354786"/>
                              <a:ext cx="149200" cy="158510"/>
                            </a:xfrm>
                            <a:prstGeom prst="rect"/>
                            <a:noFill/>
                            <a:ln w="12700" cmpd="sng" cap="flat">
                              <a:noFill/>
                              <a:prstDash val="solid"/>
                              <a:miter/>
                            </a:ln>
                          </wps:spPr>
                          <wps:txbx id="67">
                            <w:txbxContent>
                              <w:p>
                                <w:pPr>
                                  <w:spacing w:line="216" w:lineRule="auto"/>
                                  <w:jc w:val="center"/>
                                </w:pPr>
                              </w:p>
                            </w:txbxContent>
                          </wps:txbx>
                          <wps:bodyPr vert="horz" wrap="square" lIns="0" tIns="0" rIns="0" bIns="0" anchor="ctr" anchorCtr="0" upright="1">
                            <a:noAutofit/>
                          </wps:bodyPr>
                        </wps:wsp>
                        <wps:wsp>
                          <wps:cNvPr id="68" name="椭圆 68"/>
                          <wps:cNvSpPr/>
                          <wps:spPr>
                            <a:xfrm rot="0">
                              <a:off x="2344000" y="2355473"/>
                              <a:ext cx="798299" cy="783130"/>
                            </a:xfrm>
                            <a:prstGeom prst="ellipse"/>
                            <a:solidFill>
                              <a:srgbClr val="49ACC5"/>
                            </a:solidFill>
                            <a:ln w="12700" cmpd="sng" cap="flat">
                              <a:noFill/>
                              <a:prstDash val="solid"/>
                              <a:miter/>
                            </a:ln>
                            <a:effectLst>
                              <a:prstShdw prst="shdw14" dist="8980" dir="2700000">
                                <a:srgbClr val="000000">
                                  <a:alpha val="50000"/>
                                </a:srgbClr>
                              </a:prstShdw>
                            </a:effectLst>
                          </wps:spPr>
                          <wps:txbx id="69">
                            <w:txbxContent>
                              <w:p>
                                <w:pPr>
                                  <w:spacing w:line="240" w:lineRule="auto"/>
                                  <w:jc w:val="left"/>
                                </w:pPr>
                              </w:p>
                            </w:txbxContent>
                          </wps:txbx>
                          <wps:bodyPr vert="horz" wrap="square" lIns="91424" tIns="91424" rIns="91424" bIns="91424" anchor="ctr" anchorCtr="0" upright="1">
                            <a:noAutofit/>
                          </wps:bodyPr>
                        </wps:wsp>
                        <wps:wsp>
                          <wps:cNvPr id="70" name="文本框 70"/>
                          <wps:cNvSpPr/>
                          <wps:spPr>
                            <a:xfrm rot="0">
                              <a:off x="2460900" y="2470236"/>
                              <a:ext cx="564498" cy="553606"/>
                            </a:xfrm>
                            <a:prstGeom prst="rect"/>
                            <a:noFill/>
                            <a:ln w="12700" cmpd="sng" cap="flat">
                              <a:noFill/>
                              <a:prstDash val="solid"/>
                              <a:miter/>
                            </a:ln>
                          </wps:spPr>
                          <wps:txbx id="71">
                            <w:txbxContent>
                              <w:p>
                                <w:pPr>
                                  <w:spacing w:line="216" w:lineRule="auto"/>
                                  <w:jc w:val="center"/>
                                </w:pPr>
                                <w:r>
                                  <w:rPr>
                                    <w:b/>
                                    <w:i/>
                                    <w:color w:val="000000"/>
                                    <w:sz w:val="14"/>
                                  </w:rPr>
                                  <w:t>Supplier Relationships and Reliability</w:t>
                                </w:r>
                              </w:p>
                            </w:txbxContent>
                          </wps:txbx>
                          <wps:bodyPr vert="horz" wrap="square" lIns="8875" tIns="8875" rIns="8875" bIns="8875" anchor="ctr" anchorCtr="0" upright="1">
                            <a:noAutofit/>
                          </wps:bodyPr>
                        </wps:wsp>
                        <wps:wsp>
                          <wps:cNvPr id="72" name="右箭头 72"/>
                          <wps:cNvSpPr/>
                          <wps:spPr>
                            <a:xfrm rot="12600000">
                              <a:off x="2121999" y="2323497"/>
                              <a:ext cx="213100" cy="264247"/>
                            </a:xfrm>
                            <a:prstGeom prst="rightArrow">
                              <a:avLst>
                                <a:gd name="adj1" fmla="val 60000"/>
                                <a:gd name="adj2" fmla="val 40322"/>
                              </a:avLst>
                            </a:prstGeom>
                            <a:solidFill>
                              <a:srgbClr val="49ACC5"/>
                            </a:solidFill>
                            <a:ln w="12700" cmpd="sng" cap="flat">
                              <a:noFill/>
                              <a:prstDash val="solid"/>
                              <a:miter/>
                            </a:ln>
                          </wps:spPr>
                          <wps:txbx id="73">
                            <w:txbxContent>
                              <w:p>
                                <w:pPr>
                                  <w:spacing w:line="240" w:lineRule="auto"/>
                                  <w:jc w:val="left"/>
                                </w:pPr>
                              </w:p>
                            </w:txbxContent>
                          </wps:txbx>
                          <wps:bodyPr vert="horz" wrap="square" lIns="91424" tIns="91424" rIns="91424" bIns="91424" anchor="ctr" anchorCtr="0" upright="1">
                            <a:noAutofit/>
                          </wps:bodyPr>
                        </wps:wsp>
                        <wps:wsp>
                          <wps:cNvPr id="74" name="文本框 74"/>
                          <wps:cNvSpPr/>
                          <wps:spPr>
                            <a:xfrm rot="1800000">
                              <a:off x="2181700" y="2392060"/>
                              <a:ext cx="149100" cy="158510"/>
                            </a:xfrm>
                            <a:prstGeom prst="rect"/>
                            <a:noFill/>
                            <a:ln w="12700" cmpd="sng" cap="flat">
                              <a:noFill/>
                              <a:prstDash val="solid"/>
                              <a:miter/>
                            </a:ln>
                          </wps:spPr>
                          <wps:txbx id="75">
                            <w:txbxContent>
                              <w:p>
                                <w:pPr>
                                  <w:spacing w:line="216" w:lineRule="auto"/>
                                  <w:jc w:val="center"/>
                                </w:pPr>
                              </w:p>
                            </w:txbxContent>
                          </wps:txbx>
                          <wps:bodyPr vert="horz" wrap="square" lIns="0" tIns="0" rIns="0" bIns="0" anchor="ctr" anchorCtr="0" upright="1">
                            <a:noAutofit/>
                          </wps:bodyPr>
                        </wps:wsp>
                        <wps:wsp>
                          <wps:cNvPr id="76" name="椭圆 76"/>
                          <wps:cNvSpPr/>
                          <wps:spPr>
                            <a:xfrm rot="0">
                              <a:off x="1304399" y="1766752"/>
                              <a:ext cx="798300" cy="783033"/>
                            </a:xfrm>
                            <a:prstGeom prst="ellipse"/>
                            <a:solidFill>
                              <a:srgbClr val="F79543"/>
                            </a:solidFill>
                            <a:ln w="12700" cmpd="sng" cap="flat">
                              <a:noFill/>
                              <a:prstDash val="solid"/>
                              <a:miter/>
                            </a:ln>
                            <a:effectLst>
                              <a:prstShdw prst="shdw14" dist="8980" dir="2700000">
                                <a:srgbClr val="000000">
                                  <a:alpha val="50000"/>
                                </a:srgbClr>
                              </a:prstShdw>
                            </a:effectLst>
                          </wps:spPr>
                          <wps:txbx id="77">
                            <w:txbxContent>
                              <w:p>
                                <w:pPr>
                                  <w:spacing w:line="240" w:lineRule="auto"/>
                                  <w:jc w:val="left"/>
                                </w:pPr>
                              </w:p>
                            </w:txbxContent>
                          </wps:txbx>
                          <wps:bodyPr vert="horz" wrap="square" lIns="91424" tIns="91424" rIns="91424" bIns="91424" anchor="ctr" anchorCtr="0" upright="1">
                            <a:noAutofit/>
                          </wps:bodyPr>
                        </wps:wsp>
                        <wps:wsp>
                          <wps:cNvPr id="78" name="文本框 78"/>
                          <wps:cNvSpPr/>
                          <wps:spPr>
                            <a:xfrm rot="0">
                              <a:off x="1421300" y="1881417"/>
                              <a:ext cx="564499" cy="553704"/>
                            </a:xfrm>
                            <a:prstGeom prst="rect"/>
                            <a:noFill/>
                            <a:ln w="12700" cmpd="sng" cap="flat">
                              <a:noFill/>
                              <a:prstDash val="solid"/>
                              <a:miter/>
                            </a:ln>
                          </wps:spPr>
                          <wps:txbx id="79">
                            <w:txbxContent>
                              <w:p>
                                <w:pPr>
                                  <w:spacing w:line="216" w:lineRule="auto"/>
                                  <w:jc w:val="center"/>
                                </w:pPr>
                                <w:r>
                                  <w:rPr>
                                    <w:b/>
                                    <w:i/>
                                    <w:color w:val="000000"/>
                                    <w:sz w:val="14"/>
                                  </w:rPr>
                                  <w:t>Customer Dissatisfaction and Reputation Damage</w:t>
                                </w:r>
                              </w:p>
                            </w:txbxContent>
                          </wps:txbx>
                          <wps:bodyPr vert="horz" wrap="square" lIns="8875" tIns="8875" rIns="8875" bIns="8875" anchor="ctr" anchorCtr="0" upright="1">
                            <a:noAutofit/>
                          </wps:bodyPr>
                        </wps:wsp>
                        <wps:wsp>
                          <wps:cNvPr id="80" name="右箭头 80"/>
                          <wps:cNvSpPr/>
                          <wps:spPr>
                            <a:xfrm rot="16200000">
                              <a:off x="1598938" y="1440781"/>
                              <a:ext cx="209024" cy="269400"/>
                            </a:xfrm>
                            <a:prstGeom prst="rightArrow">
                              <a:avLst>
                                <a:gd name="adj1" fmla="val 60000"/>
                                <a:gd name="adj2" fmla="val 38794"/>
                              </a:avLst>
                            </a:prstGeom>
                            <a:solidFill>
                              <a:srgbClr val="F79543"/>
                            </a:solidFill>
                            <a:ln w="12700" cmpd="sng" cap="flat">
                              <a:noFill/>
                              <a:prstDash val="solid"/>
                              <a:miter/>
                            </a:ln>
                          </wps:spPr>
                          <wps:txbx id="81">
                            <w:txbxContent>
                              <w:p>
                                <w:pPr>
                                  <w:spacing w:line="240" w:lineRule="auto"/>
                                  <w:jc w:val="left"/>
                                </w:pPr>
                              </w:p>
                            </w:txbxContent>
                          </wps:txbx>
                          <wps:bodyPr vert="horz" wrap="square" lIns="91424" tIns="91424" rIns="91424" bIns="91424" anchor="ctr" anchorCtr="0" upright="1">
                            <a:noAutofit/>
                          </wps:bodyPr>
                        </wps:wsp>
                        <wps:wsp>
                          <wps:cNvPr id="82" name="文本框 82"/>
                          <wps:cNvSpPr/>
                          <wps:spPr>
                            <a:xfrm rot="16200000">
                              <a:off x="1630425" y="1525970"/>
                              <a:ext cx="146248" cy="161699"/>
                            </a:xfrm>
                            <a:prstGeom prst="rect"/>
                            <a:noFill/>
                            <a:ln w="12700" cmpd="sng" cap="flat">
                              <a:noFill/>
                              <a:prstDash val="solid"/>
                              <a:miter/>
                            </a:ln>
                          </wps:spPr>
                          <wps:txbx id="83">
                            <w:txbxContent>
                              <w:p>
                                <w:pPr>
                                  <w:spacing w:line="216" w:lineRule="auto"/>
                                  <w:jc w:val="center"/>
                                </w:pPr>
                              </w:p>
                            </w:txbxContent>
                          </wps:txbx>
                          <wps:bodyPr vert="horz" wrap="square" lIns="0" tIns="0" rIns="0" bIns="0" anchor="ctr" anchorCtr="0" upright="1">
                            <a:noAutofit/>
                          </wps:bodyPr>
                        </wps:wsp>
                        <wps:wsp>
                          <wps:cNvPr id="84" name="椭圆 84"/>
                          <wps:cNvSpPr/>
                          <wps:spPr>
                            <a:xfrm rot="0">
                              <a:off x="1304399" y="589309"/>
                              <a:ext cx="798300" cy="783032"/>
                            </a:xfrm>
                            <a:prstGeom prst="ellipse"/>
                            <a:solidFill>
                              <a:srgbClr val="BF504D"/>
                            </a:solidFill>
                            <a:ln w="12700" cmpd="sng" cap="flat">
                              <a:noFill/>
                              <a:prstDash val="solid"/>
                              <a:miter/>
                            </a:ln>
                            <a:effectLst>
                              <a:prstShdw prst="shdw14" dist="8980" dir="2700000">
                                <a:srgbClr val="000000">
                                  <a:alpha val="50000"/>
                                </a:srgbClr>
                              </a:prstShdw>
                            </a:effectLst>
                          </wps:spPr>
                          <wps:txbx id="85">
                            <w:txbxContent>
                              <w:p>
                                <w:pPr>
                                  <w:spacing w:line="240" w:lineRule="auto"/>
                                  <w:jc w:val="left"/>
                                </w:pPr>
                              </w:p>
                            </w:txbxContent>
                          </wps:txbx>
                          <wps:bodyPr vert="horz" wrap="square" lIns="91424" tIns="91424" rIns="91424" bIns="91424" anchor="ctr" anchorCtr="0" upright="1">
                            <a:noAutofit/>
                          </wps:bodyPr>
                        </wps:wsp>
                        <wps:wsp>
                          <wps:cNvPr id="86" name="文本框 86"/>
                          <wps:cNvSpPr/>
                          <wps:spPr>
                            <a:xfrm rot="0">
                              <a:off x="1421300" y="703974"/>
                              <a:ext cx="564499" cy="553703"/>
                            </a:xfrm>
                            <a:prstGeom prst="rect"/>
                            <a:noFill/>
                            <a:ln w="12700" cmpd="sng" cap="flat">
                              <a:noFill/>
                              <a:prstDash val="solid"/>
                              <a:miter/>
                            </a:ln>
                          </wps:spPr>
                          <wps:txbx id="87">
                            <w:txbxContent>
                              <w:p>
                                <w:pPr>
                                  <w:spacing w:line="216" w:lineRule="auto"/>
                                  <w:jc w:val="center"/>
                                </w:pPr>
                                <w:r>
                                  <w:rPr>
                                    <w:b/>
                                    <w:i/>
                                    <w:color w:val="000000"/>
                                    <w:sz w:val="14"/>
                                  </w:rPr>
                                  <w:t>Operational Efficiency</w:t>
                                </w:r>
                              </w:p>
                            </w:txbxContent>
                          </wps:txbx>
                          <wps:bodyPr vert="horz" wrap="square" lIns="8875" tIns="8875" rIns="8875" bIns="8875" anchor="ctr" anchorCtr="0" upright="1">
                            <a:noAutofit/>
                          </wps:bodyPr>
                        </wps:wsp>
                        <wps:wsp>
                          <wps:cNvPr id="88" name="右箭头 88"/>
                          <wps:cNvSpPr/>
                          <wps:spPr>
                            <a:xfrm rot="19800000">
                              <a:off x="2111600" y="557235"/>
                              <a:ext cx="213100" cy="264247"/>
                            </a:xfrm>
                            <a:prstGeom prst="rightArrow">
                              <a:avLst>
                                <a:gd name="adj1" fmla="val 60000"/>
                                <a:gd name="adj2" fmla="val 40322"/>
                              </a:avLst>
                            </a:prstGeom>
                            <a:solidFill>
                              <a:srgbClr val="BF504D"/>
                            </a:solidFill>
                            <a:ln w="12700" cmpd="sng" cap="flat">
                              <a:noFill/>
                              <a:prstDash val="solid"/>
                              <a:miter/>
                            </a:ln>
                          </wps:spPr>
                          <wps:txbx id="89">
                            <w:txbxContent>
                              <w:p>
                                <w:pPr>
                                  <w:spacing w:line="240" w:lineRule="auto"/>
                                  <w:jc w:val="left"/>
                                </w:pPr>
                              </w:p>
                            </w:txbxContent>
                          </wps:txbx>
                          <wps:bodyPr vert="horz" wrap="square" lIns="91424" tIns="91424" rIns="91424" bIns="91424" anchor="ctr" anchorCtr="0" upright="1">
                            <a:noAutofit/>
                          </wps:bodyPr>
                        </wps:wsp>
                        <wps:wsp>
                          <wps:cNvPr id="90" name="文本框 90"/>
                          <wps:cNvSpPr/>
                          <wps:spPr>
                            <a:xfrm rot="19800000">
                              <a:off x="2115800" y="625798"/>
                              <a:ext cx="149199" cy="158509"/>
                            </a:xfrm>
                            <a:prstGeom prst="rect"/>
                            <a:noFill/>
                            <a:ln w="12700" cmpd="sng" cap="flat">
                              <a:noFill/>
                              <a:prstDash val="solid"/>
                              <a:miter/>
                            </a:ln>
                          </wps:spPr>
                          <wps:txbx id="91">
                            <w:txbxContent>
                              <w:p>
                                <w:pPr>
                                  <w:spacing w:line="216" w:lineRule="auto"/>
                                  <w:jc w:val="center"/>
                                </w:pPr>
                              </w:p>
                            </w:txbxContent>
                          </wps:txbx>
                          <wps:bodyPr vert="horz" wrap="square" lIns="0" tIns="0" rIns="0" bIns="0" anchor="ctr" anchorCtr="0" upright="1">
                            <a:noAutofit/>
                          </wps:bodyPr>
                        </wps:wsp>
                      </wpg:grpSp>
                      <wps:bodyPr vert="horz" wrap="square" lIns="91440" tIns="45720" rIns="91440" bIns="45720" anchor="t" anchorCtr="0" upright="0">
                        <a:noAutofit/>
                      </wps:bodyPr>
                    </wpg:wgp>
                  </a:graphicData>
                </a:graphic>
              </wp:inline>
            </w:drawing>
          </mc:Choice>
          <mc:Fallback>
            <w:pict>
              <v:group type="#_x0000_t1" id="组合 92" o:spid="_x0000_s92" coordorigin="1502,1932" coordsize="8640,4943" style="width:432.0pt;&#10;height:247.18056pt;">
                <v:group type="#_x0000_t1" id="组合 93" o:spid="_x0000_s93" coordorigin="1502,1932" coordsize="8640,4943" style="position:absolute;&#10;left:1502;&#10;top:1932;&#10;width:8640;&#10;height:4943;">
                  <v:rect type="#_x0000_t1" id="矩形 94" o:spid="_x0000_s94" style="position:absolute;&#10;left:1502;&#10;top:1932;&#10;width:8640;&#10;height:4943;&#10;mso-wrap-style:square;" filled="f" stroked="f" strokeweight="1.0pt">
                    <v:textbox id="877" inset="2.54mm,2.54mm,2.54mm,2.54mm" o:insetmode="custom" style="layout-flow:horizontal;&#10;v-text-anchor:middle;">
                      <w:txbxContent>
                        <w:p>
                          <w:pPr>
                            <w:spacing w:line="240" w:lineRule="auto"/>
                            <w:jc w:val="left"/>
                          </w:pPr>
                        </w:p>
                      </w:txbxContent>
                    </v:textbox>
                    <v:stroke color="#000000"/>
                  </v:rect>
                  <v:oval type="#_x0000_t3" id="椭圆 95" o:spid="_x0000_s95" style="position:absolute;&#10;left:5193;&#10;top:1932;&#10;width:1257;&#10;height:1233;&#10;mso-wrap-style:square;" fillcolor="#BF504D" stroked="f" strokeweight="1.0pt">
                    <v:shadow on="t" color="#000000" opacity=".5" origin=",.5" offset="0pt,0pt" offset2="-4pt,-4pt"/>
                    <v:textbox id="878" inset="2.54mm,2.54mm,2.54mm,2.54mm" o:insetmode="custom" style="layout-flow:horizontal;&#10;v-text-anchor:middle;">
                      <w:txbxContent>
                        <w:p>
                          <w:pPr>
                            <w:spacing w:line="240" w:lineRule="auto"/>
                            <w:jc w:val="left"/>
                          </w:pPr>
                        </w:p>
                      </w:txbxContent>
                    </v:textbox>
                    <v:stroke color="#000000"/>
                  </v:oval>
                  <v:shape type="#_x0000_t202" id="文本框 96" o:spid="_x0000_s96" style="position:absolute;&#10;left:5377;&#10;top:2113;&#10;width:888;&#10;height:871;&#10;mso-wrap-style:square;" filled="f" stroked="f" strokeweight="1.0pt">
                    <v:textbox id="852" inset="0.247mm,0.247mm,0.247mm,0.247mm" o:insetmode="custom" style="layout-flow:horizontal;&#10;v-text-anchor:middle;">
                      <w:txbxContent>
                        <w:p>
                          <w:pPr>
                            <w:spacing w:line="216" w:lineRule="auto"/>
                            <w:jc w:val="center"/>
                          </w:pPr>
                          <w:r>
                            <w:rPr>
                              <w:b/>
                              <w:i/>
                              <w:color w:val="000000"/>
                              <w:sz w:val="14"/>
                            </w:rPr>
                            <w:t>Disrupted Production and Delays</w:t>
                          </w:r>
                        </w:p>
                      </w:txbxContent>
                    </v:textbox>
                    <v:stroke color="#000000"/>
                  </v:shape>
                  <v:shape type="#_x0000_t13" id="右箭头 97" o:spid="_x0000_s97" style="position:absolute;&#10;left:6464;&#10;top:2800;&#10;width:335;&#10;height:416;&#10;rotation:30.0;&#10;mso-wrap-style:square;" fillcolor="#BF504D" stroked="f" strokeweight="1.0pt" adj="10800,4320">
                    <v:textbox id="879" inset="2.54mm,2.54mm,2.54mm,2.54mm" o:insetmode="custom" style="layout-flow:horizontal;&#10;v-text-anchor:middle;">
                      <w:txbxContent>
                        <w:p>
                          <w:pPr>
                            <w:spacing w:line="240" w:lineRule="auto"/>
                            <w:jc w:val="left"/>
                          </w:pPr>
                        </w:p>
                      </w:txbxContent>
                    </v:textbox>
                    <v:stroke color="#000000"/>
                  </v:shape>
                  <v:shape type="#_x0000_t202" id="文本框 98" o:spid="_x0000_s98" style="position:absolute;&#10;left:6471;&#10;top:2858;&#10;width:234;&#10;height:249;&#10;rotation:30.0;&#10;mso-wrap-style:square;" filled="f" stroked="f" strokeweight="1.0pt">
                    <v:textbox id="853" inset="0mm,0mm,0mm,0mm" o:insetmode="custom" style="layout-flow:horizontal;&#10;v-text-anchor:middle;">
                      <w:txbxContent>
                        <w:p>
                          <w:pPr>
                            <w:spacing w:line="216" w:lineRule="auto"/>
                            <w:jc w:val="center"/>
                          </w:pPr>
                        </w:p>
                      </w:txbxContent>
                    </v:textbox>
                    <v:stroke color="#000000"/>
                  </v:shape>
                  <v:oval type="#_x0000_t3" id="椭圆 99" o:spid="_x0000_s99" style="position:absolute;&#10;left:6830;&#10;top:2860;&#10;width:1257;&#10;height:1233;&#10;mso-wrap-style:square;" fillcolor="#A5A5A5" stroked="f" strokeweight="1.0pt">
                    <v:shadow on="t" color="#000000" opacity=".5" origin=",.5" offset="0pt,0pt" offset2="-4pt,-4pt"/>
                    <v:textbox id="880" inset="2.54mm,2.54mm,2.54mm,2.54mm" o:insetmode="custom" style="layout-flow:horizontal;&#10;v-text-anchor:middle;">
                      <w:txbxContent>
                        <w:p>
                          <w:pPr>
                            <w:spacing w:line="240" w:lineRule="auto"/>
                            <w:jc w:val="left"/>
                          </w:pPr>
                        </w:p>
                      </w:txbxContent>
                    </v:textbox>
                    <v:stroke color="#000000"/>
                  </v:oval>
                  <v:shape type="#_x0000_t202" id="文本框 100" o:spid="_x0000_s100" style="position:absolute;&#10;left:7014;&#10;top:3040;&#10;width:888;&#10;height:871;&#10;mso-wrap-style:square;" filled="f" stroked="f" strokeweight="1.0pt">
                    <v:textbox id="854" inset="0.247mm,0.247mm,0.247mm,0.247mm" o:insetmode="custom" style="layout-flow:horizontal;&#10;v-text-anchor:middle;">
                      <w:txbxContent>
                        <w:p>
                          <w:pPr>
                            <w:spacing w:line="216" w:lineRule="auto"/>
                            <w:jc w:val="center"/>
                          </w:pPr>
                          <w:r>
                            <w:rPr>
                              <w:b/>
                              <w:i/>
                              <w:color w:val="000000"/>
                              <w:sz w:val="14"/>
                            </w:rPr>
                            <w:t>Increased Costs</w:t>
                          </w:r>
                        </w:p>
                      </w:txbxContent>
                    </v:textbox>
                    <v:stroke color="#000000"/>
                  </v:shape>
                  <v:shape type="#_x0000_t13" id="右箭头 101" o:spid="_x0000_s101" style="position:absolute;&#10;left:7294;&#10;top:4182;&#10;width:329;&#10;height:424;&#10;rotation:90.0;&#10;mso-wrap-style:square;" fillcolor="#A5A5A5" stroked="f" strokeweight="1.0pt" adj="10800,4320">
                    <v:textbox id="881" inset="2.54mm,2.54mm,2.54mm,2.54mm" o:insetmode="custom" style="layout-flow:horizontal;&#10;v-text-anchor:middle;">
                      <w:txbxContent>
                        <w:p>
                          <w:pPr>
                            <w:spacing w:line="240" w:lineRule="auto"/>
                            <w:jc w:val="left"/>
                          </w:pPr>
                        </w:p>
                      </w:txbxContent>
                    </v:textbox>
                    <v:stroke color="#000000"/>
                  </v:shape>
                  <v:shape type="#_x0000_t202" id="文本框 102" o:spid="_x0000_s102" style="position:absolute;&#10;left:7344;&#10;top:4217;&#10;width:230;&#10;height:254;&#10;rotation:90.0;&#10;mso-wrap-style:square;" filled="f" stroked="f" strokeweight="1.0pt">
                    <v:textbox id="855" inset="0mm,0mm,0mm,0mm" o:insetmode="custom" style="layout-flow:horizontal;&#10;v-text-anchor:middle;">
                      <w:txbxContent>
                        <w:p>
                          <w:pPr>
                            <w:spacing w:line="216" w:lineRule="auto"/>
                            <w:jc w:val="center"/>
                          </w:pPr>
                        </w:p>
                      </w:txbxContent>
                    </v:textbox>
                    <v:stroke color="#000000"/>
                  </v:shape>
                  <v:oval type="#_x0000_t3" id="椭圆 103" o:spid="_x0000_s103" style="position:absolute;&#10;left:6830;&#10;top:4714;&#10;width:1257;&#10;height:1233;&#10;mso-wrap-style:square;" fillcolor="#FFC000" stroked="f" strokeweight="1.0pt">
                    <v:shadow on="t" color="#000000" opacity=".5" origin=",.5" offset="0pt,0pt" offset2="-4pt,-4pt"/>
                    <v:textbox id="882" inset="2.54mm,2.54mm,2.54mm,2.54mm" o:insetmode="custom" style="layout-flow:horizontal;&#10;v-text-anchor:middle;">
                      <w:txbxContent>
                        <w:p>
                          <w:pPr>
                            <w:spacing w:line="240" w:lineRule="auto"/>
                            <w:jc w:val="left"/>
                          </w:pPr>
                        </w:p>
                      </w:txbxContent>
                    </v:textbox>
                    <v:stroke color="#000000"/>
                  </v:oval>
                  <v:shape type="#_x0000_t202" id="文本框 104" o:spid="_x0000_s104" style="position:absolute;&#10;left:7014;&#10;top:4894;&#10;width:888;&#10;height:871;&#10;mso-wrap-style:square;" filled="f" stroked="f" strokeweight="1.0pt">
                    <v:textbox id="856" inset="0.247mm,0.247mm,0.247mm,0.247mm" o:insetmode="custom" style="layout-flow:horizontal;&#10;v-text-anchor:middle;">
                      <w:txbxContent>
                        <w:p>
                          <w:pPr>
                            <w:spacing w:line="216" w:lineRule="auto"/>
                            <w:jc w:val="center"/>
                          </w:pPr>
                          <w:r>
                            <w:rPr>
                              <w:b/>
                              <w:i/>
                              <w:color w:val="000000"/>
                              <w:sz w:val="14"/>
                            </w:rPr>
                            <w:t>Lower Profit Margins</w:t>
                          </w:r>
                        </w:p>
                      </w:txbxContent>
                    </v:textbox>
                    <v:stroke color="#000000"/>
                  </v:shape>
                  <v:shape type="#_x0000_t13" id="右箭头 105" o:spid="_x0000_s105" style="position:absolute;&#10;left:6481;&#10;top:5581;&#10;width:335;&#10;height:416;&#10;rotation:150.0;&#10;mso-wrap-style:square;" fillcolor="#FFC000" stroked="f" strokeweight="1.0pt" adj="10800,4320">
                    <v:textbox id="883" inset="2.54mm,2.54mm,2.54mm,2.54mm" o:insetmode="custom" style="layout-flow:horizontal;&#10;v-text-anchor:middle;">
                      <w:txbxContent>
                        <w:p>
                          <w:pPr>
                            <w:spacing w:line="240" w:lineRule="auto"/>
                            <w:jc w:val="left"/>
                          </w:pPr>
                        </w:p>
                      </w:txbxContent>
                    </v:textbox>
                    <v:stroke color="#000000"/>
                  </v:shape>
                  <v:shape type="#_x0000_t202" id="文本框 106" o:spid="_x0000_s106" style="position:absolute;&#10;left:6575;&#10;top:5640;&#10;width:234;&#10;height:249;&#10;rotation:330.0;&#10;mso-wrap-style:square;" filled="f" stroked="f" strokeweight="1.0pt">
                    <v:textbox id="857" inset="0mm,0mm,0mm,0mm" o:insetmode="custom" style="layout-flow:horizontal;&#10;v-text-anchor:middle;">
                      <w:txbxContent>
                        <w:p>
                          <w:pPr>
                            <w:spacing w:line="216" w:lineRule="auto"/>
                            <w:jc w:val="center"/>
                          </w:pPr>
                        </w:p>
                      </w:txbxContent>
                    </v:textbox>
                    <v:stroke color="#000000"/>
                  </v:shape>
                  <v:oval type="#_x0000_t3" id="椭圆 107" o:spid="_x0000_s107" style="position:absolute;&#10;left:5193;&#10;top:5641;&#10;width:1257;&#10;height:1233;&#10;mso-wrap-style:square;" fillcolor="#49ACC5" stroked="f" strokeweight="1.0pt">
                    <v:shadow on="t" color="#000000" opacity=".5" origin=",.5" offset="0pt,0pt" offset2="-4pt,-4pt"/>
                    <v:textbox id="884" inset="2.54mm,2.54mm,2.54mm,2.54mm" o:insetmode="custom" style="layout-flow:horizontal;&#10;v-text-anchor:middle;">
                      <w:txbxContent>
                        <w:p>
                          <w:pPr>
                            <w:spacing w:line="240" w:lineRule="auto"/>
                            <w:jc w:val="left"/>
                          </w:pPr>
                        </w:p>
                      </w:txbxContent>
                    </v:textbox>
                    <v:stroke color="#000000"/>
                  </v:oval>
                  <v:shape type="#_x0000_t202" id="文本框 108" o:spid="_x0000_s108" style="position:absolute;&#10;left:5377;&#10;top:5822;&#10;width:888;&#10;height:871;&#10;mso-wrap-style:square;" filled="f" stroked="f" strokeweight="1.0pt">
                    <v:textbox id="858" inset="0.247mm,0.247mm,0.247mm,0.247mm" o:insetmode="custom" style="layout-flow:horizontal;&#10;v-text-anchor:middle;">
                      <w:txbxContent>
                        <w:p>
                          <w:pPr>
                            <w:spacing w:line="216" w:lineRule="auto"/>
                            <w:jc w:val="center"/>
                          </w:pPr>
                          <w:r>
                            <w:rPr>
                              <w:b/>
                              <w:i/>
                              <w:color w:val="000000"/>
                              <w:sz w:val="14"/>
                            </w:rPr>
                            <w:t>Supplier Relationships and Reliability</w:t>
                          </w:r>
                        </w:p>
                      </w:txbxContent>
                    </v:textbox>
                    <v:stroke color="#000000"/>
                  </v:shape>
                  <v:shape type="#_x0000_t13" id="右箭头 109" o:spid="_x0000_s109" style="position:absolute;&#10;left:4844;&#10;top:5591;&#10;width:335;&#10;height:416;&#10;rotation:210.0;&#10;mso-wrap-style:square;" fillcolor="#49ACC5" stroked="f" strokeweight="1.0pt" adj="10800,4320">
                    <v:textbox id="885" inset="2.54mm,2.54mm,2.54mm,2.54mm" o:insetmode="custom" style="layout-flow:horizontal;&#10;v-text-anchor:middle;">
                      <w:txbxContent>
                        <w:p>
                          <w:pPr>
                            <w:spacing w:line="240" w:lineRule="auto"/>
                            <w:jc w:val="left"/>
                          </w:pPr>
                        </w:p>
                      </w:txbxContent>
                    </v:textbox>
                    <v:stroke color="#000000"/>
                  </v:shape>
                  <v:shape type="#_x0000_t202" id="文本框 110" o:spid="_x0000_s110" style="position:absolute;&#10;left:4938;&#10;top:5699;&#10;width:234;&#10;height:249;&#10;rotation:30.0;&#10;mso-wrap-style:square;" filled="f" stroked="f" strokeweight="1.0pt">
                    <v:textbox id="859" inset="0mm,0mm,0mm,0mm" o:insetmode="custom" style="layout-flow:horizontal;&#10;v-text-anchor:middle;">
                      <w:txbxContent>
                        <w:p>
                          <w:pPr>
                            <w:spacing w:line="216" w:lineRule="auto"/>
                            <w:jc w:val="center"/>
                          </w:pPr>
                        </w:p>
                      </w:txbxContent>
                    </v:textbox>
                    <v:stroke color="#000000"/>
                  </v:shape>
                  <v:oval type="#_x0000_t3" id="椭圆 111" o:spid="_x0000_s111" style="position:absolute;&#10;left:3556;&#10;top:4714;&#10;width:1257;&#10;height:1233;&#10;mso-wrap-style:square;" fillcolor="#F79543" stroked="f" strokeweight="1.0pt">
                    <v:shadow on="t" color="#000000" opacity=".5" origin=",.5" offset="0pt,0pt" offset2="-4pt,-4pt"/>
                    <v:textbox id="886" inset="2.54mm,2.54mm,2.54mm,2.54mm" o:insetmode="custom" style="layout-flow:horizontal;&#10;v-text-anchor:middle;">
                      <w:txbxContent>
                        <w:p>
                          <w:pPr>
                            <w:spacing w:line="240" w:lineRule="auto"/>
                            <w:jc w:val="left"/>
                          </w:pPr>
                        </w:p>
                      </w:txbxContent>
                    </v:textbox>
                    <v:stroke color="#000000"/>
                  </v:oval>
                  <v:shape type="#_x0000_t202" id="文本框 112" o:spid="_x0000_s112" style="position:absolute;&#10;left:3740;&#10;top:4894;&#10;width:888;&#10;height:871;&#10;mso-wrap-style:square;" filled="f" stroked="f" strokeweight="1.0pt">
                    <v:textbox id="860" inset="0.247mm,0.247mm,0.247mm,0.247mm" o:insetmode="custom" style="layout-flow:horizontal;&#10;v-text-anchor:middle;">
                      <w:txbxContent>
                        <w:p>
                          <w:pPr>
                            <w:spacing w:line="216" w:lineRule="auto"/>
                            <w:jc w:val="center"/>
                          </w:pPr>
                          <w:r>
                            <w:rPr>
                              <w:b/>
                              <w:i/>
                              <w:color w:val="000000"/>
                              <w:sz w:val="14"/>
                            </w:rPr>
                            <w:t>Customer Dissatisfaction and Reputation Damage</w:t>
                          </w:r>
                        </w:p>
                      </w:txbxContent>
                    </v:textbox>
                    <v:stroke color="#000000"/>
                  </v:shape>
                  <v:shape type="#_x0000_t13" id="右箭头 113" o:spid="_x0000_s113" style="position:absolute;&#10;left:4020;&#10;top:4201;&#10;width:329;&#10;height:424;&#10;rotation:270.0;&#10;mso-wrap-style:square;" fillcolor="#F79543" stroked="f" strokeweight="1.0pt" adj="10800,4320">
                    <v:textbox id="887" inset="2.54mm,2.54mm,2.54mm,2.54mm" o:insetmode="custom" style="layout-flow:horizontal;&#10;v-text-anchor:middle;">
                      <w:txbxContent>
                        <w:p>
                          <w:pPr>
                            <w:spacing w:line="240" w:lineRule="auto"/>
                            <w:jc w:val="left"/>
                          </w:pPr>
                        </w:p>
                      </w:txbxContent>
                    </v:textbox>
                    <v:stroke color="#000000"/>
                  </v:shape>
                  <v:shape type="#_x0000_t202" id="文本框 114" o:spid="_x0000_s114" style="position:absolute;&#10;left:4069;&#10;top:4335;&#10;width:230;&#10;height:254;&#10;rotation:270.0;&#10;mso-wrap-style:square;" filled="f" stroked="f" strokeweight="1.0pt">
                    <v:textbox id="861" inset="0mm,0mm,0mm,0mm" o:insetmode="custom" style="layout-flow:horizontal;&#10;v-text-anchor:middle;">
                      <w:txbxContent>
                        <w:p>
                          <w:pPr>
                            <w:spacing w:line="216" w:lineRule="auto"/>
                            <w:jc w:val="center"/>
                          </w:pPr>
                        </w:p>
                      </w:txbxContent>
                    </v:textbox>
                    <v:stroke color="#000000"/>
                  </v:shape>
                  <v:oval type="#_x0000_t3" id="椭圆 115" o:spid="_x0000_s115" style="position:absolute;&#10;left:3556;&#10;top:2860;&#10;width:1257;&#10;height:1233;&#10;mso-wrap-style:square;" fillcolor="#BF504D" stroked="f" strokeweight="1.0pt">
                    <v:shadow on="t" color="#000000" opacity=".5" origin=",.5" offset="0pt,0pt" offset2="-4pt,-4pt"/>
                    <v:textbox id="888" inset="2.54mm,2.54mm,2.54mm,2.54mm" o:insetmode="custom" style="layout-flow:horizontal;&#10;v-text-anchor:middle;">
                      <w:txbxContent>
                        <w:p>
                          <w:pPr>
                            <w:spacing w:line="240" w:lineRule="auto"/>
                            <w:jc w:val="left"/>
                          </w:pPr>
                        </w:p>
                      </w:txbxContent>
                    </v:textbox>
                    <v:stroke color="#000000"/>
                  </v:oval>
                  <v:shape type="#_x0000_t202" id="文本框 116" o:spid="_x0000_s116" style="position:absolute;&#10;left:3740;&#10;top:3040;&#10;width:888;&#10;height:871;&#10;mso-wrap-style:square;" filled="f" stroked="f" strokeweight="1.0pt">
                    <v:textbox id="862" inset="0.247mm,0.247mm,0.247mm,0.247mm" o:insetmode="custom" style="layout-flow:horizontal;&#10;v-text-anchor:middle;">
                      <w:txbxContent>
                        <w:p>
                          <w:pPr>
                            <w:spacing w:line="216" w:lineRule="auto"/>
                            <w:jc w:val="center"/>
                          </w:pPr>
                          <w:r>
                            <w:rPr>
                              <w:b/>
                              <w:i/>
                              <w:color w:val="000000"/>
                              <w:sz w:val="14"/>
                            </w:rPr>
                            <w:t>Operational Efficiency</w:t>
                          </w:r>
                        </w:p>
                      </w:txbxContent>
                    </v:textbox>
                    <v:stroke color="#000000"/>
                  </v:shape>
                  <v:shape type="#_x0000_t13" id="右箭头 117" o:spid="_x0000_s117" style="position:absolute;&#10;left:4827;&#10;top:2809;&#10;width:335;&#10;height:416;&#10;rotation:330.0;&#10;mso-wrap-style:square;" fillcolor="#BF504D" stroked="f" strokeweight="1.0pt" adj="10800,4320">
                    <v:textbox id="889" inset="2.54mm,2.54mm,2.54mm,2.54mm" o:insetmode="custom" style="layout-flow:horizontal;&#10;v-text-anchor:middle;">
                      <w:txbxContent>
                        <w:p>
                          <w:pPr>
                            <w:spacing w:line="240" w:lineRule="auto"/>
                            <w:jc w:val="left"/>
                          </w:pPr>
                        </w:p>
                      </w:txbxContent>
                    </v:textbox>
                    <v:stroke color="#000000"/>
                  </v:shape>
                  <v:shape type="#_x0000_t202" id="文本框 118" o:spid="_x0000_s118" style="position:absolute;&#10;left:4834;&#10;top:2917;&#10;width:234;&#10;height:249;&#10;rotation:330.0;&#10;mso-wrap-style:square;" filled="f" stroked="f" strokeweight="1.0pt">
                    <v:textbox id="863" inset="0mm,0mm,0mm,0mm" o:insetmode="custom" style="layout-flow:horizontal;&#10;v-text-anchor:middle;">
                      <w:txbxContent>
                        <w:p>
                          <w:pPr>
                            <w:spacing w:line="216" w:lineRule="auto"/>
                            <w:jc w:val="center"/>
                          </w:pPr>
                        </w:p>
                      </w:txbxContent>
                    </v:textbox>
                    <v:stroke color="#000000"/>
                  </v:shape>
                </v:group>
                <w10:anchorLock/>
              </v:group>
            </w:pict>
          </mc:Fallback>
        </mc:AlternateContent>
      </w:r>
    </w:p>
    <w:p>
      <w:pPr>
        <w:pStyle w:val="2"/>
        <w:rPr>
          <w:color w:val="000000"/>
        </w:rPr>
      </w:pPr>
      <w:bookmarkStart w:id="24" w:name="_4d34og8"/>
      <w:bookmarkStart w:id="25" w:name="_Toc144278024"/>
      <w:bookmarkStart w:id="26" w:name="_Toc144278229"/>
      <w:bookmarkStart w:id="27" w:name="_Toc144278327"/>
      <w:bookmarkEnd w:id="24"/>
      <w:r>
        <w:rPr>
          <w:color w:val="000000"/>
        </w:rPr>
        <w:t>Figure 2: Supply Chain Issues</w:t>
      </w:r>
      <w:bookmarkEnd w:id="25"/>
      <w:bookmarkEnd w:id="26"/>
      <w:bookmarkEnd w:id="27"/>
    </w:p>
    <w:p>
      <w:pPr>
        <w:jc w:val="center"/>
        <w:rPr>
          <w:color w:val="000000"/>
        </w:rPr>
      </w:pPr>
      <w:r>
        <w:rPr>
          <w:color w:val="000000"/>
        </w:rPr>
        <w:t>(Source: Self-Created)</w:t>
      </w:r>
    </w:p>
    <w:p>
      <w:pPr>
        <w:jc w:val="center"/>
        <w:rPr>
          <w:color w:val="000000"/>
        </w:rPr>
      </w:pPr>
    </w:p>
    <w:p>
      <w:pPr>
        <w:jc w:val="center"/>
        <w:rPr>
          <w:color w:val="000000"/>
        </w:rPr>
      </w:pPr>
    </w:p>
    <w:p>
      <w:pPr>
        <w:pStyle w:val="24"/>
        <w:rPr>
          <w:b/>
        </w:rPr>
      </w:pPr>
      <w:bookmarkStart w:id="28" w:name="_Toc144278328"/>
      <w:r>
        <w:rPr>
          <w:b/>
        </w:rPr>
        <w:t>9.0 Internal Analysis</w:t>
      </w:r>
      <w:bookmarkEnd w:id="28"/>
      <w:r>
        <w:rPr>
          <w:b/>
        </w:rPr>
        <w:t xml:space="preserve"> </w:t>
      </w:r>
    </w:p>
    <w:p>
      <w:pPr>
        <w:jc w:val="left"/>
        <w:rPr>
          <w:b/>
          <w:bCs/>
          <w:color w:val="000000"/>
          <w:sz w:val="28"/>
          <w:szCs w:val="28"/>
        </w:rPr>
      </w:pPr>
      <w:r>
        <w:rPr>
          <w:b/>
          <w:bCs/>
          <w:color w:val="000000"/>
          <w:sz w:val="28"/>
          <w:szCs w:val="28"/>
        </w:rPr>
        <w:t xml:space="preserve">Apple’s strategic resources and capabilities: </w:t>
      </w:r>
    </w:p>
    <w:p>
      <w:pPr>
        <w:rPr>
          <w:color w:val="000000"/>
        </w:rPr>
      </w:pPr>
      <w:r>
        <w:rPr>
          <w:color w:val="000000"/>
        </w:rPr>
        <w:t>Apple boasts a globally recognized brand that stands as a hallmark of quality, innovation, and prestige. This brand strength is further amplified by the company’s consistent introduction of cutting-edge technology and design in its products. Additionally, Apple’s optimized global supply chain ensures that they can produce and distribute their products in a timely and efficient manner. One of the company’s distinct capabilities lies in its ecosystem lock-in: the seamless integration of hardware, software, and services fosters unparalleled customer loyalty. Their substantial financial reserves allow them to invest heavily in R&amp;D, pursue strategic acquisitions, and navigate potential economic downturns with resilience. Furthermore, Apple’s retail presence through Apple Stores provides a direct channel to their customers, ensuring a high-quality service and product experience.</w:t>
      </w:r>
    </w:p>
    <w:p>
      <w:pPr>
        <w:rPr>
          <w:b/>
          <w:bCs/>
          <w:color w:val="000000"/>
        </w:rPr>
      </w:pPr>
      <w:r>
        <w:rPr>
          <w:b/>
          <w:bCs/>
          <w:color w:val="000000"/>
        </w:rPr>
        <w:t xml:space="preserve">Value Chain Analysis </w:t>
      </w:r>
    </w:p>
    <w:p>
      <w:pPr>
        <w:rPr>
          <w:color w:val="000000"/>
        </w:rPr>
      </w:pPr>
    </w:p>
    <w:p>
      <w:pPr>
        <w:jc w:val="center"/>
        <w:rPr>
          <w:b/>
          <w:bCs/>
          <w:color w:val="000000"/>
        </w:rPr>
      </w:pPr>
      <w:r>
        <w:rPr>
          <w:b/>
          <w:bCs/>
          <w:color w:val="000000"/>
        </w:rPr>
        <w:t>Table 5: Value Chain Analysis</w:t>
      </w:r>
    </w:p>
    <w:tbl>
      <w:tblPr>
        <w:jc w:val="left"/>
        <w:tblInd w:w="0" w:type="dxa"/>
        <w:tblBorders>
          <w:top w:val="single" w:sz="2" w:space="0" w:color="F4B083"/>
          <w:left w:val="none" w:sz="0" w:space="0" w:color="auto"/>
          <w:bottom w:val="single" w:sz="2" w:space="0" w:color="F4B083"/>
          <w:right w:val="none" w:sz="0" w:space="0" w:color="auto"/>
          <w:insideH w:val="single" w:sz="2" w:space="0" w:color="F4B083"/>
          <w:insideV w:val="single" w:sz="2" w:space="0" w:color="F4B083"/>
        </w:tblBorders>
        <w:tblCellMar>
          <w:top w:w="0" w:type="dxa"/>
          <w:left w:w="0" w:type="dxa"/>
          <w:bottom w:w="0" w:type="dxa"/>
          <w:right w:w="0" w:type="dxa"/>
        </w:tblCellMar>
      </w:tblPr>
      <w:tblGrid>
        <w:gridCol w:w="2010"/>
        <w:gridCol w:w="1569"/>
        <w:gridCol w:w="5786"/>
      </w:tblGrid>
      <w:tr>
        <w:tc>
          <w:tcPr>
            <w:tcBorders>
              <w:top w:val="nil"/>
              <w:bottom w:val="single" w:sz="12" w:space="0" w:color="F4B083"/>
            </w:tcBorders>
            <w:shd w:val="clear" w:color="auto" w:fill="FFFFFF"/>
          </w:tcPr>
          <w:p>
            <w:pPr>
              <w:spacing w:before="480" w:after="480" w:line="360" w:lineRule="auto"/>
              <w:jc w:val="center"/>
              <w:rPr>
                <w:sz w:val="21"/>
                <w:szCs w:val="21"/>
                <w:lang w:val="en-US" w:eastAsia="en-US"/>
              </w:rPr>
            </w:pPr>
            <w:r>
              <w:rPr>
                <w:sz w:val="21"/>
                <w:szCs w:val="21"/>
                <w:bdr w:val="single" w:sz="2" w:space="0" w:color="D9D9E3"/>
                <w:lang w:val="en-US" w:eastAsia="en-US"/>
              </w:rPr>
              <w:t>Activity Type</w:t>
            </w:r>
          </w:p>
        </w:tc>
        <w:tc>
          <w:tcPr>
            <w:tcBorders>
              <w:top w:val="nil"/>
              <w:bottom w:val="single" w:sz="12" w:space="0" w:color="F4B083"/>
            </w:tcBorders>
            <w:shd w:val="clear" w:color="auto" w:fill="FFFFFF"/>
          </w:tcPr>
          <w:p>
            <w:pPr>
              <w:spacing w:before="480" w:after="480" w:line="360" w:lineRule="auto"/>
              <w:jc w:val="center"/>
              <w:rPr>
                <w:sz w:val="21"/>
                <w:szCs w:val="21"/>
                <w:lang w:val="en-US" w:eastAsia="en-US"/>
              </w:rPr>
            </w:pPr>
            <w:r>
              <w:rPr>
                <w:sz w:val="21"/>
                <w:szCs w:val="21"/>
                <w:bdr w:val="single" w:sz="2" w:space="0" w:color="D9D9E3"/>
                <w:lang w:val="en-US" w:eastAsia="en-US"/>
              </w:rPr>
              <w:t>Activity</w:t>
            </w:r>
          </w:p>
        </w:tc>
        <w:tc>
          <w:tcPr>
            <w:tcBorders>
              <w:top w:val="nil"/>
              <w:bottom w:val="single" w:sz="12" w:space="0" w:color="F4B083"/>
            </w:tcBorders>
            <w:shd w:val="clear" w:color="auto" w:fill="FFFFFF"/>
          </w:tcPr>
          <w:p>
            <w:pPr>
              <w:spacing w:before="480" w:after="480" w:line="360" w:lineRule="auto"/>
              <w:jc w:val="center"/>
              <w:rPr>
                <w:sz w:val="21"/>
                <w:szCs w:val="21"/>
                <w:lang w:val="en-US" w:eastAsia="en-US"/>
              </w:rPr>
            </w:pPr>
            <w:r>
              <w:rPr>
                <w:sz w:val="21"/>
                <w:szCs w:val="21"/>
                <w:bdr w:val="single" w:sz="2" w:space="0" w:color="D9D9E3"/>
                <w:lang w:val="en-US" w:eastAsia="en-US"/>
              </w:rPr>
              <w:t>Description/Example</w:t>
            </w:r>
          </w:p>
        </w:tc>
      </w:tr>
      <w:tr>
        <w:tc>
          <w:tcPr>
            <w:shd w:val="clear" w:color="auto" w:fill="FBE4D5"/>
          </w:tcPr>
          <w:p>
            <w:pPr>
              <w:spacing w:before="480" w:after="480" w:line="360" w:lineRule="auto"/>
              <w:jc w:val="left"/>
              <w:rPr>
                <w:sz w:val="21"/>
                <w:szCs w:val="21"/>
                <w:lang w:val="en-US" w:eastAsia="en-US"/>
              </w:rPr>
            </w:pPr>
            <w:r>
              <w:rPr>
                <w:sz w:val="21"/>
                <w:szCs w:val="21"/>
                <w:bdr w:val="single" w:sz="2" w:space="0" w:color="D9D9E3"/>
                <w:lang w:val="en-US" w:eastAsia="en-US"/>
              </w:rPr>
              <w:t>Primary Activities</w:t>
            </w:r>
          </w:p>
        </w:tc>
        <w:tc>
          <w:tcPr>
            <w:shd w:val="clear" w:color="auto" w:fill="FBE4D5"/>
          </w:tcPr>
          <w:p>
            <w:pPr>
              <w:spacing w:before="480" w:after="480" w:line="360" w:lineRule="auto"/>
              <w:jc w:val="left"/>
              <w:rPr>
                <w:sz w:val="21"/>
                <w:szCs w:val="21"/>
                <w:lang w:val="en-US" w:eastAsia="en-US"/>
              </w:rPr>
            </w:pPr>
          </w:p>
        </w:tc>
        <w:tc>
          <w:tcPr>
            <w:shd w:val="clear" w:color="auto" w:fill="FBE4D5"/>
          </w:tcPr>
          <w:p>
            <w:pPr>
              <w:spacing w:before="480" w:after="480" w:line="360" w:lineRule="auto"/>
              <w:jc w:val="left"/>
              <w:rPr>
                <w:sz w:val="20"/>
                <w:szCs w:val="20"/>
                <w:lang w:val="en-US" w:eastAsia="en-US"/>
              </w:rPr>
            </w:pPr>
          </w:p>
        </w:tc>
      </w:tr>
      <w:tr>
        <w:tc>
          <w:tcPr/>
          <w:p>
            <w:pPr>
              <w:spacing w:before="480" w:after="480" w:line="360" w:lineRule="auto"/>
              <w:jc w:val="left"/>
              <w:rPr>
                <w:sz w:val="21"/>
                <w:szCs w:val="21"/>
                <w:lang w:val="en-US" w:eastAsia="en-US"/>
              </w:rPr>
            </w:pPr>
            <w:r>
              <w:rPr>
                <w:sz w:val="21"/>
                <w:szCs w:val="21"/>
                <w:lang w:val="en-US" w:eastAsia="en-US"/>
              </w:rPr>
              <w:t>Inbound Logistics</w:t>
            </w:r>
          </w:p>
        </w:tc>
        <w:tc>
          <w:tcPr/>
          <w:p>
            <w:pPr>
              <w:spacing w:before="480" w:after="480" w:line="360" w:lineRule="auto"/>
              <w:jc w:val="left"/>
              <w:rPr>
                <w:sz w:val="21"/>
                <w:szCs w:val="21"/>
                <w:lang w:val="en-US" w:eastAsia="en-US"/>
              </w:rPr>
            </w:pPr>
            <w:r>
              <w:rPr>
                <w:sz w:val="21"/>
                <w:szCs w:val="21"/>
                <w:lang w:val="en-US" w:eastAsia="en-US"/>
              </w:rPr>
              <w:t>Supplier Relations</w:t>
            </w:r>
          </w:p>
        </w:tc>
        <w:tc>
          <w:tcPr/>
          <w:p>
            <w:pPr>
              <w:spacing w:before="480" w:after="480" w:line="360" w:lineRule="auto"/>
              <w:jc w:val="left"/>
              <w:rPr>
                <w:sz w:val="21"/>
                <w:szCs w:val="21"/>
                <w:lang w:val="en-US" w:eastAsia="en-US"/>
              </w:rPr>
            </w:pPr>
            <w:r>
              <w:rPr>
                <w:sz w:val="21"/>
                <w:szCs w:val="21"/>
                <w:lang w:val="en-US" w:eastAsia="en-US"/>
              </w:rPr>
              <w:t>Apple's collaboration with suppliers for parts like processors, camera modules, etc.</w:t>
            </w:r>
          </w:p>
        </w:tc>
      </w:tr>
      <w:tr>
        <w:tc>
          <w:tcPr>
            <w:shd w:val="clear" w:color="auto" w:fill="FBE4D5"/>
          </w:tcPr>
          <w:p>
            <w:pPr>
              <w:spacing w:before="480" w:after="480" w:line="360" w:lineRule="auto"/>
              <w:jc w:val="left"/>
              <w:rPr>
                <w:sz w:val="21"/>
                <w:szCs w:val="21"/>
                <w:lang w:val="en-US" w:eastAsia="en-US"/>
              </w:rPr>
            </w:pPr>
          </w:p>
        </w:tc>
        <w:tc>
          <w:tcPr>
            <w:shd w:val="clear" w:color="auto" w:fill="FBE4D5"/>
          </w:tcPr>
          <w:p>
            <w:pPr>
              <w:spacing w:before="480" w:after="480" w:line="360" w:lineRule="auto"/>
              <w:jc w:val="left"/>
              <w:rPr>
                <w:sz w:val="21"/>
                <w:szCs w:val="21"/>
                <w:lang w:val="en-US" w:eastAsia="en-US"/>
              </w:rPr>
            </w:pPr>
            <w:r>
              <w:rPr>
                <w:sz w:val="21"/>
                <w:szCs w:val="21"/>
                <w:lang w:val="en-US" w:eastAsia="en-US"/>
              </w:rPr>
              <w:t>Inventory Management</w:t>
            </w:r>
          </w:p>
        </w:tc>
        <w:tc>
          <w:tcPr>
            <w:shd w:val="clear" w:color="auto" w:fill="FBE4D5"/>
          </w:tcPr>
          <w:p>
            <w:pPr>
              <w:spacing w:before="480" w:after="480" w:line="360" w:lineRule="auto"/>
              <w:jc w:val="left"/>
              <w:rPr>
                <w:sz w:val="21"/>
                <w:szCs w:val="21"/>
                <w:lang w:val="en-US" w:eastAsia="en-US"/>
              </w:rPr>
            </w:pPr>
            <w:r>
              <w:rPr>
                <w:sz w:val="21"/>
                <w:szCs w:val="21"/>
                <w:lang w:val="en-US" w:eastAsia="en-US"/>
              </w:rPr>
              <w:t>Efficient inventory handling to ensure timely product releases.</w:t>
            </w:r>
          </w:p>
        </w:tc>
      </w:tr>
      <w:tr>
        <w:tc>
          <w:tcPr/>
          <w:p>
            <w:pPr>
              <w:spacing w:before="480" w:after="480" w:line="360" w:lineRule="auto"/>
              <w:jc w:val="left"/>
              <w:rPr>
                <w:sz w:val="21"/>
                <w:szCs w:val="21"/>
                <w:lang w:val="en-US" w:eastAsia="en-US"/>
              </w:rPr>
            </w:pPr>
            <w:r>
              <w:rPr>
                <w:sz w:val="21"/>
                <w:szCs w:val="21"/>
                <w:lang w:val="en-US" w:eastAsia="en-US"/>
              </w:rPr>
              <w:t>Operations</w:t>
            </w:r>
          </w:p>
        </w:tc>
        <w:tc>
          <w:tcPr/>
          <w:p>
            <w:pPr>
              <w:spacing w:before="480" w:after="480" w:line="360" w:lineRule="auto"/>
              <w:jc w:val="left"/>
              <w:rPr>
                <w:sz w:val="21"/>
                <w:szCs w:val="21"/>
                <w:lang w:val="en-US" w:eastAsia="en-US"/>
              </w:rPr>
            </w:pPr>
            <w:r>
              <w:rPr>
                <w:sz w:val="21"/>
                <w:szCs w:val="21"/>
                <w:lang w:val="en-US" w:eastAsia="en-US"/>
              </w:rPr>
              <w:t>Manufacturing</w:t>
            </w:r>
          </w:p>
        </w:tc>
        <w:tc>
          <w:tcPr/>
          <w:p>
            <w:pPr>
              <w:spacing w:before="480" w:after="480" w:line="360" w:lineRule="auto"/>
              <w:jc w:val="left"/>
              <w:rPr>
                <w:sz w:val="21"/>
                <w:szCs w:val="21"/>
                <w:lang w:val="en-US" w:eastAsia="en-US"/>
              </w:rPr>
            </w:pPr>
            <w:r>
              <w:rPr>
                <w:sz w:val="21"/>
                <w:szCs w:val="21"/>
                <w:lang w:val="en-US" w:eastAsia="en-US"/>
              </w:rPr>
              <w:t>Assembly of iPhones, iPads, MacBooks in factories, mainly in Asia.</w:t>
            </w:r>
          </w:p>
        </w:tc>
      </w:tr>
      <w:tr>
        <w:tc>
          <w:tcPr>
            <w:shd w:val="clear" w:color="auto" w:fill="FBE4D5"/>
          </w:tcPr>
          <w:p>
            <w:pPr>
              <w:spacing w:before="480" w:after="480" w:line="360" w:lineRule="auto"/>
              <w:jc w:val="left"/>
              <w:rPr>
                <w:sz w:val="21"/>
                <w:szCs w:val="21"/>
                <w:lang w:val="en-US" w:eastAsia="en-US"/>
              </w:rPr>
            </w:pPr>
          </w:p>
        </w:tc>
        <w:tc>
          <w:tcPr>
            <w:shd w:val="clear" w:color="auto" w:fill="FBE4D5"/>
          </w:tcPr>
          <w:p>
            <w:pPr>
              <w:spacing w:before="480" w:after="480" w:line="360" w:lineRule="auto"/>
              <w:jc w:val="left"/>
              <w:rPr>
                <w:sz w:val="21"/>
                <w:szCs w:val="21"/>
                <w:lang w:val="en-US" w:eastAsia="en-US"/>
              </w:rPr>
            </w:pPr>
            <w:r>
              <w:rPr>
                <w:sz w:val="21"/>
                <w:szCs w:val="21"/>
                <w:lang w:val="en-US" w:eastAsia="en-US"/>
              </w:rPr>
              <w:t>Quality Control</w:t>
            </w:r>
          </w:p>
        </w:tc>
        <w:tc>
          <w:tcPr>
            <w:shd w:val="clear" w:color="auto" w:fill="FBE4D5"/>
          </w:tcPr>
          <w:p>
            <w:pPr>
              <w:spacing w:before="480" w:after="480" w:line="360" w:lineRule="auto"/>
              <w:jc w:val="left"/>
              <w:rPr>
                <w:sz w:val="21"/>
                <w:szCs w:val="21"/>
                <w:lang w:val="en-US" w:eastAsia="en-US"/>
              </w:rPr>
            </w:pPr>
            <w:r>
              <w:rPr>
                <w:sz w:val="21"/>
                <w:szCs w:val="21"/>
                <w:lang w:val="en-US" w:eastAsia="en-US"/>
              </w:rPr>
              <w:t>Ensuring every Apple product meets quality standards.</w:t>
            </w:r>
          </w:p>
        </w:tc>
      </w:tr>
      <w:tr>
        <w:tc>
          <w:tcPr/>
          <w:p>
            <w:pPr>
              <w:spacing w:before="480" w:after="480" w:line="360" w:lineRule="auto"/>
              <w:jc w:val="left"/>
              <w:rPr>
                <w:sz w:val="21"/>
                <w:szCs w:val="21"/>
                <w:lang w:val="en-US" w:eastAsia="en-US"/>
              </w:rPr>
            </w:pPr>
            <w:r>
              <w:rPr>
                <w:sz w:val="21"/>
                <w:szCs w:val="21"/>
                <w:lang w:val="en-US" w:eastAsia="en-US"/>
              </w:rPr>
              <w:t>Outbound Logistics</w:t>
            </w:r>
          </w:p>
        </w:tc>
        <w:tc>
          <w:tcPr/>
          <w:p>
            <w:pPr>
              <w:spacing w:before="480" w:after="480" w:line="360" w:lineRule="auto"/>
              <w:jc w:val="left"/>
              <w:rPr>
                <w:sz w:val="21"/>
                <w:szCs w:val="21"/>
                <w:lang w:val="en-US" w:eastAsia="en-US"/>
              </w:rPr>
            </w:pPr>
            <w:r>
              <w:rPr>
                <w:sz w:val="21"/>
                <w:szCs w:val="21"/>
                <w:lang w:val="en-US" w:eastAsia="en-US"/>
              </w:rPr>
              <w:t>Distribution</w:t>
            </w:r>
          </w:p>
        </w:tc>
        <w:tc>
          <w:tcPr/>
          <w:p>
            <w:pPr>
              <w:spacing w:before="480" w:after="480" w:line="360" w:lineRule="auto"/>
              <w:jc w:val="left"/>
              <w:rPr>
                <w:sz w:val="21"/>
                <w:szCs w:val="21"/>
                <w:lang w:val="en-US" w:eastAsia="en-US"/>
              </w:rPr>
            </w:pPr>
            <w:r>
              <w:rPr>
                <w:sz w:val="21"/>
                <w:szCs w:val="21"/>
                <w:lang w:val="en-US" w:eastAsia="en-US"/>
              </w:rPr>
              <w:t>Apple Stores, online store, third-party retailers, and distribution centers.</w:t>
            </w:r>
          </w:p>
        </w:tc>
      </w:tr>
      <w:tr>
        <w:tc>
          <w:tcPr>
            <w:shd w:val="clear" w:color="auto" w:fill="FBE4D5"/>
          </w:tcPr>
          <w:p>
            <w:pPr>
              <w:spacing w:before="480" w:after="480" w:line="360" w:lineRule="auto"/>
              <w:jc w:val="left"/>
              <w:rPr>
                <w:sz w:val="21"/>
                <w:szCs w:val="21"/>
                <w:lang w:val="en-US" w:eastAsia="en-US"/>
              </w:rPr>
            </w:pPr>
            <w:r>
              <w:rPr>
                <w:sz w:val="21"/>
                <w:szCs w:val="21"/>
                <w:lang w:val="en-US" w:eastAsia="en-US"/>
              </w:rPr>
              <w:t>Marketing &amp; Sales</w:t>
            </w:r>
          </w:p>
        </w:tc>
        <w:tc>
          <w:tcPr>
            <w:shd w:val="clear" w:color="auto" w:fill="FBE4D5"/>
          </w:tcPr>
          <w:p>
            <w:pPr>
              <w:spacing w:before="480" w:after="480" w:line="360" w:lineRule="auto"/>
              <w:jc w:val="left"/>
              <w:rPr>
                <w:sz w:val="21"/>
                <w:szCs w:val="21"/>
                <w:lang w:val="en-US" w:eastAsia="en-US"/>
              </w:rPr>
            </w:pPr>
            <w:r>
              <w:rPr>
                <w:sz w:val="21"/>
                <w:szCs w:val="21"/>
                <w:lang w:val="en-US" w:eastAsia="en-US"/>
              </w:rPr>
              <w:t>Branding</w:t>
            </w:r>
          </w:p>
        </w:tc>
        <w:tc>
          <w:tcPr>
            <w:shd w:val="clear" w:color="auto" w:fill="FBE4D5"/>
          </w:tcPr>
          <w:p>
            <w:pPr>
              <w:spacing w:before="480" w:after="480" w:line="360" w:lineRule="auto"/>
              <w:jc w:val="left"/>
              <w:rPr>
                <w:sz w:val="21"/>
                <w:szCs w:val="21"/>
                <w:lang w:val="en-US" w:eastAsia="en-US"/>
              </w:rPr>
            </w:pPr>
            <w:r>
              <w:rPr>
                <w:sz w:val="21"/>
                <w:szCs w:val="21"/>
                <w:lang w:val="en-US" w:eastAsia="en-US"/>
              </w:rPr>
              <w:t>Apple's iconic brand-building campaigns and advertisements.</w:t>
            </w:r>
          </w:p>
        </w:tc>
      </w:tr>
      <w:tr>
        <w:tc>
          <w:tcPr/>
          <w:p>
            <w:pPr>
              <w:spacing w:before="480" w:after="480" w:line="360" w:lineRule="auto"/>
              <w:jc w:val="left"/>
              <w:rPr>
                <w:sz w:val="21"/>
                <w:szCs w:val="21"/>
                <w:lang w:val="en-US" w:eastAsia="en-US"/>
              </w:rPr>
            </w:pPr>
          </w:p>
        </w:tc>
        <w:tc>
          <w:tcPr/>
          <w:p>
            <w:pPr>
              <w:spacing w:before="480" w:after="480" w:line="360" w:lineRule="auto"/>
              <w:jc w:val="left"/>
              <w:rPr>
                <w:sz w:val="21"/>
                <w:szCs w:val="21"/>
                <w:lang w:val="en-US" w:eastAsia="en-US"/>
              </w:rPr>
            </w:pPr>
            <w:r>
              <w:rPr>
                <w:sz w:val="21"/>
                <w:szCs w:val="21"/>
                <w:lang w:val="en-US" w:eastAsia="en-US"/>
              </w:rPr>
              <w:t>Product Launches</w:t>
            </w:r>
          </w:p>
        </w:tc>
        <w:tc>
          <w:tcPr/>
          <w:p>
            <w:pPr>
              <w:spacing w:before="480" w:after="480" w:line="360" w:lineRule="auto"/>
              <w:jc w:val="left"/>
              <w:rPr>
                <w:sz w:val="21"/>
                <w:szCs w:val="21"/>
                <w:lang w:val="en-US" w:eastAsia="en-US"/>
              </w:rPr>
            </w:pPr>
            <w:r>
              <w:rPr>
                <w:sz w:val="21"/>
                <w:szCs w:val="21"/>
                <w:lang w:val="en-US" w:eastAsia="en-US"/>
              </w:rPr>
              <w:t>Events such as the Apple Keynote for new product releases.</w:t>
            </w:r>
          </w:p>
        </w:tc>
      </w:tr>
      <w:tr>
        <w:tc>
          <w:tcPr>
            <w:shd w:val="clear" w:color="auto" w:fill="FBE4D5"/>
          </w:tcPr>
          <w:p>
            <w:pPr>
              <w:spacing w:before="480" w:after="480" w:line="360" w:lineRule="auto"/>
              <w:jc w:val="left"/>
              <w:rPr>
                <w:sz w:val="21"/>
                <w:szCs w:val="21"/>
                <w:lang w:val="en-US" w:eastAsia="en-US"/>
              </w:rPr>
            </w:pPr>
            <w:r>
              <w:rPr>
                <w:sz w:val="21"/>
                <w:szCs w:val="21"/>
                <w:lang w:val="en-US" w:eastAsia="en-US"/>
              </w:rPr>
              <w:t>Service</w:t>
            </w:r>
          </w:p>
        </w:tc>
        <w:tc>
          <w:tcPr>
            <w:shd w:val="clear" w:color="auto" w:fill="FBE4D5"/>
          </w:tcPr>
          <w:p>
            <w:pPr>
              <w:spacing w:before="480" w:after="480" w:line="360" w:lineRule="auto"/>
              <w:jc w:val="left"/>
              <w:rPr>
                <w:sz w:val="21"/>
                <w:szCs w:val="21"/>
                <w:lang w:val="en-US" w:eastAsia="en-US"/>
              </w:rPr>
            </w:pPr>
            <w:r>
              <w:rPr>
                <w:sz w:val="21"/>
                <w:szCs w:val="21"/>
                <w:lang w:val="en-US" w:eastAsia="en-US"/>
              </w:rPr>
              <w:t>Customer Support</w:t>
            </w:r>
          </w:p>
        </w:tc>
        <w:tc>
          <w:tcPr>
            <w:shd w:val="clear" w:color="auto" w:fill="FBE4D5"/>
          </w:tcPr>
          <w:p>
            <w:pPr>
              <w:spacing w:before="480" w:after="480" w:line="360" w:lineRule="auto"/>
              <w:jc w:val="left"/>
              <w:rPr>
                <w:sz w:val="21"/>
                <w:szCs w:val="21"/>
                <w:lang w:val="en-US" w:eastAsia="en-US"/>
              </w:rPr>
            </w:pPr>
            <w:r>
              <w:rPr>
                <w:sz w:val="21"/>
                <w:szCs w:val="21"/>
                <w:lang w:val="en-US" w:eastAsia="en-US"/>
              </w:rPr>
              <w:t>The Genius Bar at Apple Stores, AppleCare, etc.</w:t>
            </w:r>
          </w:p>
        </w:tc>
      </w:tr>
      <w:tr>
        <w:tc>
          <w:tcPr/>
          <w:p>
            <w:pPr>
              <w:spacing w:before="480" w:after="480" w:line="360" w:lineRule="auto"/>
              <w:jc w:val="left"/>
              <w:rPr>
                <w:sz w:val="21"/>
                <w:szCs w:val="21"/>
                <w:lang w:val="en-US" w:eastAsia="en-US"/>
              </w:rPr>
            </w:pPr>
          </w:p>
        </w:tc>
        <w:tc>
          <w:tcPr/>
          <w:p>
            <w:pPr>
              <w:spacing w:before="480" w:after="480" w:line="360" w:lineRule="auto"/>
              <w:jc w:val="left"/>
              <w:rPr>
                <w:sz w:val="21"/>
                <w:szCs w:val="21"/>
                <w:lang w:val="en-US" w:eastAsia="en-US"/>
              </w:rPr>
            </w:pPr>
            <w:r>
              <w:rPr>
                <w:sz w:val="21"/>
                <w:szCs w:val="21"/>
                <w:lang w:val="en-US" w:eastAsia="en-US"/>
              </w:rPr>
              <w:t>Software Updates</w:t>
            </w:r>
          </w:p>
        </w:tc>
        <w:tc>
          <w:tcPr/>
          <w:p>
            <w:pPr>
              <w:spacing w:before="480" w:after="480" w:line="360" w:lineRule="auto"/>
              <w:jc w:val="left"/>
              <w:rPr>
                <w:sz w:val="21"/>
                <w:szCs w:val="21"/>
                <w:lang w:val="en-US" w:eastAsia="en-US"/>
              </w:rPr>
            </w:pPr>
            <w:r>
              <w:rPr>
                <w:sz w:val="21"/>
                <w:szCs w:val="21"/>
                <w:lang w:val="en-US" w:eastAsia="en-US"/>
              </w:rPr>
              <w:t>Regular iOS, macOS updates ensuring product functionality and security.</w:t>
            </w:r>
          </w:p>
        </w:tc>
      </w:tr>
      <w:tr>
        <w:tc>
          <w:tcPr>
            <w:shd w:val="clear" w:color="auto" w:fill="FBE4D5"/>
          </w:tcPr>
          <w:p>
            <w:pPr>
              <w:spacing w:before="480" w:after="480" w:line="360" w:lineRule="auto"/>
              <w:jc w:val="left"/>
              <w:rPr>
                <w:sz w:val="21"/>
                <w:szCs w:val="21"/>
                <w:lang w:val="en-US" w:eastAsia="en-US"/>
              </w:rPr>
            </w:pPr>
            <w:r>
              <w:rPr>
                <w:sz w:val="21"/>
                <w:szCs w:val="21"/>
                <w:bdr w:val="single" w:sz="2" w:space="0" w:color="D9D9E3"/>
                <w:lang w:val="en-US" w:eastAsia="en-US"/>
              </w:rPr>
              <w:t>Support Activities</w:t>
            </w:r>
          </w:p>
        </w:tc>
        <w:tc>
          <w:tcPr>
            <w:shd w:val="clear" w:color="auto" w:fill="FBE4D5"/>
          </w:tcPr>
          <w:p>
            <w:pPr>
              <w:spacing w:before="480" w:after="480" w:line="360" w:lineRule="auto"/>
              <w:jc w:val="left"/>
              <w:rPr>
                <w:sz w:val="21"/>
                <w:szCs w:val="21"/>
                <w:lang w:val="en-US" w:eastAsia="en-US"/>
              </w:rPr>
            </w:pPr>
          </w:p>
        </w:tc>
        <w:tc>
          <w:tcPr>
            <w:shd w:val="clear" w:color="auto" w:fill="FBE4D5"/>
          </w:tcPr>
          <w:p>
            <w:pPr>
              <w:spacing w:before="480" w:after="480" w:line="360" w:lineRule="auto"/>
              <w:jc w:val="left"/>
              <w:rPr>
                <w:sz w:val="20"/>
                <w:szCs w:val="20"/>
                <w:lang w:val="en-US" w:eastAsia="en-US"/>
              </w:rPr>
            </w:pPr>
          </w:p>
        </w:tc>
      </w:tr>
      <w:tr>
        <w:tc>
          <w:tcPr/>
          <w:p>
            <w:pPr>
              <w:spacing w:before="480" w:after="480" w:line="360" w:lineRule="auto"/>
              <w:jc w:val="left"/>
              <w:rPr>
                <w:sz w:val="21"/>
                <w:szCs w:val="21"/>
                <w:lang w:val="en-US" w:eastAsia="en-US"/>
              </w:rPr>
            </w:pPr>
            <w:r>
              <w:rPr>
                <w:sz w:val="21"/>
                <w:szCs w:val="21"/>
                <w:lang w:val="en-US" w:eastAsia="en-US"/>
              </w:rPr>
              <w:t>Firm's Infrastructure</w:t>
            </w:r>
          </w:p>
        </w:tc>
        <w:tc>
          <w:tcPr/>
          <w:p>
            <w:pPr>
              <w:spacing w:before="480" w:after="480" w:line="360" w:lineRule="auto"/>
              <w:jc w:val="left"/>
              <w:rPr>
                <w:sz w:val="21"/>
                <w:szCs w:val="21"/>
                <w:lang w:val="en-US" w:eastAsia="en-US"/>
              </w:rPr>
            </w:pPr>
            <w:r>
              <w:rPr>
                <w:sz w:val="21"/>
                <w:szCs w:val="21"/>
                <w:lang w:val="en-US" w:eastAsia="en-US"/>
              </w:rPr>
              <w:t>Organizational Structure</w:t>
            </w:r>
          </w:p>
        </w:tc>
        <w:tc>
          <w:tcPr/>
          <w:p>
            <w:pPr>
              <w:spacing w:before="480" w:after="480" w:line="360" w:lineRule="auto"/>
              <w:jc w:val="left"/>
              <w:rPr>
                <w:sz w:val="21"/>
                <w:szCs w:val="21"/>
                <w:lang w:val="en-US" w:eastAsia="en-US"/>
              </w:rPr>
            </w:pPr>
            <w:r>
              <w:rPr>
                <w:sz w:val="21"/>
                <w:szCs w:val="21"/>
                <w:lang w:val="en-US" w:eastAsia="en-US"/>
              </w:rPr>
              <w:t>Hierarchical structure, led by the CEO with various functional departments.</w:t>
            </w:r>
          </w:p>
        </w:tc>
      </w:tr>
      <w:tr>
        <w:tc>
          <w:tcPr>
            <w:shd w:val="clear" w:color="auto" w:fill="FBE4D5"/>
          </w:tcPr>
          <w:p>
            <w:pPr>
              <w:spacing w:before="480" w:after="480" w:line="360" w:lineRule="auto"/>
              <w:jc w:val="left"/>
              <w:rPr>
                <w:sz w:val="21"/>
                <w:szCs w:val="21"/>
                <w:lang w:val="en-US" w:eastAsia="en-US"/>
              </w:rPr>
            </w:pPr>
            <w:r>
              <w:rPr>
                <w:sz w:val="21"/>
                <w:szCs w:val="21"/>
                <w:lang w:val="en-US" w:eastAsia="en-US"/>
              </w:rPr>
              <w:t>Human Resource Management</w:t>
            </w:r>
          </w:p>
        </w:tc>
        <w:tc>
          <w:tcPr>
            <w:shd w:val="clear" w:color="auto" w:fill="FBE4D5"/>
          </w:tcPr>
          <w:p>
            <w:pPr>
              <w:spacing w:before="480" w:after="480" w:line="360" w:lineRule="auto"/>
              <w:jc w:val="left"/>
              <w:rPr>
                <w:sz w:val="21"/>
                <w:szCs w:val="21"/>
                <w:lang w:val="en-US" w:eastAsia="en-US"/>
              </w:rPr>
            </w:pPr>
            <w:r>
              <w:rPr>
                <w:sz w:val="21"/>
                <w:szCs w:val="21"/>
                <w:lang w:val="en-US" w:eastAsia="en-US"/>
              </w:rPr>
              <w:t>Training &amp; Development</w:t>
            </w:r>
          </w:p>
        </w:tc>
        <w:tc>
          <w:tcPr>
            <w:shd w:val="clear" w:color="auto" w:fill="FBE4D5"/>
          </w:tcPr>
          <w:p>
            <w:pPr>
              <w:spacing w:before="480" w:after="480" w:line="360" w:lineRule="auto"/>
              <w:jc w:val="left"/>
              <w:rPr>
                <w:sz w:val="21"/>
                <w:szCs w:val="21"/>
                <w:lang w:val="en-US" w:eastAsia="en-US"/>
              </w:rPr>
            </w:pPr>
            <w:r>
              <w:rPr>
                <w:sz w:val="21"/>
                <w:szCs w:val="21"/>
                <w:lang w:val="en-US" w:eastAsia="en-US"/>
              </w:rPr>
              <w:t>Employee training programs, especially for Apple Store employees.</w:t>
            </w:r>
          </w:p>
        </w:tc>
      </w:tr>
      <w:tr>
        <w:tc>
          <w:tcPr/>
          <w:p>
            <w:pPr>
              <w:spacing w:before="480" w:after="480" w:line="360" w:lineRule="auto"/>
              <w:jc w:val="left"/>
              <w:rPr>
                <w:sz w:val="21"/>
                <w:szCs w:val="21"/>
                <w:lang w:val="en-US" w:eastAsia="en-US"/>
              </w:rPr>
            </w:pPr>
          </w:p>
        </w:tc>
        <w:tc>
          <w:tcPr/>
          <w:p>
            <w:pPr>
              <w:spacing w:before="480" w:after="480" w:line="360" w:lineRule="auto"/>
              <w:jc w:val="left"/>
              <w:rPr>
                <w:sz w:val="21"/>
                <w:szCs w:val="21"/>
                <w:lang w:val="en-US" w:eastAsia="en-US"/>
              </w:rPr>
            </w:pPr>
            <w:r>
              <w:rPr>
                <w:sz w:val="21"/>
                <w:szCs w:val="21"/>
                <w:lang w:val="en-US" w:eastAsia="en-US"/>
              </w:rPr>
              <w:t>Recruitment</w:t>
            </w:r>
          </w:p>
        </w:tc>
        <w:tc>
          <w:tcPr/>
          <w:p>
            <w:pPr>
              <w:spacing w:before="480" w:after="480" w:line="360" w:lineRule="auto"/>
              <w:jc w:val="left"/>
              <w:rPr>
                <w:sz w:val="21"/>
                <w:szCs w:val="21"/>
                <w:lang w:val="en-US" w:eastAsia="en-US"/>
              </w:rPr>
            </w:pPr>
            <w:r>
              <w:rPr>
                <w:sz w:val="21"/>
                <w:szCs w:val="21"/>
                <w:lang w:val="en-US" w:eastAsia="en-US"/>
              </w:rPr>
              <w:t>Hiring top talent for design, engineering, marketing, etc.</w:t>
            </w:r>
          </w:p>
        </w:tc>
      </w:tr>
      <w:tr>
        <w:tc>
          <w:tcPr>
            <w:shd w:val="clear" w:color="auto" w:fill="FBE4D5"/>
          </w:tcPr>
          <w:p>
            <w:pPr>
              <w:spacing w:before="480" w:after="480" w:line="360" w:lineRule="auto"/>
              <w:jc w:val="left"/>
              <w:rPr>
                <w:sz w:val="21"/>
                <w:szCs w:val="21"/>
                <w:lang w:val="en-US" w:eastAsia="en-US"/>
              </w:rPr>
            </w:pPr>
            <w:r>
              <w:rPr>
                <w:sz w:val="21"/>
                <w:szCs w:val="21"/>
                <w:lang w:val="en-US" w:eastAsia="en-US"/>
              </w:rPr>
              <w:t>Technology Development</w:t>
            </w:r>
          </w:p>
        </w:tc>
        <w:tc>
          <w:tcPr>
            <w:shd w:val="clear" w:color="auto" w:fill="FBE4D5"/>
          </w:tcPr>
          <w:p>
            <w:pPr>
              <w:spacing w:before="480" w:after="480" w:line="360" w:lineRule="auto"/>
              <w:jc w:val="left"/>
              <w:rPr>
                <w:sz w:val="21"/>
                <w:szCs w:val="21"/>
                <w:lang w:val="en-US" w:eastAsia="en-US"/>
              </w:rPr>
            </w:pPr>
            <w:r>
              <w:rPr>
                <w:sz w:val="21"/>
                <w:szCs w:val="21"/>
                <w:lang w:val="en-US" w:eastAsia="en-US"/>
              </w:rPr>
              <w:t>R&amp;D</w:t>
            </w:r>
          </w:p>
        </w:tc>
        <w:tc>
          <w:tcPr>
            <w:shd w:val="clear" w:color="auto" w:fill="FBE4D5"/>
          </w:tcPr>
          <w:p>
            <w:pPr>
              <w:spacing w:before="480" w:after="480" w:line="360" w:lineRule="auto"/>
              <w:jc w:val="left"/>
              <w:rPr>
                <w:sz w:val="21"/>
                <w:szCs w:val="21"/>
                <w:lang w:val="en-US" w:eastAsia="en-US"/>
              </w:rPr>
            </w:pPr>
            <w:r>
              <w:rPr>
                <w:sz w:val="21"/>
                <w:szCs w:val="21"/>
                <w:lang w:val="en-US" w:eastAsia="en-US"/>
              </w:rPr>
              <w:t>Research into new technologies, innovations for products like iPhone, Apple Watch, etc.</w:t>
            </w:r>
          </w:p>
        </w:tc>
      </w:tr>
      <w:tr>
        <w:tc>
          <w:tcPr/>
          <w:p>
            <w:pPr>
              <w:spacing w:before="480" w:after="480" w:line="360" w:lineRule="auto"/>
              <w:jc w:val="left"/>
              <w:rPr>
                <w:sz w:val="21"/>
                <w:szCs w:val="21"/>
                <w:lang w:val="en-US" w:eastAsia="en-US"/>
              </w:rPr>
            </w:pPr>
          </w:p>
        </w:tc>
        <w:tc>
          <w:tcPr/>
          <w:p>
            <w:pPr>
              <w:spacing w:before="480" w:after="480" w:line="360" w:lineRule="auto"/>
              <w:jc w:val="left"/>
              <w:rPr>
                <w:sz w:val="21"/>
                <w:szCs w:val="21"/>
                <w:lang w:val="en-US" w:eastAsia="en-US"/>
              </w:rPr>
            </w:pPr>
            <w:r>
              <w:rPr>
                <w:sz w:val="21"/>
                <w:szCs w:val="21"/>
                <w:lang w:val="en-US" w:eastAsia="en-US"/>
              </w:rPr>
              <w:t>Software Development</w:t>
            </w:r>
          </w:p>
        </w:tc>
        <w:tc>
          <w:tcPr/>
          <w:p>
            <w:pPr>
              <w:spacing w:before="480" w:after="480" w:line="360" w:lineRule="auto"/>
              <w:jc w:val="left"/>
              <w:rPr>
                <w:sz w:val="21"/>
                <w:szCs w:val="21"/>
                <w:lang w:val="en-US" w:eastAsia="en-US"/>
              </w:rPr>
            </w:pPr>
            <w:r>
              <w:rPr>
                <w:sz w:val="21"/>
                <w:szCs w:val="21"/>
                <w:lang w:val="en-US" w:eastAsia="en-US"/>
              </w:rPr>
              <w:t>iOS, macOS, watchOS, etc.</w:t>
            </w:r>
          </w:p>
        </w:tc>
      </w:tr>
      <w:tr>
        <w:tc>
          <w:tcPr>
            <w:shd w:val="clear" w:color="auto" w:fill="FBE4D5"/>
          </w:tcPr>
          <w:p>
            <w:pPr>
              <w:spacing w:before="480" w:after="480" w:line="360" w:lineRule="auto"/>
              <w:jc w:val="left"/>
              <w:rPr>
                <w:sz w:val="21"/>
                <w:szCs w:val="21"/>
                <w:lang w:val="en-US" w:eastAsia="en-US"/>
              </w:rPr>
            </w:pPr>
            <w:r>
              <w:rPr>
                <w:sz w:val="21"/>
                <w:szCs w:val="21"/>
                <w:lang w:val="en-US" w:eastAsia="en-US"/>
              </w:rPr>
              <w:t>Procurement</w:t>
            </w:r>
          </w:p>
        </w:tc>
        <w:tc>
          <w:tcPr>
            <w:shd w:val="clear" w:color="auto" w:fill="FBE4D5"/>
          </w:tcPr>
          <w:p>
            <w:pPr>
              <w:spacing w:before="480" w:after="480" w:line="360" w:lineRule="auto"/>
              <w:jc w:val="left"/>
              <w:rPr>
                <w:sz w:val="21"/>
                <w:szCs w:val="21"/>
                <w:lang w:val="en-US" w:eastAsia="en-US"/>
              </w:rPr>
            </w:pPr>
            <w:r>
              <w:rPr>
                <w:sz w:val="21"/>
                <w:szCs w:val="21"/>
                <w:lang w:val="en-US" w:eastAsia="en-US"/>
              </w:rPr>
              <w:t>Sourcing</w:t>
            </w:r>
          </w:p>
        </w:tc>
        <w:tc>
          <w:tcPr>
            <w:shd w:val="clear" w:color="auto" w:fill="FBE4D5"/>
          </w:tcPr>
          <w:p>
            <w:pPr>
              <w:spacing w:before="480" w:after="480" w:line="360" w:lineRule="auto"/>
              <w:jc w:val="left"/>
              <w:rPr>
                <w:sz w:val="21"/>
                <w:szCs w:val="21"/>
                <w:lang w:val="en-US" w:eastAsia="en-US"/>
              </w:rPr>
            </w:pPr>
            <w:r>
              <w:rPr>
                <w:sz w:val="21"/>
                <w:szCs w:val="21"/>
                <w:lang w:val="en-US" w:eastAsia="en-US"/>
              </w:rPr>
              <w:t>Acquiring raw materials and components, e.g., securing rare metals for device production.</w:t>
            </w:r>
          </w:p>
        </w:tc>
      </w:tr>
    </w:tbl>
    <w:p>
      <w:pPr>
        <w:rPr>
          <w:color w:val="000000"/>
        </w:rPr>
      </w:pPr>
    </w:p>
    <w:p>
      <w:pPr>
        <w:rPr>
          <w:color w:val="000000"/>
        </w:rPr>
      </w:pPr>
    </w:p>
    <w:p>
      <w:pPr>
        <w:jc w:val="left"/>
        <w:rPr>
          <w:color w:val="000000"/>
        </w:rPr>
      </w:pPr>
    </w:p>
    <w:p>
      <w:pPr>
        <w:jc w:val="left"/>
        <w:rPr>
          <w:b/>
          <w:color w:val="000000"/>
        </w:rPr>
      </w:pPr>
      <w:r>
        <w:rPr>
          <w:b/>
          <w:color w:val="000000"/>
        </w:rPr>
        <w:t>SWOT Analysis of Apple</w:t>
      </w:r>
    </w:p>
    <w:p>
      <w:pPr>
        <w:jc w:val="left"/>
        <w:rPr>
          <w:b/>
          <w:color w:val="000000"/>
        </w:rPr>
      </w:pPr>
    </w:p>
    <w:p>
      <w:pPr>
        <w:jc w:val="left"/>
        <w:rPr>
          <w:b/>
          <w:color w:val="000000"/>
        </w:rPr>
      </w:pPr>
    </w:p>
    <w:tbl>
      <w:tblPr>
        <w:jc w:val="cente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Pr>
      <w:tblGrid>
        <w:gridCol w:w="4680"/>
        <w:gridCol w:w="4680"/>
      </w:tblGrid>
      <w:tr>
        <w:tc>
          <w:tcPr>
            <w:tcW w:w="4680" w:type="dxa"/>
            <w:shd w:val="clear" w:color="auto" w:fill="auto"/>
          </w:tcPr>
          <w:p>
            <w:pPr>
              <w:widowControl w:val="0"/>
              <w:pBdr>
                <w:top w:val="none" w:sz="0" w:space="0" w:color="auto"/>
                <w:left w:val="none" w:sz="0" w:space="0" w:color="auto"/>
                <w:bottom w:val="none" w:sz="0" w:space="0" w:color="auto"/>
                <w:right w:val="none" w:sz="0" w:space="0" w:color="auto"/>
                <w:between w:val="none" w:sz="0" w:space="0" w:color="auto"/>
              </w:pBdr>
              <w:jc w:val="center"/>
              <w:rPr>
                <w:b/>
                <w:bCs/>
                <w:color w:val="000000"/>
              </w:rPr>
            </w:pPr>
            <w:r>
              <w:rPr>
                <w:b/>
                <w:bCs/>
                <w:color w:val="000000"/>
              </w:rPr>
              <w:t>Strength</w:t>
            </w:r>
          </w:p>
        </w:tc>
        <w:tc>
          <w:tcPr>
            <w:tcW w:w="4680" w:type="dxa"/>
            <w:shd w:val="clear" w:color="auto" w:fill="auto"/>
          </w:tcPr>
          <w:p>
            <w:pPr>
              <w:widowControl w:val="0"/>
              <w:pBdr>
                <w:top w:val="none" w:sz="0" w:space="0" w:color="auto"/>
                <w:left w:val="none" w:sz="0" w:space="0" w:color="auto"/>
                <w:bottom w:val="none" w:sz="0" w:space="0" w:color="auto"/>
                <w:right w:val="none" w:sz="0" w:space="0" w:color="auto"/>
                <w:between w:val="none" w:sz="0" w:space="0" w:color="auto"/>
              </w:pBdr>
              <w:jc w:val="center"/>
              <w:rPr>
                <w:b/>
                <w:bCs/>
                <w:color w:val="000000"/>
              </w:rPr>
            </w:pPr>
            <w:r>
              <w:rPr>
                <w:b/>
                <w:bCs/>
                <w:color w:val="000000"/>
              </w:rPr>
              <w:t>Weaknesses</w:t>
            </w:r>
          </w:p>
        </w:tc>
      </w:tr>
      <w:tr>
        <w:tc>
          <w:tcPr>
            <w:tcW w:w="4680" w:type="dxa"/>
            <w:shd w:val="clear" w:color="auto" w:fill="auto"/>
          </w:tcPr>
          <w:p>
            <w:pPr>
              <w:pStyle w:val="19"/>
              <w:numPr>
                <w:ilvl w:val="0"/>
                <w:numId w:val="6"/>
              </w:numPr>
              <w:rPr>
                <w:color w:val="000000"/>
              </w:rPr>
            </w:pPr>
            <w:r>
              <w:rPr>
                <w:color w:val="000000"/>
              </w:rPr>
              <w:t>Apple has held the top brand position for 9 years, valued at $409 billion (Li, 2021).</w:t>
            </w:r>
          </w:p>
          <w:p>
            <w:pPr>
              <w:pStyle w:val="19"/>
              <w:numPr>
                <w:ilvl w:val="0"/>
                <w:numId w:val="6"/>
              </w:numPr>
            </w:pPr>
            <w:r>
              <w:t>Recognized for premium computers and smart devices.</w:t>
            </w:r>
          </w:p>
          <w:p>
            <w:pPr>
              <w:pStyle w:val="19"/>
              <w:numPr>
                <w:ilvl w:val="0"/>
                <w:numId w:val="6"/>
              </w:numPr>
            </w:pPr>
            <w:r>
              <w:t>Leading innovator in the IT world.</w:t>
            </w:r>
          </w:p>
          <w:p>
            <w:pPr>
              <w:pStyle w:val="19"/>
              <w:numPr>
                <w:ilvl w:val="0"/>
                <w:numId w:val="6"/>
              </w:numPr>
            </w:pPr>
            <w:r>
              <w:t>Significant loyal customer base (Chen et al. 2023).</w:t>
            </w:r>
          </w:p>
          <w:p>
            <w:pPr>
              <w:pStyle w:val="19"/>
              <w:numPr>
                <w:ilvl w:val="0"/>
                <w:numId w:val="6"/>
              </w:numPr>
            </w:pPr>
            <w:r>
              <w:t>Dedicates $26.25B to R&amp;D, 7% of its revenue (Dong-Ning and Ni, 2021).</w:t>
            </w:r>
          </w:p>
          <w:p>
            <w:pPr>
              <w:pStyle w:val="19"/>
              <w:numPr>
                <w:ilvl w:val="0"/>
                <w:numId w:val="6"/>
              </w:numPr>
            </w:pPr>
            <w:r>
              <w:t>Liam, their recycling robot, emphasizes sustainability.</w:t>
            </w:r>
          </w:p>
          <w:p>
            <w:pPr>
              <w:pStyle w:val="19"/>
              <w:numPr>
                <w:ilvl w:val="0"/>
                <w:numId w:val="6"/>
              </w:numPr>
            </w:pPr>
            <w:r>
              <w:t xml:space="preserve">20% revenue from devices other than iPhones. </w:t>
            </w:r>
          </w:p>
        </w:tc>
        <w:tc>
          <w:tcPr>
            <w:tcW w:w="4680" w:type="dxa"/>
            <w:shd w:val="clear" w:color="auto" w:fill="auto"/>
          </w:tcPr>
          <w:p>
            <w:pPr>
              <w:rPr>
                <w:color w:val="000000"/>
              </w:rPr>
            </w:pPr>
            <w:r>
              <w:rPr>
                <w:color w:val="000000"/>
              </w:rPr>
              <w:t>1. High-priced products restrict many consumers.</w:t>
            </w:r>
          </w:p>
          <w:p>
            <w:pPr>
              <w:rPr>
                <w:color w:val="000000"/>
              </w:rPr>
            </w:pPr>
            <w:r>
              <w:rPr>
                <w:color w:val="000000"/>
              </w:rPr>
              <w:t>2. Limited advertising outreach.</w:t>
            </w:r>
          </w:p>
          <w:p>
            <w:pPr>
              <w:rPr>
                <w:color w:val="000000"/>
              </w:rPr>
            </w:pPr>
            <w:r>
              <w:rPr>
                <w:color w:val="000000"/>
              </w:rPr>
              <w:t>3. Venturing into less familiar domains like streaming (Chen et al. 2021).</w:t>
            </w:r>
          </w:p>
          <w:p>
            <w:pPr>
              <w:rPr>
                <w:color w:val="000000"/>
              </w:rPr>
            </w:pPr>
            <w:r>
              <w:rPr>
                <w:color w:val="000000"/>
              </w:rPr>
              <w:t>4. Proprietary software limits user adaptability.</w:t>
            </w:r>
          </w:p>
          <w:p>
            <w:pPr>
              <w:rPr>
                <w:color w:val="000000"/>
              </w:rPr>
            </w:pPr>
            <w:r>
              <w:rPr>
                <w:color w:val="000000"/>
              </w:rPr>
              <w:t>5. Data privacy concerns (Singh, 2022).</w:t>
            </w:r>
          </w:p>
          <w:p>
            <w:pPr>
              <w:rPr>
                <w:color w:val="000000"/>
              </w:rPr>
            </w:pPr>
            <w:r>
              <w:rPr>
                <w:color w:val="000000"/>
              </w:rPr>
              <w:t>6. Safari remains the default over Google search.</w:t>
            </w:r>
          </w:p>
          <w:p>
            <w:pPr>
              <w:widowControl w:val="0"/>
              <w:pBdr>
                <w:top w:val="none" w:sz="0" w:space="0" w:color="auto"/>
                <w:left w:val="none" w:sz="0" w:space="0" w:color="auto"/>
                <w:bottom w:val="none" w:sz="0" w:space="0" w:color="auto"/>
                <w:right w:val="none" w:sz="0" w:space="0" w:color="auto"/>
                <w:between w:val="none" w:sz="0" w:space="0" w:color="auto"/>
              </w:pBdr>
              <w:rPr>
                <w:color w:val="000000"/>
              </w:rPr>
            </w:pPr>
            <w:r>
              <w:rPr>
                <w:color w:val="000000"/>
              </w:rPr>
              <w:t>7. Inadequate Parental Control features.</w:t>
            </w:r>
          </w:p>
        </w:tc>
      </w:tr>
      <w:tr>
        <w:tc>
          <w:tcPr>
            <w:tcW w:w="4680" w:type="dxa"/>
            <w:shd w:val="clear" w:color="auto" w:fill="auto"/>
          </w:tcPr>
          <w:p>
            <w:pPr>
              <w:widowControl w:val="0"/>
              <w:pBdr>
                <w:top w:val="none" w:sz="0" w:space="0" w:color="auto"/>
                <w:left w:val="none" w:sz="0" w:space="0" w:color="auto"/>
                <w:bottom w:val="none" w:sz="0" w:space="0" w:color="auto"/>
                <w:right w:val="none" w:sz="0" w:space="0" w:color="auto"/>
                <w:between w:val="none" w:sz="0" w:space="0" w:color="auto"/>
              </w:pBdr>
              <w:jc w:val="center"/>
              <w:rPr>
                <w:b/>
                <w:bCs/>
                <w:color w:val="000000"/>
              </w:rPr>
            </w:pPr>
            <w:r>
              <w:rPr>
                <w:b/>
                <w:bCs/>
                <w:color w:val="000000"/>
              </w:rPr>
              <w:t>Opportunities</w:t>
            </w:r>
          </w:p>
        </w:tc>
        <w:tc>
          <w:tcPr>
            <w:tcW w:w="4680" w:type="dxa"/>
            <w:shd w:val="clear" w:color="auto" w:fill="auto"/>
          </w:tcPr>
          <w:p>
            <w:pPr>
              <w:widowControl w:val="0"/>
              <w:pBdr>
                <w:top w:val="none" w:sz="0" w:space="0" w:color="auto"/>
                <w:left w:val="none" w:sz="0" w:space="0" w:color="auto"/>
                <w:bottom w:val="none" w:sz="0" w:space="0" w:color="auto"/>
                <w:right w:val="none" w:sz="0" w:space="0" w:color="auto"/>
                <w:between w:val="none" w:sz="0" w:space="0" w:color="auto"/>
              </w:pBdr>
              <w:jc w:val="center"/>
              <w:rPr>
                <w:b/>
                <w:bCs/>
                <w:color w:val="000000"/>
              </w:rPr>
            </w:pPr>
            <w:r>
              <w:rPr>
                <w:b/>
                <w:bCs/>
                <w:color w:val="000000"/>
              </w:rPr>
              <w:t>Threats</w:t>
            </w:r>
          </w:p>
        </w:tc>
      </w:tr>
      <w:tr>
        <w:tc>
          <w:tcPr>
            <w:tcW w:w="4680" w:type="dxa"/>
            <w:shd w:val="clear" w:color="auto" w:fill="auto"/>
          </w:tcPr>
          <w:p>
            <w:pPr>
              <w:pStyle w:val="19"/>
              <w:rPr>
                <w:color w:val="000000"/>
              </w:rPr>
            </w:pPr>
            <w:r>
              <w:rPr>
                <w:color w:val="000000"/>
              </w:rPr>
              <w:t>1. Global customer retention at 92% (Tian et al. 2022).</w:t>
            </w:r>
          </w:p>
          <w:p>
            <w:pPr>
              <w:pStyle w:val="19"/>
            </w:pPr>
            <w:r>
              <w:t>2. Hires top-tier professionals for best customer experience.</w:t>
            </w:r>
          </w:p>
          <w:p>
            <w:pPr>
              <w:pStyle w:val="19"/>
            </w:pPr>
            <w:r>
              <w:t>3. Growing global distribution and manufacturing.</w:t>
            </w:r>
          </w:p>
          <w:p>
            <w:pPr>
              <w:pStyle w:val="19"/>
            </w:pPr>
            <w:r>
              <w:t>4. $10B investment in sustainable tech.</w:t>
            </w:r>
          </w:p>
          <w:p>
            <w:pPr>
              <w:pStyle w:val="19"/>
            </w:pPr>
            <w:r>
              <w:t>5. Pioneered a $27B smart wearables industry (Choi et al. 2021).</w:t>
            </w:r>
          </w:p>
          <w:p>
            <w:pPr>
              <w:pStyle w:val="19"/>
            </w:pPr>
            <w:r>
              <w:t>6. Acquired Ragin, enhancing AI research.</w:t>
            </w:r>
          </w:p>
          <w:p>
            <w:pPr>
              <w:pStyle w:val="19"/>
            </w:pPr>
            <w:r>
              <w:t>7. Music streaming available in 52 global markets.</w:t>
            </w:r>
          </w:p>
          <w:p>
            <w:pPr>
              <w:pStyle w:val="19"/>
            </w:pPr>
            <w:r>
              <w:t>8. Exploring self-driving tech and potential car production.</w:t>
            </w:r>
          </w:p>
          <w:p>
            <w:pPr>
              <w:pStyle w:val="19"/>
            </w:pPr>
            <w:r>
              <w:t>9. Developing in-house semiconductors and chipsets.</w:t>
            </w:r>
          </w:p>
        </w:tc>
        <w:tc>
          <w:tcPr>
            <w:tcW w:w="4680" w:type="dxa"/>
            <w:shd w:val="clear" w:color="auto" w:fill="auto"/>
          </w:tcPr>
          <w:p>
            <w:pPr>
              <w:rPr>
                <w:color w:val="000000"/>
              </w:rPr>
            </w:pPr>
            <w:r>
              <w:rPr>
                <w:color w:val="000000"/>
              </w:rPr>
              <w:t>1. 92% customer retention (Tian et al. 2022).</w:t>
            </w:r>
          </w:p>
          <w:p>
            <w:pPr>
              <w:pStyle w:val="19"/>
              <w:rPr>
                <w:color w:val="000000"/>
              </w:rPr>
            </w:pPr>
            <w:r>
              <w:rPr>
                <w:color w:val="000000"/>
              </w:rPr>
              <w:t>2. Employs elite professionals for premium service.</w:t>
            </w:r>
          </w:p>
          <w:p>
            <w:pPr>
              <w:pStyle w:val="19"/>
              <w:rPr>
                <w:color w:val="000000"/>
              </w:rPr>
            </w:pPr>
            <w:r>
              <w:rPr>
                <w:color w:val="000000"/>
              </w:rPr>
              <w:t>3. Expanding global operations.</w:t>
            </w:r>
          </w:p>
          <w:p>
            <w:pPr>
              <w:pStyle w:val="19"/>
              <w:rPr>
                <w:color w:val="000000"/>
              </w:rPr>
            </w:pPr>
            <w:r>
              <w:rPr>
                <w:color w:val="000000"/>
              </w:rPr>
              <w:t>4. Invested $10B in green tech.</w:t>
            </w:r>
          </w:p>
          <w:p>
            <w:pPr>
              <w:pStyle w:val="19"/>
              <w:rPr>
                <w:color w:val="000000"/>
              </w:rPr>
            </w:pPr>
            <w:r>
              <w:rPr>
                <w:color w:val="000000"/>
              </w:rPr>
              <w:t>5. Led a $27B wearables market (Choi et al. 2021).</w:t>
            </w:r>
          </w:p>
          <w:p>
            <w:pPr>
              <w:pStyle w:val="19"/>
              <w:rPr>
                <w:color w:val="000000"/>
              </w:rPr>
            </w:pPr>
            <w:r>
              <w:rPr>
                <w:color w:val="000000"/>
              </w:rPr>
              <w:t>6. Boosted AI capabilities with Ragin acquisition.</w:t>
            </w:r>
          </w:p>
          <w:p>
            <w:pPr>
              <w:pStyle w:val="19"/>
              <w:rPr>
                <w:color w:val="000000"/>
              </w:rPr>
            </w:pPr>
            <w:r>
              <w:rPr>
                <w:color w:val="000000"/>
              </w:rPr>
              <w:t>7. Music streaming in 52 markets.</w:t>
            </w:r>
          </w:p>
          <w:p>
            <w:pPr>
              <w:pStyle w:val="19"/>
              <w:rPr>
                <w:color w:val="000000"/>
              </w:rPr>
            </w:pPr>
            <w:r>
              <w:rPr>
                <w:color w:val="000000"/>
              </w:rPr>
              <w:t>8. Venturing into autonomous vehicles.</w:t>
            </w:r>
          </w:p>
          <w:p>
            <w:pPr>
              <w:pStyle w:val="19"/>
              <w:rPr>
                <w:color w:val="000000"/>
              </w:rPr>
            </w:pPr>
            <w:r>
              <w:rPr>
                <w:color w:val="000000"/>
              </w:rPr>
              <w:t>9. Producing proprietary chips.</w:t>
            </w:r>
          </w:p>
        </w:tc>
      </w:tr>
    </w:tbl>
    <w:p>
      <w:pPr>
        <w:jc w:val="center"/>
        <w:rPr>
          <w:b/>
          <w:color w:val="000000"/>
        </w:rPr>
      </w:pPr>
    </w:p>
    <w:p>
      <w:pPr>
        <w:jc w:val="center"/>
        <w:rPr>
          <w:b/>
          <w:color w:val="000000"/>
        </w:rPr>
      </w:pPr>
      <w:r>
        <w:rPr>
          <w:b/>
          <w:color w:val="000000"/>
        </w:rPr>
        <w:t>Table 6: SWOT Analysis of Apple</w:t>
      </w:r>
    </w:p>
    <w:p>
      <w:pPr>
        <w:rPr>
          <w:color w:val="000000"/>
        </w:rPr>
      </w:pPr>
    </w:p>
    <w:p>
      <w:pPr>
        <w:rPr>
          <w:color w:val="000000"/>
        </w:rPr>
      </w:pPr>
      <w:r>
        <w:rPr>
          <w:color w:val="000000"/>
        </w:rPr>
        <w:t>Inefficient inventory management can harm supplier relations and disrupt Apple's supply chain. Poor forecasting can lead to supply inconsistencies, affecting supplier trust and cooperation. This mismanagement can further inconvenience customers, causing dissatisfaction and potentially harming Apple's brand (Sheth, 2020). Such supply chain challenges can lead to operational inefficiencies, additional costs, and weakened performance (Singh. and Misra, 2022). To mitigate these issues, Apple should enhance forecasting, foster supplier collaboration, employ just-in-time inventory techniques, diversify suppliers, and leverage technology for real-time insights. Addressing these can bolster Apple's supply chain, enrich customer experiences, and maintain a competitive edge.</w:t>
      </w:r>
    </w:p>
    <w:p>
      <w:pPr>
        <w:rPr>
          <w:color w:val="000000"/>
        </w:rPr>
      </w:pPr>
    </w:p>
    <w:p>
      <w:pPr>
        <w:rPr>
          <w:b/>
          <w:color w:val="000000"/>
        </w:rPr>
      </w:pPr>
      <w:r>
        <w:rPr>
          <w:b/>
          <w:color w:val="000000"/>
        </w:rPr>
        <w:t>VRIO Analysis of Apple</w:t>
      </w:r>
    </w:p>
    <w:p>
      <w:pPr>
        <w:rPr>
          <w:color w:val="000000"/>
        </w:rPr>
      </w:pPr>
    </w:p>
    <w:tbl>
      <w:tblPr>
        <w:jc w:val="cente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Pr>
      <w:tblGrid>
        <w:gridCol w:w="2115"/>
        <w:gridCol w:w="1286"/>
        <w:gridCol w:w="1286"/>
        <w:gridCol w:w="1286"/>
        <w:gridCol w:w="1286"/>
        <w:gridCol w:w="2100"/>
      </w:tblGrid>
      <w:tr>
        <w:tc>
          <w:tcPr>
            <w:tcW w:w="2115" w:type="dxa"/>
            <w:shd w:val="clear" w:color="auto" w:fill="auto"/>
          </w:tcPr>
          <w:p>
            <w:pPr>
              <w:widowControl w:val="0"/>
              <w:pBdr>
                <w:top w:val="none" w:sz="0" w:space="0" w:color="auto"/>
                <w:left w:val="none" w:sz="0" w:space="0" w:color="auto"/>
                <w:bottom w:val="none" w:sz="0" w:space="0" w:color="auto"/>
                <w:right w:val="none" w:sz="0" w:space="0" w:color="auto"/>
                <w:between w:val="none" w:sz="0" w:space="0" w:color="auto"/>
              </w:pBdr>
              <w:rPr>
                <w:color w:val="000000"/>
              </w:rPr>
            </w:pPr>
            <w:r>
              <w:rPr>
                <w:color w:val="000000"/>
              </w:rPr>
              <w:t>Competencies</w:t>
            </w:r>
          </w:p>
        </w:tc>
        <w:tc>
          <w:tcPr>
            <w:tcW w:w="1286" w:type="dxa"/>
            <w:shd w:val="clear" w:color="auto" w:fill="auto"/>
          </w:tcPr>
          <w:p>
            <w:pPr>
              <w:widowControl w:val="0"/>
              <w:pBdr>
                <w:top w:val="none" w:sz="0" w:space="0" w:color="auto"/>
                <w:left w:val="none" w:sz="0" w:space="0" w:color="auto"/>
                <w:bottom w:val="none" w:sz="0" w:space="0" w:color="auto"/>
                <w:right w:val="none" w:sz="0" w:space="0" w:color="auto"/>
                <w:between w:val="none" w:sz="0" w:space="0" w:color="auto"/>
              </w:pBdr>
              <w:rPr>
                <w:color w:val="000000"/>
              </w:rPr>
            </w:pPr>
            <w:r>
              <w:rPr>
                <w:color w:val="000000"/>
              </w:rPr>
              <w:t>Valuable</w:t>
            </w:r>
          </w:p>
        </w:tc>
        <w:tc>
          <w:tcPr>
            <w:tcW w:w="1286" w:type="dxa"/>
            <w:shd w:val="clear" w:color="auto" w:fill="auto"/>
          </w:tcPr>
          <w:p>
            <w:pPr>
              <w:widowControl w:val="0"/>
              <w:pBdr>
                <w:top w:val="none" w:sz="0" w:space="0" w:color="auto"/>
                <w:left w:val="none" w:sz="0" w:space="0" w:color="auto"/>
                <w:bottom w:val="none" w:sz="0" w:space="0" w:color="auto"/>
                <w:right w:val="none" w:sz="0" w:space="0" w:color="auto"/>
                <w:between w:val="none" w:sz="0" w:space="0" w:color="auto"/>
              </w:pBdr>
              <w:rPr>
                <w:color w:val="000000"/>
              </w:rPr>
            </w:pPr>
            <w:r>
              <w:rPr>
                <w:color w:val="000000"/>
              </w:rPr>
              <w:t xml:space="preserve"> Rare</w:t>
            </w:r>
          </w:p>
        </w:tc>
        <w:tc>
          <w:tcPr>
            <w:tcW w:w="1286" w:type="dxa"/>
            <w:shd w:val="clear" w:color="auto" w:fill="auto"/>
          </w:tcPr>
          <w:p>
            <w:pPr>
              <w:widowControl w:val="0"/>
              <w:pBdr>
                <w:top w:val="none" w:sz="0" w:space="0" w:color="auto"/>
                <w:left w:val="none" w:sz="0" w:space="0" w:color="auto"/>
                <w:bottom w:val="none" w:sz="0" w:space="0" w:color="auto"/>
                <w:right w:val="none" w:sz="0" w:space="0" w:color="auto"/>
                <w:between w:val="none" w:sz="0" w:space="0" w:color="auto"/>
              </w:pBdr>
              <w:rPr>
                <w:color w:val="000000"/>
              </w:rPr>
            </w:pPr>
            <w:r>
              <w:rPr>
                <w:color w:val="000000"/>
              </w:rPr>
              <w:t>Inimitable</w:t>
            </w:r>
          </w:p>
        </w:tc>
        <w:tc>
          <w:tcPr>
            <w:tcW w:w="1286" w:type="dxa"/>
            <w:shd w:val="clear" w:color="auto" w:fill="auto"/>
          </w:tcPr>
          <w:p>
            <w:pPr>
              <w:widowControl w:val="0"/>
              <w:pBdr>
                <w:top w:val="none" w:sz="0" w:space="0" w:color="auto"/>
                <w:left w:val="none" w:sz="0" w:space="0" w:color="auto"/>
                <w:bottom w:val="none" w:sz="0" w:space="0" w:color="auto"/>
                <w:right w:val="none" w:sz="0" w:space="0" w:color="auto"/>
                <w:between w:val="none" w:sz="0" w:space="0" w:color="auto"/>
              </w:pBdr>
              <w:rPr>
                <w:color w:val="000000"/>
              </w:rPr>
            </w:pPr>
            <w:r>
              <w:rPr>
                <w:color w:val="000000"/>
              </w:rPr>
              <w:t>Organisation</w:t>
            </w:r>
          </w:p>
        </w:tc>
        <w:tc>
          <w:tcPr>
            <w:tcW w:w="2100" w:type="dxa"/>
            <w:shd w:val="clear" w:color="auto" w:fill="auto"/>
          </w:tcPr>
          <w:p>
            <w:pPr>
              <w:widowControl w:val="0"/>
              <w:pBdr>
                <w:top w:val="none" w:sz="0" w:space="0" w:color="auto"/>
                <w:left w:val="none" w:sz="0" w:space="0" w:color="auto"/>
                <w:bottom w:val="none" w:sz="0" w:space="0" w:color="auto"/>
                <w:right w:val="none" w:sz="0" w:space="0" w:color="auto"/>
                <w:between w:val="none" w:sz="0" w:space="0" w:color="auto"/>
              </w:pBdr>
              <w:rPr>
                <w:color w:val="000000"/>
              </w:rPr>
            </w:pPr>
            <w:r>
              <w:rPr>
                <w:color w:val="000000"/>
              </w:rPr>
              <w:t>Competitive Advantage</w:t>
            </w:r>
          </w:p>
        </w:tc>
      </w:tr>
      <w:tr>
        <w:tc>
          <w:tcPr>
            <w:tcW w:w="2115" w:type="dxa"/>
            <w:shd w:val="clear" w:color="auto" w:fill="auto"/>
          </w:tcPr>
          <w:p>
            <w:pPr>
              <w:widowControl w:val="0"/>
              <w:pBdr>
                <w:top w:val="none" w:sz="0" w:space="0" w:color="auto"/>
                <w:left w:val="none" w:sz="0" w:space="0" w:color="auto"/>
                <w:bottom w:val="none" w:sz="0" w:space="0" w:color="auto"/>
                <w:right w:val="none" w:sz="0" w:space="0" w:color="auto"/>
                <w:between w:val="none" w:sz="0" w:space="0" w:color="auto"/>
              </w:pBdr>
              <w:rPr>
                <w:color w:val="000000"/>
              </w:rPr>
            </w:pPr>
            <w:r>
              <w:rPr>
                <w:color w:val="000000"/>
              </w:rPr>
              <w:t>Automation in business processes</w:t>
            </w:r>
          </w:p>
        </w:tc>
        <w:tc>
          <w:tcPr>
            <w:tcW w:w="1286" w:type="dxa"/>
            <w:shd w:val="clear" w:color="auto" w:fill="auto"/>
          </w:tcPr>
          <w:p>
            <w:pPr>
              <w:widowControl w:val="0"/>
              <w:pBdr>
                <w:top w:val="none" w:sz="0" w:space="0" w:color="auto"/>
                <w:left w:val="none" w:sz="0" w:space="0" w:color="auto"/>
                <w:bottom w:val="none" w:sz="0" w:space="0" w:color="auto"/>
                <w:right w:val="none" w:sz="0" w:space="0" w:color="auto"/>
                <w:between w:val="none" w:sz="0" w:space="0" w:color="auto"/>
              </w:pBdr>
              <w:rPr>
                <w:color w:val="000000"/>
              </w:rPr>
            </w:pPr>
            <w:r>
              <w:rPr>
                <w:color w:val="000000"/>
              </w:rPr>
              <w:t>Yes</w:t>
            </w:r>
          </w:p>
        </w:tc>
        <w:tc>
          <w:tcPr>
            <w:tcW w:w="1286" w:type="dxa"/>
            <w:shd w:val="clear" w:color="auto" w:fill="auto"/>
          </w:tcPr>
          <w:p>
            <w:pPr>
              <w:widowControl w:val="0"/>
              <w:rPr>
                <w:color w:val="000000"/>
              </w:rPr>
            </w:pPr>
            <w:r>
              <w:rPr>
                <w:color w:val="000000"/>
              </w:rPr>
              <w:t>No</w:t>
            </w:r>
          </w:p>
        </w:tc>
        <w:tc>
          <w:tcPr>
            <w:tcW w:w="1286" w:type="dxa"/>
            <w:shd w:val="clear" w:color="auto" w:fill="auto"/>
          </w:tcPr>
          <w:p>
            <w:pPr>
              <w:widowControl w:val="0"/>
              <w:rPr>
                <w:color w:val="000000"/>
              </w:rPr>
            </w:pPr>
            <w:r>
              <w:rPr>
                <w:color w:val="000000"/>
              </w:rPr>
              <w:t>No</w:t>
            </w:r>
          </w:p>
        </w:tc>
        <w:tc>
          <w:tcPr>
            <w:tcW w:w="1286" w:type="dxa"/>
            <w:shd w:val="clear" w:color="auto" w:fill="auto"/>
          </w:tcPr>
          <w:p>
            <w:pPr>
              <w:widowControl w:val="0"/>
              <w:rPr>
                <w:color w:val="000000"/>
              </w:rPr>
            </w:pPr>
            <w:r>
              <w:rPr>
                <w:color w:val="000000"/>
              </w:rPr>
              <w:t>Yes</w:t>
            </w:r>
          </w:p>
        </w:tc>
        <w:tc>
          <w:tcPr>
            <w:tcW w:w="2100" w:type="dxa"/>
            <w:shd w:val="clear" w:color="auto" w:fill="auto"/>
          </w:tcPr>
          <w:p>
            <w:pPr>
              <w:widowControl w:val="0"/>
              <w:pBdr>
                <w:top w:val="none" w:sz="0" w:space="0" w:color="auto"/>
                <w:left w:val="none" w:sz="0" w:space="0" w:color="auto"/>
                <w:bottom w:val="none" w:sz="0" w:space="0" w:color="auto"/>
                <w:right w:val="none" w:sz="0" w:space="0" w:color="auto"/>
                <w:between w:val="none" w:sz="0" w:space="0" w:color="auto"/>
              </w:pBdr>
              <w:rPr>
                <w:color w:val="000000"/>
              </w:rPr>
            </w:pPr>
            <w:r>
              <w:rPr>
                <w:color w:val="000000"/>
              </w:rPr>
              <w:t>Strong comparative advantage</w:t>
            </w:r>
          </w:p>
        </w:tc>
      </w:tr>
      <w:tr>
        <w:tc>
          <w:tcPr>
            <w:tcW w:w="2115" w:type="dxa"/>
            <w:shd w:val="clear" w:color="auto" w:fill="auto"/>
          </w:tcPr>
          <w:p>
            <w:pPr>
              <w:widowControl w:val="0"/>
              <w:pBdr>
                <w:top w:val="none" w:sz="0" w:space="0" w:color="auto"/>
                <w:left w:val="none" w:sz="0" w:space="0" w:color="auto"/>
                <w:bottom w:val="none" w:sz="0" w:space="0" w:color="auto"/>
                <w:right w:val="none" w:sz="0" w:space="0" w:color="auto"/>
                <w:between w:val="none" w:sz="0" w:space="0" w:color="auto"/>
              </w:pBdr>
              <w:rPr>
                <w:color w:val="000000"/>
              </w:rPr>
            </w:pPr>
            <w:r>
              <w:rPr>
                <w:color w:val="000000"/>
              </w:rPr>
              <w:t>Compensation packages of competitive employees (</w:t>
            </w:r>
            <w:r>
              <w:rPr>
                <w:color w:val="000000"/>
                <w:highlight w:val="white"/>
              </w:rPr>
              <w:t xml:space="preserve">Chien </w:t>
            </w:r>
            <w:r>
              <w:rPr>
                <w:i/>
                <w:color w:val="000000"/>
                <w:highlight w:val="white"/>
              </w:rPr>
              <w:t>et al.</w:t>
            </w:r>
            <w:r>
              <w:rPr>
                <w:color w:val="000000"/>
                <w:highlight w:val="white"/>
              </w:rPr>
              <w:t xml:space="preserve"> 2019</w:t>
            </w:r>
            <w:r>
              <w:rPr>
                <w:color w:val="000000"/>
              </w:rPr>
              <w:t>)</w:t>
            </w:r>
          </w:p>
        </w:tc>
        <w:tc>
          <w:tcPr>
            <w:tcW w:w="1286" w:type="dxa"/>
            <w:shd w:val="clear" w:color="auto" w:fill="auto"/>
          </w:tcPr>
          <w:p>
            <w:pPr>
              <w:widowControl w:val="0"/>
              <w:rPr>
                <w:color w:val="000000"/>
              </w:rPr>
            </w:pPr>
            <w:r>
              <w:rPr>
                <w:color w:val="000000"/>
              </w:rPr>
              <w:t>Yes</w:t>
            </w:r>
          </w:p>
        </w:tc>
        <w:tc>
          <w:tcPr>
            <w:tcW w:w="1286" w:type="dxa"/>
            <w:shd w:val="clear" w:color="auto" w:fill="auto"/>
          </w:tcPr>
          <w:p>
            <w:pPr>
              <w:widowControl w:val="0"/>
              <w:rPr>
                <w:color w:val="000000"/>
              </w:rPr>
            </w:pPr>
            <w:r>
              <w:rPr>
                <w:color w:val="000000"/>
              </w:rPr>
              <w:t>Yes</w:t>
            </w:r>
          </w:p>
        </w:tc>
        <w:tc>
          <w:tcPr>
            <w:tcW w:w="1286" w:type="dxa"/>
            <w:shd w:val="clear" w:color="auto" w:fill="auto"/>
          </w:tcPr>
          <w:p>
            <w:pPr>
              <w:widowControl w:val="0"/>
              <w:rPr>
                <w:color w:val="000000"/>
              </w:rPr>
            </w:pPr>
            <w:r>
              <w:rPr>
                <w:color w:val="000000"/>
              </w:rPr>
              <w:t>No</w:t>
            </w:r>
          </w:p>
        </w:tc>
        <w:tc>
          <w:tcPr>
            <w:tcW w:w="1286" w:type="dxa"/>
            <w:shd w:val="clear" w:color="auto" w:fill="auto"/>
          </w:tcPr>
          <w:p>
            <w:pPr>
              <w:widowControl w:val="0"/>
              <w:rPr>
                <w:color w:val="000000"/>
              </w:rPr>
            </w:pPr>
            <w:r>
              <w:rPr>
                <w:color w:val="000000"/>
              </w:rPr>
              <w:t>No</w:t>
            </w:r>
          </w:p>
        </w:tc>
        <w:tc>
          <w:tcPr>
            <w:tcW w:w="2100" w:type="dxa"/>
            <w:shd w:val="clear" w:color="auto" w:fill="auto"/>
          </w:tcPr>
          <w:p>
            <w:pPr>
              <w:widowControl w:val="0"/>
              <w:rPr>
                <w:color w:val="000000"/>
              </w:rPr>
            </w:pPr>
            <w:r>
              <w:rPr>
                <w:color w:val="000000"/>
              </w:rPr>
              <w:t>Strong comparative advantage</w:t>
            </w:r>
          </w:p>
        </w:tc>
      </w:tr>
      <w:tr>
        <w:tc>
          <w:tcPr>
            <w:tcW w:w="2115" w:type="dxa"/>
            <w:shd w:val="clear" w:color="auto" w:fill="auto"/>
          </w:tcPr>
          <w:p>
            <w:pPr>
              <w:widowControl w:val="0"/>
              <w:pBdr>
                <w:top w:val="none" w:sz="0" w:space="0" w:color="auto"/>
                <w:left w:val="none" w:sz="0" w:space="0" w:color="auto"/>
                <w:bottom w:val="none" w:sz="0" w:space="0" w:color="auto"/>
                <w:right w:val="none" w:sz="0" w:space="0" w:color="auto"/>
                <w:between w:val="none" w:sz="0" w:space="0" w:color="auto"/>
              </w:pBdr>
              <w:rPr>
                <w:color w:val="000000"/>
              </w:rPr>
            </w:pPr>
            <w:r>
              <w:rPr>
                <w:color w:val="000000"/>
              </w:rPr>
              <w:t>Capabilities for innovation related to human resources</w:t>
            </w:r>
          </w:p>
        </w:tc>
        <w:tc>
          <w:tcPr>
            <w:tcW w:w="1286" w:type="dxa"/>
            <w:shd w:val="clear" w:color="auto" w:fill="auto"/>
          </w:tcPr>
          <w:p>
            <w:pPr>
              <w:widowControl w:val="0"/>
              <w:rPr>
                <w:color w:val="000000"/>
              </w:rPr>
            </w:pPr>
            <w:r>
              <w:rPr>
                <w:color w:val="000000"/>
              </w:rPr>
              <w:t>Yes</w:t>
            </w:r>
          </w:p>
        </w:tc>
        <w:tc>
          <w:tcPr>
            <w:tcW w:w="1286" w:type="dxa"/>
            <w:shd w:val="clear" w:color="auto" w:fill="auto"/>
          </w:tcPr>
          <w:p>
            <w:pPr>
              <w:widowControl w:val="0"/>
              <w:rPr>
                <w:color w:val="000000"/>
              </w:rPr>
            </w:pPr>
            <w:r>
              <w:rPr>
                <w:color w:val="000000"/>
              </w:rPr>
              <w:t>No</w:t>
            </w:r>
          </w:p>
        </w:tc>
        <w:tc>
          <w:tcPr>
            <w:tcW w:w="1286" w:type="dxa"/>
            <w:shd w:val="clear" w:color="auto" w:fill="auto"/>
          </w:tcPr>
          <w:p>
            <w:pPr>
              <w:widowControl w:val="0"/>
              <w:rPr>
                <w:color w:val="000000"/>
              </w:rPr>
            </w:pPr>
            <w:r>
              <w:rPr>
                <w:color w:val="000000"/>
              </w:rPr>
              <w:t>Yes</w:t>
            </w:r>
          </w:p>
        </w:tc>
        <w:tc>
          <w:tcPr>
            <w:tcW w:w="1286" w:type="dxa"/>
            <w:shd w:val="clear" w:color="auto" w:fill="auto"/>
          </w:tcPr>
          <w:p>
            <w:pPr>
              <w:widowControl w:val="0"/>
              <w:rPr>
                <w:color w:val="000000"/>
              </w:rPr>
            </w:pPr>
            <w:r>
              <w:rPr>
                <w:color w:val="000000"/>
              </w:rPr>
              <w:t>Yes</w:t>
            </w:r>
          </w:p>
        </w:tc>
        <w:tc>
          <w:tcPr>
            <w:tcW w:w="2100" w:type="dxa"/>
            <w:shd w:val="clear" w:color="auto" w:fill="auto"/>
          </w:tcPr>
          <w:p>
            <w:pPr>
              <w:widowControl w:val="0"/>
              <w:pBdr>
                <w:top w:val="none" w:sz="0" w:space="0" w:color="auto"/>
                <w:left w:val="none" w:sz="0" w:space="0" w:color="auto"/>
                <w:bottom w:val="none" w:sz="0" w:space="0" w:color="auto"/>
                <w:right w:val="none" w:sz="0" w:space="0" w:color="auto"/>
                <w:between w:val="none" w:sz="0" w:space="0" w:color="auto"/>
              </w:pBdr>
              <w:rPr>
                <w:color w:val="000000"/>
              </w:rPr>
            </w:pPr>
            <w:r>
              <w:rPr>
                <w:color w:val="000000"/>
              </w:rPr>
              <w:t>Competitive parity</w:t>
            </w:r>
          </w:p>
        </w:tc>
      </w:tr>
      <w:tr>
        <w:tc>
          <w:tcPr>
            <w:tcW w:w="2115" w:type="dxa"/>
            <w:shd w:val="clear" w:color="auto" w:fill="auto"/>
          </w:tcPr>
          <w:p>
            <w:pPr>
              <w:widowControl w:val="0"/>
              <w:pBdr>
                <w:top w:val="none" w:sz="0" w:space="0" w:color="auto"/>
                <w:left w:val="none" w:sz="0" w:space="0" w:color="auto"/>
                <w:bottom w:val="none" w:sz="0" w:space="0" w:color="auto"/>
                <w:right w:val="none" w:sz="0" w:space="0" w:color="auto"/>
                <w:between w:val="none" w:sz="0" w:space="0" w:color="auto"/>
              </w:pBdr>
              <w:rPr>
                <w:color w:val="000000"/>
              </w:rPr>
            </w:pPr>
            <w:r>
              <w:rPr>
                <w:color w:val="000000"/>
              </w:rPr>
              <w:t>Diversity in mix of products.</w:t>
            </w:r>
          </w:p>
        </w:tc>
        <w:tc>
          <w:tcPr>
            <w:tcW w:w="1286" w:type="dxa"/>
            <w:shd w:val="clear" w:color="auto" w:fill="auto"/>
          </w:tcPr>
          <w:p>
            <w:pPr>
              <w:widowControl w:val="0"/>
              <w:rPr>
                <w:color w:val="000000"/>
              </w:rPr>
            </w:pPr>
            <w:r>
              <w:rPr>
                <w:color w:val="000000"/>
              </w:rPr>
              <w:t>Yes</w:t>
            </w:r>
          </w:p>
        </w:tc>
        <w:tc>
          <w:tcPr>
            <w:tcW w:w="1286" w:type="dxa"/>
            <w:shd w:val="clear" w:color="auto" w:fill="auto"/>
          </w:tcPr>
          <w:p>
            <w:pPr>
              <w:widowControl w:val="0"/>
              <w:rPr>
                <w:color w:val="000000"/>
              </w:rPr>
            </w:pPr>
            <w:r>
              <w:rPr>
                <w:color w:val="000000"/>
              </w:rPr>
              <w:t>Yes</w:t>
            </w:r>
          </w:p>
        </w:tc>
        <w:tc>
          <w:tcPr>
            <w:tcW w:w="1286" w:type="dxa"/>
            <w:shd w:val="clear" w:color="auto" w:fill="auto"/>
          </w:tcPr>
          <w:p>
            <w:pPr>
              <w:widowControl w:val="0"/>
              <w:rPr>
                <w:color w:val="000000"/>
              </w:rPr>
            </w:pPr>
            <w:r>
              <w:rPr>
                <w:color w:val="000000"/>
              </w:rPr>
              <w:t>Yes</w:t>
            </w:r>
          </w:p>
        </w:tc>
        <w:tc>
          <w:tcPr>
            <w:tcW w:w="1286" w:type="dxa"/>
            <w:shd w:val="clear" w:color="auto" w:fill="auto"/>
          </w:tcPr>
          <w:p>
            <w:pPr>
              <w:widowControl w:val="0"/>
              <w:rPr>
                <w:color w:val="000000"/>
              </w:rPr>
            </w:pPr>
            <w:r>
              <w:rPr>
                <w:color w:val="000000"/>
              </w:rPr>
              <w:t>Yes</w:t>
            </w:r>
          </w:p>
        </w:tc>
        <w:tc>
          <w:tcPr>
            <w:tcW w:w="2100" w:type="dxa"/>
            <w:shd w:val="clear" w:color="auto" w:fill="auto"/>
          </w:tcPr>
          <w:p>
            <w:pPr>
              <w:widowControl w:val="0"/>
              <w:pBdr>
                <w:top w:val="none" w:sz="0" w:space="0" w:color="auto"/>
                <w:left w:val="none" w:sz="0" w:space="0" w:color="auto"/>
                <w:bottom w:val="none" w:sz="0" w:space="0" w:color="auto"/>
                <w:right w:val="none" w:sz="0" w:space="0" w:color="auto"/>
                <w:between w:val="none" w:sz="0" w:space="0" w:color="auto"/>
              </w:pBdr>
              <w:rPr>
                <w:color w:val="000000"/>
              </w:rPr>
            </w:pPr>
            <w:r>
              <w:rPr>
                <w:color w:val="000000"/>
              </w:rPr>
              <w:t>Sustainable advantage</w:t>
            </w:r>
          </w:p>
        </w:tc>
      </w:tr>
      <w:tr>
        <w:tc>
          <w:tcPr>
            <w:tcW w:w="2115" w:type="dxa"/>
            <w:shd w:val="clear" w:color="auto" w:fill="auto"/>
          </w:tcPr>
          <w:p>
            <w:pPr>
              <w:widowControl w:val="0"/>
              <w:pBdr>
                <w:top w:val="none" w:sz="0" w:space="0" w:color="auto"/>
                <w:left w:val="none" w:sz="0" w:space="0" w:color="auto"/>
                <w:bottom w:val="none" w:sz="0" w:space="0" w:color="auto"/>
                <w:right w:val="none" w:sz="0" w:space="0" w:color="auto"/>
                <w:between w:val="none" w:sz="0" w:space="0" w:color="auto"/>
              </w:pBdr>
              <w:rPr>
                <w:color w:val="000000"/>
              </w:rPr>
            </w:pPr>
            <w:r>
              <w:rPr>
                <w:color w:val="000000"/>
              </w:rPr>
              <w:t>Capability is related to Ai</w:t>
            </w:r>
          </w:p>
        </w:tc>
        <w:tc>
          <w:tcPr>
            <w:tcW w:w="1286" w:type="dxa"/>
            <w:shd w:val="clear" w:color="auto" w:fill="auto"/>
          </w:tcPr>
          <w:p>
            <w:pPr>
              <w:widowControl w:val="0"/>
              <w:rPr>
                <w:color w:val="000000"/>
              </w:rPr>
            </w:pPr>
            <w:r>
              <w:rPr>
                <w:color w:val="000000"/>
              </w:rPr>
              <w:t>Yes</w:t>
            </w:r>
          </w:p>
        </w:tc>
        <w:tc>
          <w:tcPr>
            <w:tcW w:w="1286" w:type="dxa"/>
            <w:shd w:val="clear" w:color="auto" w:fill="auto"/>
          </w:tcPr>
          <w:p>
            <w:pPr>
              <w:widowControl w:val="0"/>
              <w:rPr>
                <w:color w:val="000000"/>
              </w:rPr>
            </w:pPr>
            <w:r>
              <w:rPr>
                <w:color w:val="000000"/>
              </w:rPr>
              <w:t>No</w:t>
            </w:r>
          </w:p>
        </w:tc>
        <w:tc>
          <w:tcPr>
            <w:tcW w:w="1286" w:type="dxa"/>
            <w:shd w:val="clear" w:color="auto" w:fill="auto"/>
          </w:tcPr>
          <w:p>
            <w:pPr>
              <w:widowControl w:val="0"/>
              <w:rPr>
                <w:color w:val="000000"/>
              </w:rPr>
            </w:pPr>
            <w:r>
              <w:rPr>
                <w:color w:val="000000"/>
              </w:rPr>
              <w:t>No</w:t>
            </w:r>
          </w:p>
        </w:tc>
        <w:tc>
          <w:tcPr>
            <w:tcW w:w="1286" w:type="dxa"/>
            <w:shd w:val="clear" w:color="auto" w:fill="auto"/>
          </w:tcPr>
          <w:p>
            <w:pPr>
              <w:widowControl w:val="0"/>
              <w:rPr>
                <w:color w:val="000000"/>
              </w:rPr>
            </w:pPr>
            <w:r>
              <w:rPr>
                <w:color w:val="000000"/>
              </w:rPr>
              <w:t>No</w:t>
            </w:r>
          </w:p>
        </w:tc>
        <w:tc>
          <w:tcPr>
            <w:tcW w:w="2100" w:type="dxa"/>
            <w:shd w:val="clear" w:color="auto" w:fill="auto"/>
          </w:tcPr>
          <w:p>
            <w:pPr>
              <w:widowControl w:val="0"/>
              <w:rPr>
                <w:color w:val="000000"/>
              </w:rPr>
            </w:pPr>
            <w:r>
              <w:rPr>
                <w:color w:val="000000"/>
              </w:rPr>
              <w:t>Competitive parity</w:t>
            </w:r>
          </w:p>
        </w:tc>
      </w:tr>
      <w:tr>
        <w:tc>
          <w:tcPr>
            <w:tcW w:w="2115" w:type="dxa"/>
            <w:shd w:val="clear" w:color="auto" w:fill="auto"/>
          </w:tcPr>
          <w:p>
            <w:pPr>
              <w:widowControl w:val="0"/>
              <w:pBdr>
                <w:top w:val="none" w:sz="0" w:space="0" w:color="auto"/>
                <w:left w:val="none" w:sz="0" w:space="0" w:color="auto"/>
                <w:bottom w:val="none" w:sz="0" w:space="0" w:color="auto"/>
                <w:right w:val="none" w:sz="0" w:space="0" w:color="auto"/>
                <w:between w:val="none" w:sz="0" w:space="0" w:color="auto"/>
              </w:pBdr>
              <w:rPr>
                <w:color w:val="000000"/>
              </w:rPr>
            </w:pPr>
            <w:r>
              <w:rPr>
                <w:color w:val="000000"/>
              </w:rPr>
              <w:t>Production of semiconductors</w:t>
            </w:r>
          </w:p>
        </w:tc>
        <w:tc>
          <w:tcPr>
            <w:tcW w:w="1286" w:type="dxa"/>
            <w:shd w:val="clear" w:color="auto" w:fill="auto"/>
          </w:tcPr>
          <w:p>
            <w:pPr>
              <w:widowControl w:val="0"/>
              <w:rPr>
                <w:color w:val="000000"/>
              </w:rPr>
            </w:pPr>
            <w:r>
              <w:rPr>
                <w:color w:val="000000"/>
              </w:rPr>
              <w:t>Yes</w:t>
            </w:r>
          </w:p>
        </w:tc>
        <w:tc>
          <w:tcPr>
            <w:tcW w:w="1286" w:type="dxa"/>
            <w:shd w:val="clear" w:color="auto" w:fill="auto"/>
          </w:tcPr>
          <w:p>
            <w:pPr>
              <w:widowControl w:val="0"/>
              <w:rPr>
                <w:color w:val="000000"/>
              </w:rPr>
            </w:pPr>
            <w:r>
              <w:rPr>
                <w:color w:val="000000"/>
              </w:rPr>
              <w:t>Yes</w:t>
            </w:r>
          </w:p>
        </w:tc>
        <w:tc>
          <w:tcPr>
            <w:tcW w:w="1286" w:type="dxa"/>
            <w:shd w:val="clear" w:color="auto" w:fill="auto"/>
          </w:tcPr>
          <w:p>
            <w:pPr>
              <w:widowControl w:val="0"/>
              <w:rPr>
                <w:color w:val="000000"/>
              </w:rPr>
            </w:pPr>
            <w:r>
              <w:rPr>
                <w:color w:val="000000"/>
              </w:rPr>
              <w:t>No</w:t>
            </w:r>
          </w:p>
        </w:tc>
        <w:tc>
          <w:tcPr>
            <w:tcW w:w="1286" w:type="dxa"/>
            <w:shd w:val="clear" w:color="auto" w:fill="auto"/>
          </w:tcPr>
          <w:p>
            <w:pPr>
              <w:widowControl w:val="0"/>
              <w:rPr>
                <w:color w:val="000000"/>
              </w:rPr>
            </w:pPr>
            <w:r>
              <w:rPr>
                <w:color w:val="000000"/>
              </w:rPr>
              <w:t>Yes</w:t>
            </w:r>
          </w:p>
        </w:tc>
        <w:tc>
          <w:tcPr>
            <w:tcW w:w="2100" w:type="dxa"/>
            <w:shd w:val="clear" w:color="auto" w:fill="auto"/>
          </w:tcPr>
          <w:p>
            <w:pPr>
              <w:widowControl w:val="0"/>
              <w:rPr>
                <w:color w:val="000000"/>
              </w:rPr>
            </w:pPr>
            <w:r>
              <w:rPr>
                <w:color w:val="000000"/>
              </w:rPr>
              <w:t>Strong comparative advantage</w:t>
            </w:r>
          </w:p>
        </w:tc>
      </w:tr>
      <w:tr>
        <w:tc>
          <w:tcPr>
            <w:tcW w:w="2115" w:type="dxa"/>
            <w:shd w:val="clear" w:color="auto" w:fill="auto"/>
          </w:tcPr>
          <w:p>
            <w:pPr>
              <w:widowControl w:val="0"/>
              <w:pBdr>
                <w:top w:val="none" w:sz="0" w:space="0" w:color="auto"/>
                <w:left w:val="none" w:sz="0" w:space="0" w:color="auto"/>
                <w:bottom w:val="none" w:sz="0" w:space="0" w:color="auto"/>
                <w:right w:val="none" w:sz="0" w:space="0" w:color="auto"/>
                <w:between w:val="none" w:sz="0" w:space="0" w:color="auto"/>
              </w:pBdr>
              <w:rPr>
                <w:color w:val="000000"/>
              </w:rPr>
            </w:pPr>
            <w:r>
              <w:rPr>
                <w:color w:val="000000"/>
              </w:rPr>
              <w:t>Sales Network and global distribution (</w:t>
            </w:r>
            <w:r>
              <w:rPr>
                <w:color w:val="000000"/>
                <w:highlight w:val="white"/>
              </w:rPr>
              <w:t xml:space="preserve">Sakthivel </w:t>
            </w:r>
            <w:r>
              <w:rPr>
                <w:i/>
                <w:color w:val="000000"/>
                <w:highlight w:val="white"/>
              </w:rPr>
              <w:t>et al.</w:t>
            </w:r>
            <w:r>
              <w:rPr>
                <w:color w:val="000000"/>
                <w:highlight w:val="white"/>
              </w:rPr>
              <w:t xml:space="preserve"> 2019</w:t>
            </w:r>
            <w:r>
              <w:rPr>
                <w:color w:val="000000"/>
              </w:rPr>
              <w:t>)</w:t>
            </w:r>
          </w:p>
        </w:tc>
        <w:tc>
          <w:tcPr>
            <w:tcW w:w="1286" w:type="dxa"/>
            <w:shd w:val="clear" w:color="auto" w:fill="auto"/>
          </w:tcPr>
          <w:p>
            <w:pPr>
              <w:widowControl w:val="0"/>
              <w:rPr>
                <w:color w:val="000000"/>
              </w:rPr>
            </w:pPr>
            <w:r>
              <w:rPr>
                <w:color w:val="000000"/>
              </w:rPr>
              <w:t>Yes</w:t>
            </w:r>
          </w:p>
        </w:tc>
        <w:tc>
          <w:tcPr>
            <w:tcW w:w="1286" w:type="dxa"/>
            <w:shd w:val="clear" w:color="auto" w:fill="auto"/>
          </w:tcPr>
          <w:p>
            <w:pPr>
              <w:widowControl w:val="0"/>
              <w:rPr>
                <w:color w:val="000000"/>
              </w:rPr>
            </w:pPr>
            <w:r>
              <w:rPr>
                <w:color w:val="000000"/>
              </w:rPr>
              <w:t>No</w:t>
            </w:r>
          </w:p>
        </w:tc>
        <w:tc>
          <w:tcPr>
            <w:tcW w:w="1286" w:type="dxa"/>
            <w:shd w:val="clear" w:color="auto" w:fill="auto"/>
          </w:tcPr>
          <w:p>
            <w:pPr>
              <w:widowControl w:val="0"/>
              <w:rPr>
                <w:color w:val="000000"/>
              </w:rPr>
            </w:pPr>
            <w:r>
              <w:rPr>
                <w:color w:val="000000"/>
              </w:rPr>
              <w:t>Yes</w:t>
            </w:r>
          </w:p>
        </w:tc>
        <w:tc>
          <w:tcPr>
            <w:tcW w:w="1286" w:type="dxa"/>
            <w:shd w:val="clear" w:color="auto" w:fill="auto"/>
          </w:tcPr>
          <w:p>
            <w:pPr>
              <w:widowControl w:val="0"/>
              <w:rPr>
                <w:color w:val="000000"/>
              </w:rPr>
            </w:pPr>
            <w:r>
              <w:rPr>
                <w:color w:val="000000"/>
              </w:rPr>
              <w:t>Yes</w:t>
            </w:r>
          </w:p>
        </w:tc>
        <w:tc>
          <w:tcPr>
            <w:tcW w:w="2100" w:type="dxa"/>
            <w:shd w:val="clear" w:color="auto" w:fill="auto"/>
          </w:tcPr>
          <w:p>
            <w:pPr>
              <w:widowControl w:val="0"/>
              <w:rPr>
                <w:color w:val="000000"/>
              </w:rPr>
            </w:pPr>
            <w:r>
              <w:rPr>
                <w:color w:val="000000"/>
              </w:rPr>
              <w:t xml:space="preserve">Sustainable advantage </w:t>
            </w:r>
          </w:p>
        </w:tc>
      </w:tr>
      <w:tr>
        <w:tc>
          <w:tcPr>
            <w:tcW w:w="2115" w:type="dxa"/>
            <w:shd w:val="clear" w:color="auto" w:fill="auto"/>
          </w:tcPr>
          <w:p>
            <w:pPr>
              <w:widowControl w:val="0"/>
              <w:pBdr>
                <w:top w:val="none" w:sz="0" w:space="0" w:color="auto"/>
                <w:left w:val="none" w:sz="0" w:space="0" w:color="auto"/>
                <w:bottom w:val="none" w:sz="0" w:space="0" w:color="auto"/>
                <w:right w:val="none" w:sz="0" w:space="0" w:color="auto"/>
                <w:between w:val="none" w:sz="0" w:space="0" w:color="auto"/>
              </w:pBdr>
              <w:rPr>
                <w:color w:val="000000"/>
              </w:rPr>
            </w:pPr>
            <w:r>
              <w:rPr>
                <w:color w:val="000000"/>
              </w:rPr>
              <w:t xml:space="preserve">Ecosystem having complementary products </w:t>
            </w:r>
          </w:p>
        </w:tc>
        <w:tc>
          <w:tcPr>
            <w:tcW w:w="1286" w:type="dxa"/>
            <w:shd w:val="clear" w:color="auto" w:fill="auto"/>
          </w:tcPr>
          <w:p>
            <w:pPr>
              <w:widowControl w:val="0"/>
              <w:rPr>
                <w:color w:val="000000"/>
              </w:rPr>
            </w:pPr>
            <w:r>
              <w:rPr>
                <w:color w:val="000000"/>
              </w:rPr>
              <w:t>No</w:t>
            </w:r>
          </w:p>
        </w:tc>
        <w:tc>
          <w:tcPr>
            <w:tcW w:w="1286" w:type="dxa"/>
            <w:shd w:val="clear" w:color="auto" w:fill="auto"/>
          </w:tcPr>
          <w:p>
            <w:pPr>
              <w:widowControl w:val="0"/>
              <w:rPr>
                <w:color w:val="000000"/>
              </w:rPr>
            </w:pPr>
            <w:r>
              <w:rPr>
                <w:color w:val="000000"/>
              </w:rPr>
              <w:t>Yes</w:t>
            </w:r>
          </w:p>
        </w:tc>
        <w:tc>
          <w:tcPr>
            <w:tcW w:w="1286" w:type="dxa"/>
            <w:shd w:val="clear" w:color="auto" w:fill="auto"/>
          </w:tcPr>
          <w:p>
            <w:pPr>
              <w:widowControl w:val="0"/>
              <w:rPr>
                <w:color w:val="000000"/>
              </w:rPr>
            </w:pPr>
            <w:r>
              <w:rPr>
                <w:color w:val="000000"/>
              </w:rPr>
              <w:t>No</w:t>
            </w:r>
          </w:p>
        </w:tc>
        <w:tc>
          <w:tcPr>
            <w:tcW w:w="1286" w:type="dxa"/>
            <w:shd w:val="clear" w:color="auto" w:fill="auto"/>
          </w:tcPr>
          <w:p>
            <w:pPr>
              <w:widowControl w:val="0"/>
              <w:rPr>
                <w:color w:val="000000"/>
              </w:rPr>
            </w:pPr>
            <w:r>
              <w:rPr>
                <w:color w:val="000000"/>
              </w:rPr>
              <w:t>Yes</w:t>
            </w:r>
          </w:p>
        </w:tc>
        <w:tc>
          <w:tcPr>
            <w:tcW w:w="2100" w:type="dxa"/>
            <w:shd w:val="clear" w:color="auto" w:fill="auto"/>
          </w:tcPr>
          <w:p>
            <w:pPr>
              <w:widowControl w:val="0"/>
              <w:rPr>
                <w:color w:val="000000"/>
              </w:rPr>
            </w:pPr>
            <w:r>
              <w:rPr>
                <w:color w:val="000000"/>
              </w:rPr>
              <w:t>Strong comparative advantage</w:t>
            </w:r>
          </w:p>
        </w:tc>
      </w:tr>
    </w:tbl>
    <w:p>
      <w:pPr>
        <w:jc w:val="center"/>
        <w:rPr>
          <w:b/>
          <w:color w:val="000000"/>
        </w:rPr>
      </w:pPr>
    </w:p>
    <w:p>
      <w:pPr>
        <w:jc w:val="center"/>
        <w:rPr>
          <w:b/>
          <w:color w:val="000000"/>
        </w:rPr>
      </w:pPr>
      <w:r>
        <w:rPr>
          <w:b/>
          <w:color w:val="000000"/>
        </w:rPr>
        <w:t>Table 7: VRIO analysis of Apple</w:t>
      </w:r>
    </w:p>
    <w:p>
      <w:pPr>
        <w:jc w:val="center"/>
        <w:rPr>
          <w:color w:val="000000"/>
        </w:rPr>
      </w:pPr>
      <w:r>
        <w:rPr>
          <w:color w:val="000000"/>
        </w:rPr>
        <w:t>(Source: Self-Created)</w:t>
      </w:r>
    </w:p>
    <w:p>
      <w:pPr>
        <w:rPr>
          <w:color w:val="000000"/>
        </w:rPr>
      </w:pPr>
      <w:r>
        <w:rPr>
          <w:color w:val="000000"/>
        </w:rPr>
        <w:t>Apple Inc. can enhance its inventory management by integrating both lean and agile supply chain methods. By adopting the lean supply chain, originating from the Toyota Production System, Apple can focus on waste reduction and increased efficiency. Implementing just-in-time (JIT) manufacturing, Apple can align production with actual demand, reducing inventory costs and preventing overstock (Lu et al., 2023). This approach ensures swift responses to market changes, fewer stockouts, and efficient inventory rotation.</w:t>
      </w:r>
    </w:p>
    <w:p>
      <w:pPr>
        <w:rPr>
          <w:color w:val="000000"/>
        </w:rPr>
      </w:pPr>
    </w:p>
    <w:p>
      <w:pPr>
        <w:pStyle w:val="24"/>
      </w:pPr>
      <w:bookmarkStart w:id="29" w:name="_Toc144278329"/>
      <w:r>
        <w:rPr>
          <w:b/>
        </w:rPr>
        <w:t>10.0 Strategies to Sustain Competitive Advantage</w:t>
      </w:r>
      <w:bookmarkEnd w:id="29"/>
    </w:p>
    <w:p/>
    <w:p>
      <w:pPr>
        <w:rPr>
          <w:color w:val="000000"/>
        </w:rPr>
      </w:pPr>
      <w:r>
        <w:rPr>
          <w:color w:val="000000"/>
        </w:rPr>
        <w:t>Given the impact of the semiconductor shortage on Apple’s supply chain and the need for astute stakeholder management, Apple’s strategies to sustain its competitive advantage would need some tweaking. The following  is the tailored approach based on the mentioned case study:</w:t>
      </w:r>
    </w:p>
    <w:p>
      <w:pPr>
        <w:rPr>
          <w:color w:val="000000"/>
        </w:rPr>
      </w:pPr>
    </w:p>
    <w:p>
      <w:pPr>
        <w:pStyle w:val="19"/>
        <w:numPr>
          <w:ilvl w:val="0"/>
          <w:numId w:val="7"/>
        </w:numPr>
        <w:rPr>
          <w:color w:val="000000"/>
        </w:rPr>
      </w:pPr>
      <w:r>
        <w:rPr>
          <w:b/>
          <w:bCs/>
          <w:color w:val="000000"/>
        </w:rPr>
        <w:t xml:space="preserve">Diversified Supply Base: </w:t>
      </w:r>
      <w:r>
        <w:rPr>
          <w:color w:val="000000"/>
        </w:rPr>
        <w:t>Apple should diversify its semiconductor suppliers to reduce dependency on any single provider, ensuring a more resilient supply chain during disruptions.</w:t>
      </w:r>
    </w:p>
    <w:p>
      <w:pPr>
        <w:pStyle w:val="19"/>
        <w:numPr>
          <w:ilvl w:val="0"/>
          <w:numId w:val="7"/>
        </w:numPr>
        <w:rPr>
          <w:color w:val="000000"/>
        </w:rPr>
      </w:pPr>
      <w:r>
        <w:rPr>
          <w:b/>
          <w:bCs/>
          <w:color w:val="000000"/>
        </w:rPr>
        <w:t xml:space="preserve">Strengthen Stakeholder Communication: </w:t>
      </w:r>
      <w:r>
        <w:rPr>
          <w:color w:val="000000"/>
        </w:rPr>
        <w:t>Transparent and proactive communication with stakeholders about potential supply chain issues, product availability, and contingency plans will be crucial in retaining trust during shortages.</w:t>
      </w:r>
    </w:p>
    <w:p>
      <w:pPr>
        <w:pStyle w:val="19"/>
        <w:numPr>
          <w:ilvl w:val="0"/>
          <w:numId w:val="7"/>
        </w:numPr>
        <w:rPr>
          <w:color w:val="000000"/>
        </w:rPr>
      </w:pPr>
      <w:r>
        <w:rPr>
          <w:b/>
          <w:bCs/>
          <w:color w:val="000000"/>
        </w:rPr>
        <w:t>Invest in Semiconductor R&amp;D:</w:t>
      </w:r>
      <w:r>
        <w:rPr>
          <w:color w:val="000000"/>
        </w:rPr>
        <w:t xml:space="preserve"> By either partnering with or investing directly in semiconductor manufacturing, Apple can exert greater control over essential component quality and availability.</w:t>
      </w:r>
    </w:p>
    <w:p>
      <w:pPr>
        <w:pStyle w:val="19"/>
        <w:numPr>
          <w:ilvl w:val="0"/>
          <w:numId w:val="7"/>
        </w:numPr>
        <w:rPr>
          <w:color w:val="000000"/>
        </w:rPr>
      </w:pPr>
      <w:r>
        <w:rPr>
          <w:b/>
          <w:bCs/>
          <w:color w:val="000000"/>
        </w:rPr>
        <w:t>Demand Forecasting &amp; Analytics:</w:t>
      </w:r>
      <w:r>
        <w:rPr>
          <w:color w:val="000000"/>
        </w:rPr>
        <w:t xml:space="preserve"> Leveraging advanced demand forecasting tools will help Apple anticipate market needs more accurately, allowing them to adjust production and ordering strategies, thus minimizing the impact of semiconductor shortages.</w:t>
      </w:r>
    </w:p>
    <w:p>
      <w:pPr>
        <w:rPr>
          <w:color w:val="000000"/>
        </w:rPr>
      </w:pPr>
      <w:r>
        <w:rPr>
          <w:color w:val="000000"/>
        </w:rPr>
        <w:t>By adopting these tailored strategies, Apple can navigate the challenges posed by the semiconductor shortage, ensuring they maintain their competitive edge while effectively managing stakeholder expectations.</w:t>
      </w:r>
    </w:p>
    <w:p>
      <w:pPr>
        <w:rPr>
          <w:color w:val="000000"/>
        </w:rPr>
      </w:pPr>
    </w:p>
    <w:p>
      <w:pPr>
        <w:pStyle w:val="24"/>
        <w:rPr>
          <w:b/>
        </w:rPr>
      </w:pPr>
      <w:bookmarkStart w:id="30" w:name="_Toc144278330"/>
      <w:r>
        <w:rPr>
          <w:b/>
        </w:rPr>
        <w:t>11.0 Growth Strategies:</w:t>
      </w:r>
      <w:bookmarkEnd w:id="30"/>
      <w:r>
        <w:rPr>
          <w:b/>
        </w:rPr>
        <w:t xml:space="preserve"> </w:t>
      </w:r>
    </w:p>
    <w:p>
      <w:pPr>
        <w:rPr>
          <w:b/>
          <w:bCs/>
          <w:color w:val="000000"/>
        </w:rPr>
      </w:pPr>
    </w:p>
    <w:p>
      <w:pPr>
        <w:rPr>
          <w:b/>
          <w:color w:val="000000"/>
        </w:rPr>
      </w:pPr>
      <w:r>
        <w:rPr>
          <w:b/>
          <w:color w:val="000000"/>
        </w:rPr>
        <w:t>Porter’s Generic strategies</w:t>
      </w:r>
    </w:p>
    <w:p>
      <w:pPr>
        <w:rPr>
          <w:color w:val="000000"/>
        </w:rPr>
      </w:pPr>
      <w:r>
        <w:rPr>
          <w:color w:val="000000"/>
        </w:rPr>
        <w:t>Apple is one of the largest brands operating throughout the Globe and is known for its innovation criteria’s. Among all the generic strategies, Apple uses differentiation in order to market and develop their products.  Apple is largely known for manufacturing iPhone's, Mac and iPods.  The comparative strategy here is to create an ecosystem that will influence people to buy Apple products based on the ease of use.  However, this strategy is currently hit by the shortage of semiconductors all throughout the globe (</w:t>
      </w:r>
      <w:r>
        <w:rPr>
          <w:color w:val="000000"/>
          <w:highlight w:val="white"/>
        </w:rPr>
        <w:t xml:space="preserve">Tian </w:t>
      </w:r>
      <w:r>
        <w:rPr>
          <w:i/>
          <w:color w:val="000000"/>
          <w:highlight w:val="white"/>
        </w:rPr>
        <w:t>et al.</w:t>
      </w:r>
      <w:r>
        <w:rPr>
          <w:color w:val="000000"/>
          <w:highlight w:val="white"/>
        </w:rPr>
        <w:t xml:space="preserve"> 2022</w:t>
      </w:r>
      <w:r>
        <w:rPr>
          <w:color w:val="000000"/>
        </w:rPr>
        <w:t>).</w:t>
      </w:r>
    </w:p>
    <w:p>
      <w:pPr>
        <w:jc w:val="center"/>
        <w:rPr>
          <w:b/>
          <w:color w:val="000000"/>
        </w:rPr>
      </w:pPr>
      <w:r>
        <w:rPr>
          <w:b/>
          <w:color w:val="000000"/>
          <w:lang w:val="en-IN"/>
        </w:rPr>
        <w:drawing>
          <wp:inline distT="114300" distB="114300" distL="114300" distR="114300">
            <wp:extent cx="4162349" cy="4257446"/>
            <wp:effectExtent l="0" t="0" r="0" b="0"/>
            <wp:docPr id="119" name="图片 119"/>
            <wp:cNvGraphicFramePr>
              <a:graphicFrameLocks noChangeAspect="0"/>
            </wp:cNvGraphicFramePr>
            <a:graphic>
              <a:graphicData uri="http://schemas.openxmlformats.org/drawingml/2006/picture">
                <pic:pic>
                  <pic:nvPicPr>
                    <pic:cNvPr id="121" name="图片 121"/>
                    <pic:cNvPicPr/>
                  </pic:nvPicPr>
                  <pic:blipFill>
                    <a:blip r:embed="rId5"/>
                    <a:srcRect b="7544"/>
                    <a:stretch>
                      <a:fillRect/>
                    </a:stretch>
                  </pic:blipFill>
                  <pic:spPr>
                    <a:xfrm rot="0">
                      <a:off x="0" y="0"/>
                      <a:ext cx="4162349" cy="4257446"/>
                    </a:xfrm>
                    <a:prstGeom prst="rect"/>
                    <a:noFill/>
                    <a:ln w="12700" cmpd="sng" cap="flat">
                      <a:solidFill>
                        <a:srgbClr val="000000"/>
                      </a:solidFill>
                      <a:prstDash val="solid"/>
                      <a:round/>
                    </a:ln>
                  </pic:spPr>
                </pic:pic>
              </a:graphicData>
            </a:graphic>
          </wp:inline>
        </w:drawing>
      </w:r>
    </w:p>
    <w:p>
      <w:pPr>
        <w:jc w:val="center"/>
        <w:rPr>
          <w:b/>
          <w:color w:val="000000"/>
        </w:rPr>
      </w:pPr>
      <w:r>
        <w:rPr>
          <w:b/>
          <w:color w:val="000000"/>
        </w:rPr>
        <w:t>Figure 3: Porter’s Generic Strategies</w:t>
      </w:r>
    </w:p>
    <w:p>
      <w:pPr>
        <w:jc w:val="center"/>
        <w:rPr>
          <w:color w:val="000000"/>
        </w:rPr>
      </w:pPr>
      <w:r>
        <w:rPr>
          <w:color w:val="000000"/>
        </w:rPr>
        <w:t xml:space="preserve">(Source: </w:t>
      </w:r>
      <w:r>
        <w:rPr>
          <w:color w:val="000000"/>
          <w:highlight w:val="white"/>
        </w:rPr>
        <w:t>Dong-ning and Ni 2021</w:t>
      </w:r>
      <w:r>
        <w:rPr>
          <w:color w:val="000000"/>
        </w:rPr>
        <w:t>)</w:t>
      </w:r>
    </w:p>
    <w:p>
      <w:pPr>
        <w:rPr>
          <w:color w:val="000000"/>
        </w:rPr>
      </w:pPr>
      <w:r>
        <w:rPr>
          <w:color w:val="000000"/>
        </w:rPr>
        <w:t>Apple's supply chain has been notably disrupted, leading to significant delivery delays for its products. The company is adapting its investment strategies, pivoting product development methods, and even relocating its manufacturing hubs from China to locations like India. The pandemic-induced supply chain disruptions resulted in a 19% loss for Apple (Dong-ning and Ni 2021). Despite this, Apple's brand strategy remains anchored in differentiation, and they're now adopting renewable energy sources in production as a compensatory measure for delays. For operational efficiency, Apple is exploring lean methodologies such as cellular manufacturing and value stream mapping, while also considering agile supply chain principles for flexibility and responsiveness in dynamic markets (Sarker et al., 2022). Key to this is collaborative planning with suppliers, emphasizing real-time data sharing to streamline supply chain activities and bolster agility (Navickas et al., 2021).</w:t>
      </w:r>
    </w:p>
    <w:p>
      <w:pPr>
        <w:rPr>
          <w:color w:val="000000"/>
        </w:rPr>
      </w:pPr>
    </w:p>
    <w:p>
      <w:pPr>
        <w:rPr>
          <w:color w:val="000000"/>
        </w:rPr>
      </w:pPr>
      <w:r>
        <w:rPr>
          <w:color w:val="000000"/>
          <w:lang w:val="en-IN"/>
        </w:rPr>
        <mc:AlternateContent>
          <mc:Choice Requires="wps">
            <w:drawing>
              <wp:inline distT="0" distB="0" distL="114298" distR="114298">
                <wp:extent cx="5947409" cy="2230028"/>
                <wp:effectExtent l="0" t="0" r="0" b="0"/>
                <wp:docPr id="122" name="组合 122"/>
                <wp:cNvGraphicFramePr>
                  <a:graphicFrameLocks noChangeAspect="0"/>
                </wp:cNvGraphicFramePr>
                <a:graphic>
                  <a:graphicData uri="http://schemas.microsoft.com/office/word/2010/wordprocessingGroup">
                    <wpg:wgp>
                      <wpg:cNvPr id="123" name="组合 123"/>
                      <wpg:cNvGrpSpPr/>
                      <wpg:grpSpPr>
                        <a:xfrm rot="0">
                          <a:off x="0" y="0"/>
                          <a:ext cx="5947409" cy="2230028"/>
                          <a:chOff x="0" y="0"/>
                          <a:chExt cx="5947409" cy="2230028"/>
                        </a:xfrm>
                        <a:prstGeom prst="rect"/>
                        <a:solidFill>
                          <a:srgbClr val="FFFFFF"/>
                        </a:solidFill>
                        <a:ln w="12700" cmpd="sng" cap="flat">
                          <a:solidFill>
                            <a:srgbClr val="000000"/>
                          </a:solidFill>
                          <a:prstDash val="solid"/>
                          <a:miter/>
                        </a:ln>
                      </wpg:grpSpPr>
                      <wpg:grpSp>
                        <wpg:cNvPr id="124" name="组合 124"/>
                        <wpg:cNvGrpSpPr/>
                        <wpg:grpSpPr>
                          <a:xfrm rot="0">
                            <a:off x="0" y="0"/>
                            <a:ext cx="5947409" cy="2230028"/>
                            <a:chOff x="0" y="0"/>
                            <a:chExt cx="5947409" cy="2230028"/>
                          </a:xfrm>
                          <a:prstGeom prst="rect"/>
                          <a:solidFill>
                            <a:srgbClr val="FFFFFF"/>
                          </a:solidFill>
                          <a:ln w="12700" cmpd="sng" cap="flat">
                            <a:solidFill>
                              <a:srgbClr val="000000"/>
                            </a:solidFill>
                            <a:prstDash val="solid"/>
                            <a:miter/>
                          </a:ln>
                        </wpg:grpSpPr>
                        <wps:wsp>
                          <wps:cNvPr id="125" name="矩形 125"/>
                          <wps:cNvSpPr/>
                          <wps:spPr>
                            <a:xfrm rot="0">
                              <a:off x="0" y="0"/>
                              <a:ext cx="5947409" cy="2230028"/>
                            </a:xfrm>
                            <a:prstGeom prst="rect"/>
                            <a:noFill/>
                            <a:ln w="12700" cmpd="sng" cap="flat">
                              <a:noFill/>
                              <a:prstDash val="solid"/>
                              <a:miter/>
                            </a:ln>
                          </wps:spPr>
                          <wps:txbx id="126">
                            <w:txbxContent>
                              <w:p>
                                <w:pPr>
                                  <w:spacing w:line="240" w:lineRule="auto"/>
                                  <w:jc w:val="left"/>
                                </w:pPr>
                              </w:p>
                            </w:txbxContent>
                          </wps:txbx>
                          <wps:bodyPr vert="horz" wrap="square" lIns="91424" tIns="91424" rIns="91424" bIns="91424" anchor="ctr" anchorCtr="0" upright="1">
                            <a:noAutofit/>
                          </wps:bodyPr>
                        </wps:wsp>
                        <wps:wsp>
                          <wps:cNvPr id="127" name="圆角矩形 127"/>
                          <wps:cNvSpPr/>
                          <wps:spPr>
                            <a:xfrm rot="0">
                              <a:off x="1136808" y="596664"/>
                              <a:ext cx="1530700" cy="1036548"/>
                            </a:xfrm>
                            <a:prstGeom prst="roundRect">
                              <a:avLst>
                                <a:gd name="adj" fmla="val 10000"/>
                              </a:avLst>
                            </a:prstGeom>
                            <a:solidFill>
                              <a:srgbClr val="4472C4"/>
                            </a:solidFill>
                            <a:ln w="12700" cmpd="sng" cap="flat">
                              <a:noFill/>
                              <a:prstDash val="solid"/>
                              <a:miter/>
                            </a:ln>
                            <a:effectLst>
                              <a:prstShdw prst="shdw14" dist="8980" dir="2700000">
                                <a:srgbClr val="000000">
                                  <a:alpha val="50000"/>
                                </a:srgbClr>
                              </a:prstShdw>
                            </a:effectLst>
                          </wps:spPr>
                          <wps:txbx id="128">
                            <w:txbxContent>
                              <w:p>
                                <w:pPr>
                                  <w:spacing w:line="240" w:lineRule="auto"/>
                                  <w:jc w:val="left"/>
                                </w:pPr>
                              </w:p>
                            </w:txbxContent>
                          </wps:txbx>
                          <wps:bodyPr vert="horz" wrap="square" lIns="91424" tIns="91424" rIns="91424" bIns="91424" anchor="ctr" anchorCtr="0" upright="1">
                            <a:noAutofit/>
                          </wps:bodyPr>
                        </wps:wsp>
                        <wps:wsp>
                          <wps:cNvPr id="129" name="文本框 129"/>
                          <wps:cNvSpPr/>
                          <wps:spPr>
                            <a:xfrm rot="0">
                              <a:off x="1159297" y="626976"/>
                              <a:ext cx="1485832" cy="975926"/>
                            </a:xfrm>
                            <a:prstGeom prst="rect"/>
                            <a:noFill/>
                            <a:ln w="12700" cmpd="sng" cap="flat">
                              <a:noFill/>
                              <a:prstDash val="solid"/>
                              <a:miter/>
                            </a:ln>
                          </wps:spPr>
                          <wps:txbx id="130">
                            <w:txbxContent>
                              <w:p>
                                <w:pPr>
                                  <w:spacing w:line="216" w:lineRule="auto"/>
                                  <w:jc w:val="center"/>
                                </w:pPr>
                                <w:r>
                                  <w:rPr>
                                    <w:b/>
                                    <w:i/>
                                    <w:color w:val="000000"/>
                                  </w:rPr>
                                  <w:t>Agile Chain Theory</w:t>
                                </w:r>
                              </w:p>
                            </w:txbxContent>
                          </wps:txbx>
                          <wps:bodyPr vert="horz" wrap="square" lIns="7599" tIns="7599" rIns="7599" bIns="7599" anchor="ctr" anchorCtr="0" upright="1">
                            <a:noAutofit/>
                          </wps:bodyPr>
                        </wps:wsp>
                        <wps:wsp>
                          <wps:cNvPr id="131" name="曲线 131"/>
                          <wps:cNvSpPr/>
                          <wps:spPr>
                            <a:xfrm rot="19457600">
                              <a:off x="2596624" y="754491"/>
                              <a:ext cx="754050" cy="124827"/>
                            </a:xfrm>
                            <a:custGeom>
                              <a:gdLst>
                                <a:gd name="T1" fmla="*/ 0 w 21600"/>
                                <a:gd name="T2" fmla="*/ 0 h 21600"/>
                                <a:gd name="T3" fmla="*/ 21600 w 21600"/>
                                <a:gd name="T4" fmla="*/ 0 h 21600"/>
                              </a:gdLst>
                              <a:rect l="T1" t="T2" r="T3" b="T4"/>
                              <a:pathLst>
                                <a:path w="21600" h="21600">
                                  <a:moveTo>
                                    <a:pt x="0" y="0"/>
                                  </a:moveTo>
                                  <a:lnTo>
                                    <a:pt x="21600" y="0"/>
                                  </a:lnTo>
                                </a:path>
                              </a:pathLst>
                            </a:custGeom>
                            <a:noFill/>
                            <a:ln w="25400" cmpd="sng" cap="flat">
                              <a:solidFill>
                                <a:srgbClr val="A5A5A5"/>
                              </a:solidFill>
                              <a:prstDash val="solid"/>
                              <a:miter/>
                            </a:ln>
                          </wps:spPr>
                          <wps:txbx id="132">
                            <w:txbxContent>
                              <w:p>
                                <w:pPr>
                                  <w:spacing w:line="240" w:lineRule="auto"/>
                                  <w:jc w:val="left"/>
                                </w:pPr>
                              </w:p>
                            </w:txbxContent>
                          </wps:txbx>
                          <wps:bodyPr vert="horz" wrap="square" lIns="91424" tIns="91424" rIns="91424" bIns="91424" anchor="ctr" anchorCtr="0" upright="1">
                            <a:noAutofit/>
                          </wps:bodyPr>
                        </wps:wsp>
                        <wps:wsp>
                          <wps:cNvPr id="133" name="文本框 133"/>
                          <wps:cNvSpPr/>
                          <wps:spPr>
                            <a:xfrm rot="19457600">
                              <a:off x="2954798" y="791372"/>
                              <a:ext cx="37702" cy="51065"/>
                            </a:xfrm>
                            <a:prstGeom prst="rect"/>
                            <a:noFill/>
                            <a:ln w="12700" cmpd="sng" cap="flat">
                              <a:noFill/>
                              <a:prstDash val="solid"/>
                              <a:miter/>
                            </a:ln>
                          </wps:spPr>
                          <wps:txbx id="134">
                            <w:txbxContent>
                              <w:p>
                                <w:pPr>
                                  <w:spacing w:line="216" w:lineRule="auto"/>
                                  <w:jc w:val="center"/>
                                </w:pPr>
                              </w:p>
                            </w:txbxContent>
                          </wps:txbx>
                          <wps:bodyPr vert="horz" wrap="square" lIns="12700" tIns="0" rIns="12700" bIns="0" anchor="ctr" anchorCtr="0" upright="1">
                            <a:noAutofit/>
                          </wps:bodyPr>
                        </wps:wsp>
                        <wps:wsp>
                          <wps:cNvPr id="135" name="圆角矩形 135"/>
                          <wps:cNvSpPr/>
                          <wps:spPr>
                            <a:xfrm rot="0">
                              <a:off x="3279789" y="597"/>
                              <a:ext cx="1530701" cy="1036548"/>
                            </a:xfrm>
                            <a:prstGeom prst="roundRect">
                              <a:avLst>
                                <a:gd name="adj" fmla="val 10000"/>
                              </a:avLst>
                            </a:prstGeom>
                            <a:solidFill>
                              <a:srgbClr val="A5A5A5"/>
                            </a:solidFill>
                            <a:ln w="12700" cmpd="sng" cap="flat">
                              <a:noFill/>
                              <a:prstDash val="solid"/>
                              <a:miter/>
                            </a:ln>
                            <a:effectLst>
                              <a:prstShdw prst="shdw14" dist="8980" dir="2700000">
                                <a:srgbClr val="000000">
                                  <a:alpha val="50000"/>
                                </a:srgbClr>
                              </a:prstShdw>
                            </a:effectLst>
                          </wps:spPr>
                          <wps:txbx id="136">
                            <w:txbxContent>
                              <w:p>
                                <w:pPr>
                                  <w:spacing w:line="240" w:lineRule="auto"/>
                                  <w:jc w:val="left"/>
                                </w:pPr>
                              </w:p>
                            </w:txbxContent>
                          </wps:txbx>
                          <wps:bodyPr vert="horz" wrap="square" lIns="91424" tIns="91424" rIns="91424" bIns="91424" anchor="ctr" anchorCtr="0" upright="1">
                            <a:noAutofit/>
                          </wps:bodyPr>
                        </wps:wsp>
                        <wps:wsp>
                          <wps:cNvPr id="137" name="文本框 137"/>
                          <wps:cNvSpPr/>
                          <wps:spPr>
                            <a:xfrm rot="0">
                              <a:off x="3302278" y="30908"/>
                              <a:ext cx="1485833" cy="975926"/>
                            </a:xfrm>
                            <a:prstGeom prst="rect"/>
                            <a:noFill/>
                            <a:ln w="12700" cmpd="sng" cap="flat">
                              <a:noFill/>
                              <a:prstDash val="solid"/>
                              <a:miter/>
                            </a:ln>
                          </wps:spPr>
                          <wps:txbx id="138">
                            <w:txbxContent>
                              <w:p>
                                <w:pPr>
                                  <w:spacing w:line="216" w:lineRule="auto"/>
                                  <w:jc w:val="center"/>
                                </w:pPr>
                                <w:r>
                                  <w:rPr>
                                    <w:b/>
                                    <w:i/>
                                    <w:color w:val="000000"/>
                                  </w:rPr>
                                  <w:t>Collaborative Planning</w:t>
                                </w:r>
                              </w:p>
                            </w:txbxContent>
                          </wps:txbx>
                          <wps:bodyPr vert="horz" wrap="square" lIns="7599" tIns="7599" rIns="7599" bIns="7599" anchor="ctr" anchorCtr="0" upright="1">
                            <a:noAutofit/>
                          </wps:bodyPr>
                        </wps:wsp>
                        <wps:wsp>
                          <wps:cNvPr id="139" name="曲线 139"/>
                          <wps:cNvSpPr/>
                          <wps:spPr>
                            <a:xfrm rot="2142400">
                              <a:off x="2596624" y="1350559"/>
                              <a:ext cx="754050" cy="124827"/>
                            </a:xfrm>
                            <a:custGeom>
                              <a:gdLst>
                                <a:gd name="T1" fmla="*/ 0 w 21600"/>
                                <a:gd name="T2" fmla="*/ 0 h 21600"/>
                                <a:gd name="T3" fmla="*/ 21600 w 21600"/>
                                <a:gd name="T4" fmla="*/ 0 h 21600"/>
                              </a:gdLst>
                              <a:rect l="T1" t="T2" r="T3" b="T4"/>
                              <a:pathLst>
                                <a:path w="21600" h="21600">
                                  <a:moveTo>
                                    <a:pt x="0" y="0"/>
                                  </a:moveTo>
                                  <a:lnTo>
                                    <a:pt x="21600" y="0"/>
                                  </a:lnTo>
                                </a:path>
                              </a:pathLst>
                            </a:custGeom>
                            <a:noFill/>
                            <a:ln w="25400" cmpd="sng" cap="flat">
                              <a:solidFill>
                                <a:srgbClr val="A5A5A5"/>
                              </a:solidFill>
                              <a:prstDash val="solid"/>
                              <a:miter/>
                            </a:ln>
                          </wps:spPr>
                          <wps:txbx id="140">
                            <w:txbxContent>
                              <w:p>
                                <w:pPr>
                                  <w:spacing w:line="240" w:lineRule="auto"/>
                                  <w:jc w:val="left"/>
                                </w:pPr>
                              </w:p>
                            </w:txbxContent>
                          </wps:txbx>
                          <wps:bodyPr vert="horz" wrap="square" lIns="91424" tIns="91424" rIns="91424" bIns="91424" anchor="ctr" anchorCtr="0" upright="1">
                            <a:noAutofit/>
                          </wps:bodyPr>
                        </wps:wsp>
                        <wps:wsp>
                          <wps:cNvPr id="141" name="文本框 141"/>
                          <wps:cNvSpPr/>
                          <wps:spPr>
                            <a:xfrm rot="2142400">
                              <a:off x="2954798" y="1387440"/>
                              <a:ext cx="37702" cy="51066"/>
                            </a:xfrm>
                            <a:prstGeom prst="rect"/>
                            <a:noFill/>
                            <a:ln w="12700" cmpd="sng" cap="flat">
                              <a:noFill/>
                              <a:prstDash val="solid"/>
                              <a:miter/>
                            </a:ln>
                          </wps:spPr>
                          <wps:txbx id="142">
                            <w:txbxContent>
                              <w:p>
                                <w:pPr>
                                  <w:spacing w:line="216" w:lineRule="auto"/>
                                  <w:jc w:val="center"/>
                                </w:pPr>
                              </w:p>
                            </w:txbxContent>
                          </wps:txbx>
                          <wps:bodyPr vert="horz" wrap="square" lIns="12700" tIns="0" rIns="12700" bIns="0" anchor="ctr" anchorCtr="0" upright="1">
                            <a:noAutofit/>
                          </wps:bodyPr>
                        </wps:wsp>
                        <wps:wsp>
                          <wps:cNvPr id="143" name="圆角矩形 143"/>
                          <wps:cNvSpPr/>
                          <wps:spPr>
                            <a:xfrm rot="0">
                              <a:off x="3279789" y="1192732"/>
                              <a:ext cx="1530701" cy="1036548"/>
                            </a:xfrm>
                            <a:prstGeom prst="roundRect">
                              <a:avLst>
                                <a:gd name="adj" fmla="val 10000"/>
                              </a:avLst>
                            </a:prstGeom>
                            <a:solidFill>
                              <a:srgbClr val="A5A5A5"/>
                            </a:solidFill>
                            <a:ln w="12700" cmpd="sng" cap="flat">
                              <a:noFill/>
                              <a:prstDash val="solid"/>
                              <a:miter/>
                            </a:ln>
                            <a:effectLst>
                              <a:prstShdw prst="shdw14" dist="8980" dir="2700000">
                                <a:srgbClr val="000000">
                                  <a:alpha val="50000"/>
                                </a:srgbClr>
                              </a:prstShdw>
                            </a:effectLst>
                          </wps:spPr>
                          <wps:txbx id="144">
                            <w:txbxContent>
                              <w:p>
                                <w:pPr>
                                  <w:spacing w:line="240" w:lineRule="auto"/>
                                  <w:jc w:val="left"/>
                                </w:pPr>
                              </w:p>
                            </w:txbxContent>
                          </wps:txbx>
                          <wps:bodyPr vert="horz" wrap="square" lIns="91424" tIns="91424" rIns="91424" bIns="91424" anchor="ctr" anchorCtr="0" upright="1">
                            <a:noAutofit/>
                          </wps:bodyPr>
                        </wps:wsp>
                        <wps:wsp>
                          <wps:cNvPr id="145" name="文本框 145"/>
                          <wps:cNvSpPr/>
                          <wps:spPr>
                            <a:xfrm rot="0">
                              <a:off x="3302278" y="1223044"/>
                              <a:ext cx="1485833" cy="975926"/>
                            </a:xfrm>
                            <a:prstGeom prst="rect"/>
                            <a:noFill/>
                            <a:ln w="12700" cmpd="sng" cap="flat">
                              <a:noFill/>
                              <a:prstDash val="solid"/>
                              <a:miter/>
                            </a:ln>
                          </wps:spPr>
                          <wps:txbx id="146">
                            <w:txbxContent>
                              <w:p>
                                <w:pPr>
                                  <w:spacing w:line="216" w:lineRule="auto"/>
                                  <w:jc w:val="center"/>
                                </w:pPr>
                                <w:r>
                                  <w:rPr>
                                    <w:b/>
                                    <w:i/>
                                    <w:color w:val="000000"/>
                                  </w:rPr>
                                  <w:t>Information Sharing</w:t>
                                </w:r>
                              </w:p>
                            </w:txbxContent>
                          </wps:txbx>
                          <wps:bodyPr vert="horz" wrap="square" lIns="7599" tIns="7599" rIns="7599" bIns="7599" anchor="ctr" anchorCtr="0" upright="1">
                            <a:noAutofit/>
                          </wps:bodyPr>
                        </wps:wsp>
                      </wpg:grpSp>
                      <wps:bodyPr vert="horz" wrap="square" lIns="91440" tIns="45720" rIns="91440" bIns="45720" anchor="t" anchorCtr="0" upright="0">
                        <a:noAutofit/>
                      </wps:bodyPr>
                    </wpg:wgp>
                  </a:graphicData>
                </a:graphic>
              </wp:inline>
            </w:drawing>
          </mc:Choice>
          <mc:Fallback>
            <w:pict>
              <v:group type="#_x0000_t1" id="组合 147" o:spid="_x0000_s147" coordorigin="1440,3900" coordsize="9365,3511" style="width:468.29993pt;&#10;height:175.59277pt;">
                <v:group type="#_x0000_t1" id="组合 148" o:spid="_x0000_s148" coordorigin="1440,3900" coordsize="9365,3511" style="position:absolute;&#10;left:1440;&#10;top:3900;&#10;width:9365;&#10;height:3511;">
                  <v:rect type="#_x0000_t1" id="矩形 149" o:spid="_x0000_s149" style="position:absolute;&#10;left:1440;&#10;top:3900;&#10;width:9365;&#10;height:3511;&#10;mso-wrap-style:square;" filled="f" stroked="f" strokeweight="1.0pt">
                    <v:textbox id="890" inset="2.54mm,2.54mm,2.54mm,2.54mm" o:insetmode="custom" style="layout-flow:horizontal;&#10;v-text-anchor:middle;">
                      <w:txbxContent>
                        <w:p>
                          <w:pPr>
                            <w:spacing w:line="240" w:lineRule="auto"/>
                            <w:jc w:val="left"/>
                          </w:pPr>
                        </w:p>
                      </w:txbxContent>
                    </v:textbox>
                    <v:stroke color="#000000"/>
                  </v:rect>
                  <v:shape type="#_x0000_t2" id="圆角矩形 150" o:spid="_x0000_s150" style="position:absolute;&#10;left:3230;&#10;top:4840;&#10;width:2410;&#10;height:1632;&#10;mso-wrap-style:square;" fillcolor="#4472C4" stroked="f" strokeweight="1.0pt" adj="2160">
                    <v:shadow on="t" color="#000000" opacity=".5" origin=",.5" offset="0pt,0pt" offset2="-4pt,-4pt"/>
                    <v:textbox id="891" inset="2.54mm,2.54mm,2.54mm,2.54mm" o:insetmode="custom" style="layout-flow:horizontal;&#10;v-text-anchor:middle;">
                      <w:txbxContent>
                        <w:p>
                          <w:pPr>
                            <w:spacing w:line="240" w:lineRule="auto"/>
                            <w:jc w:val="left"/>
                          </w:pPr>
                        </w:p>
                      </w:txbxContent>
                    </v:textbox>
                    <v:stroke color="#000000"/>
                  </v:shape>
                  <v:shape type="#_x0000_t202" id="文本框 151" o:spid="_x0000_s151" style="position:absolute;&#10;left:3265;&#10;top:4887;&#10;width:2339;&#10;height:1536;&#10;mso-wrap-style:square;" filled="f" stroked="f" strokeweight="1.0pt">
                    <v:textbox id="865" inset="0.211mm,0.211mm,0.211mm,0.211mm" o:insetmode="custom" style="layout-flow:horizontal;&#10;v-text-anchor:middle;">
                      <w:txbxContent>
                        <w:p>
                          <w:pPr>
                            <w:spacing w:line="216" w:lineRule="auto"/>
                            <w:jc w:val="center"/>
                          </w:pPr>
                          <w:r>
                            <w:rPr>
                              <w:b/>
                              <w:i/>
                              <w:color w:val="000000"/>
                            </w:rPr>
                            <w:t>Agile Chain Theory</w:t>
                          </w:r>
                        </w:p>
                      </w:txbxContent>
                    </v:textbox>
                    <v:stroke color="#000000"/>
                  </v:shape>
                  <v:shape type="#_x0000_t0" id="曲线 152" o:spid="_x0000_s152" coordsize="1187,196" path="m,l1187,e" style="position:absolute;&#10;left:5529;&#10;top:5088;&#10;width:1187;&#10;height:196;&#10;rotation:324.293;&#10;mso-wrap-style:square;" filled="f" stroked="t" strokeweight="2.0pt">
                    <v:textbox id="892" inset="2.54mm,2.54mm,2.54mm,2.54mm" o:insetmode="custom" style="layout-flow:horizontal;&#10;v-text-anchor:middle;">
                      <w:txbxContent>
                        <w:p>
                          <w:pPr>
                            <w:spacing w:line="240" w:lineRule="auto"/>
                            <w:jc w:val="left"/>
                          </w:pPr>
                        </w:p>
                      </w:txbxContent>
                    </v:textbox>
                    <v:stroke color="#A5A5A5"/>
                  </v:shape>
                  <v:shape type="#_x0000_t202" id="文本框 153" o:spid="_x0000_s153" style="position:absolute;&#10;left:6093;&#10;top:5146;&#10;width:59;&#10;height:80;&#10;rotation:324.293;&#10;mso-wrap-style:square;" filled="f" stroked="f" strokeweight="1.0pt">
                    <v:textbox id="866" inset="0.353mm,0mm,0.353mm,0mm" o:insetmode="custom" style="layout-flow:horizontal;&#10;v-text-anchor:middle;">
                      <w:txbxContent>
                        <w:p>
                          <w:pPr>
                            <w:spacing w:line="216" w:lineRule="auto"/>
                            <w:jc w:val="center"/>
                          </w:pPr>
                        </w:p>
                      </w:txbxContent>
                    </v:textbox>
                    <v:stroke color="#000000"/>
                  </v:shape>
                  <v:shape type="#_x0000_t2" id="圆角矩形 154" o:spid="_x0000_s154" style="position:absolute;&#10;left:6605;&#10;top:3901;&#10;width:2410;&#10;height:1632;&#10;mso-wrap-style:square;" fillcolor="#A5A5A5" stroked="f" strokeweight="1.0pt" adj="2160">
                    <v:shadow on="t" color="#000000" opacity=".5" origin=",.5" offset="0pt,0pt" offset2="-4pt,-4pt"/>
                    <v:textbox id="893" inset="2.54mm,2.54mm,2.54mm,2.54mm" o:insetmode="custom" style="layout-flow:horizontal;&#10;v-text-anchor:middle;">
                      <w:txbxContent>
                        <w:p>
                          <w:pPr>
                            <w:spacing w:line="240" w:lineRule="auto"/>
                            <w:jc w:val="left"/>
                          </w:pPr>
                        </w:p>
                      </w:txbxContent>
                    </v:textbox>
                    <v:stroke color="#000000"/>
                  </v:shape>
                  <v:shape type="#_x0000_t202" id="文本框 155" o:spid="_x0000_s155" style="position:absolute;&#10;left:6640;&#10;top:3949;&#10;width:2339;&#10;height:1536;&#10;mso-wrap-style:square;" filled="f" stroked="f" strokeweight="1.0pt">
                    <v:textbox id="867" inset="0.211mm,0.211mm,0.211mm,0.211mm" o:insetmode="custom" style="layout-flow:horizontal;&#10;v-text-anchor:middle;">
                      <w:txbxContent>
                        <w:p>
                          <w:pPr>
                            <w:spacing w:line="216" w:lineRule="auto"/>
                            <w:jc w:val="center"/>
                          </w:pPr>
                          <w:r>
                            <w:rPr>
                              <w:b/>
                              <w:i/>
                              <w:color w:val="000000"/>
                            </w:rPr>
                            <w:t>Collaborative Planning</w:t>
                          </w:r>
                        </w:p>
                      </w:txbxContent>
                    </v:textbox>
                    <v:stroke color="#000000"/>
                  </v:shape>
                  <v:shape type="#_x0000_t0" id="曲线 156" o:spid="_x0000_s156" coordsize="1187,196" path="m,l1187,e" style="position:absolute;&#10;left:5529;&#10;top:6027;&#10;width:1187;&#10;height:196;&#10;rotation:35.706;&#10;mso-wrap-style:square;" filled="f" stroked="t" strokeweight="2.0pt">
                    <v:textbox id="894" inset="2.54mm,2.54mm,2.54mm,2.54mm" o:insetmode="custom" style="layout-flow:horizontal;&#10;v-text-anchor:middle;">
                      <w:txbxContent>
                        <w:p>
                          <w:pPr>
                            <w:spacing w:line="240" w:lineRule="auto"/>
                            <w:jc w:val="left"/>
                          </w:pPr>
                        </w:p>
                      </w:txbxContent>
                    </v:textbox>
                    <v:stroke color="#A5A5A5"/>
                  </v:shape>
                  <v:shape type="#_x0000_t202" id="文本框 157" o:spid="_x0000_s157" style="position:absolute;&#10;left:6093;&#10;top:6085;&#10;width:59;&#10;height:80;&#10;rotation:35.706;&#10;mso-wrap-style:square;" filled="f" stroked="f" strokeweight="1.0pt">
                    <v:textbox id="868" inset="0.353mm,0mm,0.353mm,0mm" o:insetmode="custom" style="layout-flow:horizontal;&#10;v-text-anchor:middle;">
                      <w:txbxContent>
                        <w:p>
                          <w:pPr>
                            <w:spacing w:line="216" w:lineRule="auto"/>
                            <w:jc w:val="center"/>
                          </w:pPr>
                        </w:p>
                      </w:txbxContent>
                    </v:textbox>
                    <v:stroke color="#000000"/>
                  </v:shape>
                  <v:shape type="#_x0000_t2" id="圆角矩形 158" o:spid="_x0000_s158" style="position:absolute;&#10;left:6605;&#10;top:5778;&#10;width:2410;&#10;height:1632;&#10;mso-wrap-style:square;" fillcolor="#A5A5A5" stroked="f" strokeweight="1.0pt" adj="2160">
                    <v:shadow on="t" color="#000000" opacity=".5" origin=",.5" offset="0pt,0pt" offset2="-4pt,-4pt"/>
                    <v:textbox id="895" inset="2.54mm,2.54mm,2.54mm,2.54mm" o:insetmode="custom" style="layout-flow:horizontal;&#10;v-text-anchor:middle;">
                      <w:txbxContent>
                        <w:p>
                          <w:pPr>
                            <w:spacing w:line="240" w:lineRule="auto"/>
                            <w:jc w:val="left"/>
                          </w:pPr>
                        </w:p>
                      </w:txbxContent>
                    </v:textbox>
                    <v:stroke color="#000000"/>
                  </v:shape>
                  <v:shape type="#_x0000_t202" id="文本框 159" o:spid="_x0000_s159" style="position:absolute;&#10;left:6640;&#10;top:5826;&#10;width:2339;&#10;height:1536;&#10;mso-wrap-style:square;" filled="f" stroked="f" strokeweight="1.0pt">
                    <v:textbox id="869" inset="0.211mm,0.211mm,0.211mm,0.211mm" o:insetmode="custom" style="layout-flow:horizontal;&#10;v-text-anchor:middle;">
                      <w:txbxContent>
                        <w:p>
                          <w:pPr>
                            <w:spacing w:line="216" w:lineRule="auto"/>
                            <w:jc w:val="center"/>
                          </w:pPr>
                          <w:r>
                            <w:rPr>
                              <w:b/>
                              <w:i/>
                              <w:color w:val="000000"/>
                            </w:rPr>
                            <w:t>Information Sharing</w:t>
                          </w:r>
                        </w:p>
                      </w:txbxContent>
                    </v:textbox>
                    <v:stroke color="#000000"/>
                  </v:shape>
                </v:group>
                <w10:anchorLock/>
              </v:group>
            </w:pict>
          </mc:Fallback>
        </mc:AlternateContent>
      </w:r>
    </w:p>
    <w:p>
      <w:pPr>
        <w:pStyle w:val="2"/>
        <w:rPr>
          <w:color w:val="000000"/>
        </w:rPr>
      </w:pPr>
      <w:bookmarkStart w:id="31" w:name="_2s8eyo1"/>
      <w:bookmarkEnd w:id="31"/>
    </w:p>
    <w:p>
      <w:pPr>
        <w:pStyle w:val="2"/>
        <w:rPr>
          <w:color w:val="000000"/>
        </w:rPr>
      </w:pPr>
      <w:bookmarkStart w:id="32" w:name="_Toc144278025"/>
      <w:bookmarkStart w:id="33" w:name="_Toc144278230"/>
      <w:bookmarkStart w:id="34" w:name="_Toc144278331"/>
      <w:r>
        <w:rPr>
          <w:color w:val="000000"/>
        </w:rPr>
        <w:t>Figure 4: Factors Effective from Agile Chain Theory</w:t>
      </w:r>
      <w:bookmarkEnd w:id="32"/>
      <w:bookmarkEnd w:id="33"/>
      <w:bookmarkEnd w:id="34"/>
    </w:p>
    <w:p>
      <w:pPr>
        <w:jc w:val="center"/>
        <w:rPr>
          <w:color w:val="000000"/>
        </w:rPr>
      </w:pPr>
      <w:r>
        <w:rPr>
          <w:color w:val="000000"/>
        </w:rPr>
        <w:t>(Source: Self-Created)</w:t>
      </w:r>
    </w:p>
    <w:p>
      <w:pPr>
        <w:rPr>
          <w:b/>
          <w:bCs/>
          <w:color w:val="000000"/>
        </w:rPr>
      </w:pPr>
      <w:r>
        <w:rPr>
          <w:color w:val="000000"/>
        </w:rPr>
        <w:t>Implementing innovations like data analytics, cloud computing, and IoT can enhance Apple's supply chain visibility and real-time monitoring. By leveraging these technologies, Apple can better understand inventory levels and demand patterns, allowing for streamlined stock management (Brammer et al., 2021). A hybrid approach that blends both lean and agile supply chain theories would serve Apple best: lean methods optimize efficiency and reduce costs, while agile approaches ensure flexibility and adaptability. This combination can bolster Apple's inventory management, cut costs, elevate customer satisfaction, and strengthen its market position.</w:t>
      </w:r>
    </w:p>
    <w:p>
      <w:pPr>
        <w:pStyle w:val="24"/>
      </w:pPr>
      <w:bookmarkStart w:id="35" w:name="_Toc144278332"/>
      <w:r>
        <w:t>12.0 Green Strategy and CSR</w:t>
      </w:r>
      <w:bookmarkEnd w:id="35"/>
    </w:p>
    <w:p>
      <w:pPr>
        <w:rPr>
          <w:color w:val="000000"/>
        </w:rPr>
      </w:pPr>
      <w:r>
        <w:rPr>
          <w:color w:val="000000"/>
        </w:rPr>
        <w:t>Given the increasing emphasis on environmental responsibility, a robust Green Strategy and Corporate Social Responsibility (CSR) approach is pivotal for businesses. Apple, for instance, could prioritize the use of renewable energy sources in their operations, promote recycling of their products, and source sustainably produced materials. Such initiatives not only resonate with environmentally conscious consumers but also pave the way for long-term sustainable growth.</w:t>
      </w:r>
    </w:p>
    <w:p>
      <w:pPr>
        <w:rPr>
          <w:color w:val="000000"/>
        </w:rPr>
      </w:pPr>
      <w:r>
        <w:rPr>
          <w:color w:val="000000"/>
        </w:rPr>
        <w:t>Given the semiconductor shortage’s impact on Apple’s supply chain, the company has recognized an opportunity to emphasize sustainability. Apple’s “Green Strategy” could focus on promoting longer device lifespans by encouraging software updates and offering repair services that ensure devices remain functional for longer, reducing the immediate demand for new semiconductors. For their CSR initiative, given the supply chain challenges, Apple could launch a “Recycle &amp; Upgrade” program. Customers can return older devices, which will be refurbished using available semiconductor components. For every device returned, Apple pledges to support e-waste recycling programs and educate communities on sustainable tech practices. Connecting this to the “Triple Bottom Line” theory, while Apple is navigating the economic challenges of the semiconductor shortage, they’re also emphasizing the social aspect by promoting community education and the environmental dimension by championing device longevity and e-waste recycling. This integrated approach could help Apple maintain stakeholder trust despite supply chain challenges.</w:t>
      </w:r>
    </w:p>
    <w:p>
      <w:pPr>
        <w:rPr>
          <w:color w:val="000000"/>
        </w:rPr>
      </w:pPr>
    </w:p>
    <w:p>
      <w:pPr>
        <w:pStyle w:val="24"/>
        <w:rPr>
          <w:b/>
          <w:bCs/>
        </w:rPr>
      </w:pPr>
      <w:bookmarkStart w:id="36" w:name="_17dp8vu"/>
      <w:bookmarkStart w:id="37" w:name="_Toc144278333"/>
      <w:bookmarkEnd w:id="36"/>
      <w:r>
        <w:rPr>
          <w:b/>
          <w:bCs/>
        </w:rPr>
        <w:t>13.0 Recommendations for the problem and future implications:</w:t>
      </w:r>
      <w:bookmarkEnd w:id="37"/>
    </w:p>
    <w:p>
      <w:pPr>
        <w:rPr>
          <w:color w:val="000000"/>
        </w:rPr>
      </w:pPr>
      <w:r>
        <w:rPr>
          <w:color w:val="000000"/>
        </w:rPr>
        <w:t>In order to address the semiconductor issue and its impact on inventory management, Apple Inc can implement SMART (Specific, Measurable, Achievable, Relevant, and Time-bound) recommendations. These recommendations aim to mitigate supply chain challenges and enhance inventory management. Here are SMART recommendations for Apple:</w:t>
      </w:r>
    </w:p>
    <w:p>
      <w:pPr>
        <w:rPr>
          <w:color w:val="000000"/>
        </w:rPr>
      </w:pPr>
    </w:p>
    <w:p>
      <w:pPr>
        <w:jc w:val="center"/>
        <w:rPr>
          <w:b/>
          <w:bCs/>
          <w:color w:val="000000"/>
        </w:rPr>
      </w:pPr>
      <w:r>
        <w:rPr>
          <w:b/>
          <w:bCs/>
          <w:color w:val="000000"/>
        </w:rPr>
        <w:t>Table 8:  SMART Recommendations</w:t>
      </w:r>
    </w:p>
    <w:tbl>
      <w:tblPr>
        <w:jc w:val="left"/>
        <w:tblInd w:w="0" w:type="dxa"/>
        <w:tblBorders>
          <w:top w:val="single" w:sz="2" w:space="0" w:color="A8D08D"/>
          <w:left w:val="none" w:sz="0" w:space="0" w:color="auto"/>
          <w:bottom w:val="single" w:sz="2" w:space="0" w:color="A8D08D"/>
          <w:right w:val="none" w:sz="0" w:space="0" w:color="auto"/>
          <w:insideH w:val="single" w:sz="2" w:space="0" w:color="A8D08D"/>
          <w:insideV w:val="single" w:sz="2" w:space="0" w:color="A8D08D"/>
        </w:tblBorders>
        <w:tblCellMar>
          <w:top w:w="0" w:type="dxa"/>
          <w:left w:w="0" w:type="dxa"/>
          <w:bottom w:w="0" w:type="dxa"/>
          <w:right w:w="0" w:type="dxa"/>
        </w:tblCellMar>
      </w:tblPr>
      <w:tblGrid>
        <w:gridCol w:w="1258"/>
        <w:gridCol w:w="3479"/>
        <w:gridCol w:w="4628"/>
      </w:tblGrid>
      <w:tr>
        <w:tc>
          <w:tcPr>
            <w:tcBorders>
              <w:top w:val="nil"/>
              <w:bottom w:val="single" w:sz="12" w:space="0" w:color="A8D08D"/>
            </w:tcBorders>
            <w:shd w:val="clear" w:color="auto" w:fill="FFFFFF"/>
          </w:tcPr>
          <w:p>
            <w:pPr>
              <w:spacing w:before="480" w:after="480"/>
              <w:jc w:val="center"/>
              <w:rPr>
                <w:lang w:val="en-US" w:eastAsia="en-US"/>
              </w:rPr>
            </w:pPr>
            <w:r>
              <w:rPr>
                <w:bdr w:val="single" w:sz="2" w:space="0" w:color="D9D9E3"/>
                <w:lang w:val="en-US" w:eastAsia="en-US"/>
              </w:rPr>
              <w:t>Factors</w:t>
            </w:r>
          </w:p>
        </w:tc>
        <w:tc>
          <w:tcPr>
            <w:tcBorders>
              <w:top w:val="nil"/>
              <w:bottom w:val="single" w:sz="12" w:space="0" w:color="A8D08D"/>
            </w:tcBorders>
            <w:shd w:val="clear" w:color="auto" w:fill="FFFFFF"/>
          </w:tcPr>
          <w:p>
            <w:pPr>
              <w:spacing w:before="480" w:after="480" w:line="360" w:lineRule="auto"/>
              <w:jc w:val="center"/>
              <w:rPr>
                <w:lang w:val="en-US" w:eastAsia="en-US"/>
              </w:rPr>
            </w:pPr>
            <w:r>
              <w:rPr>
                <w:bdr w:val="single" w:sz="2" w:space="0" w:color="D9D9E3"/>
                <w:lang w:val="en-US" w:eastAsia="en-US"/>
              </w:rPr>
              <w:t>Analysis</w:t>
            </w:r>
          </w:p>
        </w:tc>
        <w:tc>
          <w:tcPr>
            <w:tcBorders>
              <w:top w:val="nil"/>
              <w:bottom w:val="single" w:sz="12" w:space="0" w:color="A8D08D"/>
            </w:tcBorders>
            <w:shd w:val="clear" w:color="auto" w:fill="FFFFFF"/>
          </w:tcPr>
          <w:p>
            <w:pPr>
              <w:spacing w:before="480" w:after="480" w:line="360" w:lineRule="auto"/>
              <w:jc w:val="center"/>
              <w:rPr>
                <w:lang w:val="en-US" w:eastAsia="en-US"/>
              </w:rPr>
            </w:pPr>
            <w:r>
              <w:rPr>
                <w:bdr w:val="single" w:sz="2" w:space="0" w:color="D9D9E3"/>
                <w:lang w:val="en-US" w:eastAsia="en-US"/>
              </w:rPr>
              <w:t>Recommendations</w:t>
            </w:r>
          </w:p>
        </w:tc>
      </w:tr>
      <w:tr>
        <w:tc>
          <w:tcPr>
            <w:shd w:val="clear" w:color="auto" w:fill="E2EFD9"/>
          </w:tcPr>
          <w:p>
            <w:pPr>
              <w:spacing w:before="480" w:after="480" w:line="360" w:lineRule="auto"/>
              <w:jc w:val="left"/>
              <w:rPr>
                <w:lang w:val="en-US" w:eastAsia="en-US"/>
              </w:rPr>
            </w:pPr>
            <w:r>
              <w:rPr>
                <w:lang w:val="en-US" w:eastAsia="en-US"/>
              </w:rPr>
              <w:t>Specific</w:t>
            </w:r>
          </w:p>
        </w:tc>
        <w:tc>
          <w:tcPr>
            <w:shd w:val="clear" w:color="auto" w:fill="E2EFD9"/>
          </w:tcPr>
          <w:p>
            <w:pPr>
              <w:spacing w:before="480" w:after="480" w:line="360" w:lineRule="auto"/>
              <w:jc w:val="left"/>
              <w:rPr>
                <w:lang w:val="en-US" w:eastAsia="en-US"/>
              </w:rPr>
            </w:pPr>
            <w:r>
              <w:rPr>
                <w:lang w:val="en-US" w:eastAsia="en-US"/>
              </w:rPr>
              <w:t>Develop a comprehensive inventory strategy emphasizing optimized inventory levels and mitigation of the semiconductor shortage (Ma, 2022).</w:t>
            </w:r>
          </w:p>
        </w:tc>
        <w:tc>
          <w:tcPr>
            <w:shd w:val="clear" w:color="auto" w:fill="E2EFD9"/>
          </w:tcPr>
          <w:p>
            <w:pPr>
              <w:spacing w:before="480" w:after="480" w:line="360" w:lineRule="auto"/>
              <w:jc w:val="left"/>
              <w:rPr>
                <w:lang w:val="en-US" w:eastAsia="en-US"/>
              </w:rPr>
            </w:pPr>
            <w:r>
              <w:rPr>
                <w:lang w:val="en-US" w:eastAsia="en-US"/>
              </w:rPr>
              <w:t>Assess inventory holding patterns, demand variability, and lead times. Formulate specific strategies for enhanced inventory management.</w:t>
            </w:r>
          </w:p>
        </w:tc>
      </w:tr>
      <w:tr>
        <w:tc>
          <w:tcPr/>
          <w:p>
            <w:pPr>
              <w:spacing w:before="480" w:after="480" w:line="360" w:lineRule="auto"/>
              <w:jc w:val="left"/>
              <w:rPr>
                <w:lang w:val="en-US" w:eastAsia="en-US"/>
              </w:rPr>
            </w:pPr>
            <w:r>
              <w:rPr>
                <w:lang w:val="en-US" w:eastAsia="en-US"/>
              </w:rPr>
              <w:t>Measurable</w:t>
            </w:r>
          </w:p>
        </w:tc>
        <w:tc>
          <w:tcPr/>
          <w:p>
            <w:pPr>
              <w:spacing w:before="480" w:after="480" w:line="360" w:lineRule="auto"/>
              <w:jc w:val="left"/>
              <w:rPr>
                <w:lang w:val="en-US" w:eastAsia="en-US"/>
              </w:rPr>
            </w:pPr>
            <w:r>
              <w:rPr>
                <w:lang w:val="en-US" w:eastAsia="en-US"/>
              </w:rPr>
              <w:t>Set key performance indicators (KPIs) to gauge the success of inventory initiatives (Watanabe et al., 2020).</w:t>
            </w:r>
          </w:p>
        </w:tc>
        <w:tc>
          <w:tcPr/>
          <w:p>
            <w:pPr>
              <w:spacing w:before="480" w:after="480" w:line="360" w:lineRule="auto"/>
              <w:jc w:val="left"/>
              <w:rPr>
                <w:lang w:val="en-US" w:eastAsia="en-US"/>
              </w:rPr>
            </w:pPr>
            <w:r>
              <w:rPr>
                <w:lang w:val="en-US" w:eastAsia="en-US"/>
              </w:rPr>
              <w:t>Track metrics such as inventory turnover ratio, fill rate, stockout rate, and order fulfilment cycle time. Analyze these to drive data-informed inventory decisions.</w:t>
            </w:r>
          </w:p>
        </w:tc>
      </w:tr>
      <w:tr>
        <w:tc>
          <w:tcPr>
            <w:shd w:val="clear" w:color="auto" w:fill="E2EFD9"/>
          </w:tcPr>
          <w:p>
            <w:pPr>
              <w:spacing w:before="480" w:after="480" w:line="360" w:lineRule="auto"/>
              <w:jc w:val="left"/>
              <w:rPr>
                <w:lang w:val="en-US" w:eastAsia="en-US"/>
              </w:rPr>
            </w:pPr>
            <w:r>
              <w:rPr>
                <w:lang w:val="en-US" w:eastAsia="en-US"/>
              </w:rPr>
              <w:t>Achievable</w:t>
            </w:r>
          </w:p>
        </w:tc>
        <w:tc>
          <w:tcPr>
            <w:shd w:val="clear" w:color="auto" w:fill="E2EFD9"/>
          </w:tcPr>
          <w:p>
            <w:pPr>
              <w:spacing w:before="480" w:after="480" w:line="360" w:lineRule="auto"/>
              <w:jc w:val="left"/>
              <w:rPr>
                <w:lang w:val="en-US" w:eastAsia="en-US"/>
              </w:rPr>
            </w:pPr>
            <w:r>
              <w:rPr>
                <w:lang w:val="en-US" w:eastAsia="en-US"/>
              </w:rPr>
              <w:t>Create a demand forecasting system utilizing data analytics and predictive models (Coccia, 2020).</w:t>
            </w:r>
          </w:p>
        </w:tc>
        <w:tc>
          <w:tcPr>
            <w:shd w:val="clear" w:color="auto" w:fill="E2EFD9"/>
          </w:tcPr>
          <w:p>
            <w:pPr>
              <w:spacing w:before="480" w:after="480" w:line="360" w:lineRule="auto"/>
              <w:jc w:val="left"/>
              <w:rPr>
                <w:lang w:val="en-US" w:eastAsia="en-US"/>
              </w:rPr>
            </w:pPr>
            <w:r>
              <w:rPr>
                <w:lang w:val="en-US" w:eastAsia="en-US"/>
              </w:rPr>
              <w:t>Invest in state-of-the-art forecasting tools, including machine learning, to scrutinize sales data, market trends, and customer behavior. Train staff to harness these tools for accurate forecasts.</w:t>
            </w:r>
          </w:p>
        </w:tc>
      </w:tr>
      <w:tr>
        <w:tc>
          <w:tcPr/>
          <w:p>
            <w:pPr>
              <w:spacing w:before="480" w:after="480" w:line="360" w:lineRule="auto"/>
              <w:jc w:val="left"/>
              <w:rPr>
                <w:lang w:val="en-US" w:eastAsia="en-US"/>
              </w:rPr>
            </w:pPr>
            <w:r>
              <w:rPr>
                <w:lang w:val="en-US" w:eastAsia="en-US"/>
              </w:rPr>
              <w:t>Relevant</w:t>
            </w:r>
          </w:p>
        </w:tc>
        <w:tc>
          <w:tcPr/>
          <w:p>
            <w:pPr>
              <w:spacing w:before="480" w:after="480" w:line="360" w:lineRule="auto"/>
              <w:jc w:val="left"/>
              <w:rPr>
                <w:lang w:val="en-US" w:eastAsia="en-US"/>
              </w:rPr>
            </w:pPr>
            <w:r>
              <w:rPr>
                <w:lang w:val="en-US" w:eastAsia="en-US"/>
              </w:rPr>
              <w:t>Bolster communication and cooperation with suppliers to counter semiconductor shortage disruptions.</w:t>
            </w:r>
          </w:p>
        </w:tc>
        <w:tc>
          <w:tcPr/>
          <w:p>
            <w:pPr>
              <w:spacing w:before="480" w:after="480" w:line="360" w:lineRule="auto"/>
              <w:jc w:val="left"/>
              <w:rPr>
                <w:lang w:val="en-US" w:eastAsia="en-US"/>
              </w:rPr>
            </w:pPr>
            <w:r>
              <w:rPr>
                <w:lang w:val="en-US" w:eastAsia="en-US"/>
              </w:rPr>
              <w:t>Regularly interface with suppliers, sharing information and synchronizing production plans. Cooperate on risk mitigation, alternate sourcing, and planning for continuous supply.</w:t>
            </w:r>
          </w:p>
        </w:tc>
      </w:tr>
      <w:tr>
        <w:tc>
          <w:tcPr>
            <w:shd w:val="clear" w:color="auto" w:fill="E2EFD9"/>
          </w:tcPr>
          <w:p>
            <w:pPr>
              <w:spacing w:before="480" w:after="480" w:line="360" w:lineRule="auto"/>
              <w:jc w:val="left"/>
              <w:rPr>
                <w:lang w:val="en-US" w:eastAsia="en-US"/>
              </w:rPr>
            </w:pPr>
            <w:r>
              <w:rPr>
                <w:lang w:val="en-US" w:eastAsia="en-US"/>
              </w:rPr>
              <w:t>Time-bound</w:t>
            </w:r>
          </w:p>
        </w:tc>
        <w:tc>
          <w:tcPr>
            <w:shd w:val="clear" w:color="auto" w:fill="E2EFD9"/>
          </w:tcPr>
          <w:p>
            <w:pPr>
              <w:spacing w:before="480" w:after="480" w:line="360" w:lineRule="auto"/>
              <w:jc w:val="left"/>
              <w:rPr>
                <w:lang w:val="en-US" w:eastAsia="en-US"/>
              </w:rPr>
            </w:pPr>
            <w:r>
              <w:rPr>
                <w:lang w:val="en-US" w:eastAsia="en-US"/>
              </w:rPr>
              <w:t>Adopt a phased strategy to enhance inventory management, adjusting to market shifts.</w:t>
            </w:r>
          </w:p>
        </w:tc>
        <w:tc>
          <w:tcPr>
            <w:shd w:val="clear" w:color="auto" w:fill="E2EFD9"/>
          </w:tcPr>
          <w:p>
            <w:pPr>
              <w:spacing w:before="480" w:after="480" w:line="360" w:lineRule="auto"/>
              <w:jc w:val="left"/>
              <w:rPr>
                <w:lang w:val="en-US" w:eastAsia="en-US"/>
              </w:rPr>
            </w:pPr>
            <w:r>
              <w:rPr>
                <w:lang w:val="en-US" w:eastAsia="en-US"/>
              </w:rPr>
              <w:t>Chart out a timeline delineating crucial milestones for inventory management strategies, establishing clear deadlines for tasks like forecasting system deployment and supplier collaboration.</w:t>
            </w:r>
          </w:p>
        </w:tc>
      </w:tr>
    </w:tbl>
    <w:p>
      <w:pPr>
        <w:rPr>
          <w:b/>
          <w:bCs/>
          <w:color w:val="000000"/>
        </w:rPr>
      </w:pPr>
    </w:p>
    <w:p>
      <w:pPr>
        <w:rPr>
          <w:b/>
          <w:bCs/>
          <w:color w:val="000000"/>
        </w:rPr>
      </w:pPr>
    </w:p>
    <w:p>
      <w:pPr>
        <w:rPr>
          <w:b/>
          <w:bCs/>
          <w:color w:val="000000"/>
        </w:rPr>
      </w:pPr>
    </w:p>
    <w:p>
      <w:pPr>
        <w:rPr>
          <w:b/>
          <w:bCs/>
          <w:color w:val="000000"/>
        </w:rPr>
      </w:pPr>
    </w:p>
    <w:p>
      <w:pPr>
        <w:rPr>
          <w:b/>
          <w:bCs/>
          <w:color w:val="000000"/>
        </w:rPr>
      </w:pPr>
    </w:p>
    <w:p>
      <w:pPr>
        <w:rPr>
          <w:color w:val="000000"/>
        </w:rPr>
      </w:pPr>
    </w:p>
    <w:p>
      <w:pPr>
        <w:rPr>
          <w:color w:val="000000"/>
        </w:rPr>
      </w:pPr>
    </w:p>
    <w:p>
      <w:pPr>
        <w:pStyle w:val="1"/>
        <w:rPr>
          <w:b w:val="0"/>
          <w:color w:val="000000"/>
          <w:sz w:val="24"/>
          <w:szCs w:val="24"/>
        </w:rPr>
      </w:pPr>
      <w:bookmarkStart w:id="38" w:name="_3rdcrjn"/>
      <w:bookmarkStart w:id="39" w:name="_26in1rg"/>
      <w:bookmarkStart w:id="40" w:name="_Toc144278026"/>
      <w:bookmarkStart w:id="41" w:name="_Toc144278231"/>
      <w:bookmarkStart w:id="42" w:name="_Toc144278334"/>
      <w:bookmarkEnd w:id="38"/>
      <w:bookmarkEnd w:id="39"/>
      <w:r>
        <w:rPr>
          <w:b w:val="0"/>
          <w:color w:val="000000"/>
          <w:sz w:val="24"/>
          <w:szCs w:val="24"/>
        </w:rPr>
        <w:t>To complement its existing strategies, Apple should integrate additional methods into its operational blueprint. A pivotal move would be to diversify its supplier base, particularly in the semiconductor sector. By systematically evaluating and forging ties with an array of suppliers, gauged on attributes like capacity, quality, and geographical positioning, Apple can minimize risks stemming from over-reliance on limited suppliers (Liu et al., 2021). Establishing these partnerships demands rigorous vetting to ensure that suppliers align with Apple's exacting quality benchmarks. Parallelly, cultivating a culture of continuous improvement within the organization is paramount. Encouraging employees to be proactive in suggesting supply chain enhancements and having cross-functional teams regularly review and refine inventory protocols can unearth and address inefficiencies (Liu et al., 2020). Initiatives that amplify employee expertise in areas such as predictive forecasting and data-driven analytics further bolster this approach. By embracing these targeted (SMART) strategies, Apple can refine its inventory management, soften the blows of the semiconductor deficit, and reinforce its supply chain resilience. This holistic approach guarantees balanced inventory levels, reduced costs, and consistent customer satisfaction even when navigating supply chain hurdles.</w:t>
      </w:r>
      <w:bookmarkEnd w:id="40"/>
      <w:bookmarkEnd w:id="41"/>
      <w:bookmarkEnd w:id="42"/>
    </w:p>
    <w:p>
      <w:pPr>
        <w:pStyle w:val="1"/>
        <w:rPr>
          <w:b w:val="0"/>
          <w:color w:val="000000"/>
          <w:sz w:val="24"/>
          <w:szCs w:val="24"/>
        </w:rPr>
      </w:pPr>
    </w:p>
    <w:p>
      <w:pPr>
        <w:pStyle w:val="24"/>
        <w:rPr>
          <w:b/>
          <w:bCs/>
        </w:rPr>
      </w:pPr>
      <w:bookmarkStart w:id="43" w:name="_Toc144278335"/>
      <w:r>
        <w:rPr>
          <w:b/>
          <w:bCs/>
        </w:rPr>
        <w:t>14.0 Conclusion</w:t>
      </w:r>
      <w:bookmarkEnd w:id="43"/>
    </w:p>
    <w:p/>
    <w:p>
      <w:r>
        <w:t xml:space="preserve">Facing challenges like the semiconductor shortage, Apple’s resilience is tested in the global tech arena. Emphasizing supplier diversification, rigorous vetting, and promoting continuous improvement is paramount. By strategically blending these initiatives with stakeholder engagement and innovative forecasting tools, Apple can ensure robust inventory management, navigate supply disruptions, and maintain its commitment to delivering quality and satisfaction to its consumers. </w:t>
      </w:r>
      <w:r>
        <w:rPr>
          <w:color w:val="000000"/>
        </w:rPr>
        <w:t>In conclusion, the semiconductor issue has posed significant challenges to Apple Inc's inventory management. However, by implementing SMART recommendations, Apple can navigate these challenges and enhance its supply chain resilience. By developing a comprehensive inventory management strategy, leveraging data analytics for demand forecasting, and establishing clear performance metrics, Apple can optimize inventory levels and align them with customer demand. Furthermore, strengthening collaboration with suppliers, diversifying the supplier base, and improving communication channels will mitigate supply chain disruptions and ensure a reliable flow of components. By adopting a phased approach and setting time-bound goals, Apple can track progress, drive accountability, and adapt to changing market conditions. Continuous improvement efforts, such as fostering a culture of innovation and soliciting feedback from employees, will enable Apple to identify process enhancements and optimize inventory management practices. These actions will bring about superior stock turnover, diminished holding costs, and improved consumer loyalty. Successful stock administration is fundamental for Apple to relieve the effect of inventory network disturbances, keep up with item accessibility, and support its strategic advantage. Apple can navigate the semiconductor issue, improve its supply chain operations, and guarantee effective inventory management in the ever-changing technology landscape by embracing SMART recommendations and continuously monitoring performance.</w:t>
        <w:br w:type="page"/>
      </w:r>
    </w:p>
    <w:p>
      <w:pPr>
        <w:pStyle w:val="24"/>
      </w:pPr>
      <w:bookmarkStart w:id="44" w:name="_lnxbz9"/>
      <w:bookmarkStart w:id="45" w:name="_Toc144278336"/>
      <w:bookmarkEnd w:id="44"/>
      <w:r>
        <w:t>References</w:t>
      </w:r>
      <w:bookmarkEnd w:id="45"/>
    </w:p>
    <w:p>
      <w:pPr>
        <w:spacing w:before="240" w:after="240"/>
        <w:rPr>
          <w:color w:val="000000"/>
        </w:rPr>
      </w:pPr>
      <w:r>
        <w:rPr>
          <w:color w:val="000000"/>
          <w:highlight w:val="white"/>
        </w:rPr>
        <w:t xml:space="preserve">Li, Y., 2021. Apple Inc. Analysis and Forecast Evaluation. </w:t>
      </w:r>
      <w:r>
        <w:rPr>
          <w:i/>
          <w:color w:val="000000"/>
        </w:rPr>
        <w:t>Proceedings of Business and Economic Studies</w:t>
      </w:r>
      <w:r>
        <w:rPr>
          <w:color w:val="000000"/>
        </w:rPr>
        <w:t xml:space="preserve">, </w:t>
      </w:r>
      <w:r>
        <w:rPr>
          <w:i/>
          <w:color w:val="000000"/>
        </w:rPr>
        <w:t>4</w:t>
      </w:r>
      <w:r>
        <w:rPr>
          <w:color w:val="000000"/>
        </w:rPr>
        <w:t>(4), pp.71-78.</w:t>
      </w:r>
    </w:p>
    <w:p>
      <w:pPr>
        <w:spacing w:before="240" w:after="240"/>
        <w:rPr>
          <w:color w:val="000000"/>
        </w:rPr>
      </w:pPr>
      <w:r>
        <w:rPr>
          <w:color w:val="000000"/>
          <w:highlight w:val="white"/>
        </w:rPr>
        <w:t xml:space="preserve">Dong-ning, L.U. and Ni, Y.A.N.G., 2021. Research on promotion of apple industry in Yan'an city based on SWOT analysis. </w:t>
      </w:r>
      <w:r>
        <w:rPr>
          <w:i/>
          <w:color w:val="000000"/>
        </w:rPr>
        <w:t>HUBEI AGRICULTURAL SCIENCES</w:t>
      </w:r>
      <w:r>
        <w:rPr>
          <w:color w:val="000000"/>
        </w:rPr>
        <w:t xml:space="preserve">, </w:t>
      </w:r>
      <w:r>
        <w:rPr>
          <w:i/>
          <w:color w:val="000000"/>
        </w:rPr>
        <w:t>60</w:t>
      </w:r>
      <w:r>
        <w:rPr>
          <w:color w:val="000000"/>
        </w:rPr>
        <w:t>(18), p.166.</w:t>
      </w:r>
    </w:p>
    <w:p>
      <w:pPr>
        <w:spacing w:before="240" w:after="240"/>
        <w:rPr>
          <w:color w:val="000000"/>
        </w:rPr>
      </w:pPr>
      <w:r>
        <w:rPr>
          <w:color w:val="000000"/>
          <w:highlight w:val="white"/>
        </w:rPr>
        <w:t xml:space="preserve">Singh, P., 2022. </w:t>
      </w:r>
      <w:r>
        <w:rPr>
          <w:i/>
          <w:color w:val="000000"/>
        </w:rPr>
        <w:t>COMPANY ANALYSIS OF APPLE</w:t>
      </w:r>
      <w:r>
        <w:rPr>
          <w:color w:val="000000"/>
        </w:rPr>
        <w:t xml:space="preserve"> (Doctoral dissertation).</w:t>
      </w:r>
    </w:p>
    <w:p>
      <w:pPr>
        <w:spacing w:before="240" w:after="240"/>
        <w:rPr>
          <w:color w:val="000000"/>
        </w:rPr>
      </w:pPr>
      <w:r>
        <w:rPr>
          <w:color w:val="000000"/>
          <w:highlight w:val="white"/>
        </w:rPr>
        <w:t xml:space="preserve">Choi, T.Y., Narayanan, S., Novak, D., Olhager, J., Sheu, J.B. and Wiengarten, F., 2021. Managing extended supply chains. </w:t>
      </w:r>
      <w:r>
        <w:rPr>
          <w:i/>
          <w:color w:val="000000"/>
        </w:rPr>
        <w:t>Journal of Business Logistics</w:t>
      </w:r>
      <w:r>
        <w:rPr>
          <w:color w:val="000000"/>
        </w:rPr>
        <w:t xml:space="preserve">, </w:t>
      </w:r>
      <w:r>
        <w:rPr>
          <w:i/>
          <w:color w:val="000000"/>
        </w:rPr>
        <w:t>42</w:t>
      </w:r>
      <w:r>
        <w:rPr>
          <w:color w:val="000000"/>
        </w:rPr>
        <w:t>(2), pp.200-206.</w:t>
      </w:r>
    </w:p>
    <w:p>
      <w:pPr>
        <w:spacing w:before="240" w:after="240"/>
        <w:rPr>
          <w:color w:val="000000"/>
        </w:rPr>
      </w:pPr>
      <w:r>
        <w:rPr>
          <w:color w:val="000000"/>
          <w:highlight w:val="white"/>
        </w:rPr>
        <w:t xml:space="preserve">He, Y., Wang, H., Guo, Q. and Xu, Q., 2019. Coordination through cooperative advertising in a two-period consumer electronics supply chain. </w:t>
      </w:r>
      <w:r>
        <w:rPr>
          <w:i/>
          <w:color w:val="000000"/>
        </w:rPr>
        <w:t>Journal of Retailing and Consumer Services</w:t>
      </w:r>
      <w:r>
        <w:rPr>
          <w:color w:val="000000"/>
        </w:rPr>
        <w:t xml:space="preserve">, </w:t>
      </w:r>
      <w:r>
        <w:rPr>
          <w:i/>
          <w:color w:val="000000"/>
        </w:rPr>
        <w:t>50</w:t>
      </w:r>
      <w:r>
        <w:rPr>
          <w:color w:val="000000"/>
        </w:rPr>
        <w:t>, pp.179-188.</w:t>
      </w:r>
    </w:p>
    <w:p>
      <w:pPr>
        <w:spacing w:before="240" w:after="240"/>
        <w:rPr>
          <w:color w:val="000000"/>
        </w:rPr>
      </w:pPr>
      <w:r>
        <w:rPr>
          <w:color w:val="000000"/>
          <w:highlight w:val="white"/>
        </w:rPr>
        <w:t xml:space="preserve">Sakthivel, T., Venugopal, G., Durairaj, A., Vasanthkumar, S. and Huang, X., 2019. Utilization of the internal electric field in semiconductor photocatalysis: a short review. </w:t>
      </w:r>
      <w:r>
        <w:rPr>
          <w:i/>
          <w:color w:val="000000"/>
        </w:rPr>
        <w:t>Journal of Industrial and Engineering Chemistry</w:t>
      </w:r>
      <w:r>
        <w:rPr>
          <w:color w:val="000000"/>
        </w:rPr>
        <w:t xml:space="preserve">, </w:t>
      </w:r>
      <w:r>
        <w:rPr>
          <w:i/>
          <w:color w:val="000000"/>
        </w:rPr>
        <w:t>72</w:t>
      </w:r>
      <w:r>
        <w:rPr>
          <w:color w:val="000000"/>
        </w:rPr>
        <w:t>, pp.18-30.</w:t>
      </w:r>
    </w:p>
    <w:p>
      <w:pPr>
        <w:spacing w:before="240" w:after="240"/>
        <w:rPr>
          <w:color w:val="000000"/>
        </w:rPr>
      </w:pPr>
      <w:r>
        <w:rPr>
          <w:color w:val="000000"/>
          <w:highlight w:val="white"/>
        </w:rPr>
        <w:t xml:space="preserve">Chien, C.F., Lin, Y.S. and Lin, S.K., 2020. Deep reinforcement learning for selecting demand forecast models to empower Industry 3.5 and an empirical study for a semiconductor component distributor. </w:t>
      </w:r>
      <w:r>
        <w:rPr>
          <w:i/>
          <w:color w:val="000000"/>
        </w:rPr>
        <w:t>International Journal of Production Research</w:t>
      </w:r>
      <w:r>
        <w:rPr>
          <w:color w:val="000000"/>
        </w:rPr>
        <w:t xml:space="preserve">, </w:t>
      </w:r>
      <w:r>
        <w:rPr>
          <w:i/>
          <w:color w:val="000000"/>
        </w:rPr>
        <w:t>58</w:t>
      </w:r>
      <w:r>
        <w:rPr>
          <w:color w:val="000000"/>
        </w:rPr>
        <w:t>(9), pp.2784-2804.</w:t>
      </w:r>
    </w:p>
    <w:p>
      <w:pPr>
        <w:rPr>
          <w:color w:val="000000"/>
        </w:rPr>
      </w:pPr>
      <w:r>
        <w:rPr>
          <w:color w:val="000000"/>
        </w:rPr>
        <w:t xml:space="preserve">Abubakr, M., Abbas, A.T., Tomaz, I., Soliman, M.S., Luqman, M. and Hegab, H., 2020. Sustainable and smart manufacturing: an integrated approach. </w:t>
      </w:r>
      <w:r>
        <w:rPr>
          <w:i/>
          <w:color w:val="000000"/>
        </w:rPr>
        <w:t>Sustainability</w:t>
      </w:r>
      <w:r>
        <w:rPr>
          <w:color w:val="000000"/>
        </w:rPr>
        <w:t xml:space="preserve">, </w:t>
      </w:r>
      <w:r>
        <w:rPr>
          <w:i/>
          <w:color w:val="000000"/>
        </w:rPr>
        <w:t>12</w:t>
      </w:r>
      <w:r>
        <w:rPr>
          <w:color w:val="000000"/>
        </w:rPr>
        <w:t>(6), p.2280.</w:t>
      </w:r>
    </w:p>
    <w:p>
      <w:pPr>
        <w:rPr>
          <w:color w:val="000000"/>
        </w:rPr>
      </w:pPr>
      <w:r>
        <w:rPr>
          <w:color w:val="000000"/>
        </w:rPr>
        <w:t xml:space="preserve">Akbulaev, N., Mammadov, I. and Aliyev, V., 2020. Economic impact of COVID-19. </w:t>
      </w:r>
      <w:r>
        <w:rPr>
          <w:i/>
          <w:color w:val="000000"/>
        </w:rPr>
        <w:t>Sylwan</w:t>
      </w:r>
      <w:r>
        <w:rPr>
          <w:color w:val="000000"/>
        </w:rPr>
        <w:t xml:space="preserve">, </w:t>
      </w:r>
      <w:r>
        <w:rPr>
          <w:i/>
          <w:color w:val="000000"/>
        </w:rPr>
        <w:t>164</w:t>
      </w:r>
      <w:r>
        <w:rPr>
          <w:color w:val="000000"/>
        </w:rPr>
        <w:t>(5).</w:t>
      </w:r>
    </w:p>
    <w:p>
      <w:pPr>
        <w:rPr>
          <w:color w:val="000000"/>
        </w:rPr>
      </w:pPr>
      <w:r>
        <w:rPr>
          <w:color w:val="000000"/>
        </w:rPr>
        <w:t xml:space="preserve">Apple (2023), Latest News, available at: </w:t>
      </w:r>
      <w:r>
        <w:rPr>
          <w:color w:val="000000"/>
          <w:u w:val="single"/>
        </w:rPr>
        <w:fldChar w:fldCharType="begin"/>
      </w:r>
      <w:r>
        <w:instrText>HYPERLINK "https://www.apple.com/uk/newsroom/"</w:instrText>
      </w:r>
      <w:r>
        <w:rPr>
          <w:color w:val="000000"/>
          <w:u w:val="single"/>
        </w:rPr>
        <w:fldChar w:fldCharType="separate"/>
      </w:r>
      <w:r>
        <w:rPr>
          <w:color w:val="000000"/>
          <w:u w:val="single"/>
        </w:rPr>
        <w:t>https://www.apple.com/uk/newsroom/</w:t>
      </w:r>
      <w:r>
        <w:rPr>
          <w:color w:val="000000"/>
          <w:u w:val="single"/>
        </w:rPr>
        <w:fldChar w:fldCharType="end"/>
      </w:r>
      <w:r>
        <w:rPr>
          <w:color w:val="000000"/>
        </w:rPr>
        <w:t xml:space="preserve"> [Accessed on: 21st May, 2023]</w:t>
      </w:r>
    </w:p>
    <w:p>
      <w:pPr>
        <w:rPr>
          <w:color w:val="000000"/>
        </w:rPr>
      </w:pPr>
      <w:r>
        <w:rPr>
          <w:color w:val="000000"/>
        </w:rPr>
        <w:t xml:space="preserve">Brammer, S., Nardella, G. and Surdu, I., 2021. Defining and deterring corporate social irresponsibility: embracing the institutional complexity of international business. </w:t>
      </w:r>
      <w:r>
        <w:rPr>
          <w:i/>
          <w:color w:val="000000"/>
        </w:rPr>
        <w:t>Multinational Business Review</w:t>
      </w:r>
      <w:r>
        <w:rPr>
          <w:color w:val="000000"/>
        </w:rPr>
        <w:t xml:space="preserve">, </w:t>
      </w:r>
      <w:r>
        <w:rPr>
          <w:i/>
          <w:color w:val="000000"/>
        </w:rPr>
        <w:t>29</w:t>
      </w:r>
      <w:r>
        <w:rPr>
          <w:color w:val="000000"/>
        </w:rPr>
        <w:t>(3), pp.301-320.</w:t>
      </w:r>
    </w:p>
    <w:p>
      <w:pPr>
        <w:rPr>
          <w:color w:val="000000"/>
        </w:rPr>
      </w:pPr>
      <w:r>
        <w:rPr>
          <w:color w:val="000000"/>
        </w:rPr>
        <w:t xml:space="preserve">Coccia, M., 2020. Destructive technologies for industrial and corporate change. </w:t>
      </w:r>
      <w:r>
        <w:rPr>
          <w:i/>
          <w:color w:val="000000"/>
        </w:rPr>
        <w:t>Global Encyclopedia of Public Administration, Public Policy, and Governance. Springer, Cham. doi</w:t>
      </w:r>
      <w:r>
        <w:rPr>
          <w:color w:val="000000"/>
        </w:rPr>
        <w:t xml:space="preserve">, </w:t>
      </w:r>
      <w:r>
        <w:rPr>
          <w:i/>
          <w:color w:val="000000"/>
        </w:rPr>
        <w:t>10</w:t>
      </w:r>
      <w:r>
        <w:rPr>
          <w:color w:val="000000"/>
        </w:rPr>
        <w:t>, pp.978-3.</w:t>
      </w:r>
    </w:p>
    <w:p>
      <w:pPr>
        <w:rPr>
          <w:color w:val="000000"/>
        </w:rPr>
      </w:pPr>
      <w:r>
        <w:rPr>
          <w:color w:val="000000"/>
        </w:rPr>
        <w:t xml:space="preserve">Cusumano, M.A., Yoffie, D.B. and Gawer, A., 2020. The future of platforms. </w:t>
      </w:r>
      <w:r>
        <w:rPr>
          <w:i/>
          <w:color w:val="000000"/>
        </w:rPr>
        <w:t>MIT Sloan Management Review</w:t>
      </w:r>
      <w:r>
        <w:rPr>
          <w:color w:val="000000"/>
        </w:rPr>
        <w:t>, pp.26-34.</w:t>
      </w:r>
    </w:p>
    <w:p>
      <w:pPr>
        <w:rPr>
          <w:color w:val="000000"/>
        </w:rPr>
      </w:pPr>
      <w:r>
        <w:rPr>
          <w:color w:val="000000"/>
        </w:rPr>
        <w:t xml:space="preserve">Ellitan, L., 2020. Competing in the era of industrial revolution 4.0 and society 5.0. </w:t>
      </w:r>
      <w:r>
        <w:rPr>
          <w:i/>
          <w:color w:val="000000"/>
        </w:rPr>
        <w:t>Jurnal Maksipreneur: Manajemen, Koperasi, dan Entrepreneurship</w:t>
      </w:r>
      <w:r>
        <w:rPr>
          <w:color w:val="000000"/>
        </w:rPr>
        <w:t xml:space="preserve">, </w:t>
      </w:r>
      <w:r>
        <w:rPr>
          <w:i/>
          <w:color w:val="000000"/>
        </w:rPr>
        <w:t>10</w:t>
      </w:r>
      <w:r>
        <w:rPr>
          <w:color w:val="000000"/>
        </w:rPr>
        <w:t>(1), pp.1-12.</w:t>
      </w:r>
    </w:p>
    <w:p>
      <w:pPr>
        <w:rPr>
          <w:color w:val="000000"/>
        </w:rPr>
      </w:pPr>
      <w:r>
        <w:rPr>
          <w:color w:val="000000"/>
        </w:rPr>
        <w:t xml:space="preserve">Faulhaber, L.V., 2019. Taxing Tech: The Future of Digital Taxation. </w:t>
      </w:r>
      <w:r>
        <w:rPr>
          <w:i/>
          <w:color w:val="000000"/>
        </w:rPr>
        <w:t>Va. Tax Rev.</w:t>
      </w:r>
      <w:r>
        <w:rPr>
          <w:color w:val="000000"/>
        </w:rPr>
        <w:t xml:space="preserve">, </w:t>
      </w:r>
      <w:r>
        <w:rPr>
          <w:i/>
          <w:color w:val="000000"/>
        </w:rPr>
        <w:t>39</w:t>
      </w:r>
      <w:r>
        <w:rPr>
          <w:color w:val="000000"/>
        </w:rPr>
        <w:t>, p.145.</w:t>
      </w:r>
    </w:p>
    <w:p>
      <w:pPr>
        <w:rPr>
          <w:color w:val="000000"/>
        </w:rPr>
      </w:pPr>
      <w:r>
        <w:rPr>
          <w:color w:val="000000"/>
        </w:rPr>
        <w:t xml:space="preserve">Ghadge, A., Er Kara, M., Moradlou, H. and Goswami, M., 2020. The impact of Industry 4.0 implementation on supply chains. </w:t>
      </w:r>
      <w:r>
        <w:rPr>
          <w:i/>
          <w:color w:val="000000"/>
        </w:rPr>
        <w:t>Journal of Manufacturing Technology Management</w:t>
      </w:r>
      <w:r>
        <w:rPr>
          <w:color w:val="000000"/>
        </w:rPr>
        <w:t xml:space="preserve">, </w:t>
      </w:r>
      <w:r>
        <w:rPr>
          <w:i/>
          <w:color w:val="000000"/>
        </w:rPr>
        <w:t>31</w:t>
      </w:r>
      <w:r>
        <w:rPr>
          <w:color w:val="000000"/>
        </w:rPr>
        <w:t>(4), pp.669-686.</w:t>
      </w:r>
    </w:p>
    <w:p>
      <w:pPr>
        <w:rPr>
          <w:color w:val="000000"/>
        </w:rPr>
      </w:pPr>
      <w:r>
        <w:rPr>
          <w:color w:val="000000"/>
        </w:rPr>
        <w:t xml:space="preserve">Glimstedt, H., 2020. The iPhone and its antecedents: Re-thinking entry and the evolution of platform strategies at Apple Inc. </w:t>
      </w:r>
      <w:r>
        <w:rPr>
          <w:i/>
          <w:color w:val="000000"/>
        </w:rPr>
        <w:t>Entreprises et histoire</w:t>
      </w:r>
      <w:r>
        <w:rPr>
          <w:color w:val="000000"/>
        </w:rPr>
        <w:t>, (1), pp.120-151.</w:t>
      </w:r>
    </w:p>
    <w:p>
      <w:pPr>
        <w:rPr>
          <w:color w:val="000000"/>
        </w:rPr>
      </w:pPr>
      <w:r>
        <w:rPr>
          <w:color w:val="000000"/>
        </w:rPr>
        <w:t xml:space="preserve">Hoosain, M.S., Paul, B.S. and Ramakrishna, S., 2020. The impact of 4IR digital technologies and circular thinking on the United Nations sustainable development goals. </w:t>
      </w:r>
      <w:r>
        <w:rPr>
          <w:i/>
          <w:color w:val="000000"/>
        </w:rPr>
        <w:t>Sustainability</w:t>
      </w:r>
      <w:r>
        <w:rPr>
          <w:color w:val="000000"/>
        </w:rPr>
        <w:t xml:space="preserve">, </w:t>
      </w:r>
      <w:r>
        <w:rPr>
          <w:i/>
          <w:color w:val="000000"/>
        </w:rPr>
        <w:t>12</w:t>
      </w:r>
      <w:r>
        <w:rPr>
          <w:color w:val="000000"/>
        </w:rPr>
        <w:t>(23), p.10143.</w:t>
      </w:r>
    </w:p>
    <w:p>
      <w:pPr>
        <w:rPr>
          <w:color w:val="000000"/>
        </w:rPr>
      </w:pPr>
      <w:r>
        <w:rPr>
          <w:color w:val="000000"/>
        </w:rPr>
        <w:t xml:space="preserve">Hsu, P.Y., Yeh, I.W., Tseng, C.H. and Lee, S.J., 2020. A boosting regression-based method to evaluate the vital essence in semiconductor industry performance. </w:t>
      </w:r>
      <w:r>
        <w:rPr>
          <w:i/>
          <w:color w:val="000000"/>
        </w:rPr>
        <w:t>IEEE Access</w:t>
      </w:r>
      <w:r>
        <w:rPr>
          <w:color w:val="000000"/>
        </w:rPr>
        <w:t xml:space="preserve">, </w:t>
      </w:r>
      <w:r>
        <w:rPr>
          <w:i/>
          <w:color w:val="000000"/>
        </w:rPr>
        <w:t>8</w:t>
      </w:r>
      <w:r>
        <w:rPr>
          <w:color w:val="000000"/>
        </w:rPr>
        <w:t>, pp.156208-156218.</w:t>
      </w:r>
    </w:p>
    <w:p>
      <w:pPr>
        <w:rPr>
          <w:color w:val="000000"/>
        </w:rPr>
      </w:pPr>
      <w:r>
        <w:rPr>
          <w:color w:val="000000"/>
        </w:rPr>
        <w:t xml:space="preserve">Jones, B., Elliott, R.J. and Nguyen-Tien, V., 2020. The EV revolution: The road ahead for critical raw materials demand. </w:t>
      </w:r>
      <w:r>
        <w:rPr>
          <w:i/>
          <w:color w:val="000000"/>
        </w:rPr>
        <w:t>Applied Energy</w:t>
      </w:r>
      <w:r>
        <w:rPr>
          <w:color w:val="000000"/>
        </w:rPr>
        <w:t xml:space="preserve">, </w:t>
      </w:r>
      <w:r>
        <w:rPr>
          <w:i/>
          <w:color w:val="000000"/>
        </w:rPr>
        <w:t>280</w:t>
      </w:r>
      <w:r>
        <w:rPr>
          <w:color w:val="000000"/>
        </w:rPr>
        <w:t>, p.115072.</w:t>
      </w:r>
    </w:p>
    <w:p>
      <w:pPr>
        <w:rPr>
          <w:color w:val="000000"/>
        </w:rPr>
      </w:pPr>
      <w:r>
        <w:rPr>
          <w:color w:val="000000"/>
        </w:rPr>
        <w:t xml:space="preserve">Litvinenko, V.S., 2020. Digital economy as a factor in the technological development of the mineral sector. </w:t>
      </w:r>
      <w:r>
        <w:rPr>
          <w:i/>
          <w:color w:val="000000"/>
        </w:rPr>
        <w:t>Natural Resources Research</w:t>
      </w:r>
      <w:r>
        <w:rPr>
          <w:color w:val="000000"/>
        </w:rPr>
        <w:t xml:space="preserve">, </w:t>
      </w:r>
      <w:r>
        <w:rPr>
          <w:i/>
          <w:color w:val="000000"/>
        </w:rPr>
        <w:t>29</w:t>
      </w:r>
      <w:r>
        <w:rPr>
          <w:color w:val="000000"/>
        </w:rPr>
        <w:t>(3), pp.1521-1541.</w:t>
      </w:r>
    </w:p>
    <w:p>
      <w:pPr>
        <w:rPr>
          <w:color w:val="000000"/>
        </w:rPr>
      </w:pPr>
      <w:r>
        <w:rPr>
          <w:color w:val="000000"/>
        </w:rPr>
        <w:t xml:space="preserve">Liu, Z., Chen, J., Diallo, C. and Venkatadri, U., 2021. Pricing and production decisions in a dual-channel closed-loop supply chain with (re) manufacturing. </w:t>
      </w:r>
      <w:r>
        <w:rPr>
          <w:i/>
          <w:color w:val="000000"/>
        </w:rPr>
        <w:t>International Journal of Production Economics</w:t>
      </w:r>
      <w:r>
        <w:rPr>
          <w:color w:val="000000"/>
        </w:rPr>
        <w:t xml:space="preserve">, </w:t>
      </w:r>
      <w:r>
        <w:rPr>
          <w:i/>
          <w:color w:val="000000"/>
        </w:rPr>
        <w:t>232</w:t>
      </w:r>
      <w:r>
        <w:rPr>
          <w:color w:val="000000"/>
        </w:rPr>
        <w:t>, p.107935.</w:t>
      </w:r>
    </w:p>
    <w:p>
      <w:pPr>
        <w:rPr>
          <w:color w:val="000000"/>
        </w:rPr>
      </w:pPr>
      <w:r>
        <w:rPr>
          <w:color w:val="000000"/>
        </w:rPr>
        <w:t xml:space="preserve">Liu, Z., Diallo, C., Chen, J. and Zhang, M., 2020. Optimal pricing and production strategies for new and remanufactured products under a non-renewing free replacement warranty. </w:t>
      </w:r>
      <w:r>
        <w:rPr>
          <w:i/>
          <w:color w:val="000000"/>
        </w:rPr>
        <w:t>International Journal of Production Economics</w:t>
      </w:r>
      <w:r>
        <w:rPr>
          <w:color w:val="000000"/>
        </w:rPr>
        <w:t xml:space="preserve">, </w:t>
      </w:r>
      <w:r>
        <w:rPr>
          <w:i/>
          <w:color w:val="000000"/>
        </w:rPr>
        <w:t>226</w:t>
      </w:r>
      <w:r>
        <w:rPr>
          <w:color w:val="000000"/>
        </w:rPr>
        <w:t>, p.107602.</w:t>
      </w:r>
    </w:p>
    <w:p>
      <w:pPr>
        <w:rPr>
          <w:color w:val="000000"/>
        </w:rPr>
      </w:pPr>
      <w:r>
        <w:rPr>
          <w:color w:val="000000"/>
        </w:rPr>
        <w:t xml:space="preserve">Lu, W.M., Kweh, Q.L., Ting, I.W.K. and Ren, C., 2023. How does stakeholder engagement through environmental, social, and governance affect eco‐efficiency and profitability efficiency? Zooming into Apple Inc.'s counterparts. </w:t>
      </w:r>
      <w:r>
        <w:rPr>
          <w:i/>
          <w:color w:val="000000"/>
        </w:rPr>
        <w:t>Business Strategy and the Environment</w:t>
      </w:r>
      <w:r>
        <w:rPr>
          <w:color w:val="000000"/>
        </w:rPr>
        <w:t xml:space="preserve">, </w:t>
      </w:r>
      <w:r>
        <w:rPr>
          <w:i/>
          <w:color w:val="000000"/>
        </w:rPr>
        <w:t>32</w:t>
      </w:r>
      <w:r>
        <w:rPr>
          <w:color w:val="000000"/>
        </w:rPr>
        <w:t>(1), pp.587-601.</w:t>
      </w:r>
    </w:p>
    <w:p>
      <w:pPr>
        <w:rPr>
          <w:color w:val="000000"/>
        </w:rPr>
      </w:pPr>
      <w:r>
        <w:rPr>
          <w:color w:val="000000"/>
        </w:rPr>
        <w:t xml:space="preserve">Luetzenburg, G., Kroon, A. and Bjørk, A.A., 2021. Evaluation of the Apple iPhone 12 Pro LiDAR for an application in geosciences. </w:t>
      </w:r>
      <w:r>
        <w:rPr>
          <w:i/>
          <w:color w:val="000000"/>
        </w:rPr>
        <w:t>Scientific reports</w:t>
      </w:r>
      <w:r>
        <w:rPr>
          <w:color w:val="000000"/>
        </w:rPr>
        <w:t xml:space="preserve">, </w:t>
      </w:r>
      <w:r>
        <w:rPr>
          <w:i/>
          <w:color w:val="000000"/>
        </w:rPr>
        <w:t>11</w:t>
      </w:r>
      <w:r>
        <w:rPr>
          <w:color w:val="000000"/>
        </w:rPr>
        <w:t>(1), p.22221.</w:t>
      </w:r>
    </w:p>
    <w:p>
      <w:pPr>
        <w:rPr>
          <w:color w:val="000000"/>
        </w:rPr>
      </w:pPr>
      <w:r>
        <w:rPr>
          <w:color w:val="000000"/>
        </w:rPr>
        <w:t xml:space="preserve">Ma, Z., 2022. The importance of systematical analysis and evaluation methods for energy business ecosystems. </w:t>
      </w:r>
      <w:r>
        <w:rPr>
          <w:i/>
          <w:color w:val="000000"/>
        </w:rPr>
        <w:t>Energy Informatics</w:t>
      </w:r>
      <w:r>
        <w:rPr>
          <w:color w:val="000000"/>
        </w:rPr>
        <w:t xml:space="preserve">, </w:t>
      </w:r>
      <w:r>
        <w:rPr>
          <w:i/>
          <w:color w:val="000000"/>
        </w:rPr>
        <w:t>5</w:t>
      </w:r>
      <w:r>
        <w:rPr>
          <w:color w:val="000000"/>
        </w:rPr>
        <w:t>(1), p.2.</w:t>
      </w:r>
    </w:p>
    <w:p>
      <w:pPr>
        <w:rPr>
          <w:color w:val="000000"/>
        </w:rPr>
      </w:pPr>
      <w:r>
        <w:rPr>
          <w:color w:val="000000"/>
        </w:rPr>
        <w:t xml:space="preserve">Navickas, V., Kontautiene, R., Stravinskienė, J. and Bilan, Y., 2021. Paradigm shift in the concept of corporate social responsibility: COVID-19. </w:t>
      </w:r>
      <w:r>
        <w:rPr>
          <w:i/>
          <w:color w:val="000000"/>
        </w:rPr>
        <w:t>Green finance</w:t>
      </w:r>
      <w:r>
        <w:rPr>
          <w:color w:val="000000"/>
        </w:rPr>
        <w:t xml:space="preserve">, </w:t>
      </w:r>
      <w:r>
        <w:rPr>
          <w:i/>
          <w:color w:val="000000"/>
        </w:rPr>
        <w:t>3</w:t>
      </w:r>
      <w:r>
        <w:rPr>
          <w:color w:val="000000"/>
        </w:rPr>
        <w:t>(2), pp.138-152.</w:t>
      </w:r>
    </w:p>
    <w:p>
      <w:pPr>
        <w:rPr>
          <w:color w:val="000000"/>
        </w:rPr>
      </w:pPr>
      <w:r>
        <w:rPr>
          <w:color w:val="000000"/>
        </w:rPr>
        <w:t xml:space="preserve">Oláh, J., Aburumman, N., Popp, J., Khan, M.A., Haddad, H. and Kitukutha, N., 2020. Impact of Industry 4.0 on environmental sustainability. </w:t>
      </w:r>
      <w:r>
        <w:rPr>
          <w:i/>
          <w:color w:val="000000"/>
        </w:rPr>
        <w:t>Sustainability</w:t>
      </w:r>
      <w:r>
        <w:rPr>
          <w:color w:val="000000"/>
        </w:rPr>
        <w:t xml:space="preserve">, </w:t>
      </w:r>
      <w:r>
        <w:rPr>
          <w:i/>
          <w:color w:val="000000"/>
        </w:rPr>
        <w:t>12</w:t>
      </w:r>
      <w:r>
        <w:rPr>
          <w:color w:val="000000"/>
        </w:rPr>
        <w:t>(11), p.4674.</w:t>
      </w:r>
    </w:p>
    <w:p>
      <w:pPr>
        <w:rPr>
          <w:color w:val="000000"/>
        </w:rPr>
      </w:pPr>
      <w:r>
        <w:rPr>
          <w:color w:val="000000"/>
        </w:rPr>
        <w:t xml:space="preserve">Sarker, S., Rashidi, K., Gölgeci, I., Gligor, D.M. and Hsuan, J., 2022. Exploring pillars of supply chain competitiveness: insights from leading global supply chains. </w:t>
      </w:r>
      <w:r>
        <w:rPr>
          <w:i/>
          <w:color w:val="000000"/>
        </w:rPr>
        <w:t>Production Planning &amp; Control</w:t>
      </w:r>
      <w:r>
        <w:rPr>
          <w:color w:val="000000"/>
        </w:rPr>
        <w:t>, pp.1-18.</w:t>
      </w:r>
    </w:p>
    <w:p>
      <w:pPr>
        <w:rPr>
          <w:color w:val="000000"/>
        </w:rPr>
      </w:pPr>
      <w:r>
        <w:rPr>
          <w:color w:val="000000"/>
        </w:rPr>
        <w:t xml:space="preserve">Shattuck, T.J., 2021. Stuck in the Middle: Taiwan's Semiconductor Industry, the US-China Tech Fight, and Cross-Strait Stability. </w:t>
      </w:r>
      <w:r>
        <w:rPr>
          <w:i/>
          <w:color w:val="000000"/>
        </w:rPr>
        <w:t>Orbis</w:t>
      </w:r>
      <w:r>
        <w:rPr>
          <w:color w:val="000000"/>
        </w:rPr>
        <w:t xml:space="preserve">, </w:t>
      </w:r>
      <w:r>
        <w:rPr>
          <w:i/>
          <w:color w:val="000000"/>
        </w:rPr>
        <w:t>65</w:t>
      </w:r>
      <w:r>
        <w:rPr>
          <w:color w:val="000000"/>
        </w:rPr>
        <w:t>(1), pp.101-117.</w:t>
      </w:r>
    </w:p>
    <w:p>
      <w:pPr>
        <w:rPr>
          <w:color w:val="000000"/>
        </w:rPr>
      </w:pPr>
      <w:r>
        <w:rPr>
          <w:color w:val="000000"/>
        </w:rPr>
        <w:t xml:space="preserve">Sheth, J., 2020. Business of business is more than business: Managing during the Covid crisis. </w:t>
      </w:r>
      <w:r>
        <w:rPr>
          <w:i/>
          <w:color w:val="000000"/>
        </w:rPr>
        <w:t>Industrial Marketing Management</w:t>
      </w:r>
      <w:r>
        <w:rPr>
          <w:color w:val="000000"/>
        </w:rPr>
        <w:t xml:space="preserve">, </w:t>
      </w:r>
      <w:r>
        <w:rPr>
          <w:i/>
          <w:color w:val="000000"/>
        </w:rPr>
        <w:t>88</w:t>
      </w:r>
      <w:r>
        <w:rPr>
          <w:color w:val="000000"/>
        </w:rPr>
        <w:t>, pp.261-264.</w:t>
      </w:r>
    </w:p>
    <w:p>
      <w:pPr>
        <w:rPr>
          <w:color w:val="000000"/>
        </w:rPr>
      </w:pPr>
      <w:r>
        <w:rPr>
          <w:color w:val="000000"/>
        </w:rPr>
        <w:t xml:space="preserve">Singh, K. and Misra, M., 2022. The evolving path of CSR: toward business and society relationship. </w:t>
      </w:r>
      <w:r>
        <w:rPr>
          <w:i/>
          <w:color w:val="000000"/>
        </w:rPr>
        <w:t>Journal of Economic and Administrative Sciences</w:t>
      </w:r>
      <w:r>
        <w:rPr>
          <w:color w:val="000000"/>
        </w:rPr>
        <w:t xml:space="preserve">, </w:t>
      </w:r>
      <w:r>
        <w:rPr>
          <w:i/>
          <w:color w:val="000000"/>
        </w:rPr>
        <w:t>38</w:t>
      </w:r>
      <w:r>
        <w:rPr>
          <w:color w:val="000000"/>
        </w:rPr>
        <w:t>(2), pp.304-332.</w:t>
      </w:r>
    </w:p>
    <w:p>
      <w:pPr>
        <w:rPr>
          <w:color w:val="000000"/>
        </w:rPr>
      </w:pPr>
      <w:r>
        <w:rPr>
          <w:color w:val="000000"/>
        </w:rPr>
        <w:t xml:space="preserve">Suddaby, R., Coraiola, D., Harvey, C. and Foster, W., 2020. History and the micro‐foundations of dynamic capabilities. </w:t>
      </w:r>
      <w:r>
        <w:rPr>
          <w:i/>
          <w:color w:val="000000"/>
        </w:rPr>
        <w:t>Strategic Management Journal</w:t>
      </w:r>
      <w:r>
        <w:rPr>
          <w:color w:val="000000"/>
        </w:rPr>
        <w:t xml:space="preserve">, </w:t>
      </w:r>
      <w:r>
        <w:rPr>
          <w:i/>
          <w:color w:val="000000"/>
        </w:rPr>
        <w:t>41</w:t>
      </w:r>
      <w:r>
        <w:rPr>
          <w:color w:val="000000"/>
        </w:rPr>
        <w:t>(3), pp.530-556.</w:t>
      </w:r>
    </w:p>
    <w:p>
      <w:pPr>
        <w:rPr>
          <w:color w:val="000000"/>
        </w:rPr>
      </w:pPr>
      <w:r>
        <w:rPr>
          <w:color w:val="000000"/>
        </w:rPr>
        <w:t xml:space="preserve">Tashanova, D., Sekerbay, A., Chen, D., Luo, Y., Zhao, S. and Zhang, T., 2020. Investment opportunities and strategies in an era of coronavirus pandemic. </w:t>
      </w:r>
      <w:r>
        <w:rPr>
          <w:i/>
          <w:color w:val="000000"/>
        </w:rPr>
        <w:t>Available at SSRN 3567445</w:t>
      </w:r>
      <w:r>
        <w:rPr>
          <w:color w:val="000000"/>
        </w:rPr>
        <w:t>.</w:t>
      </w:r>
    </w:p>
    <w:p>
      <w:pPr>
        <w:rPr>
          <w:color w:val="000000"/>
        </w:rPr>
      </w:pPr>
      <w:r>
        <w:rPr>
          <w:color w:val="000000"/>
        </w:rPr>
        <w:t xml:space="preserve">Watanabe, C., Tou, Y. and Neittaanmäki, P., 2020. Institutional systems inducing R&amp;D in Amazon-the role of an investor surplus toward stakeholder capitalization. </w:t>
      </w:r>
      <w:r>
        <w:rPr>
          <w:i/>
          <w:color w:val="000000"/>
        </w:rPr>
        <w:t>Technology in Society</w:t>
      </w:r>
      <w:r>
        <w:rPr>
          <w:color w:val="000000"/>
        </w:rPr>
        <w:t xml:space="preserve">, </w:t>
      </w:r>
      <w:r>
        <w:rPr>
          <w:i/>
          <w:color w:val="000000"/>
        </w:rPr>
        <w:t>63</w:t>
      </w:r>
      <w:r>
        <w:rPr>
          <w:color w:val="000000"/>
        </w:rPr>
        <w:t>, p.101290.</w:t>
      </w:r>
    </w:p>
    <w:p>
      <w:pPr>
        <w:rPr>
          <w:color w:val="000000"/>
        </w:rPr>
      </w:pPr>
      <w:r>
        <w:rPr>
          <w:color w:val="000000"/>
        </w:rPr>
        <w:t xml:space="preserve">Xu, Z., Elomri, A., Kerbache, L. and El Omri, A., 2020. Impacts of COVID-19 on global supply chains: Facts and perspectives. </w:t>
      </w:r>
      <w:r>
        <w:rPr>
          <w:i/>
          <w:color w:val="000000"/>
        </w:rPr>
        <w:t>IEEE Engineering Management Review</w:t>
      </w:r>
      <w:r>
        <w:rPr>
          <w:color w:val="000000"/>
        </w:rPr>
        <w:t xml:space="preserve">, </w:t>
      </w:r>
      <w:r>
        <w:rPr>
          <w:i/>
          <w:color w:val="000000"/>
        </w:rPr>
        <w:t>48</w:t>
      </w:r>
      <w:r>
        <w:rPr>
          <w:color w:val="000000"/>
        </w:rPr>
        <w:t>(3), pp.153-166.</w:t>
      </w:r>
    </w:p>
    <w:p>
      <w:pPr>
        <w:spacing w:before="240" w:after="240"/>
        <w:rPr>
          <w:color w:val="000000"/>
        </w:rPr>
      </w:pPr>
      <w:r>
        <w:rPr>
          <w:color w:val="000000"/>
          <w:highlight w:val="white"/>
        </w:rPr>
        <w:t xml:space="preserve">Chen, X., Liu, Y. and Gong, H., 2021, December. Apple Inc. Strategic Marketing Analysis and Evaluation. In </w:t>
      </w:r>
      <w:r>
        <w:rPr>
          <w:i/>
          <w:color w:val="000000"/>
        </w:rPr>
        <w:t>2021 3rd International Conference on Economic Management and Cultural Industry (ICEMCI 2021)</w:t>
      </w:r>
      <w:r>
        <w:rPr>
          <w:color w:val="000000"/>
        </w:rPr>
        <w:t xml:space="preserve"> (pp. 3053-3061). Atlantis Press.</w:t>
      </w:r>
    </w:p>
    <w:p>
      <w:pPr>
        <w:spacing w:before="240" w:after="240"/>
        <w:rPr>
          <w:color w:val="000000"/>
        </w:rPr>
      </w:pPr>
      <w:r>
        <w:rPr>
          <w:color w:val="000000"/>
          <w:highlight w:val="white"/>
        </w:rPr>
        <w:t xml:space="preserve">Tian, X., Yang, L., Huang, Y. and Fang, Y., 2022, January. Research on Supply Chain Shortage of Electronic Technology Companies under the Pandemic Situation: A Case Study of Apple Inc. and Xiaomi Inc. In </w:t>
      </w:r>
      <w:r>
        <w:rPr>
          <w:i/>
          <w:color w:val="000000"/>
        </w:rPr>
        <w:t>2022 13th International Conference on E-Education, E-Business, E-Management, and E-Learning (IC4E)</w:t>
      </w:r>
      <w:r>
        <w:rPr>
          <w:color w:val="000000"/>
        </w:rPr>
        <w:t xml:space="preserve"> (pp. 605-610).</w:t>
      </w:r>
    </w:p>
    <w:p>
      <w:pPr>
        <w:spacing w:before="240" w:after="240"/>
        <w:rPr>
          <w:color w:val="000000"/>
        </w:rPr>
      </w:pPr>
      <w:r>
        <w:rPr>
          <w:color w:val="000000"/>
          <w:highlight w:val="white"/>
        </w:rPr>
        <w:t xml:space="preserve">Chen, Z., Li, Y. and Huang, R., 2023, February. An Investigation of the Investment Projects for Apple’s Future Development Based on SWOT Analysis and Fisher Model. In </w:t>
      </w:r>
      <w:r>
        <w:rPr>
          <w:i/>
          <w:color w:val="000000"/>
        </w:rPr>
        <w:t>Proceedings of the 4th International Conference on Economic Management and Model Engineering, ICEMME 2022, November 18-20, 2022, Nanjing, China</w:t>
      </w:r>
      <w:r>
        <w:rPr>
          <w:color w:val="000000"/>
        </w:rPr>
        <w:t>.</w:t>
      </w:r>
    </w:p>
    <w:p>
      <w:pPr>
        <w:rPr>
          <w:color w:val="000000"/>
        </w:rPr>
      </w:pPr>
      <w:r>
        <w:rPr>
          <w:color w:val="000000"/>
        </w:rPr>
        <w:t xml:space="preserve">Czifra, G. and Molnár, Z., 2020. Covid-19 and Industry 4.0. </w:t>
      </w:r>
      <w:r>
        <w:rPr>
          <w:i/>
          <w:color w:val="000000"/>
        </w:rPr>
        <w:t>Research papers faculty of materials science and technology slovak university of technology</w:t>
      </w:r>
      <w:r>
        <w:rPr>
          <w:color w:val="000000"/>
        </w:rPr>
        <w:t xml:space="preserve">, </w:t>
      </w:r>
      <w:r>
        <w:rPr>
          <w:i/>
          <w:color w:val="000000"/>
        </w:rPr>
        <w:t>28</w:t>
      </w:r>
      <w:r>
        <w:rPr>
          <w:color w:val="000000"/>
        </w:rPr>
        <w:t>(46), pp.36-45.</w:t>
      </w:r>
    </w:p>
    <w:sectPr>
      <w:headerReference w:type="default" r:id="rId2"/>
      <w:footerReference w:type="default" r:id="rId3"/>
      <w:pgSz w:w="12240" w:h="15840"/>
      <w:pgMar w:top="1440" w:right="1440" w:bottom="1440" w:left="1440" w:header="720" w:footer="720" w:gutter="0"/>
      <w:pgNumType w:start="1"/>
      <w:docGrid w:linePitch="326" w:charSpace="0"/>
    </w:sectPr>
  </w:body>
</w:document>
</file>

<file path=word/fontTable.xml><?xml version="1.0" encoding="utf-8"?>
<w:fonts xmlns:w="http://schemas.openxmlformats.org/wordprocessingml/2006/main" xmlns:r="http://schemas.openxmlformats.org/officeDocument/2006/relationships">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altName w:val="Droid Sans"/>
    <w:panose1 w:val="00000000000000000000"/>
    <w:charset w:val="00"/>
    <w:family w:val="auto"/>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宋体">
    <w:panose1 w:val="00000000000000000000"/>
    <w:charset w:val="00"/>
    <w:family w:val="auto"/>
    <w:pitch w:val="variable"/>
    <w:sig w:usb0="00000000" w:usb1="00000000" w:usb2="00000000" w:usb3="00000000" w:csb0="00000000" w:csb1="00000000"/>
  </w:font>
  <w:font w:name="等线 Light">
    <w:altName w:val="Droid Sans"/>
    <w:panose1 w:val="00000000000000000000"/>
    <w:charset w:val="00"/>
    <w:family w:val="auto"/>
    <w:pitch w:val="variable"/>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Bdr>
        <w:top w:val="none" w:sz="0" w:space="0" w:color="auto"/>
        <w:left w:val="none" w:sz="0" w:space="0" w:color="auto"/>
        <w:bottom w:val="none" w:sz="0" w:space="0" w:color="auto"/>
        <w:right w:val="none" w:sz="0" w:space="0" w:color="auto"/>
        <w:between w:val="none" w:sz="0" w:space="0" w:color="auto"/>
      </w:pBdr>
      <w:tabs>
        <w:tab w:val="center" w:pos="4513"/>
        <w:tab w:val="right" w:pos="9026"/>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Pr>
        <w:color w:val="000000"/>
        <w:sz w:val="20"/>
        <w:szCs w:val="20"/>
      </w:rPr>
      <w:t>14</w:t>
    </w:r>
    <w:r>
      <w:rPr>
        <w:color w:val="000000"/>
        <w:sz w:val="20"/>
        <w:szCs w:val="20"/>
      </w:rPr>
      <w:fldChar w:fldCharType="end"/>
    </w:r>
  </w:p>
  <w:p>
    <w:pPr>
      <w:pBdr>
        <w:top w:val="none" w:sz="0" w:space="0" w:color="auto"/>
        <w:left w:val="none" w:sz="0" w:space="0" w:color="auto"/>
        <w:bottom w:val="none" w:sz="0" w:space="0" w:color="auto"/>
        <w:right w:val="none" w:sz="0" w:space="0" w:color="auto"/>
        <w:between w:val="none" w:sz="0" w:space="0" w:color="auto"/>
      </w:pBdr>
      <w:tabs>
        <w:tab w:val="center" w:pos="4513"/>
        <w:tab w:val="right" w:pos="9026"/>
      </w:tabs>
      <w:rPr>
        <w:color w:val="000000"/>
        <w:sz w:val="20"/>
        <w:szCs w:val="20"/>
      </w:rPr>
    </w:pPr>
  </w:p>
</w:ftr>
</file>

<file path=word/header1.xml><?xml version="1.0" encoding="utf-8"?>
<w:hd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Bdr>
        <w:top w:val="none" w:sz="0" w:space="0" w:color="auto"/>
        <w:left w:val="none" w:sz="0" w:space="0" w:color="auto"/>
        <w:bottom w:val="none" w:sz="0" w:space="0" w:color="auto"/>
        <w:right w:val="none" w:sz="0" w:space="0" w:color="auto"/>
        <w:between w:val="none" w:sz="0" w:space="0" w:color="auto"/>
      </w:pBdr>
      <w:tabs>
        <w:tab w:val="center" w:pos="4513"/>
        <w:tab w:val="right" w:pos="9026"/>
      </w:tabs>
      <w:spacing w:line="240" w:lineRule="auto"/>
      <w:jc w:val="center"/>
      <w:rPr>
        <w:color w:val="000000"/>
      </w:rPr>
    </w:pPr>
  </w:p>
</w:hdr>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w:abstractNum w:abstractNumId="0">
    <w:nsid w:val="1189784F"/>
    <w:multiLevelType w:val="hybridMultilevel"/>
    <w:tmpl w:val="774618E0"/>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1">
    <w:nsid w:val="59A71553"/>
    <w:multiLevelType w:val="multilevel"/>
    <w:tmpl w:val="9028DF90"/>
    <w:lvl w:ilvl="0">
      <w:start w:val="1"/>
      <w:numFmt w:val="decimal"/>
      <w:lvlRestart w:val="0"/>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lef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lef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left"/>
      <w:pPr>
        <w:tabs>
          <w:tab w:val="num" w:pos="0"/>
        </w:tabs>
        <w:ind w:left="6480" w:hanging="360"/>
      </w:pPr>
      <w:rPr>
        <w:u w:val="none"/>
      </w:rPr>
    </w:lvl>
  </w:abstractNum>
  <w:abstractNum w:abstractNumId="2">
    <w:nsid w:val="22C76DE8"/>
    <w:multiLevelType w:val="multilevel"/>
    <w:tmpl w:val="6CD820A0"/>
    <w:lvl w:ilvl="0">
      <w:start w:val="1"/>
      <w:numFmt w:val="decimal"/>
      <w:lvlRestart w:val="0"/>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lef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lef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left"/>
      <w:pPr>
        <w:tabs>
          <w:tab w:val="num" w:pos="0"/>
        </w:tabs>
        <w:ind w:left="6480" w:hanging="360"/>
      </w:pPr>
      <w:rPr>
        <w:u w:val="none"/>
      </w:rPr>
    </w:lvl>
  </w:abstractNum>
  <w:abstractNum w:abstractNumId="3">
    <w:nsid w:val="0E242E37"/>
    <w:multiLevelType w:val="multilevel"/>
    <w:tmpl w:val="4B4E6740"/>
    <w:lvl w:ilvl="0">
      <w:start w:val="1"/>
      <w:numFmt w:val="decimal"/>
      <w:lvlRestart w:val="0"/>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lef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lef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left"/>
      <w:pPr>
        <w:tabs>
          <w:tab w:val="num" w:pos="0"/>
        </w:tabs>
        <w:ind w:left="6480" w:hanging="360"/>
      </w:pPr>
      <w:rPr>
        <w:u w:val="none"/>
      </w:rPr>
    </w:lvl>
  </w:abstractNum>
  <w:abstractNum w:abstractNumId="4">
    <w:nsid w:val="7A7F1E66"/>
    <w:multiLevelType w:val="multilevel"/>
    <w:tmpl w:val="EB00E1CA"/>
    <w:lvl w:ilvl="0">
      <w:start w:val="1"/>
      <w:numFmt w:val="decimal"/>
      <w:lvlRestart w:val="0"/>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lef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lef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left"/>
      <w:pPr>
        <w:tabs>
          <w:tab w:val="num" w:pos="0"/>
        </w:tabs>
        <w:ind w:left="6480" w:hanging="360"/>
      </w:pPr>
      <w:rPr>
        <w:u w:val="none"/>
      </w:rPr>
    </w:lvl>
  </w:abstractNum>
  <w:abstractNum w:abstractNumId="5">
    <w:nsid w:val="0992465A"/>
    <w:multiLevelType w:val="multilevel"/>
    <w:tmpl w:val="7E2603AA"/>
    <w:lvl w:ilvl="0">
      <w:start w:val="1"/>
      <w:numFmt w:val="decimal"/>
      <w:lvlRestart w:val="0"/>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6">
    <w:nsid w:val="6ECF387B"/>
    <w:multiLevelType w:val="hybridMultilevel"/>
    <w:tmpl w:val="07D836CC"/>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32"/>
  <w:bordersDoNotSurroundHeader/>
  <w:bordersDoNotSurroundFooter/>
  <w:defaultTabStop w:val="720"/>
  <w:drawingGridHorizontalSpacing w:val="120"/>
  <w:drawingGridVerticalSpacing w:val="163"/>
  <w:displayHorizontalDrawingGridEvery w:val="0"/>
  <w:displayVerticalDrawingGridEvery w:val="1"/>
  <w:compat>
    <w:spaceForUL/>
    <w:growAutofit/>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line="360" w:lineRule="auto"/>
      <w:jc w:val="both"/>
    </w:pPr>
    <w:rPr>
      <w:rFonts w:ascii="Times New Roman" w:eastAsia="Times New Roman" w:cs="Times New Roman" w:hAnsi="Times New Roman"/>
      <w:sz w:val="24"/>
      <w:szCs w:val="24"/>
      <w:lang w:val="en-GB" w:eastAsia="en-IN" w:bidi="ar-SA"/>
    </w:rPr>
  </w:style>
  <w:style w:type="paragraph" w:styleId="1">
    <w:name w:val="heading 1"/>
    <w:basedOn w:val="0"/>
    <w:next w:val="0"/>
    <w:pPr>
      <w:keepNext/>
      <w:keepLines/>
      <w:outlineLvl w:val="0"/>
    </w:pPr>
    <w:rPr>
      <w:b/>
      <w:sz w:val="28"/>
      <w:szCs w:val="28"/>
    </w:rPr>
  </w:style>
  <w:style w:type="paragraph" w:styleId="2">
    <w:name w:val="heading 2"/>
    <w:basedOn w:val="0"/>
    <w:next w:val="0"/>
    <w:pPr>
      <w:jc w:val="center"/>
      <w:outlineLvl w:val="1"/>
    </w:pPr>
    <w:rPr>
      <w:b/>
      <w:color w:val="000000"/>
    </w:rPr>
  </w:style>
  <w:style w:type="paragraph" w:styleId="3">
    <w:name w:val="heading 3"/>
    <w:basedOn w:val="0"/>
    <w:next w:val="0"/>
    <w:pPr>
      <w:jc w:val="center"/>
      <w:outlineLvl w:val="2"/>
    </w:pPr>
    <w:rPr>
      <w:b/>
      <w:color w:val="000000"/>
    </w:rPr>
  </w:style>
  <w:style w:type="paragraph" w:styleId="4">
    <w:name w:val="heading 4"/>
    <w:basedOn w:val="0"/>
    <w:next w:val="0"/>
    <w:pPr>
      <w:keepNext/>
      <w:keepLines/>
      <w:spacing w:before="280" w:after="80"/>
      <w:outlineLvl w:val="3"/>
    </w:pPr>
    <w:rPr>
      <w:color w:val="666666"/>
    </w:rPr>
  </w:style>
  <w:style w:type="paragraph" w:styleId="5">
    <w:name w:val="heading 5"/>
    <w:basedOn w:val="0"/>
    <w:next w:val="0"/>
    <w:pPr>
      <w:keepNext/>
      <w:keepLines/>
      <w:spacing w:before="240" w:after="80"/>
      <w:outlineLvl w:val="4"/>
    </w:pPr>
    <w:rPr>
      <w:color w:val="666666"/>
      <w:sz w:val="22"/>
      <w:szCs w:val="22"/>
    </w:rPr>
  </w:style>
  <w:style w:type="paragraph" w:styleId="6">
    <w:name w:val="heading 6"/>
    <w:basedOn w:val="0"/>
    <w:next w:val="0"/>
    <w:pPr>
      <w:keepNext/>
      <w:keepLines/>
      <w:spacing w:before="240" w:after="80"/>
      <w:outlineLvl w:val="5"/>
    </w:pPr>
    <w:rPr>
      <w:i/>
      <w:color w:val="666666"/>
      <w:sz w:val="22"/>
      <w:szCs w:val="22"/>
    </w:rPr>
  </w:style>
  <w:style w:type="paragraph" w:styleId="7">
    <w:name w:val="heading 7"/>
    <w:basedOn w:val="0"/>
    <w:autoRedefine/>
    <w:next w:val="0"/>
    <w:pPr>
      <w:keepNext/>
      <w:keepLines/>
      <w:spacing w:before="40"/>
      <w:outlineLvl w:val="6"/>
    </w:pPr>
    <w:rPr>
      <w:rFonts w:eastAsia="等线 Light" w:cs="Times New Roman"/>
      <w:b/>
      <w:iCs/>
      <w:color w:val="1F3763"/>
    </w:rPr>
  </w:style>
  <w:style w:type="character" w:default="1" w:styleId="10">
    <w:name w:val="Default Paragraph Font"/>
  </w:style>
  <w:style w:type="paragraph" w:styleId="15">
    <w:name w:val="Title"/>
    <w:basedOn w:val="0"/>
    <w:next w:val="0"/>
    <w:pPr>
      <w:keepNext/>
      <w:keepLines/>
      <w:spacing w:after="60"/>
    </w:pPr>
    <w:rPr>
      <w:sz w:val="52"/>
      <w:szCs w:val="52"/>
    </w:rPr>
  </w:style>
  <w:style w:type="paragraph" w:styleId="16">
    <w:name w:val="Subtitle"/>
    <w:basedOn w:val="0"/>
    <w:next w:val="0"/>
    <w:pPr>
      <w:keepNext/>
      <w:keepLines/>
      <w:spacing w:after="320"/>
    </w:pPr>
    <w:rPr>
      <w:rFonts w:ascii="Arial" w:eastAsia="Arial" w:cs="Arial" w:hAnsi="Arial"/>
      <w:color w:val="666666"/>
      <w:sz w:val="30"/>
      <w:szCs w:val="30"/>
    </w:rPr>
  </w:style>
  <w:style w:type="paragraph" w:styleId="17">
    <w:name w:val="header"/>
    <w:basedOn w:val="0"/>
    <w:pPr>
      <w:tabs>
        <w:tab w:val="center" w:pos="4680"/>
        <w:tab w:val="right" w:pos="9360"/>
      </w:tabs>
      <w:spacing w:line="240" w:lineRule="auto"/>
    </w:pPr>
  </w:style>
  <w:style w:type="paragraph" w:styleId="18">
    <w:name w:val="footer"/>
    <w:basedOn w:val="0"/>
    <w:pPr>
      <w:tabs>
        <w:tab w:val="center" w:pos="4680"/>
        <w:tab w:val="right" w:pos="9360"/>
      </w:tabs>
      <w:spacing w:line="240" w:lineRule="auto"/>
    </w:pPr>
  </w:style>
  <w:style w:type="paragraph" w:customStyle="1" w:styleId="19">
    <w:name w:val="List Paragraph"/>
    <w:basedOn w:val="0"/>
    <w:pPr>
      <w:ind w:left="720"/>
      <w:contextualSpacing/>
    </w:pPr>
  </w:style>
  <w:style w:type="paragraph" w:styleId="20">
    <w:name w:val="toc 1"/>
    <w:basedOn w:val="0"/>
    <w:autoRedefine/>
    <w:next w:val="0"/>
    <w:pPr>
      <w:spacing w:after="100"/>
    </w:pPr>
  </w:style>
  <w:style w:type="paragraph" w:styleId="21">
    <w:name w:val="toc 2"/>
    <w:basedOn w:val="0"/>
    <w:autoRedefine/>
    <w:next w:val="0"/>
    <w:pPr>
      <w:spacing w:after="100"/>
      <w:ind w:left="240"/>
    </w:pPr>
  </w:style>
  <w:style w:type="character" w:styleId="22">
    <w:name w:val="Hyperlink"/>
    <w:basedOn w:val="10"/>
    <w:rPr>
      <w:color w:val="0563C1"/>
      <w:u w:val="single"/>
    </w:rPr>
  </w:style>
  <w:style w:type="paragraph" w:customStyle="1" w:styleId="23">
    <w:name w:val="TOC Heading"/>
    <w:basedOn w:val="1"/>
    <w:next w:val="0"/>
    <w:pPr>
      <w:spacing w:before="240" w:line="259" w:lineRule="auto"/>
      <w:jc w:val="left"/>
      <w:outlineLvl w:val="9"/>
    </w:pPr>
    <w:rPr>
      <w:rFonts w:ascii="Calibri Light" w:eastAsia="等线 Light" w:cs="Times New Roman" w:hAnsi="Calibri Light"/>
      <w:b w:val="0"/>
      <w:color w:val="2F5496"/>
      <w:sz w:val="32"/>
      <w:szCs w:val="32"/>
      <w:lang w:val="en-US" w:eastAsia="en-US"/>
    </w:rPr>
  </w:style>
  <w:style w:type="paragraph" w:customStyle="1" w:styleId="24">
    <w:name w:val="No Spacing"/>
    <w:basedOn w:val="1"/>
    <w:rPr>
      <w:b w:val="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image" Target="media/2.jpeg"/><Relationship Id="rId5" Type="http://schemas.openxmlformats.org/officeDocument/2006/relationships/image" Target="media/120.png"/><Relationship Id="rId6" Type="http://schemas.openxmlformats.org/officeDocument/2006/relationships/styles" Target="styles.xml"/><Relationship Id="rId7" Type="http://schemas.openxmlformats.org/officeDocument/2006/relationships/numbering" Target="numbering.xml"/><Relationship Id="rId8" Type="http://schemas.openxmlformats.org/officeDocument/2006/relationships/fontTable" Target="fontTable.xml"/></Relationships>
</file>

<file path=docProps/app.xml><?xml version="1.0" encoding="utf-8"?>
<Properties xmlns="http://schemas.openxmlformats.org/officeDocument/2006/extended-properties">
  <Template>Normal.eit</Template>
  <TotalTime>8</TotalTime>
  <Application>Yozo_Office</Application>
  <Pages>39</Pages>
  <Words>6279</Words>
  <Characters>39186</Characters>
  <Lines>1021</Lines>
  <Paragraphs>374</Paragraphs>
  <CharactersWithSpaces>45191</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HP</dc:creator>
  <cp:lastModifiedBy>vivo user</cp:lastModifiedBy>
  <cp:revision>2</cp:revision>
  <dcterms:created xsi:type="dcterms:W3CDTF">2023-08-30T08:00:00Z</dcterms:created>
  <dcterms:modified xsi:type="dcterms:W3CDTF">2023-09-01T04:17:42Z</dcterms:modified>
</cp:coreProperties>
</file>