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EF7857" w:rsidRPr="009F5CF2" w:rsidRDefault="00A90A61" w:rsidP="00EF7857">
      <w:pPr>
        <w:rPr>
          <w:b/>
          <w:color w:val="FF0000"/>
          <w:sz w:val="40"/>
          <w:szCs w:val="40"/>
        </w:rPr>
      </w:pPr>
      <w:r>
        <w:rPr>
          <w:b/>
          <w:color w:val="FF0000"/>
          <w:sz w:val="40"/>
          <w:szCs w:val="40"/>
        </w:rPr>
        <w:t xml:space="preserve">(1) </w:t>
      </w:r>
      <w:r w:rsidR="00EF7857">
        <w:rPr>
          <w:b/>
          <w:color w:val="FF0000"/>
          <w:sz w:val="40"/>
          <w:szCs w:val="40"/>
        </w:rPr>
        <w:t>R</w:t>
      </w:r>
      <w:r w:rsidR="00EF7857" w:rsidRPr="009F5CF2">
        <w:rPr>
          <w:b/>
          <w:color w:val="FF0000"/>
          <w:sz w:val="40"/>
          <w:szCs w:val="40"/>
        </w:rPr>
        <w:t>eferring to an earlier part of an essay, report etc</w:t>
      </w:r>
    </w:p>
    <w:p w:rsidR="00562587" w:rsidRPr="00562587" w:rsidRDefault="00234875" w:rsidP="00562587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562587">
        <w:rPr>
          <w:rFonts w:asciiTheme="minorHAnsi" w:hAnsiTheme="minorHAnsi"/>
          <w:sz w:val="28"/>
          <w:szCs w:val="28"/>
        </w:rPr>
        <w:t xml:space="preserve">(1) </w:t>
      </w:r>
      <w:r w:rsidR="00562587" w:rsidRPr="00562587">
        <w:rPr>
          <w:rFonts w:asciiTheme="minorHAnsi" w:hAnsiTheme="minorHAnsi"/>
          <w:b/>
          <w:color w:val="FF0000"/>
          <w:sz w:val="28"/>
          <w:szCs w:val="28"/>
        </w:rPr>
        <w:t>As the above example shows</w:t>
      </w:r>
      <w:r w:rsidR="00562587" w:rsidRPr="00562587">
        <w:rPr>
          <w:rFonts w:asciiTheme="minorHAnsi" w:hAnsiTheme="minorHAnsi"/>
          <w:sz w:val="28"/>
          <w:szCs w:val="28"/>
        </w:rPr>
        <w:t xml:space="preserve">, they depend in part on the context of the interaction. </w:t>
      </w:r>
    </w:p>
    <w:p w:rsidR="00562587" w:rsidRPr="00562587" w:rsidRDefault="00562587" w:rsidP="00562587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562587">
        <w:rPr>
          <w:rFonts w:asciiTheme="minorHAnsi" w:hAnsiTheme="minorHAnsi"/>
          <w:sz w:val="28"/>
          <w:szCs w:val="28"/>
        </w:rPr>
        <w:t xml:space="preserve">(2) The data used by Board and Sutcliffe (1990) </w:t>
      </w:r>
      <w:r w:rsidRPr="00562587">
        <w:rPr>
          <w:rFonts w:asciiTheme="minorHAnsi" w:hAnsiTheme="minorHAnsi"/>
          <w:b/>
          <w:color w:val="FF0000"/>
          <w:sz w:val="28"/>
          <w:szCs w:val="28"/>
        </w:rPr>
        <w:t>is described above</w:t>
      </w:r>
      <w:r w:rsidRPr="00562587">
        <w:rPr>
          <w:rFonts w:asciiTheme="minorHAnsi" w:hAnsiTheme="minorHAnsi"/>
          <w:sz w:val="28"/>
          <w:szCs w:val="28"/>
        </w:rPr>
        <w:t xml:space="preserve"> in Section 8.2.2. </w:t>
      </w:r>
    </w:p>
    <w:p w:rsidR="00562587" w:rsidRPr="00562587" w:rsidRDefault="00562587" w:rsidP="00562587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562587">
        <w:rPr>
          <w:rFonts w:asciiTheme="minorHAnsi" w:hAnsiTheme="minorHAnsi"/>
          <w:sz w:val="28"/>
          <w:szCs w:val="28"/>
        </w:rPr>
        <w:t>(3) Sinha had resigned in mid-January following a central government call for the resignation of all state governors [</w:t>
      </w:r>
      <w:r w:rsidRPr="00562587">
        <w:rPr>
          <w:rFonts w:asciiTheme="minorHAnsi" w:hAnsiTheme="minorHAnsi"/>
          <w:b/>
          <w:color w:val="FF0000"/>
          <w:sz w:val="28"/>
          <w:szCs w:val="28"/>
        </w:rPr>
        <w:t>see above</w:t>
      </w:r>
      <w:r w:rsidRPr="00562587">
        <w:rPr>
          <w:rFonts w:asciiTheme="minorHAnsi" w:hAnsiTheme="minorHAnsi"/>
          <w:sz w:val="28"/>
          <w:szCs w:val="28"/>
        </w:rPr>
        <w:t>].</w:t>
      </w:r>
    </w:p>
    <w:p w:rsidR="001B3C4F" w:rsidRPr="001B3C4F" w:rsidRDefault="00562587" w:rsidP="001B3C4F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1B3C4F">
        <w:rPr>
          <w:rFonts w:asciiTheme="minorHAnsi" w:hAnsiTheme="minorHAnsi"/>
          <w:sz w:val="28"/>
          <w:szCs w:val="28"/>
        </w:rPr>
        <w:t xml:space="preserve">(4) </w:t>
      </w:r>
      <w:r w:rsidR="001B3C4F" w:rsidRPr="001B3C4F">
        <w:rPr>
          <w:rFonts w:asciiTheme="minorHAnsi" w:hAnsiTheme="minorHAnsi"/>
          <w:sz w:val="28"/>
          <w:szCs w:val="28"/>
        </w:rPr>
        <w:t xml:space="preserve">The way that weekly credit callers can encourage existing customers to borrow again, and the results of this, </w:t>
      </w:r>
      <w:r w:rsidR="001B3C4F" w:rsidRPr="00D96610">
        <w:rPr>
          <w:rFonts w:asciiTheme="minorHAnsi" w:hAnsiTheme="minorHAnsi"/>
          <w:b/>
          <w:color w:val="FF0000"/>
          <w:sz w:val="28"/>
          <w:szCs w:val="28"/>
        </w:rPr>
        <w:t>were discussed in a previous section</w:t>
      </w:r>
      <w:r w:rsidR="001B3C4F" w:rsidRPr="001B3C4F">
        <w:rPr>
          <w:rFonts w:asciiTheme="minorHAnsi" w:hAnsiTheme="minorHAnsi"/>
          <w:sz w:val="28"/>
          <w:szCs w:val="28"/>
        </w:rPr>
        <w:t xml:space="preserve">. </w:t>
      </w:r>
    </w:p>
    <w:p w:rsidR="00EA386D" w:rsidRPr="00EA386D" w:rsidRDefault="00D96610" w:rsidP="00EA386D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EA386D">
        <w:rPr>
          <w:rFonts w:asciiTheme="minorHAnsi" w:hAnsiTheme="minorHAnsi"/>
          <w:sz w:val="28"/>
          <w:szCs w:val="28"/>
        </w:rPr>
        <w:t xml:space="preserve">(5) </w:t>
      </w:r>
      <w:r w:rsidR="00EA386D" w:rsidRPr="00EA386D">
        <w:rPr>
          <w:rFonts w:asciiTheme="minorHAnsi" w:hAnsiTheme="minorHAnsi"/>
          <w:sz w:val="28"/>
          <w:szCs w:val="28"/>
        </w:rPr>
        <w:t xml:space="preserve">It was mentioned </w:t>
      </w:r>
      <w:r w:rsidR="00EA386D" w:rsidRPr="00110690">
        <w:rPr>
          <w:rFonts w:asciiTheme="minorHAnsi" w:hAnsiTheme="minorHAnsi"/>
          <w:b/>
          <w:color w:val="FF0000"/>
          <w:sz w:val="28"/>
          <w:szCs w:val="28"/>
        </w:rPr>
        <w:t>in the previous chapter</w:t>
      </w:r>
      <w:r w:rsidR="00EA386D" w:rsidRPr="00EA386D">
        <w:rPr>
          <w:rFonts w:asciiTheme="minorHAnsi" w:hAnsiTheme="minorHAnsi"/>
          <w:sz w:val="28"/>
          <w:szCs w:val="28"/>
        </w:rPr>
        <w:t xml:space="preserve"> that an awareness of the marketing environment has become a key element in the ‘modern-day’ approach to marketing.</w:t>
      </w:r>
    </w:p>
    <w:p w:rsidR="0071299C" w:rsidRPr="0071299C" w:rsidRDefault="00110690" w:rsidP="0071299C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71299C">
        <w:rPr>
          <w:rFonts w:asciiTheme="minorHAnsi" w:hAnsiTheme="minorHAnsi"/>
          <w:sz w:val="28"/>
          <w:szCs w:val="28"/>
        </w:rPr>
        <w:t xml:space="preserve">(6) </w:t>
      </w:r>
      <w:r w:rsidR="0071299C" w:rsidRPr="0071299C">
        <w:rPr>
          <w:rFonts w:asciiTheme="minorHAnsi" w:hAnsiTheme="minorHAnsi"/>
          <w:sz w:val="28"/>
          <w:szCs w:val="28"/>
        </w:rPr>
        <w:t xml:space="preserve">We have seen the evidence for this clearly enough </w:t>
      </w:r>
      <w:r w:rsidR="0071299C" w:rsidRPr="0071299C">
        <w:rPr>
          <w:rFonts w:asciiTheme="minorHAnsi" w:hAnsiTheme="minorHAnsi"/>
          <w:b/>
          <w:color w:val="FF0000"/>
          <w:sz w:val="28"/>
          <w:szCs w:val="28"/>
        </w:rPr>
        <w:t>in the preceding pages</w:t>
      </w:r>
      <w:r w:rsidR="0071299C" w:rsidRPr="0071299C">
        <w:rPr>
          <w:rFonts w:asciiTheme="minorHAnsi" w:hAnsiTheme="minorHAnsi"/>
          <w:sz w:val="28"/>
          <w:szCs w:val="28"/>
        </w:rPr>
        <w:t xml:space="preserve">. </w:t>
      </w:r>
    </w:p>
    <w:p w:rsidR="00234875" w:rsidRDefault="0071299C" w:rsidP="00FE5B07">
      <w:pPr>
        <w:jc w:val="both"/>
        <w:rPr>
          <w:sz w:val="28"/>
          <w:szCs w:val="28"/>
        </w:rPr>
      </w:pPr>
      <w:r w:rsidRPr="00FE5B07">
        <w:rPr>
          <w:sz w:val="28"/>
          <w:szCs w:val="28"/>
        </w:rPr>
        <w:t xml:space="preserve">(7) </w:t>
      </w:r>
      <w:r w:rsidR="00FE5B07" w:rsidRPr="00FE5B07">
        <w:rPr>
          <w:sz w:val="28"/>
          <w:szCs w:val="28"/>
        </w:rPr>
        <w:t xml:space="preserve">However, </w:t>
      </w:r>
      <w:r w:rsidR="00FE5B07" w:rsidRPr="00FE5B07">
        <w:rPr>
          <w:b/>
          <w:color w:val="FF0000"/>
          <w:sz w:val="28"/>
          <w:szCs w:val="28"/>
        </w:rPr>
        <w:t>as was mentioned earlier</w:t>
      </w:r>
      <w:r w:rsidR="00FE5B07" w:rsidRPr="00FE5B07">
        <w:rPr>
          <w:sz w:val="28"/>
          <w:szCs w:val="28"/>
        </w:rPr>
        <w:t xml:space="preserve"> in the chapter, the model of perfect competition does not present an accurate picture of reality.</w:t>
      </w:r>
    </w:p>
    <w:p w:rsidR="006B7BD6" w:rsidRPr="006B7BD6" w:rsidRDefault="00FE5B07" w:rsidP="006B7BD6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6B7BD6">
        <w:rPr>
          <w:rFonts w:asciiTheme="minorHAnsi" w:hAnsiTheme="minorHAnsi"/>
          <w:sz w:val="28"/>
          <w:szCs w:val="28"/>
        </w:rPr>
        <w:t xml:space="preserve">(8) </w:t>
      </w:r>
      <w:r w:rsidR="006B7BD6" w:rsidRPr="006B7BD6">
        <w:rPr>
          <w:rFonts w:asciiTheme="minorHAnsi" w:hAnsiTheme="minorHAnsi"/>
          <w:b/>
          <w:color w:val="FF0000"/>
          <w:sz w:val="28"/>
          <w:szCs w:val="28"/>
        </w:rPr>
        <w:t>As outlined earlier</w:t>
      </w:r>
      <w:r w:rsidR="006B7BD6" w:rsidRPr="006B7BD6">
        <w:rPr>
          <w:rFonts w:asciiTheme="minorHAnsi" w:hAnsiTheme="minorHAnsi"/>
          <w:sz w:val="28"/>
          <w:szCs w:val="28"/>
        </w:rPr>
        <w:t>, low temperatures past and present are also indicated by the evidence that the Moon has a long history of outer rigidity.</w:t>
      </w:r>
    </w:p>
    <w:p w:rsidR="00454245" w:rsidRPr="00454245" w:rsidRDefault="006B7BD6" w:rsidP="00454245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454245">
        <w:rPr>
          <w:rFonts w:asciiTheme="minorHAnsi" w:hAnsiTheme="minorHAnsi"/>
          <w:sz w:val="28"/>
          <w:szCs w:val="28"/>
        </w:rPr>
        <w:t xml:space="preserve">(9) </w:t>
      </w:r>
      <w:r w:rsidR="00454245" w:rsidRPr="00454245">
        <w:rPr>
          <w:rFonts w:asciiTheme="minorHAnsi" w:hAnsiTheme="minorHAnsi"/>
          <w:b/>
          <w:color w:val="FF0000"/>
          <w:sz w:val="28"/>
          <w:szCs w:val="28"/>
        </w:rPr>
        <w:t>As has been seen</w:t>
      </w:r>
      <w:r w:rsidR="00454245" w:rsidRPr="00454245">
        <w:rPr>
          <w:rFonts w:asciiTheme="minorHAnsi" w:hAnsiTheme="minorHAnsi"/>
          <w:sz w:val="28"/>
          <w:szCs w:val="28"/>
        </w:rPr>
        <w:t xml:space="preserve">, in the process of training many CAB policy issues emerge. </w:t>
      </w:r>
    </w:p>
    <w:p w:rsidR="00B82207" w:rsidRDefault="00B82207" w:rsidP="00ED3B54">
      <w:pPr>
        <w:rPr>
          <w:b/>
          <w:color w:val="FF0000"/>
          <w:sz w:val="40"/>
          <w:szCs w:val="40"/>
        </w:rPr>
      </w:pPr>
    </w:p>
    <w:p w:rsidR="00B82207" w:rsidRDefault="00B82207" w:rsidP="00ED3B54">
      <w:pPr>
        <w:rPr>
          <w:b/>
          <w:color w:val="FF0000"/>
          <w:sz w:val="40"/>
          <w:szCs w:val="40"/>
        </w:rPr>
      </w:pPr>
    </w:p>
    <w:p w:rsidR="00B82207" w:rsidRDefault="00B82207" w:rsidP="00ED3B54">
      <w:pPr>
        <w:rPr>
          <w:b/>
          <w:color w:val="FF0000"/>
          <w:sz w:val="40"/>
          <w:szCs w:val="40"/>
        </w:rPr>
      </w:pPr>
    </w:p>
    <w:p w:rsidR="00B82207" w:rsidRDefault="00B82207" w:rsidP="00ED3B54">
      <w:pPr>
        <w:rPr>
          <w:b/>
          <w:color w:val="FF0000"/>
          <w:sz w:val="40"/>
          <w:szCs w:val="40"/>
        </w:rPr>
      </w:pPr>
    </w:p>
    <w:p w:rsidR="00B82207" w:rsidRDefault="00B82207" w:rsidP="00ED3B54">
      <w:pPr>
        <w:rPr>
          <w:b/>
          <w:color w:val="FF0000"/>
          <w:sz w:val="40"/>
          <w:szCs w:val="40"/>
        </w:rPr>
      </w:pPr>
    </w:p>
    <w:p w:rsidR="00ED3B54" w:rsidRDefault="00A90A61" w:rsidP="00ED3B54">
      <w:pPr>
        <w:rPr>
          <w:b/>
          <w:color w:val="FF0000"/>
          <w:sz w:val="40"/>
          <w:szCs w:val="40"/>
        </w:rPr>
      </w:pPr>
      <w:r>
        <w:rPr>
          <w:b/>
          <w:color w:val="FF0000"/>
          <w:sz w:val="40"/>
          <w:szCs w:val="40"/>
        </w:rPr>
        <w:lastRenderedPageBreak/>
        <w:t>(2)</w:t>
      </w:r>
      <w:r w:rsidR="00ED3B54" w:rsidRPr="001B5607">
        <w:rPr>
          <w:b/>
          <w:color w:val="FF0000"/>
          <w:sz w:val="40"/>
          <w:szCs w:val="40"/>
        </w:rPr>
        <w:t xml:space="preserve"> referring to a later part of an essay, report etc</w:t>
      </w:r>
    </w:p>
    <w:p w:rsidR="00ED3B54" w:rsidRPr="00A75FB6" w:rsidRDefault="00ED3B54" w:rsidP="00A75FB6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A75FB6">
        <w:rPr>
          <w:rFonts w:asciiTheme="minorHAnsi" w:hAnsiTheme="minorHAnsi"/>
          <w:sz w:val="28"/>
          <w:szCs w:val="28"/>
        </w:rPr>
        <w:t>(1)  In Belfast East public voting instructions went further (</w:t>
      </w:r>
      <w:r w:rsidRPr="00A75FB6">
        <w:rPr>
          <w:rFonts w:asciiTheme="minorHAnsi" w:hAnsiTheme="minorHAnsi"/>
          <w:b/>
          <w:color w:val="FF0000"/>
          <w:sz w:val="28"/>
          <w:szCs w:val="28"/>
        </w:rPr>
        <w:t>see below</w:t>
      </w:r>
      <w:r w:rsidRPr="00A75FB6">
        <w:rPr>
          <w:rFonts w:asciiTheme="minorHAnsi" w:hAnsiTheme="minorHAnsi"/>
          <w:sz w:val="28"/>
          <w:szCs w:val="28"/>
        </w:rPr>
        <w:t xml:space="preserve"> page 14).</w:t>
      </w:r>
    </w:p>
    <w:p w:rsidR="00ED3B54" w:rsidRPr="00A75FB6" w:rsidRDefault="00ED3B54" w:rsidP="00A75FB6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A75FB6">
        <w:rPr>
          <w:rFonts w:asciiTheme="minorHAnsi" w:hAnsiTheme="minorHAnsi"/>
          <w:sz w:val="28"/>
          <w:szCs w:val="28"/>
        </w:rPr>
        <w:t xml:space="preserve">(2) Possible savings and extra outgoings </w:t>
      </w:r>
      <w:r w:rsidRPr="00A75FB6">
        <w:rPr>
          <w:rFonts w:asciiTheme="minorHAnsi" w:hAnsiTheme="minorHAnsi"/>
          <w:b/>
          <w:color w:val="FF0000"/>
          <w:sz w:val="28"/>
          <w:szCs w:val="28"/>
        </w:rPr>
        <w:t>are discussed below</w:t>
      </w:r>
      <w:r w:rsidRPr="00A75FB6">
        <w:rPr>
          <w:rFonts w:asciiTheme="minorHAnsi" w:hAnsiTheme="minorHAnsi"/>
          <w:sz w:val="28"/>
          <w:szCs w:val="28"/>
        </w:rPr>
        <w:t xml:space="preserve">. </w:t>
      </w:r>
    </w:p>
    <w:p w:rsidR="00F22ADA" w:rsidRPr="00A75FB6" w:rsidRDefault="00F22ADA" w:rsidP="00A75FB6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A75FB6">
        <w:rPr>
          <w:rFonts w:asciiTheme="minorHAnsi" w:hAnsiTheme="minorHAnsi"/>
          <w:sz w:val="28"/>
          <w:szCs w:val="28"/>
        </w:rPr>
        <w:t xml:space="preserve">(3) Featured </w:t>
      </w:r>
      <w:r w:rsidRPr="00A75FB6">
        <w:rPr>
          <w:rFonts w:asciiTheme="minorHAnsi" w:hAnsiTheme="minorHAnsi"/>
          <w:b/>
          <w:color w:val="FF0000"/>
          <w:sz w:val="28"/>
          <w:szCs w:val="28"/>
        </w:rPr>
        <w:t>below is</w:t>
      </w:r>
      <w:r w:rsidRPr="00A75FB6">
        <w:rPr>
          <w:rFonts w:asciiTheme="minorHAnsi" w:hAnsiTheme="minorHAnsi"/>
          <w:sz w:val="28"/>
          <w:szCs w:val="28"/>
        </w:rPr>
        <w:t xml:space="preserve"> a sample selection of the range of hotels available, to give you an overall impression of the high standards offered in The Hague area.</w:t>
      </w:r>
    </w:p>
    <w:p w:rsidR="00EE2627" w:rsidRPr="00EE2627" w:rsidRDefault="00F22ADA" w:rsidP="00EE2627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EE2627">
        <w:rPr>
          <w:rFonts w:asciiTheme="minorHAnsi" w:hAnsiTheme="minorHAnsi"/>
          <w:sz w:val="28"/>
          <w:szCs w:val="28"/>
        </w:rPr>
        <w:t xml:space="preserve">(4) </w:t>
      </w:r>
      <w:r w:rsidR="00EE2627" w:rsidRPr="00EE2627">
        <w:rPr>
          <w:rFonts w:asciiTheme="minorHAnsi" w:hAnsiTheme="minorHAnsi"/>
          <w:sz w:val="28"/>
          <w:szCs w:val="28"/>
        </w:rPr>
        <w:t xml:space="preserve">As an illustration of this, </w:t>
      </w:r>
      <w:r w:rsidR="00EE2627" w:rsidRPr="00EE2627">
        <w:rPr>
          <w:rFonts w:asciiTheme="minorHAnsi" w:hAnsiTheme="minorHAnsi"/>
          <w:b/>
          <w:color w:val="FF0000"/>
          <w:sz w:val="28"/>
          <w:szCs w:val="28"/>
        </w:rPr>
        <w:t>consider the following example</w:t>
      </w:r>
      <w:r w:rsidR="00EE2627" w:rsidRPr="00EE2627">
        <w:rPr>
          <w:rFonts w:asciiTheme="minorHAnsi" w:hAnsiTheme="minorHAnsi"/>
          <w:sz w:val="28"/>
          <w:szCs w:val="28"/>
        </w:rPr>
        <w:t xml:space="preserve"> (9), taken from Sanford &amp; Garrod (1981: 10):</w:t>
      </w:r>
    </w:p>
    <w:p w:rsidR="00B973BB" w:rsidRDefault="00EE2627" w:rsidP="00B973BB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B973BB">
        <w:rPr>
          <w:rFonts w:asciiTheme="minorHAnsi" w:hAnsiTheme="minorHAnsi"/>
          <w:sz w:val="28"/>
          <w:szCs w:val="28"/>
        </w:rPr>
        <w:t xml:space="preserve">(5) </w:t>
      </w:r>
      <w:r w:rsidR="00B973BB" w:rsidRPr="00B973BB">
        <w:rPr>
          <w:rFonts w:asciiTheme="minorHAnsi" w:hAnsiTheme="minorHAnsi"/>
          <w:b/>
          <w:color w:val="FF0000"/>
          <w:sz w:val="28"/>
          <w:szCs w:val="28"/>
        </w:rPr>
        <w:t xml:space="preserve">The following points </w:t>
      </w:r>
      <w:r w:rsidR="00B973BB" w:rsidRPr="00B973BB">
        <w:rPr>
          <w:rFonts w:asciiTheme="minorHAnsi" w:hAnsiTheme="minorHAnsi"/>
          <w:sz w:val="28"/>
          <w:szCs w:val="28"/>
        </w:rPr>
        <w:t>should be borne in mind:</w:t>
      </w:r>
    </w:p>
    <w:p w:rsidR="00D666CC" w:rsidRPr="00086EE3" w:rsidRDefault="00B973BB" w:rsidP="00086EE3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086EE3">
        <w:rPr>
          <w:rFonts w:asciiTheme="minorHAnsi" w:hAnsiTheme="minorHAnsi"/>
          <w:sz w:val="28"/>
          <w:szCs w:val="28"/>
        </w:rPr>
        <w:t xml:space="preserve">(6) </w:t>
      </w:r>
      <w:r w:rsidR="00D666CC" w:rsidRPr="00086EE3">
        <w:rPr>
          <w:rFonts w:asciiTheme="minorHAnsi" w:hAnsiTheme="minorHAnsi"/>
          <w:sz w:val="28"/>
          <w:szCs w:val="28"/>
        </w:rPr>
        <w:t xml:space="preserve">The fees payable for the whole process </w:t>
      </w:r>
      <w:r w:rsidR="00D666CC" w:rsidRPr="001046E1">
        <w:rPr>
          <w:rFonts w:asciiTheme="minorHAnsi" w:hAnsiTheme="minorHAnsi"/>
          <w:b/>
          <w:color w:val="FF0000"/>
          <w:sz w:val="28"/>
          <w:szCs w:val="28"/>
        </w:rPr>
        <w:t>are as follows</w:t>
      </w:r>
      <w:r w:rsidR="00D666CC" w:rsidRPr="00086EE3">
        <w:rPr>
          <w:rFonts w:asciiTheme="minorHAnsi" w:hAnsiTheme="minorHAnsi"/>
          <w:sz w:val="28"/>
          <w:szCs w:val="28"/>
        </w:rPr>
        <w:t>:</w:t>
      </w:r>
    </w:p>
    <w:p w:rsidR="00086EE3" w:rsidRPr="00086EE3" w:rsidRDefault="00D666CC" w:rsidP="00086EE3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086EE3">
        <w:rPr>
          <w:rFonts w:asciiTheme="minorHAnsi" w:hAnsiTheme="minorHAnsi"/>
          <w:sz w:val="28"/>
          <w:szCs w:val="28"/>
        </w:rPr>
        <w:t xml:space="preserve">(7) </w:t>
      </w:r>
      <w:r w:rsidR="00086EE3" w:rsidRPr="00086EE3">
        <w:rPr>
          <w:rFonts w:asciiTheme="minorHAnsi" w:hAnsiTheme="minorHAnsi"/>
          <w:sz w:val="28"/>
          <w:szCs w:val="28"/>
        </w:rPr>
        <w:t>Although senior executives' specific information needs differ widely from company to company, the information required does fall into consistent categories (</w:t>
      </w:r>
      <w:r w:rsidR="00086EE3" w:rsidRPr="001046E1">
        <w:rPr>
          <w:rFonts w:asciiTheme="minorHAnsi" w:hAnsiTheme="minorHAnsi"/>
          <w:b/>
          <w:color w:val="FF0000"/>
          <w:sz w:val="28"/>
          <w:szCs w:val="28"/>
        </w:rPr>
        <w:t>see diagram</w:t>
      </w:r>
      <w:r w:rsidR="00086EE3" w:rsidRPr="00086EE3">
        <w:rPr>
          <w:rFonts w:asciiTheme="minorHAnsi" w:hAnsiTheme="minorHAnsi"/>
          <w:sz w:val="28"/>
          <w:szCs w:val="28"/>
        </w:rPr>
        <w:t>).</w:t>
      </w:r>
    </w:p>
    <w:p w:rsidR="00B82207" w:rsidRDefault="00B82207" w:rsidP="00D20BD0">
      <w:pPr>
        <w:rPr>
          <w:b/>
          <w:color w:val="FF0000"/>
          <w:sz w:val="40"/>
          <w:szCs w:val="40"/>
        </w:rPr>
      </w:pPr>
    </w:p>
    <w:p w:rsidR="00D20BD0" w:rsidRDefault="00A90A61" w:rsidP="00D20BD0">
      <w:pPr>
        <w:rPr>
          <w:b/>
          <w:color w:val="FF0000"/>
          <w:sz w:val="40"/>
          <w:szCs w:val="40"/>
        </w:rPr>
      </w:pPr>
      <w:r>
        <w:rPr>
          <w:b/>
          <w:color w:val="FF0000"/>
          <w:sz w:val="40"/>
          <w:szCs w:val="40"/>
        </w:rPr>
        <w:t>(3)</w:t>
      </w:r>
      <w:r w:rsidR="00D20BD0" w:rsidRPr="00067DFF">
        <w:rPr>
          <w:b/>
          <w:color w:val="FF0000"/>
          <w:sz w:val="40"/>
          <w:szCs w:val="40"/>
        </w:rPr>
        <w:t xml:space="preserve"> referring to another piece of work</w:t>
      </w:r>
    </w:p>
    <w:p w:rsidR="00272902" w:rsidRPr="00777886" w:rsidRDefault="00272902" w:rsidP="00777886">
      <w:pPr>
        <w:jc w:val="both"/>
        <w:rPr>
          <w:sz w:val="28"/>
          <w:szCs w:val="28"/>
        </w:rPr>
      </w:pPr>
      <w:r w:rsidRPr="00777886">
        <w:rPr>
          <w:sz w:val="28"/>
          <w:szCs w:val="28"/>
        </w:rPr>
        <w:t>(1</w:t>
      </w:r>
      <w:r w:rsidRPr="00777886">
        <w:rPr>
          <w:b/>
          <w:color w:val="FF0000"/>
          <w:sz w:val="28"/>
          <w:szCs w:val="28"/>
        </w:rPr>
        <w:t xml:space="preserve">) </w:t>
      </w:r>
      <w:r w:rsidR="00777886" w:rsidRPr="00777886">
        <w:rPr>
          <w:b/>
          <w:color w:val="FF0000"/>
          <w:sz w:val="28"/>
          <w:szCs w:val="28"/>
        </w:rPr>
        <w:t>According to</w:t>
      </w:r>
      <w:r w:rsidR="00777886" w:rsidRPr="00777886">
        <w:rPr>
          <w:sz w:val="28"/>
          <w:szCs w:val="28"/>
        </w:rPr>
        <w:t xml:space="preserve"> Albert Speer, Goebbels referred around this time not just to a ‘leadership crisis’, but to a ‘Leader crisis’.</w:t>
      </w:r>
    </w:p>
    <w:p w:rsidR="00777886" w:rsidRPr="00777886" w:rsidRDefault="00777886" w:rsidP="00777886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777886">
        <w:rPr>
          <w:rFonts w:asciiTheme="minorHAnsi" w:hAnsiTheme="minorHAnsi"/>
          <w:sz w:val="28"/>
          <w:szCs w:val="28"/>
        </w:rPr>
        <w:t xml:space="preserve">(2) As a result, </w:t>
      </w:r>
      <w:r w:rsidRPr="00777886">
        <w:rPr>
          <w:rFonts w:asciiTheme="minorHAnsi" w:hAnsiTheme="minorHAnsi"/>
          <w:b/>
          <w:color w:val="FF0000"/>
          <w:sz w:val="28"/>
          <w:szCs w:val="28"/>
        </w:rPr>
        <w:t xml:space="preserve">as </w:t>
      </w:r>
      <w:r w:rsidRPr="00777886">
        <w:rPr>
          <w:rFonts w:asciiTheme="minorHAnsi" w:hAnsiTheme="minorHAnsi"/>
          <w:sz w:val="28"/>
          <w:szCs w:val="28"/>
        </w:rPr>
        <w:t>Hobsbawm</w:t>
      </w:r>
      <w:r w:rsidRPr="00777886">
        <w:rPr>
          <w:rFonts w:asciiTheme="minorHAnsi" w:hAnsiTheme="minorHAnsi"/>
          <w:b/>
          <w:color w:val="FF0000"/>
          <w:sz w:val="28"/>
          <w:szCs w:val="28"/>
        </w:rPr>
        <w:t xml:space="preserve"> points out</w:t>
      </w:r>
      <w:r w:rsidRPr="00777886">
        <w:rPr>
          <w:rFonts w:asciiTheme="minorHAnsi" w:hAnsiTheme="minorHAnsi"/>
          <w:sz w:val="28"/>
          <w:szCs w:val="28"/>
        </w:rPr>
        <w:t xml:space="preserve">, Marx seems to half suggest the existence of yet another mode of production — the Slavonic. </w:t>
      </w:r>
    </w:p>
    <w:p w:rsidR="00A90A61" w:rsidRPr="00A90A61" w:rsidRDefault="00A90A61" w:rsidP="00A90A61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A90A61">
        <w:rPr>
          <w:rFonts w:asciiTheme="minorHAnsi" w:hAnsiTheme="minorHAnsi"/>
          <w:sz w:val="28"/>
          <w:szCs w:val="28"/>
        </w:rPr>
        <w:t>(3) There are, then, arguments in favour of such consciousness-raising (</w:t>
      </w:r>
      <w:r w:rsidRPr="00A90A61">
        <w:rPr>
          <w:rFonts w:asciiTheme="minorHAnsi" w:hAnsiTheme="minorHAnsi"/>
          <w:b/>
          <w:color w:val="FF0000"/>
          <w:sz w:val="28"/>
          <w:szCs w:val="28"/>
        </w:rPr>
        <w:t>see also</w:t>
      </w:r>
      <w:r w:rsidRPr="00A90A61">
        <w:rPr>
          <w:rFonts w:asciiTheme="minorHAnsi" w:hAnsiTheme="minorHAnsi"/>
          <w:sz w:val="28"/>
          <w:szCs w:val="28"/>
        </w:rPr>
        <w:t xml:space="preserve"> Sharwood-Smith 1981; Rutherford 1987). </w:t>
      </w:r>
    </w:p>
    <w:p w:rsidR="00FB07CF" w:rsidRPr="00FB07CF" w:rsidRDefault="00A90A61" w:rsidP="00FB07CF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FB07CF">
        <w:rPr>
          <w:rFonts w:asciiTheme="minorHAnsi" w:hAnsiTheme="minorHAnsi"/>
          <w:sz w:val="28"/>
          <w:szCs w:val="28"/>
        </w:rPr>
        <w:t xml:space="preserve">(4) </w:t>
      </w:r>
      <w:r w:rsidR="00FB07CF" w:rsidRPr="00FB07CF">
        <w:rPr>
          <w:rFonts w:asciiTheme="minorHAnsi" w:hAnsiTheme="minorHAnsi"/>
          <w:sz w:val="28"/>
          <w:szCs w:val="28"/>
        </w:rPr>
        <w:t>In the North-West, for example, those employed by the Civil Service constitute 1.7 per cent of the civilian workforce (</w:t>
      </w:r>
      <w:r w:rsidR="00FB07CF" w:rsidRPr="00FB07CF">
        <w:rPr>
          <w:rFonts w:asciiTheme="minorHAnsi" w:hAnsiTheme="minorHAnsi"/>
          <w:b/>
          <w:color w:val="FF0000"/>
          <w:sz w:val="28"/>
          <w:szCs w:val="28"/>
        </w:rPr>
        <w:t>ibid.</w:t>
      </w:r>
      <w:r w:rsidR="00FB07CF" w:rsidRPr="00FB07CF">
        <w:rPr>
          <w:rFonts w:asciiTheme="minorHAnsi" w:hAnsiTheme="minorHAnsi"/>
          <w:sz w:val="28"/>
          <w:szCs w:val="28"/>
        </w:rPr>
        <w:t xml:space="preserve">). </w:t>
      </w:r>
    </w:p>
    <w:p w:rsidR="001D49FE" w:rsidRPr="001D49FE" w:rsidRDefault="001D49FE" w:rsidP="001D49FE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1D49FE">
        <w:rPr>
          <w:rFonts w:asciiTheme="minorHAnsi" w:hAnsiTheme="minorHAnsi"/>
          <w:sz w:val="28"/>
          <w:szCs w:val="28"/>
        </w:rPr>
        <w:t>(5) The Ridley Report (</w:t>
      </w:r>
      <w:r w:rsidRPr="001D49FE">
        <w:rPr>
          <w:rFonts w:asciiTheme="minorHAnsi" w:hAnsiTheme="minorHAnsi"/>
          <w:b/>
          <w:color w:val="FF0000"/>
          <w:sz w:val="28"/>
          <w:szCs w:val="28"/>
        </w:rPr>
        <w:t>c</w:t>
      </w:r>
      <w:r>
        <w:rPr>
          <w:rFonts w:asciiTheme="minorHAnsi" w:hAnsiTheme="minorHAnsi"/>
          <w:b/>
          <w:color w:val="FF0000"/>
          <w:sz w:val="28"/>
          <w:szCs w:val="28"/>
        </w:rPr>
        <w:t>.</w:t>
      </w:r>
      <w:r w:rsidRPr="001D49FE">
        <w:rPr>
          <w:rFonts w:asciiTheme="minorHAnsi" w:hAnsiTheme="minorHAnsi"/>
          <w:b/>
          <w:color w:val="FF0000"/>
          <w:sz w:val="28"/>
          <w:szCs w:val="28"/>
        </w:rPr>
        <w:t>f</w:t>
      </w:r>
      <w:r>
        <w:rPr>
          <w:rFonts w:asciiTheme="minorHAnsi" w:hAnsiTheme="minorHAnsi"/>
          <w:b/>
          <w:color w:val="FF0000"/>
          <w:sz w:val="28"/>
          <w:szCs w:val="28"/>
        </w:rPr>
        <w:t>.</w:t>
      </w:r>
      <w:r w:rsidRPr="001D49FE">
        <w:rPr>
          <w:rFonts w:asciiTheme="minorHAnsi" w:hAnsiTheme="minorHAnsi"/>
          <w:b/>
          <w:color w:val="FF0000"/>
          <w:sz w:val="28"/>
          <w:szCs w:val="28"/>
        </w:rPr>
        <w:t xml:space="preserve"> </w:t>
      </w:r>
      <w:r w:rsidRPr="001D49FE">
        <w:rPr>
          <w:rFonts w:asciiTheme="minorHAnsi" w:hAnsiTheme="minorHAnsi"/>
          <w:sz w:val="28"/>
          <w:szCs w:val="28"/>
        </w:rPr>
        <w:t xml:space="preserve">The Economist , 27 May 1978) was the blueprint for a possible strategy. </w:t>
      </w:r>
    </w:p>
    <w:p w:rsidR="00777886" w:rsidRPr="00A90A61" w:rsidRDefault="00777886" w:rsidP="00A90A61">
      <w:pPr>
        <w:jc w:val="both"/>
        <w:rPr>
          <w:sz w:val="28"/>
          <w:szCs w:val="28"/>
        </w:rPr>
      </w:pPr>
    </w:p>
    <w:sectPr w:rsidR="00777886" w:rsidRPr="00A90A61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234875"/>
    <w:rsid w:val="00086EE3"/>
    <w:rsid w:val="001046E1"/>
    <w:rsid w:val="00110690"/>
    <w:rsid w:val="001525C3"/>
    <w:rsid w:val="001B3C4F"/>
    <w:rsid w:val="001D49FE"/>
    <w:rsid w:val="00234875"/>
    <w:rsid w:val="00272902"/>
    <w:rsid w:val="00454245"/>
    <w:rsid w:val="0049450E"/>
    <w:rsid w:val="00562587"/>
    <w:rsid w:val="005A6A33"/>
    <w:rsid w:val="006B7BD6"/>
    <w:rsid w:val="0071299C"/>
    <w:rsid w:val="00777886"/>
    <w:rsid w:val="00A30A2E"/>
    <w:rsid w:val="00A75FB6"/>
    <w:rsid w:val="00A90A61"/>
    <w:rsid w:val="00AF0388"/>
    <w:rsid w:val="00B82207"/>
    <w:rsid w:val="00B973BB"/>
    <w:rsid w:val="00D20BD0"/>
    <w:rsid w:val="00D666CC"/>
    <w:rsid w:val="00D96610"/>
    <w:rsid w:val="00DF55B1"/>
    <w:rsid w:val="00EA386D"/>
    <w:rsid w:val="00EA57CD"/>
    <w:rsid w:val="00ED3B54"/>
    <w:rsid w:val="00EE2627"/>
    <w:rsid w:val="00EF7857"/>
    <w:rsid w:val="00F22ADA"/>
    <w:rsid w:val="00FB07CF"/>
    <w:rsid w:val="00FE5B0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625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59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25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83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90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522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973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291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471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681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256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766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80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161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532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15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214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997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580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453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345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01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892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930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92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70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922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04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42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139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27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54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327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671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50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900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808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645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86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377</Words>
  <Characters>2149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2521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28</cp:revision>
  <dcterms:created xsi:type="dcterms:W3CDTF">2012-03-26T13:39:00Z</dcterms:created>
  <dcterms:modified xsi:type="dcterms:W3CDTF">2012-03-26T14:26:00Z</dcterms:modified>
</cp:coreProperties>
</file>