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A05F7" w14:textId="77777777" w:rsidR="00E41725" w:rsidRDefault="00E464B3">
      <w:pPr>
        <w:pStyle w:val="Title"/>
        <w:spacing w:after="0" w:line="360" w:lineRule="auto"/>
        <w:jc w:val="center"/>
        <w:rPr>
          <w:rFonts w:ascii="Arial" w:eastAsia="Arial" w:hAnsi="Arial" w:cs="Arial"/>
          <w:sz w:val="40"/>
          <w:szCs w:val="40"/>
        </w:rPr>
      </w:pPr>
      <w:r>
        <w:rPr>
          <w:rFonts w:ascii="Arial" w:eastAsia="Arial" w:hAnsi="Arial" w:cs="Arial"/>
          <w:sz w:val="40"/>
          <w:szCs w:val="40"/>
        </w:rPr>
        <w:t>Managing Marketing Change Report</w:t>
      </w:r>
    </w:p>
    <w:p w14:paraId="50539864" w14:textId="77777777" w:rsidR="00E41725" w:rsidRDefault="00E41725">
      <w:pPr>
        <w:pStyle w:val="Title"/>
        <w:spacing w:after="0" w:line="360" w:lineRule="auto"/>
        <w:rPr>
          <w:rFonts w:ascii="Arial" w:eastAsia="Arial" w:hAnsi="Arial" w:cs="Arial"/>
          <w:sz w:val="40"/>
          <w:szCs w:val="40"/>
        </w:rPr>
      </w:pPr>
    </w:p>
    <w:p w14:paraId="320A0EFE" w14:textId="77777777" w:rsidR="00E41725" w:rsidRDefault="00E41725">
      <w:pPr>
        <w:pStyle w:val="Title"/>
        <w:spacing w:after="0" w:line="360" w:lineRule="auto"/>
        <w:jc w:val="center"/>
        <w:rPr>
          <w:rFonts w:ascii="Arial" w:eastAsia="Arial" w:hAnsi="Arial" w:cs="Arial"/>
          <w:sz w:val="40"/>
          <w:szCs w:val="40"/>
        </w:rPr>
      </w:pPr>
    </w:p>
    <w:p w14:paraId="46EDF7DF" w14:textId="77777777" w:rsidR="00E41725" w:rsidRDefault="00E464B3">
      <w:pPr>
        <w:pStyle w:val="Title"/>
        <w:spacing w:after="0" w:line="360" w:lineRule="auto"/>
        <w:jc w:val="center"/>
        <w:rPr>
          <w:rFonts w:ascii="Arial" w:eastAsia="Arial" w:hAnsi="Arial" w:cs="Arial"/>
          <w:sz w:val="40"/>
          <w:szCs w:val="40"/>
        </w:rPr>
      </w:pPr>
      <w:proofErr w:type="spellStart"/>
      <w:r>
        <w:rPr>
          <w:rFonts w:ascii="Arial" w:eastAsia="Arial" w:hAnsi="Arial" w:cs="Arial"/>
          <w:sz w:val="40"/>
          <w:szCs w:val="40"/>
        </w:rPr>
        <w:t>Optimising</w:t>
      </w:r>
      <w:proofErr w:type="spellEnd"/>
      <w:r>
        <w:rPr>
          <w:rFonts w:ascii="Arial" w:eastAsia="Arial" w:hAnsi="Arial" w:cs="Arial"/>
          <w:sz w:val="40"/>
          <w:szCs w:val="40"/>
        </w:rPr>
        <w:t xml:space="preserve"> into </w:t>
      </w:r>
      <w:proofErr w:type="spellStart"/>
      <w:r>
        <w:rPr>
          <w:rFonts w:ascii="Arial" w:eastAsia="Arial" w:hAnsi="Arial" w:cs="Arial"/>
          <w:sz w:val="40"/>
          <w:szCs w:val="40"/>
        </w:rPr>
        <w:t>Commoditisation</w:t>
      </w:r>
      <w:proofErr w:type="spellEnd"/>
      <w:r>
        <w:rPr>
          <w:rFonts w:ascii="Arial" w:eastAsia="Arial" w:hAnsi="Arial" w:cs="Arial"/>
          <w:sz w:val="40"/>
          <w:szCs w:val="40"/>
        </w:rPr>
        <w:t>: A Critical Evaluation of Netflix’s Data-Driven Marketing Strategy under Digital Disruption</w:t>
      </w:r>
    </w:p>
    <w:p w14:paraId="324AF86F" w14:textId="77777777" w:rsidR="00E41725" w:rsidRDefault="00E41725">
      <w:pPr>
        <w:pStyle w:val="Title"/>
        <w:spacing w:after="0" w:line="360" w:lineRule="auto"/>
        <w:rPr>
          <w:rFonts w:ascii="Arial" w:eastAsia="Arial" w:hAnsi="Arial" w:cs="Arial"/>
          <w:sz w:val="40"/>
          <w:szCs w:val="40"/>
        </w:rPr>
      </w:pPr>
    </w:p>
    <w:p w14:paraId="01298CAD" w14:textId="77777777" w:rsidR="00E41725" w:rsidRDefault="00E464B3">
      <w:pPr>
        <w:jc w:val="center"/>
        <w:rPr>
          <w:b/>
          <w:bCs/>
          <w:sz w:val="28"/>
          <w:szCs w:val="28"/>
        </w:rPr>
      </w:pPr>
      <w:r>
        <w:rPr>
          <w:b/>
          <w:bCs/>
          <w:sz w:val="28"/>
          <w:szCs w:val="28"/>
        </w:rPr>
        <w:t>Prepared for:</w:t>
      </w:r>
    </w:p>
    <w:p w14:paraId="32066DDD" w14:textId="77777777" w:rsidR="00E41725" w:rsidRDefault="00E464B3">
      <w:pPr>
        <w:jc w:val="center"/>
        <w:rPr>
          <w:sz w:val="28"/>
          <w:szCs w:val="28"/>
        </w:rPr>
      </w:pPr>
      <w:r>
        <w:rPr>
          <w:sz w:val="28"/>
          <w:szCs w:val="28"/>
        </w:rPr>
        <w:t>Department: Masters of Business Administration (MBA)</w:t>
      </w:r>
    </w:p>
    <w:p w14:paraId="3BB186C9" w14:textId="77777777" w:rsidR="00E41725" w:rsidRDefault="00E464B3">
      <w:pPr>
        <w:jc w:val="center"/>
        <w:rPr>
          <w:sz w:val="28"/>
          <w:szCs w:val="28"/>
        </w:rPr>
      </w:pPr>
      <w:r>
        <w:rPr>
          <w:sz w:val="28"/>
          <w:szCs w:val="28"/>
        </w:rPr>
        <w:t xml:space="preserve">Course: </w:t>
      </w:r>
      <w:proofErr w:type="spellStart"/>
      <w:r>
        <w:rPr>
          <w:sz w:val="28"/>
          <w:szCs w:val="28"/>
        </w:rPr>
        <w:t>BMMB7026</w:t>
      </w:r>
      <w:proofErr w:type="spellEnd"/>
    </w:p>
    <w:p w14:paraId="248CA7A6" w14:textId="77777777" w:rsidR="00E41725" w:rsidRDefault="00E464B3">
      <w:pPr>
        <w:jc w:val="center"/>
        <w:rPr>
          <w:sz w:val="28"/>
          <w:szCs w:val="28"/>
        </w:rPr>
      </w:pPr>
      <w:r>
        <w:rPr>
          <w:sz w:val="28"/>
          <w:szCs w:val="28"/>
        </w:rPr>
        <w:t>Institute: University of Wales Trinity Saint David, Swansea</w:t>
      </w:r>
    </w:p>
    <w:p w14:paraId="43084633" w14:textId="77777777" w:rsidR="00E41725" w:rsidRDefault="00E41725">
      <w:pPr>
        <w:jc w:val="center"/>
        <w:rPr>
          <w:sz w:val="28"/>
          <w:szCs w:val="28"/>
        </w:rPr>
      </w:pPr>
    </w:p>
    <w:p w14:paraId="2F79E387" w14:textId="77777777" w:rsidR="00E41725" w:rsidRDefault="00E464B3">
      <w:pPr>
        <w:jc w:val="center"/>
        <w:rPr>
          <w:b/>
          <w:bCs/>
          <w:sz w:val="28"/>
          <w:szCs w:val="28"/>
        </w:rPr>
      </w:pPr>
      <w:r>
        <w:rPr>
          <w:b/>
          <w:bCs/>
          <w:sz w:val="28"/>
          <w:szCs w:val="28"/>
        </w:rPr>
        <w:t>Prepared by:</w:t>
      </w:r>
    </w:p>
    <w:p w14:paraId="721A7314" w14:textId="77777777" w:rsidR="00E41725" w:rsidRDefault="00E464B3">
      <w:pPr>
        <w:jc w:val="center"/>
        <w:rPr>
          <w:sz w:val="28"/>
          <w:szCs w:val="28"/>
        </w:rPr>
      </w:pPr>
      <w:r>
        <w:rPr>
          <w:sz w:val="28"/>
          <w:szCs w:val="28"/>
        </w:rPr>
        <w:t>Md Rakib Mia</w:t>
      </w:r>
    </w:p>
    <w:p w14:paraId="7BBDB994" w14:textId="77777777" w:rsidR="00E41725" w:rsidRDefault="00E464B3">
      <w:pPr>
        <w:jc w:val="center"/>
        <w:rPr>
          <w:sz w:val="28"/>
          <w:szCs w:val="28"/>
        </w:rPr>
      </w:pPr>
      <w:r>
        <w:rPr>
          <w:sz w:val="28"/>
          <w:szCs w:val="28"/>
        </w:rPr>
        <w:t>Student ID: 2513201</w:t>
      </w:r>
    </w:p>
    <w:p w14:paraId="38855196" w14:textId="77777777" w:rsidR="00E41725" w:rsidRDefault="00E41725">
      <w:pPr>
        <w:jc w:val="center"/>
        <w:rPr>
          <w:sz w:val="28"/>
          <w:szCs w:val="28"/>
        </w:rPr>
      </w:pPr>
    </w:p>
    <w:p w14:paraId="6D97B3D7" w14:textId="77777777" w:rsidR="00E41725" w:rsidRDefault="00E464B3">
      <w:pPr>
        <w:jc w:val="center"/>
        <w:rPr>
          <w:b/>
          <w:bCs/>
          <w:sz w:val="28"/>
          <w:szCs w:val="28"/>
        </w:rPr>
      </w:pPr>
      <w:r>
        <w:rPr>
          <w:b/>
          <w:bCs/>
          <w:sz w:val="28"/>
          <w:szCs w:val="28"/>
        </w:rPr>
        <w:t>Date:</w:t>
      </w:r>
    </w:p>
    <w:p w14:paraId="6FDB42D4" w14:textId="148124C1" w:rsidR="00E41725" w:rsidRDefault="00E464B3">
      <w:pPr>
        <w:pStyle w:val="Title"/>
        <w:spacing w:after="0" w:line="360" w:lineRule="auto"/>
        <w:jc w:val="center"/>
        <w:rPr>
          <w:rFonts w:ascii="Arial" w:eastAsia="Arial" w:hAnsi="Arial" w:cs="Arial"/>
          <w:sz w:val="40"/>
          <w:szCs w:val="40"/>
        </w:rPr>
      </w:pPr>
      <w:r>
        <w:rPr>
          <w:sz w:val="28"/>
          <w:szCs w:val="28"/>
        </w:rPr>
        <w:t xml:space="preserve">07 </w:t>
      </w:r>
      <w:r w:rsidR="00A83565">
        <w:rPr>
          <w:sz w:val="28"/>
          <w:szCs w:val="28"/>
        </w:rPr>
        <w:t>JANUARY</w:t>
      </w:r>
      <w:r>
        <w:rPr>
          <w:sz w:val="28"/>
          <w:szCs w:val="28"/>
        </w:rPr>
        <w:t xml:space="preserve"> 2026</w:t>
      </w:r>
    </w:p>
    <w:p w14:paraId="499FA571" w14:textId="77777777" w:rsidR="00E41725" w:rsidRDefault="00E464B3">
      <w:pPr>
        <w:pStyle w:val="Title"/>
        <w:spacing w:after="0" w:line="360" w:lineRule="auto"/>
        <w:jc w:val="center"/>
        <w:rPr>
          <w:rFonts w:ascii="Arial" w:eastAsia="Arial" w:hAnsi="Arial" w:cs="Arial"/>
          <w:b/>
          <w:bCs/>
          <w:color w:val="4472C4"/>
          <w:sz w:val="40"/>
          <w:szCs w:val="40"/>
        </w:rPr>
      </w:pPr>
      <w:r>
        <w:br w:type="page"/>
      </w:r>
    </w:p>
    <w:p w14:paraId="0C9AC595" w14:textId="77777777" w:rsidR="00E41725" w:rsidRDefault="00E464B3">
      <w:pPr>
        <w:pStyle w:val="Heading1"/>
        <w:spacing w:before="0" w:after="0" w:line="360" w:lineRule="auto"/>
      </w:pPr>
      <w:bookmarkStart w:id="0" w:name="_Toc218692779"/>
      <w:r>
        <w:lastRenderedPageBreak/>
        <w:t>Executive Summary</w:t>
      </w:r>
      <w:bookmarkEnd w:id="0"/>
    </w:p>
    <w:p w14:paraId="289A9D54" w14:textId="77777777" w:rsidR="00E41725" w:rsidRDefault="00E464B3">
      <w:pPr>
        <w:spacing w:after="0" w:line="360" w:lineRule="auto"/>
        <w:jc w:val="both"/>
        <w:rPr>
          <w:rFonts w:ascii="Arial" w:eastAsia="Arial" w:hAnsi="Arial" w:cs="Arial"/>
        </w:rPr>
      </w:pPr>
      <w:r>
        <w:rPr>
          <w:rFonts w:ascii="Arial" w:eastAsia="Arial" w:hAnsi="Arial" w:cs="Arial"/>
        </w:rPr>
        <w:t xml:space="preserve">Netflix has </w:t>
      </w:r>
      <w:proofErr w:type="spellStart"/>
      <w:r>
        <w:rPr>
          <w:rFonts w:ascii="Arial" w:eastAsia="Arial" w:hAnsi="Arial" w:cs="Arial"/>
        </w:rPr>
        <w:t>optimised</w:t>
      </w:r>
      <w:proofErr w:type="spellEnd"/>
      <w:r>
        <w:rPr>
          <w:rFonts w:ascii="Arial" w:eastAsia="Arial" w:hAnsi="Arial" w:cs="Arial"/>
        </w:rPr>
        <w:t xml:space="preserve"> its data based on the insights which in turn has strengthened the marketing strategy as well as weakened it. It has facilitated the discovery of content that has been customized extensively, it has facilitated global scale and effective campaign targeting, but it has also reinforced </w:t>
      </w:r>
      <w:proofErr w:type="spellStart"/>
      <w:proofErr w:type="gramStart"/>
      <w:r>
        <w:rPr>
          <w:rFonts w:ascii="Arial" w:eastAsia="Arial" w:hAnsi="Arial" w:cs="Arial"/>
        </w:rPr>
        <w:t>a</w:t>
      </w:r>
      <w:proofErr w:type="spellEnd"/>
      <w:proofErr w:type="gramEnd"/>
      <w:r>
        <w:rPr>
          <w:rFonts w:ascii="Arial" w:eastAsia="Arial" w:hAnsi="Arial" w:cs="Arial"/>
        </w:rPr>
        <w:t xml:space="preserve"> orthodox, reactive growth logic, in which the company has been growing by adding levers of </w:t>
      </w:r>
      <w:proofErr w:type="spellStart"/>
      <w:r>
        <w:rPr>
          <w:rFonts w:ascii="Arial" w:eastAsia="Arial" w:hAnsi="Arial" w:cs="Arial"/>
        </w:rPr>
        <w:t>monetisation</w:t>
      </w:r>
      <w:proofErr w:type="spellEnd"/>
      <w:r>
        <w:rPr>
          <w:rFonts w:ascii="Arial" w:eastAsia="Arial" w:hAnsi="Arial" w:cs="Arial"/>
        </w:rPr>
        <w:t xml:space="preserve"> (price increases and password sharing restrictions) as opposed to adding to the core value-proposition. This has consequently watered down the original differentiation of the company as a customer centric disruptor, ad free, and has led to damaged customer trust. The report initially places Netflix in a precarious digital streaming landscape through the evaluation of PESTLE and </w:t>
      </w:r>
      <w:proofErr w:type="spellStart"/>
      <w:r>
        <w:rPr>
          <w:rFonts w:ascii="Arial" w:eastAsia="Arial" w:hAnsi="Arial" w:cs="Arial"/>
        </w:rPr>
        <w:t>VUCA</w:t>
      </w:r>
      <w:proofErr w:type="spellEnd"/>
      <w:r>
        <w:rPr>
          <w:rFonts w:ascii="Arial" w:eastAsia="Arial" w:hAnsi="Arial" w:cs="Arial"/>
        </w:rPr>
        <w:t xml:space="preserve"> analysis, demonstrating how economic strain, subscription weariness, technological </w:t>
      </w:r>
      <w:proofErr w:type="spellStart"/>
      <w:r>
        <w:rPr>
          <w:rFonts w:ascii="Arial" w:eastAsia="Arial" w:hAnsi="Arial" w:cs="Arial"/>
        </w:rPr>
        <w:t>commoditisation</w:t>
      </w:r>
      <w:proofErr w:type="spellEnd"/>
      <w:r>
        <w:rPr>
          <w:rFonts w:ascii="Arial" w:eastAsia="Arial" w:hAnsi="Arial" w:cs="Arial"/>
        </w:rPr>
        <w:t xml:space="preserve"> and regulatory examination augment the risks of excessively leaning on the </w:t>
      </w:r>
      <w:proofErr w:type="gramStart"/>
      <w:r>
        <w:rPr>
          <w:rFonts w:ascii="Arial" w:eastAsia="Arial" w:hAnsi="Arial" w:cs="Arial"/>
        </w:rPr>
        <w:t>short term</w:t>
      </w:r>
      <w:proofErr w:type="gramEnd"/>
      <w:r>
        <w:rPr>
          <w:rFonts w:ascii="Arial" w:eastAsia="Arial" w:hAnsi="Arial" w:cs="Arial"/>
        </w:rPr>
        <w:t xml:space="preserve"> </w:t>
      </w:r>
      <w:proofErr w:type="spellStart"/>
      <w:r>
        <w:rPr>
          <w:rFonts w:ascii="Arial" w:eastAsia="Arial" w:hAnsi="Arial" w:cs="Arial"/>
        </w:rPr>
        <w:t>optimisation</w:t>
      </w:r>
      <w:proofErr w:type="spellEnd"/>
      <w:r>
        <w:rPr>
          <w:rFonts w:ascii="Arial" w:eastAsia="Arial" w:hAnsi="Arial" w:cs="Arial"/>
        </w:rPr>
        <w:t xml:space="preserve">. This would then be demonstrated through the use of a TOWS matrix that indicates Netflix is not </w:t>
      </w:r>
      <w:proofErr w:type="spellStart"/>
      <w:r>
        <w:rPr>
          <w:rFonts w:ascii="Arial" w:eastAsia="Arial" w:hAnsi="Arial" w:cs="Arial"/>
        </w:rPr>
        <w:t>maximising</w:t>
      </w:r>
      <w:proofErr w:type="spellEnd"/>
      <w:r>
        <w:rPr>
          <w:rFonts w:ascii="Arial" w:eastAsia="Arial" w:hAnsi="Arial" w:cs="Arial"/>
        </w:rPr>
        <w:t xml:space="preserve"> on its core competencies brand equity, data and experimentation by concentrating these on enforcement and extraction instead of on the development of new, hard to imitate value spaces such as interactive and </w:t>
      </w:r>
      <w:proofErr w:type="gramStart"/>
      <w:r>
        <w:rPr>
          <w:rFonts w:ascii="Arial" w:eastAsia="Arial" w:hAnsi="Arial" w:cs="Arial"/>
        </w:rPr>
        <w:t>community based</w:t>
      </w:r>
      <w:proofErr w:type="gramEnd"/>
      <w:r>
        <w:rPr>
          <w:rFonts w:ascii="Arial" w:eastAsia="Arial" w:hAnsi="Arial" w:cs="Arial"/>
        </w:rPr>
        <w:t xml:space="preserve"> experiences. Later parts of the paper suggest that the </w:t>
      </w:r>
      <w:proofErr w:type="spellStart"/>
      <w:r>
        <w:rPr>
          <w:rFonts w:ascii="Arial" w:eastAsia="Arial" w:hAnsi="Arial" w:cs="Arial"/>
        </w:rPr>
        <w:t>STP</w:t>
      </w:r>
      <w:proofErr w:type="spellEnd"/>
      <w:r>
        <w:rPr>
          <w:rFonts w:ascii="Arial" w:eastAsia="Arial" w:hAnsi="Arial" w:cs="Arial"/>
        </w:rPr>
        <w:t xml:space="preserve"> system and </w:t>
      </w:r>
      <w:proofErr w:type="spellStart"/>
      <w:r>
        <w:rPr>
          <w:rFonts w:ascii="Arial" w:eastAsia="Arial" w:hAnsi="Arial" w:cs="Arial"/>
        </w:rPr>
        <w:t>7Ps</w:t>
      </w:r>
      <w:proofErr w:type="spellEnd"/>
      <w:r>
        <w:rPr>
          <w:rFonts w:ascii="Arial" w:eastAsia="Arial" w:hAnsi="Arial" w:cs="Arial"/>
        </w:rPr>
        <w:t xml:space="preserve"> marketing mix of Netflix are both technically advanced and strategically conservative. Local relevance is </w:t>
      </w:r>
      <w:proofErr w:type="spellStart"/>
      <w:r>
        <w:rPr>
          <w:rFonts w:ascii="Arial" w:eastAsia="Arial" w:hAnsi="Arial" w:cs="Arial"/>
        </w:rPr>
        <w:t>fuelled</w:t>
      </w:r>
      <w:proofErr w:type="spellEnd"/>
      <w:r>
        <w:rPr>
          <w:rFonts w:ascii="Arial" w:eastAsia="Arial" w:hAnsi="Arial" w:cs="Arial"/>
        </w:rPr>
        <w:t xml:space="preserve"> by </w:t>
      </w:r>
      <w:proofErr w:type="spellStart"/>
      <w:r>
        <w:rPr>
          <w:rFonts w:ascii="Arial" w:eastAsia="Arial" w:hAnsi="Arial" w:cs="Arial"/>
        </w:rPr>
        <w:t>behavioural</w:t>
      </w:r>
      <w:proofErr w:type="spellEnd"/>
      <w:r>
        <w:rPr>
          <w:rFonts w:ascii="Arial" w:eastAsia="Arial" w:hAnsi="Arial" w:cs="Arial"/>
        </w:rPr>
        <w:t xml:space="preserve"> micro segmentation and algorithmic recommendation but they uphold a prevailing paradigm of a static streaming model and obscures the imperative to renew a re-branded promise of trust. Pricing approach is an excellent example of this tension: tiered plans and the ad supported method are economically rational, however, the frequent increases in pricing with no apparent value added have tarnished the image of fairness. Communicative and measurement are as sophisticated as well; they prefer social virality, experimental and </w:t>
      </w:r>
      <w:proofErr w:type="gramStart"/>
      <w:r>
        <w:rPr>
          <w:rFonts w:ascii="Arial" w:eastAsia="Arial" w:hAnsi="Arial" w:cs="Arial"/>
        </w:rPr>
        <w:t>short term</w:t>
      </w:r>
      <w:proofErr w:type="gramEnd"/>
      <w:r>
        <w:rPr>
          <w:rFonts w:ascii="Arial" w:eastAsia="Arial" w:hAnsi="Arial" w:cs="Arial"/>
        </w:rPr>
        <w:t xml:space="preserve"> involvement measures, but pretty much ignore systematic measurement of fairness, trust, and uniqueness. The report critically analyzes the change that was led by the introduction of change management theory as the password sharing crackdown and ad tier introduction as poorly led changes. These initiatives are found when evaluated against the </w:t>
      </w:r>
      <w:proofErr w:type="spellStart"/>
      <w:r>
        <w:rPr>
          <w:rFonts w:ascii="Arial" w:eastAsia="Arial" w:hAnsi="Arial" w:cs="Arial"/>
        </w:rPr>
        <w:t>Kotters</w:t>
      </w:r>
      <w:proofErr w:type="spellEnd"/>
      <w:r>
        <w:rPr>
          <w:rFonts w:ascii="Arial" w:eastAsia="Arial" w:hAnsi="Arial" w:cs="Arial"/>
        </w:rPr>
        <w:t xml:space="preserve"> 8 step model to have weak customer facing urgency, shallow vision, limited coalition building and insufficient effort to overcome restraining forces as found in </w:t>
      </w:r>
      <w:r>
        <w:rPr>
          <w:rFonts w:ascii="Arial" w:eastAsia="Arial" w:hAnsi="Arial" w:cs="Arial"/>
        </w:rPr>
        <w:lastRenderedPageBreak/>
        <w:t xml:space="preserve">Lewins force field lens it can be seen that as far as financial drivers have been bolstered, there has been no significant address of user concerns and psychological contracts. On the whole, the discussion shows that Netflix is still a strong, innovative platform, yet its marketing policy has developed a paradox, </w:t>
      </w:r>
      <w:proofErr w:type="gramStart"/>
      <w:r>
        <w:rPr>
          <w:rFonts w:ascii="Arial" w:eastAsia="Arial" w:hAnsi="Arial" w:cs="Arial"/>
        </w:rPr>
        <w:t>i.e.</w:t>
      </w:r>
      <w:proofErr w:type="gramEnd"/>
      <w:r>
        <w:rPr>
          <w:rFonts w:ascii="Arial" w:eastAsia="Arial" w:hAnsi="Arial" w:cs="Arial"/>
        </w:rPr>
        <w:t xml:space="preserve"> the same </w:t>
      </w:r>
      <w:proofErr w:type="spellStart"/>
      <w:r>
        <w:rPr>
          <w:rFonts w:ascii="Arial" w:eastAsia="Arial" w:hAnsi="Arial" w:cs="Arial"/>
        </w:rPr>
        <w:t>optimisation</w:t>
      </w:r>
      <w:proofErr w:type="spellEnd"/>
      <w:r>
        <w:rPr>
          <w:rFonts w:ascii="Arial" w:eastAsia="Arial" w:hAnsi="Arial" w:cs="Arial"/>
        </w:rPr>
        <w:t xml:space="preserve"> options that the company leveraged to become a leader are being used to implement a slowly </w:t>
      </w:r>
      <w:proofErr w:type="spellStart"/>
      <w:r>
        <w:rPr>
          <w:rFonts w:ascii="Arial" w:eastAsia="Arial" w:hAnsi="Arial" w:cs="Arial"/>
        </w:rPr>
        <w:t>commoditising</w:t>
      </w:r>
      <w:proofErr w:type="spellEnd"/>
      <w:r>
        <w:rPr>
          <w:rFonts w:ascii="Arial" w:eastAsia="Arial" w:hAnsi="Arial" w:cs="Arial"/>
        </w:rPr>
        <w:t xml:space="preserve"> model, which is undermining brand differentiation and trust. The recommendations thus recommend the strategic redirection of the very capabilities of the same to the ideals of fairness based on loyalty, innovation of interactive and social experience, and more human </w:t>
      </w:r>
      <w:proofErr w:type="spellStart"/>
      <w:r>
        <w:rPr>
          <w:rFonts w:ascii="Arial" w:eastAsia="Arial" w:hAnsi="Arial" w:cs="Arial"/>
        </w:rPr>
        <w:t>centred</w:t>
      </w:r>
      <w:proofErr w:type="spellEnd"/>
      <w:r>
        <w:rPr>
          <w:rFonts w:ascii="Arial" w:eastAsia="Arial" w:hAnsi="Arial" w:cs="Arial"/>
        </w:rPr>
        <w:t xml:space="preserve"> processes of change, so that Netflix can once again create a differentiated value proposition and regain the strength of its </w:t>
      </w:r>
      <w:proofErr w:type="gramStart"/>
      <w:r>
        <w:rPr>
          <w:rFonts w:ascii="Arial" w:eastAsia="Arial" w:hAnsi="Arial" w:cs="Arial"/>
        </w:rPr>
        <w:t>long term</w:t>
      </w:r>
      <w:proofErr w:type="gramEnd"/>
      <w:r>
        <w:rPr>
          <w:rFonts w:ascii="Arial" w:eastAsia="Arial" w:hAnsi="Arial" w:cs="Arial"/>
        </w:rPr>
        <w:t xml:space="preserve"> competitive position.</w:t>
      </w:r>
    </w:p>
    <w:p w14:paraId="4E925BD5" w14:textId="77777777" w:rsidR="00E41725" w:rsidRDefault="00E464B3">
      <w:pPr>
        <w:spacing w:after="0" w:line="360" w:lineRule="auto"/>
        <w:rPr>
          <w:rFonts w:ascii="Arial" w:eastAsia="Arial" w:hAnsi="Arial" w:cs="Arial"/>
        </w:rPr>
      </w:pPr>
      <w:r>
        <w:br w:type="page"/>
      </w:r>
    </w:p>
    <w:p w14:paraId="5FD9DCAF" w14:textId="77777777" w:rsidR="00E41725" w:rsidRDefault="00E464B3">
      <w:pPr>
        <w:keepNext/>
        <w:keepLines/>
        <w:pBdr>
          <w:top w:val="nil"/>
          <w:left w:val="nil"/>
          <w:bottom w:val="nil"/>
          <w:right w:val="nil"/>
          <w:between w:val="nil"/>
        </w:pBdr>
        <w:spacing w:after="0" w:line="360" w:lineRule="auto"/>
        <w:ind w:left="432" w:hanging="432"/>
        <w:rPr>
          <w:rFonts w:ascii="Arial" w:eastAsia="Arial" w:hAnsi="Arial" w:cs="Arial"/>
          <w:color w:val="2F5496"/>
          <w:sz w:val="32"/>
          <w:szCs w:val="32"/>
        </w:rPr>
      </w:pPr>
      <w:r>
        <w:rPr>
          <w:rFonts w:ascii="Arial" w:eastAsia="Arial" w:hAnsi="Arial" w:cs="Arial"/>
          <w:color w:val="2F5496"/>
          <w:sz w:val="32"/>
          <w:szCs w:val="32"/>
        </w:rPr>
        <w:lastRenderedPageBreak/>
        <w:t>Table of Contents</w:t>
      </w:r>
    </w:p>
    <w:sdt>
      <w:sdtPr>
        <w:id w:val="-1221786200"/>
        <w:docPartObj>
          <w:docPartGallery w:val="Table of Contents"/>
          <w:docPartUnique/>
        </w:docPartObj>
      </w:sdtPr>
      <w:sdtEndPr/>
      <w:sdtContent>
        <w:p w14:paraId="01F0F804" w14:textId="41FF64B6" w:rsidR="0018546C" w:rsidRDefault="00E464B3">
          <w:pPr>
            <w:pStyle w:val="TOC1"/>
            <w:tabs>
              <w:tab w:val="right" w:leader="dot" w:pos="9350"/>
            </w:tabs>
            <w:rPr>
              <w:noProof/>
            </w:rPr>
          </w:pPr>
          <w:r>
            <w:fldChar w:fldCharType="begin"/>
          </w:r>
          <w:r>
            <w:instrText xml:space="preserve"> TOC \h \u \z \t "Heading 1,1,Heading 2,2,Heading 3,3,"</w:instrText>
          </w:r>
          <w:r>
            <w:fldChar w:fldCharType="separate"/>
          </w:r>
          <w:hyperlink w:anchor="_Toc218692779" w:history="1">
            <w:r w:rsidR="0018546C" w:rsidRPr="003034F5">
              <w:rPr>
                <w:rStyle w:val="Hyperlink"/>
                <w:noProof/>
              </w:rPr>
              <w:t>Executive Summary</w:t>
            </w:r>
            <w:r w:rsidR="0018546C">
              <w:rPr>
                <w:noProof/>
                <w:webHidden/>
              </w:rPr>
              <w:tab/>
            </w:r>
            <w:r w:rsidR="0018546C">
              <w:rPr>
                <w:noProof/>
                <w:webHidden/>
              </w:rPr>
              <w:fldChar w:fldCharType="begin"/>
            </w:r>
            <w:r w:rsidR="0018546C">
              <w:rPr>
                <w:noProof/>
                <w:webHidden/>
              </w:rPr>
              <w:instrText xml:space="preserve"> PAGEREF _Toc218692779 \h </w:instrText>
            </w:r>
            <w:r w:rsidR="0018546C">
              <w:rPr>
                <w:noProof/>
                <w:webHidden/>
              </w:rPr>
            </w:r>
            <w:r w:rsidR="0018546C">
              <w:rPr>
                <w:noProof/>
                <w:webHidden/>
              </w:rPr>
              <w:fldChar w:fldCharType="separate"/>
            </w:r>
            <w:r w:rsidR="0018546C">
              <w:rPr>
                <w:noProof/>
                <w:webHidden/>
              </w:rPr>
              <w:t>2</w:t>
            </w:r>
            <w:r w:rsidR="0018546C">
              <w:rPr>
                <w:noProof/>
                <w:webHidden/>
              </w:rPr>
              <w:fldChar w:fldCharType="end"/>
            </w:r>
          </w:hyperlink>
        </w:p>
        <w:p w14:paraId="14675379" w14:textId="592C8081" w:rsidR="0018546C" w:rsidRDefault="0018546C">
          <w:pPr>
            <w:pStyle w:val="TOC1"/>
            <w:tabs>
              <w:tab w:val="left" w:pos="440"/>
              <w:tab w:val="right" w:leader="dot" w:pos="9350"/>
            </w:tabs>
            <w:rPr>
              <w:noProof/>
            </w:rPr>
          </w:pPr>
          <w:hyperlink w:anchor="_Toc218692780" w:history="1">
            <w:r w:rsidRPr="003034F5">
              <w:rPr>
                <w:rStyle w:val="Hyperlink"/>
                <w:noProof/>
              </w:rPr>
              <w:t>1</w:t>
            </w:r>
            <w:r>
              <w:rPr>
                <w:noProof/>
              </w:rPr>
              <w:tab/>
            </w:r>
            <w:r w:rsidRPr="003034F5">
              <w:rPr>
                <w:rStyle w:val="Hyperlink"/>
                <w:noProof/>
              </w:rPr>
              <w:t>Introduction</w:t>
            </w:r>
            <w:r>
              <w:rPr>
                <w:noProof/>
                <w:webHidden/>
              </w:rPr>
              <w:tab/>
            </w:r>
            <w:r>
              <w:rPr>
                <w:noProof/>
                <w:webHidden/>
              </w:rPr>
              <w:fldChar w:fldCharType="begin"/>
            </w:r>
            <w:r>
              <w:rPr>
                <w:noProof/>
                <w:webHidden/>
              </w:rPr>
              <w:instrText xml:space="preserve"> PAGEREF _Toc218692780 \h </w:instrText>
            </w:r>
            <w:r>
              <w:rPr>
                <w:noProof/>
                <w:webHidden/>
              </w:rPr>
            </w:r>
            <w:r>
              <w:rPr>
                <w:noProof/>
                <w:webHidden/>
              </w:rPr>
              <w:fldChar w:fldCharType="separate"/>
            </w:r>
            <w:r>
              <w:rPr>
                <w:noProof/>
                <w:webHidden/>
              </w:rPr>
              <w:t>5</w:t>
            </w:r>
            <w:r>
              <w:rPr>
                <w:noProof/>
                <w:webHidden/>
              </w:rPr>
              <w:fldChar w:fldCharType="end"/>
            </w:r>
          </w:hyperlink>
        </w:p>
        <w:p w14:paraId="5AFA0E44" w14:textId="2E7BA074" w:rsidR="0018546C" w:rsidRDefault="0018546C">
          <w:pPr>
            <w:pStyle w:val="TOC1"/>
            <w:tabs>
              <w:tab w:val="left" w:pos="440"/>
              <w:tab w:val="right" w:leader="dot" w:pos="9350"/>
            </w:tabs>
            <w:rPr>
              <w:noProof/>
            </w:rPr>
          </w:pPr>
          <w:hyperlink w:anchor="_Toc218692781" w:history="1">
            <w:r w:rsidRPr="003034F5">
              <w:rPr>
                <w:rStyle w:val="Hyperlink"/>
                <w:noProof/>
              </w:rPr>
              <w:t>2</w:t>
            </w:r>
            <w:r>
              <w:rPr>
                <w:noProof/>
              </w:rPr>
              <w:tab/>
            </w:r>
            <w:r w:rsidRPr="003034F5">
              <w:rPr>
                <w:rStyle w:val="Hyperlink"/>
                <w:noProof/>
              </w:rPr>
              <w:t>Concept and Importance of Marketing at Netflix</w:t>
            </w:r>
            <w:r>
              <w:rPr>
                <w:noProof/>
                <w:webHidden/>
              </w:rPr>
              <w:tab/>
            </w:r>
            <w:r>
              <w:rPr>
                <w:noProof/>
                <w:webHidden/>
              </w:rPr>
              <w:fldChar w:fldCharType="begin"/>
            </w:r>
            <w:r>
              <w:rPr>
                <w:noProof/>
                <w:webHidden/>
              </w:rPr>
              <w:instrText xml:space="preserve"> PAGEREF _Toc218692781 \h </w:instrText>
            </w:r>
            <w:r>
              <w:rPr>
                <w:noProof/>
                <w:webHidden/>
              </w:rPr>
            </w:r>
            <w:r>
              <w:rPr>
                <w:noProof/>
                <w:webHidden/>
              </w:rPr>
              <w:fldChar w:fldCharType="separate"/>
            </w:r>
            <w:r>
              <w:rPr>
                <w:noProof/>
                <w:webHidden/>
              </w:rPr>
              <w:t>5</w:t>
            </w:r>
            <w:r>
              <w:rPr>
                <w:noProof/>
                <w:webHidden/>
              </w:rPr>
              <w:fldChar w:fldCharType="end"/>
            </w:r>
          </w:hyperlink>
        </w:p>
        <w:p w14:paraId="46023838" w14:textId="0416CCD1" w:rsidR="0018546C" w:rsidRDefault="0018546C">
          <w:pPr>
            <w:pStyle w:val="TOC1"/>
            <w:tabs>
              <w:tab w:val="left" w:pos="440"/>
              <w:tab w:val="right" w:leader="dot" w:pos="9350"/>
            </w:tabs>
            <w:rPr>
              <w:noProof/>
            </w:rPr>
          </w:pPr>
          <w:hyperlink w:anchor="_Toc218692782" w:history="1">
            <w:r w:rsidRPr="003034F5">
              <w:rPr>
                <w:rStyle w:val="Hyperlink"/>
                <w:noProof/>
              </w:rPr>
              <w:t>3</w:t>
            </w:r>
            <w:r>
              <w:rPr>
                <w:noProof/>
              </w:rPr>
              <w:tab/>
            </w:r>
            <w:r w:rsidRPr="003034F5">
              <w:rPr>
                <w:rStyle w:val="Hyperlink"/>
                <w:noProof/>
              </w:rPr>
              <w:t>External and Internal Environment: Setting up the TOWS</w:t>
            </w:r>
            <w:r>
              <w:rPr>
                <w:noProof/>
                <w:webHidden/>
              </w:rPr>
              <w:tab/>
            </w:r>
            <w:r>
              <w:rPr>
                <w:noProof/>
                <w:webHidden/>
              </w:rPr>
              <w:fldChar w:fldCharType="begin"/>
            </w:r>
            <w:r>
              <w:rPr>
                <w:noProof/>
                <w:webHidden/>
              </w:rPr>
              <w:instrText xml:space="preserve"> PAGEREF _Toc218692782 \h </w:instrText>
            </w:r>
            <w:r>
              <w:rPr>
                <w:noProof/>
                <w:webHidden/>
              </w:rPr>
            </w:r>
            <w:r>
              <w:rPr>
                <w:noProof/>
                <w:webHidden/>
              </w:rPr>
              <w:fldChar w:fldCharType="separate"/>
            </w:r>
            <w:r>
              <w:rPr>
                <w:noProof/>
                <w:webHidden/>
              </w:rPr>
              <w:t>6</w:t>
            </w:r>
            <w:r>
              <w:rPr>
                <w:noProof/>
                <w:webHidden/>
              </w:rPr>
              <w:fldChar w:fldCharType="end"/>
            </w:r>
          </w:hyperlink>
        </w:p>
        <w:p w14:paraId="5E339D4D" w14:textId="6ACA08FA" w:rsidR="0018546C" w:rsidRDefault="0018546C">
          <w:pPr>
            <w:pStyle w:val="TOC2"/>
            <w:tabs>
              <w:tab w:val="left" w:pos="880"/>
              <w:tab w:val="right" w:leader="dot" w:pos="9350"/>
            </w:tabs>
            <w:rPr>
              <w:noProof/>
            </w:rPr>
          </w:pPr>
          <w:hyperlink w:anchor="_Toc218692783" w:history="1">
            <w:r w:rsidRPr="003034F5">
              <w:rPr>
                <w:rStyle w:val="Hyperlink"/>
                <w:rFonts w:ascii="Arial" w:eastAsia="Arial" w:hAnsi="Arial" w:cs="Arial"/>
                <w:noProof/>
              </w:rPr>
              <w:t>3.1</w:t>
            </w:r>
            <w:r>
              <w:rPr>
                <w:noProof/>
              </w:rPr>
              <w:tab/>
            </w:r>
            <w:r w:rsidRPr="003034F5">
              <w:rPr>
                <w:rStyle w:val="Hyperlink"/>
                <w:rFonts w:ascii="Arial" w:eastAsia="Arial" w:hAnsi="Arial" w:cs="Arial"/>
                <w:noProof/>
              </w:rPr>
              <w:t>TOWS Matrix as Critical Lens</w:t>
            </w:r>
            <w:r>
              <w:rPr>
                <w:noProof/>
                <w:webHidden/>
              </w:rPr>
              <w:tab/>
            </w:r>
            <w:r>
              <w:rPr>
                <w:noProof/>
                <w:webHidden/>
              </w:rPr>
              <w:fldChar w:fldCharType="begin"/>
            </w:r>
            <w:r>
              <w:rPr>
                <w:noProof/>
                <w:webHidden/>
              </w:rPr>
              <w:instrText xml:space="preserve"> PAGEREF _Toc218692783 \h </w:instrText>
            </w:r>
            <w:r>
              <w:rPr>
                <w:noProof/>
                <w:webHidden/>
              </w:rPr>
            </w:r>
            <w:r>
              <w:rPr>
                <w:noProof/>
                <w:webHidden/>
              </w:rPr>
              <w:fldChar w:fldCharType="separate"/>
            </w:r>
            <w:r>
              <w:rPr>
                <w:noProof/>
                <w:webHidden/>
              </w:rPr>
              <w:t>7</w:t>
            </w:r>
            <w:r>
              <w:rPr>
                <w:noProof/>
                <w:webHidden/>
              </w:rPr>
              <w:fldChar w:fldCharType="end"/>
            </w:r>
          </w:hyperlink>
        </w:p>
        <w:p w14:paraId="7D266E75" w14:textId="0044AF42" w:rsidR="0018546C" w:rsidRDefault="0018546C">
          <w:pPr>
            <w:pStyle w:val="TOC1"/>
            <w:tabs>
              <w:tab w:val="left" w:pos="440"/>
              <w:tab w:val="right" w:leader="dot" w:pos="9350"/>
            </w:tabs>
            <w:rPr>
              <w:noProof/>
            </w:rPr>
          </w:pPr>
          <w:hyperlink w:anchor="_Toc218692784" w:history="1">
            <w:r w:rsidRPr="003034F5">
              <w:rPr>
                <w:rStyle w:val="Hyperlink"/>
                <w:noProof/>
              </w:rPr>
              <w:t>4</w:t>
            </w:r>
            <w:r>
              <w:rPr>
                <w:noProof/>
              </w:rPr>
              <w:tab/>
            </w:r>
            <w:r w:rsidRPr="003034F5">
              <w:rPr>
                <w:rStyle w:val="Hyperlink"/>
                <w:noProof/>
              </w:rPr>
              <w:t>Netflix’s Response to Change: A Change-Management Failure</w:t>
            </w:r>
            <w:r>
              <w:rPr>
                <w:noProof/>
                <w:webHidden/>
              </w:rPr>
              <w:tab/>
            </w:r>
            <w:r>
              <w:rPr>
                <w:noProof/>
                <w:webHidden/>
              </w:rPr>
              <w:fldChar w:fldCharType="begin"/>
            </w:r>
            <w:r>
              <w:rPr>
                <w:noProof/>
                <w:webHidden/>
              </w:rPr>
              <w:instrText xml:space="preserve"> PAGEREF _Toc218692784 \h </w:instrText>
            </w:r>
            <w:r>
              <w:rPr>
                <w:noProof/>
                <w:webHidden/>
              </w:rPr>
            </w:r>
            <w:r>
              <w:rPr>
                <w:noProof/>
                <w:webHidden/>
              </w:rPr>
              <w:fldChar w:fldCharType="separate"/>
            </w:r>
            <w:r>
              <w:rPr>
                <w:noProof/>
                <w:webHidden/>
              </w:rPr>
              <w:t>8</w:t>
            </w:r>
            <w:r>
              <w:rPr>
                <w:noProof/>
                <w:webHidden/>
              </w:rPr>
              <w:fldChar w:fldCharType="end"/>
            </w:r>
          </w:hyperlink>
        </w:p>
        <w:p w14:paraId="46687664" w14:textId="367BE8C8" w:rsidR="0018546C" w:rsidRDefault="0018546C">
          <w:pPr>
            <w:pStyle w:val="TOC1"/>
            <w:tabs>
              <w:tab w:val="left" w:pos="440"/>
              <w:tab w:val="right" w:leader="dot" w:pos="9350"/>
            </w:tabs>
            <w:rPr>
              <w:noProof/>
            </w:rPr>
          </w:pPr>
          <w:hyperlink w:anchor="_Toc218692785" w:history="1">
            <w:r w:rsidRPr="003034F5">
              <w:rPr>
                <w:rStyle w:val="Hyperlink"/>
                <w:noProof/>
              </w:rPr>
              <w:t>5</w:t>
            </w:r>
            <w:r>
              <w:rPr>
                <w:noProof/>
              </w:rPr>
              <w:tab/>
            </w:r>
            <w:r w:rsidRPr="003034F5">
              <w:rPr>
                <w:rStyle w:val="Hyperlink"/>
                <w:noProof/>
              </w:rPr>
              <w:t>STP as a Site of Strategic Inertia</w:t>
            </w:r>
            <w:r>
              <w:rPr>
                <w:noProof/>
                <w:webHidden/>
              </w:rPr>
              <w:tab/>
            </w:r>
            <w:r>
              <w:rPr>
                <w:noProof/>
                <w:webHidden/>
              </w:rPr>
              <w:fldChar w:fldCharType="begin"/>
            </w:r>
            <w:r>
              <w:rPr>
                <w:noProof/>
                <w:webHidden/>
              </w:rPr>
              <w:instrText xml:space="preserve"> PAGEREF _Toc218692785 \h </w:instrText>
            </w:r>
            <w:r>
              <w:rPr>
                <w:noProof/>
                <w:webHidden/>
              </w:rPr>
            </w:r>
            <w:r>
              <w:rPr>
                <w:noProof/>
                <w:webHidden/>
              </w:rPr>
              <w:fldChar w:fldCharType="separate"/>
            </w:r>
            <w:r>
              <w:rPr>
                <w:noProof/>
                <w:webHidden/>
              </w:rPr>
              <w:t>11</w:t>
            </w:r>
            <w:r>
              <w:rPr>
                <w:noProof/>
                <w:webHidden/>
              </w:rPr>
              <w:fldChar w:fldCharType="end"/>
            </w:r>
          </w:hyperlink>
        </w:p>
        <w:p w14:paraId="3092A5C8" w14:textId="6F47F844" w:rsidR="0018546C" w:rsidRDefault="0018546C">
          <w:pPr>
            <w:pStyle w:val="TOC1"/>
            <w:tabs>
              <w:tab w:val="left" w:pos="440"/>
              <w:tab w:val="right" w:leader="dot" w:pos="9350"/>
            </w:tabs>
            <w:rPr>
              <w:noProof/>
            </w:rPr>
          </w:pPr>
          <w:hyperlink w:anchor="_Toc218692786" w:history="1">
            <w:r w:rsidRPr="003034F5">
              <w:rPr>
                <w:rStyle w:val="Hyperlink"/>
                <w:noProof/>
              </w:rPr>
              <w:t>6</w:t>
            </w:r>
            <w:r>
              <w:rPr>
                <w:noProof/>
              </w:rPr>
              <w:tab/>
            </w:r>
            <w:r w:rsidRPr="003034F5">
              <w:rPr>
                <w:rStyle w:val="Hyperlink"/>
                <w:noProof/>
              </w:rPr>
              <w:t>Marketing Mix: Optimising Tactics While Weakening the Promise</w:t>
            </w:r>
            <w:r>
              <w:rPr>
                <w:noProof/>
                <w:webHidden/>
              </w:rPr>
              <w:tab/>
            </w:r>
            <w:r>
              <w:rPr>
                <w:noProof/>
                <w:webHidden/>
              </w:rPr>
              <w:fldChar w:fldCharType="begin"/>
            </w:r>
            <w:r>
              <w:rPr>
                <w:noProof/>
                <w:webHidden/>
              </w:rPr>
              <w:instrText xml:space="preserve"> PAGEREF _Toc218692786 \h </w:instrText>
            </w:r>
            <w:r>
              <w:rPr>
                <w:noProof/>
                <w:webHidden/>
              </w:rPr>
            </w:r>
            <w:r>
              <w:rPr>
                <w:noProof/>
                <w:webHidden/>
              </w:rPr>
              <w:fldChar w:fldCharType="separate"/>
            </w:r>
            <w:r>
              <w:rPr>
                <w:noProof/>
                <w:webHidden/>
              </w:rPr>
              <w:t>12</w:t>
            </w:r>
            <w:r>
              <w:rPr>
                <w:noProof/>
                <w:webHidden/>
              </w:rPr>
              <w:fldChar w:fldCharType="end"/>
            </w:r>
          </w:hyperlink>
        </w:p>
        <w:p w14:paraId="04EEC021" w14:textId="14F409F9" w:rsidR="0018546C" w:rsidRDefault="0018546C">
          <w:pPr>
            <w:pStyle w:val="TOC1"/>
            <w:tabs>
              <w:tab w:val="left" w:pos="440"/>
              <w:tab w:val="right" w:leader="dot" w:pos="9350"/>
            </w:tabs>
            <w:rPr>
              <w:noProof/>
            </w:rPr>
          </w:pPr>
          <w:hyperlink w:anchor="_Toc218692787" w:history="1">
            <w:r w:rsidRPr="003034F5">
              <w:rPr>
                <w:rStyle w:val="Hyperlink"/>
                <w:noProof/>
              </w:rPr>
              <w:t>7</w:t>
            </w:r>
            <w:r>
              <w:rPr>
                <w:noProof/>
              </w:rPr>
              <w:tab/>
            </w:r>
            <w:r w:rsidRPr="003034F5">
              <w:rPr>
                <w:rStyle w:val="Hyperlink"/>
                <w:noProof/>
              </w:rPr>
              <w:t>Communications and Metrics: Measuring the Wrong Wins</w:t>
            </w:r>
            <w:r>
              <w:rPr>
                <w:noProof/>
                <w:webHidden/>
              </w:rPr>
              <w:tab/>
            </w:r>
            <w:r>
              <w:rPr>
                <w:noProof/>
                <w:webHidden/>
              </w:rPr>
              <w:fldChar w:fldCharType="begin"/>
            </w:r>
            <w:r>
              <w:rPr>
                <w:noProof/>
                <w:webHidden/>
              </w:rPr>
              <w:instrText xml:space="preserve"> PAGEREF _Toc218692787 \h </w:instrText>
            </w:r>
            <w:r>
              <w:rPr>
                <w:noProof/>
                <w:webHidden/>
              </w:rPr>
            </w:r>
            <w:r>
              <w:rPr>
                <w:noProof/>
                <w:webHidden/>
              </w:rPr>
              <w:fldChar w:fldCharType="separate"/>
            </w:r>
            <w:r>
              <w:rPr>
                <w:noProof/>
                <w:webHidden/>
              </w:rPr>
              <w:t>14</w:t>
            </w:r>
            <w:r>
              <w:rPr>
                <w:noProof/>
                <w:webHidden/>
              </w:rPr>
              <w:fldChar w:fldCharType="end"/>
            </w:r>
          </w:hyperlink>
        </w:p>
        <w:p w14:paraId="564D56A1" w14:textId="0D9C0872" w:rsidR="0018546C" w:rsidRDefault="0018546C">
          <w:pPr>
            <w:pStyle w:val="TOC1"/>
            <w:tabs>
              <w:tab w:val="left" w:pos="440"/>
              <w:tab w:val="right" w:leader="dot" w:pos="9350"/>
            </w:tabs>
            <w:rPr>
              <w:noProof/>
            </w:rPr>
          </w:pPr>
          <w:hyperlink w:anchor="_Toc218692788" w:history="1">
            <w:r w:rsidRPr="003034F5">
              <w:rPr>
                <w:rStyle w:val="Hyperlink"/>
                <w:noProof/>
              </w:rPr>
              <w:t>8</w:t>
            </w:r>
            <w:r>
              <w:rPr>
                <w:noProof/>
              </w:rPr>
              <w:tab/>
            </w:r>
            <w:r w:rsidRPr="003034F5">
              <w:rPr>
                <w:rStyle w:val="Hyperlink"/>
                <w:noProof/>
              </w:rPr>
              <w:t>Integrated Critical Evaluation</w:t>
            </w:r>
            <w:r>
              <w:rPr>
                <w:noProof/>
                <w:webHidden/>
              </w:rPr>
              <w:tab/>
            </w:r>
            <w:r>
              <w:rPr>
                <w:noProof/>
                <w:webHidden/>
              </w:rPr>
              <w:fldChar w:fldCharType="begin"/>
            </w:r>
            <w:r>
              <w:rPr>
                <w:noProof/>
                <w:webHidden/>
              </w:rPr>
              <w:instrText xml:space="preserve"> PAGEREF _Toc218692788 \h </w:instrText>
            </w:r>
            <w:r>
              <w:rPr>
                <w:noProof/>
                <w:webHidden/>
              </w:rPr>
            </w:r>
            <w:r>
              <w:rPr>
                <w:noProof/>
                <w:webHidden/>
              </w:rPr>
              <w:fldChar w:fldCharType="separate"/>
            </w:r>
            <w:r>
              <w:rPr>
                <w:noProof/>
                <w:webHidden/>
              </w:rPr>
              <w:t>15</w:t>
            </w:r>
            <w:r>
              <w:rPr>
                <w:noProof/>
                <w:webHidden/>
              </w:rPr>
              <w:fldChar w:fldCharType="end"/>
            </w:r>
          </w:hyperlink>
        </w:p>
        <w:p w14:paraId="70013182" w14:textId="511FA682" w:rsidR="0018546C" w:rsidRDefault="0018546C">
          <w:pPr>
            <w:pStyle w:val="TOC1"/>
            <w:tabs>
              <w:tab w:val="left" w:pos="440"/>
              <w:tab w:val="right" w:leader="dot" w:pos="9350"/>
            </w:tabs>
            <w:rPr>
              <w:noProof/>
            </w:rPr>
          </w:pPr>
          <w:hyperlink w:anchor="_Toc218692789" w:history="1">
            <w:r w:rsidRPr="003034F5">
              <w:rPr>
                <w:rStyle w:val="Hyperlink"/>
                <w:noProof/>
              </w:rPr>
              <w:t>9</w:t>
            </w:r>
            <w:r>
              <w:rPr>
                <w:noProof/>
              </w:rPr>
              <w:tab/>
            </w:r>
            <w:r w:rsidRPr="003034F5">
              <w:rPr>
                <w:rStyle w:val="Hyperlink"/>
                <w:noProof/>
              </w:rPr>
              <w:t>Conclusions</w:t>
            </w:r>
            <w:r>
              <w:rPr>
                <w:noProof/>
                <w:webHidden/>
              </w:rPr>
              <w:tab/>
            </w:r>
            <w:r>
              <w:rPr>
                <w:noProof/>
                <w:webHidden/>
              </w:rPr>
              <w:fldChar w:fldCharType="begin"/>
            </w:r>
            <w:r>
              <w:rPr>
                <w:noProof/>
                <w:webHidden/>
              </w:rPr>
              <w:instrText xml:space="preserve"> PAGEREF _Toc218692789 \h </w:instrText>
            </w:r>
            <w:r>
              <w:rPr>
                <w:noProof/>
                <w:webHidden/>
              </w:rPr>
            </w:r>
            <w:r>
              <w:rPr>
                <w:noProof/>
                <w:webHidden/>
              </w:rPr>
              <w:fldChar w:fldCharType="separate"/>
            </w:r>
            <w:r>
              <w:rPr>
                <w:noProof/>
                <w:webHidden/>
              </w:rPr>
              <w:t>16</w:t>
            </w:r>
            <w:r>
              <w:rPr>
                <w:noProof/>
                <w:webHidden/>
              </w:rPr>
              <w:fldChar w:fldCharType="end"/>
            </w:r>
          </w:hyperlink>
        </w:p>
        <w:p w14:paraId="78D52BF4" w14:textId="3A9B782C" w:rsidR="0018546C" w:rsidRDefault="0018546C">
          <w:pPr>
            <w:pStyle w:val="TOC1"/>
            <w:tabs>
              <w:tab w:val="left" w:pos="660"/>
              <w:tab w:val="right" w:leader="dot" w:pos="9350"/>
            </w:tabs>
            <w:rPr>
              <w:noProof/>
            </w:rPr>
          </w:pPr>
          <w:hyperlink w:anchor="_Toc218692790" w:history="1">
            <w:r w:rsidRPr="003034F5">
              <w:rPr>
                <w:rStyle w:val="Hyperlink"/>
                <w:noProof/>
              </w:rPr>
              <w:t>10</w:t>
            </w:r>
            <w:r>
              <w:rPr>
                <w:noProof/>
              </w:rPr>
              <w:tab/>
            </w:r>
            <w:r w:rsidRPr="003034F5">
              <w:rPr>
                <w:rStyle w:val="Hyperlink"/>
                <w:noProof/>
              </w:rPr>
              <w:t>Recommendations</w:t>
            </w:r>
            <w:r>
              <w:rPr>
                <w:noProof/>
                <w:webHidden/>
              </w:rPr>
              <w:tab/>
            </w:r>
            <w:r>
              <w:rPr>
                <w:noProof/>
                <w:webHidden/>
              </w:rPr>
              <w:fldChar w:fldCharType="begin"/>
            </w:r>
            <w:r>
              <w:rPr>
                <w:noProof/>
                <w:webHidden/>
              </w:rPr>
              <w:instrText xml:space="preserve"> PAGEREF _Toc218692790 \h </w:instrText>
            </w:r>
            <w:r>
              <w:rPr>
                <w:noProof/>
                <w:webHidden/>
              </w:rPr>
            </w:r>
            <w:r>
              <w:rPr>
                <w:noProof/>
                <w:webHidden/>
              </w:rPr>
              <w:fldChar w:fldCharType="separate"/>
            </w:r>
            <w:r>
              <w:rPr>
                <w:noProof/>
                <w:webHidden/>
              </w:rPr>
              <w:t>17</w:t>
            </w:r>
            <w:r>
              <w:rPr>
                <w:noProof/>
                <w:webHidden/>
              </w:rPr>
              <w:fldChar w:fldCharType="end"/>
            </w:r>
          </w:hyperlink>
        </w:p>
        <w:p w14:paraId="250426DA" w14:textId="6FE00105" w:rsidR="0018546C" w:rsidRDefault="0018546C">
          <w:pPr>
            <w:pStyle w:val="TOC1"/>
            <w:tabs>
              <w:tab w:val="left" w:pos="660"/>
              <w:tab w:val="right" w:leader="dot" w:pos="9350"/>
            </w:tabs>
            <w:rPr>
              <w:noProof/>
            </w:rPr>
          </w:pPr>
          <w:hyperlink w:anchor="_Toc218692791" w:history="1">
            <w:r w:rsidRPr="003034F5">
              <w:rPr>
                <w:rStyle w:val="Hyperlink"/>
                <w:noProof/>
              </w:rPr>
              <w:t>11</w:t>
            </w:r>
            <w:r>
              <w:rPr>
                <w:noProof/>
              </w:rPr>
              <w:tab/>
            </w:r>
            <w:r w:rsidRPr="003034F5">
              <w:rPr>
                <w:rStyle w:val="Hyperlink"/>
                <w:noProof/>
              </w:rPr>
              <w:t>Reference list</w:t>
            </w:r>
            <w:r>
              <w:rPr>
                <w:noProof/>
                <w:webHidden/>
              </w:rPr>
              <w:tab/>
            </w:r>
            <w:r>
              <w:rPr>
                <w:noProof/>
                <w:webHidden/>
              </w:rPr>
              <w:fldChar w:fldCharType="begin"/>
            </w:r>
            <w:r>
              <w:rPr>
                <w:noProof/>
                <w:webHidden/>
              </w:rPr>
              <w:instrText xml:space="preserve"> PAGEREF _Toc218692791 \h </w:instrText>
            </w:r>
            <w:r>
              <w:rPr>
                <w:noProof/>
                <w:webHidden/>
              </w:rPr>
            </w:r>
            <w:r>
              <w:rPr>
                <w:noProof/>
                <w:webHidden/>
              </w:rPr>
              <w:fldChar w:fldCharType="separate"/>
            </w:r>
            <w:r>
              <w:rPr>
                <w:noProof/>
                <w:webHidden/>
              </w:rPr>
              <w:t>19</w:t>
            </w:r>
            <w:r>
              <w:rPr>
                <w:noProof/>
                <w:webHidden/>
              </w:rPr>
              <w:fldChar w:fldCharType="end"/>
            </w:r>
          </w:hyperlink>
        </w:p>
        <w:p w14:paraId="1109BB17" w14:textId="2B5352BC" w:rsidR="00E41725" w:rsidRDefault="00E464B3">
          <w:pPr>
            <w:spacing w:after="0" w:line="360" w:lineRule="auto"/>
            <w:rPr>
              <w:rFonts w:ascii="Arial" w:eastAsia="Arial" w:hAnsi="Arial" w:cs="Arial"/>
            </w:rPr>
          </w:pPr>
          <w:r>
            <w:fldChar w:fldCharType="end"/>
          </w:r>
        </w:p>
      </w:sdtContent>
    </w:sdt>
    <w:p w14:paraId="3D5B10A3" w14:textId="77777777" w:rsidR="00E41725" w:rsidRDefault="00E41725">
      <w:pPr>
        <w:spacing w:after="0" w:line="360" w:lineRule="auto"/>
        <w:jc w:val="both"/>
        <w:rPr>
          <w:rFonts w:ascii="Arial" w:eastAsia="Arial" w:hAnsi="Arial" w:cs="Arial"/>
        </w:rPr>
      </w:pPr>
    </w:p>
    <w:p w14:paraId="699A084A" w14:textId="77777777" w:rsidR="00E41725" w:rsidRDefault="00E464B3">
      <w:pPr>
        <w:spacing w:after="0" w:line="360" w:lineRule="auto"/>
        <w:rPr>
          <w:rFonts w:ascii="Arial" w:eastAsia="Arial" w:hAnsi="Arial" w:cs="Arial"/>
        </w:rPr>
      </w:pPr>
      <w:r>
        <w:br w:type="page"/>
      </w:r>
    </w:p>
    <w:p w14:paraId="553CFF3C" w14:textId="77777777" w:rsidR="00E41725" w:rsidRDefault="00E464B3">
      <w:pPr>
        <w:pStyle w:val="Heading1"/>
        <w:numPr>
          <w:ilvl w:val="0"/>
          <w:numId w:val="1"/>
        </w:numPr>
        <w:spacing w:before="0" w:after="0" w:line="360" w:lineRule="auto"/>
      </w:pPr>
      <w:bookmarkStart w:id="1" w:name="_Toc218692780"/>
      <w:r>
        <w:lastRenderedPageBreak/>
        <w:t>Introduction</w:t>
      </w:r>
      <w:bookmarkEnd w:id="1"/>
    </w:p>
    <w:p w14:paraId="20188068" w14:textId="77777777" w:rsidR="00E41725" w:rsidRDefault="00E464B3">
      <w:pPr>
        <w:spacing w:after="0" w:line="360" w:lineRule="auto"/>
        <w:jc w:val="both"/>
        <w:rPr>
          <w:rFonts w:ascii="Arial" w:eastAsia="Arial" w:hAnsi="Arial" w:cs="Arial"/>
        </w:rPr>
      </w:pPr>
      <w:r>
        <w:rPr>
          <w:rFonts w:ascii="Arial" w:eastAsia="Arial" w:hAnsi="Arial" w:cs="Arial"/>
        </w:rPr>
        <w:t xml:space="preserve">This report will assert that the marketing strategy of Netflix is self-destructing in its main strength which is the data driven </w:t>
      </w:r>
      <w:proofErr w:type="spellStart"/>
      <w:r>
        <w:rPr>
          <w:rFonts w:ascii="Arial" w:eastAsia="Arial" w:hAnsi="Arial" w:cs="Arial"/>
        </w:rPr>
        <w:t>optimisation</w:t>
      </w:r>
      <w:proofErr w:type="spellEnd"/>
      <w:r>
        <w:rPr>
          <w:rFonts w:ascii="Arial" w:eastAsia="Arial" w:hAnsi="Arial" w:cs="Arial"/>
        </w:rPr>
        <w:t xml:space="preserve">. This emphasis on </w:t>
      </w:r>
      <w:proofErr w:type="spellStart"/>
      <w:r>
        <w:rPr>
          <w:rFonts w:ascii="Arial" w:eastAsia="Arial" w:hAnsi="Arial" w:cs="Arial"/>
        </w:rPr>
        <w:t>personalisation</w:t>
      </w:r>
      <w:proofErr w:type="spellEnd"/>
      <w:r>
        <w:rPr>
          <w:rFonts w:ascii="Arial" w:eastAsia="Arial" w:hAnsi="Arial" w:cs="Arial"/>
        </w:rPr>
        <w:t xml:space="preserve"> and scale has caused strategic inertia in its value proposition, and reactionary </w:t>
      </w:r>
      <w:proofErr w:type="spellStart"/>
      <w:r>
        <w:rPr>
          <w:rFonts w:ascii="Arial" w:eastAsia="Arial" w:hAnsi="Arial" w:cs="Arial"/>
        </w:rPr>
        <w:t>monetisation</w:t>
      </w:r>
      <w:proofErr w:type="spellEnd"/>
      <w:r>
        <w:rPr>
          <w:rFonts w:ascii="Arial" w:eastAsia="Arial" w:hAnsi="Arial" w:cs="Arial"/>
        </w:rPr>
        <w:t xml:space="preserve"> strategies (price increases, password crackdowns) are the main growth driver. This has destroyed brand differentiation and customer confidence, making it exposed to other competitors that may be more agile or ideologically different. This analysis identifies the changing consumer </w:t>
      </w:r>
      <w:proofErr w:type="spellStart"/>
      <w:r>
        <w:rPr>
          <w:rFonts w:ascii="Arial" w:eastAsia="Arial" w:hAnsi="Arial" w:cs="Arial"/>
        </w:rPr>
        <w:t>behaviour</w:t>
      </w:r>
      <w:proofErr w:type="spellEnd"/>
      <w:r>
        <w:rPr>
          <w:rFonts w:ascii="Arial" w:eastAsia="Arial" w:hAnsi="Arial" w:cs="Arial"/>
        </w:rPr>
        <w:t xml:space="preserve"> and </w:t>
      </w:r>
      <w:proofErr w:type="spellStart"/>
      <w:r>
        <w:rPr>
          <w:rFonts w:ascii="Arial" w:eastAsia="Arial" w:hAnsi="Arial" w:cs="Arial"/>
        </w:rPr>
        <w:t>digitalisation</w:t>
      </w:r>
      <w:proofErr w:type="spellEnd"/>
      <w:r>
        <w:rPr>
          <w:rFonts w:ascii="Arial" w:eastAsia="Arial" w:hAnsi="Arial" w:cs="Arial"/>
        </w:rPr>
        <w:t xml:space="preserve"> as the major marketing change driver at Netflix, as it analyses the interaction between the data centric capabilities of the firm and an unpredictable streaming environment, escalating competition and transforming customer demands. Upon the module brief, the report gives a critical assessment of the role and operations of the Netflix marketing function </w:t>
      </w:r>
      <w:proofErr w:type="spellStart"/>
      <w:r>
        <w:rPr>
          <w:rFonts w:ascii="Arial" w:eastAsia="Arial" w:hAnsi="Arial" w:cs="Arial"/>
        </w:rPr>
        <w:t>STP</w:t>
      </w:r>
      <w:proofErr w:type="spellEnd"/>
      <w:r>
        <w:rPr>
          <w:rFonts w:ascii="Arial" w:eastAsia="Arial" w:hAnsi="Arial" w:cs="Arial"/>
        </w:rPr>
        <w:t>, the marketing mix, change management theory and a TOWS based strategic lens to not only address what Netflix is doing, but also judging how well, how suitable and how sustainable its decisions are.</w:t>
      </w:r>
    </w:p>
    <w:p w14:paraId="6702E6ED" w14:textId="77777777" w:rsidR="00E41725" w:rsidRDefault="00E464B3">
      <w:pPr>
        <w:pStyle w:val="Heading1"/>
        <w:numPr>
          <w:ilvl w:val="0"/>
          <w:numId w:val="1"/>
        </w:numPr>
        <w:spacing w:before="0" w:after="0" w:line="360" w:lineRule="auto"/>
      </w:pPr>
      <w:bookmarkStart w:id="2" w:name="_Toc218692781"/>
      <w:r>
        <w:t>Concept and Importance of Marketing at Netflix</w:t>
      </w:r>
      <w:bookmarkEnd w:id="2"/>
    </w:p>
    <w:p w14:paraId="7562076F" w14:textId="77777777" w:rsidR="00E41725" w:rsidRDefault="00E464B3">
      <w:pPr>
        <w:spacing w:after="0" w:line="360" w:lineRule="auto"/>
        <w:jc w:val="both"/>
        <w:rPr>
          <w:rFonts w:ascii="Arial" w:eastAsia="Arial" w:hAnsi="Arial" w:cs="Arial"/>
        </w:rPr>
      </w:pPr>
      <w:r>
        <w:rPr>
          <w:rFonts w:ascii="Arial" w:eastAsia="Arial" w:hAnsi="Arial" w:cs="Arial"/>
        </w:rPr>
        <w:t xml:space="preserve">Data-driven </w:t>
      </w:r>
      <w:proofErr w:type="spellStart"/>
      <w:r>
        <w:rPr>
          <w:rFonts w:ascii="Arial" w:eastAsia="Arial" w:hAnsi="Arial" w:cs="Arial"/>
        </w:rPr>
        <w:t>optimisation</w:t>
      </w:r>
      <w:proofErr w:type="spellEnd"/>
      <w:r>
        <w:rPr>
          <w:rFonts w:ascii="Arial" w:eastAsia="Arial" w:hAnsi="Arial" w:cs="Arial"/>
        </w:rPr>
        <w:t xml:space="preserve"> dominates Netflix marketing strategy, however, allowing scale and accuracy to dominate, it has constrained strategic imagination and increased dependence on reactive </w:t>
      </w:r>
      <w:proofErr w:type="spellStart"/>
      <w:r>
        <w:rPr>
          <w:rFonts w:ascii="Arial" w:eastAsia="Arial" w:hAnsi="Arial" w:cs="Arial"/>
        </w:rPr>
        <w:t>monetisation</w:t>
      </w:r>
      <w:proofErr w:type="spellEnd"/>
      <w:r>
        <w:rPr>
          <w:rFonts w:ascii="Arial" w:eastAsia="Arial" w:hAnsi="Arial" w:cs="Arial"/>
        </w:rPr>
        <w:t xml:space="preserve">. Marketing has been introduced by Chernev as a methodologic of developing customer-based value propositions and trade-offs rather than a promotion toolkit (Chernev, 2018). Rust sets marketing as a manager of customer equity by saying that all marketing decisions should be considered in terms of their effect on lifetime customer relationships (Rust, 2020). The fact that Netflix is in line with a market orientation logic is not a </w:t>
      </w:r>
      <w:proofErr w:type="gramStart"/>
      <w:r>
        <w:rPr>
          <w:rFonts w:ascii="Arial" w:eastAsia="Arial" w:hAnsi="Arial" w:cs="Arial"/>
        </w:rPr>
        <w:t>secrets</w:t>
      </w:r>
      <w:proofErr w:type="gramEnd"/>
      <w:r>
        <w:rPr>
          <w:rFonts w:ascii="Arial" w:eastAsia="Arial" w:hAnsi="Arial" w:cs="Arial"/>
        </w:rPr>
        <w:t xml:space="preserve">: Morgan et al. discover that companies that strategically create, disseminate and react to market intelligence have better performance (Morgan et al., 2019; Balducci and Marinova, 2018). This is </w:t>
      </w:r>
      <w:proofErr w:type="spellStart"/>
      <w:r>
        <w:rPr>
          <w:rFonts w:ascii="Arial" w:eastAsia="Arial" w:hAnsi="Arial" w:cs="Arial"/>
        </w:rPr>
        <w:t>operationalised</w:t>
      </w:r>
      <w:proofErr w:type="spellEnd"/>
      <w:r>
        <w:rPr>
          <w:rFonts w:ascii="Arial" w:eastAsia="Arial" w:hAnsi="Arial" w:cs="Arial"/>
        </w:rPr>
        <w:t xml:space="preserve"> by Netflix via mass data capture, experimentation and algorithmic </w:t>
      </w:r>
      <w:proofErr w:type="spellStart"/>
      <w:r>
        <w:rPr>
          <w:rFonts w:ascii="Arial" w:eastAsia="Arial" w:hAnsi="Arial" w:cs="Arial"/>
        </w:rPr>
        <w:t>personalisation</w:t>
      </w:r>
      <w:proofErr w:type="spellEnd"/>
      <w:r>
        <w:rPr>
          <w:rFonts w:ascii="Arial" w:eastAsia="Arial" w:hAnsi="Arial" w:cs="Arial"/>
        </w:rPr>
        <w:t xml:space="preserve">; it relies on </w:t>
      </w:r>
      <w:proofErr w:type="spellStart"/>
      <w:r>
        <w:rPr>
          <w:rFonts w:ascii="Arial" w:eastAsia="Arial" w:hAnsi="Arial" w:cs="Arial"/>
        </w:rPr>
        <w:t>behavioural</w:t>
      </w:r>
      <w:proofErr w:type="spellEnd"/>
      <w:r>
        <w:rPr>
          <w:rFonts w:ascii="Arial" w:eastAsia="Arial" w:hAnsi="Arial" w:cs="Arial"/>
        </w:rPr>
        <w:t xml:space="preserve"> analytics to make decisions on what to commission, what tiles to display, and in what order to present recommendations. This strategy is the focus of its value creation. However, Morgan et al. (2019) warn that market orientation advantages require being aligned with environmental forces and </w:t>
      </w:r>
      <w:proofErr w:type="spellStart"/>
      <w:r>
        <w:rPr>
          <w:rFonts w:ascii="Arial" w:eastAsia="Arial" w:hAnsi="Arial" w:cs="Arial"/>
        </w:rPr>
        <w:t>organisational</w:t>
      </w:r>
      <w:proofErr w:type="spellEnd"/>
      <w:r>
        <w:rPr>
          <w:rFonts w:ascii="Arial" w:eastAsia="Arial" w:hAnsi="Arial" w:cs="Arial"/>
        </w:rPr>
        <w:t xml:space="preserve"> competences. In capability </w:t>
      </w:r>
      <w:r>
        <w:rPr>
          <w:rFonts w:ascii="Arial" w:eastAsia="Arial" w:hAnsi="Arial" w:cs="Arial"/>
        </w:rPr>
        <w:lastRenderedPageBreak/>
        <w:t xml:space="preserve">perspective, </w:t>
      </w:r>
      <w:proofErr w:type="spellStart"/>
      <w:r>
        <w:rPr>
          <w:rFonts w:ascii="Arial" w:eastAsia="Arial" w:hAnsi="Arial" w:cs="Arial"/>
        </w:rPr>
        <w:t>Cirik</w:t>
      </w:r>
      <w:proofErr w:type="spellEnd"/>
      <w:r>
        <w:rPr>
          <w:rFonts w:ascii="Arial" w:eastAsia="Arial" w:hAnsi="Arial" w:cs="Arial"/>
        </w:rPr>
        <w:t xml:space="preserve"> and </w:t>
      </w:r>
      <w:proofErr w:type="spellStart"/>
      <w:r>
        <w:rPr>
          <w:rFonts w:ascii="Arial" w:eastAsia="Arial" w:hAnsi="Arial" w:cs="Arial"/>
        </w:rPr>
        <w:t>Makadok</w:t>
      </w:r>
      <w:proofErr w:type="spellEnd"/>
      <w:r>
        <w:rPr>
          <w:rFonts w:ascii="Arial" w:eastAsia="Arial" w:hAnsi="Arial" w:cs="Arial"/>
        </w:rPr>
        <w:t xml:space="preserve"> point out that sustainable competitive advantage comes as a result of uncommon, hard to imitate capabilities and the channels by which they are built (</w:t>
      </w:r>
      <w:proofErr w:type="spellStart"/>
      <w:r>
        <w:rPr>
          <w:rFonts w:ascii="Arial" w:eastAsia="Arial" w:hAnsi="Arial" w:cs="Arial"/>
        </w:rPr>
        <w:t>Cirik</w:t>
      </w:r>
      <w:proofErr w:type="spellEnd"/>
      <w:r>
        <w:rPr>
          <w:rFonts w:ascii="Arial" w:eastAsia="Arial" w:hAnsi="Arial" w:cs="Arial"/>
        </w:rPr>
        <w:t xml:space="preserve"> and </w:t>
      </w:r>
      <w:proofErr w:type="spellStart"/>
      <w:r>
        <w:rPr>
          <w:rFonts w:ascii="Arial" w:eastAsia="Arial" w:hAnsi="Arial" w:cs="Arial"/>
        </w:rPr>
        <w:t>Makadok</w:t>
      </w:r>
      <w:proofErr w:type="spellEnd"/>
      <w:r>
        <w:rPr>
          <w:rFonts w:ascii="Arial" w:eastAsia="Arial" w:hAnsi="Arial" w:cs="Arial"/>
        </w:rPr>
        <w:t xml:space="preserve">, 2021). The data set, the processes and trial experiment of Netflix can form such capabilities, yet as </w:t>
      </w:r>
      <w:proofErr w:type="spellStart"/>
      <w:r>
        <w:rPr>
          <w:rFonts w:ascii="Arial" w:eastAsia="Arial" w:hAnsi="Arial" w:cs="Arial"/>
        </w:rPr>
        <w:t>Cirik</w:t>
      </w:r>
      <w:proofErr w:type="spellEnd"/>
      <w:r>
        <w:rPr>
          <w:rFonts w:ascii="Arial" w:eastAsia="Arial" w:hAnsi="Arial" w:cs="Arial"/>
        </w:rPr>
        <w:t xml:space="preserve"> and </w:t>
      </w:r>
      <w:proofErr w:type="spellStart"/>
      <w:r>
        <w:rPr>
          <w:rFonts w:ascii="Arial" w:eastAsia="Arial" w:hAnsi="Arial" w:cs="Arial"/>
        </w:rPr>
        <w:t>Makadok</w:t>
      </w:r>
      <w:proofErr w:type="spellEnd"/>
      <w:r>
        <w:rPr>
          <w:rFonts w:ascii="Arial" w:eastAsia="Arial" w:hAnsi="Arial" w:cs="Arial"/>
        </w:rPr>
        <w:t xml:space="preserve"> (2021) remind, recognition of strategy by existing strengths will create a lock-in of capabilities, biased to what it is most effective to measure and </w:t>
      </w:r>
      <w:proofErr w:type="spellStart"/>
      <w:r>
        <w:rPr>
          <w:rFonts w:ascii="Arial" w:eastAsia="Arial" w:hAnsi="Arial" w:cs="Arial"/>
        </w:rPr>
        <w:t>optimise</w:t>
      </w:r>
      <w:proofErr w:type="spellEnd"/>
      <w:r>
        <w:rPr>
          <w:rFonts w:ascii="Arial" w:eastAsia="Arial" w:hAnsi="Arial" w:cs="Arial"/>
        </w:rPr>
        <w:t xml:space="preserve"> rather than what could be the revival of value. The description of multidimensional customer value presented by Chernev (functional, monetary and psychological) points to a tension in the direction Netflix is going (Chernev, 2018). The company continues to provide high functional and convenience value, but indicative of recurring price moves and addition of advertisements have eroded monetary and psychological value particularly to long-term subscribers who </w:t>
      </w:r>
      <w:proofErr w:type="spellStart"/>
      <w:r>
        <w:rPr>
          <w:rFonts w:ascii="Arial" w:eastAsia="Arial" w:hAnsi="Arial" w:cs="Arial"/>
        </w:rPr>
        <w:t>internalised</w:t>
      </w:r>
      <w:proofErr w:type="spellEnd"/>
      <w:r>
        <w:rPr>
          <w:rFonts w:ascii="Arial" w:eastAsia="Arial" w:hAnsi="Arial" w:cs="Arial"/>
        </w:rPr>
        <w:t xml:space="preserve"> an advertisement-free promise. Rust (2020) believes that this loss of perceived fairness and trust will ultimately manifest itself in the customer equity models, despite the short-term measures of increasing the headline subscriber numbers. The data-driven </w:t>
      </w:r>
      <w:proofErr w:type="spellStart"/>
      <w:r>
        <w:rPr>
          <w:rFonts w:ascii="Arial" w:eastAsia="Arial" w:hAnsi="Arial" w:cs="Arial"/>
        </w:rPr>
        <w:t>optimisation</w:t>
      </w:r>
      <w:proofErr w:type="spellEnd"/>
      <w:r>
        <w:rPr>
          <w:rFonts w:ascii="Arial" w:eastAsia="Arial" w:hAnsi="Arial" w:cs="Arial"/>
        </w:rPr>
        <w:t xml:space="preserve"> at Netflix, though, has not stopped, and even concealed, a slide towards a less compelling, trust-based value proposition.</w:t>
      </w:r>
    </w:p>
    <w:p w14:paraId="4CC41865" w14:textId="77777777" w:rsidR="00E41725" w:rsidRDefault="00E464B3">
      <w:pPr>
        <w:pStyle w:val="Heading1"/>
        <w:numPr>
          <w:ilvl w:val="0"/>
          <w:numId w:val="1"/>
        </w:numPr>
        <w:spacing w:before="0" w:after="0" w:line="360" w:lineRule="auto"/>
      </w:pPr>
      <w:bookmarkStart w:id="3" w:name="_Toc218692782"/>
      <w:r>
        <w:t>External and Internal Environment: Setting up the TOWS</w:t>
      </w:r>
      <w:bookmarkEnd w:id="3"/>
    </w:p>
    <w:p w14:paraId="19E8CA43" w14:textId="77777777" w:rsidR="00E41725" w:rsidRDefault="00E464B3">
      <w:pPr>
        <w:spacing w:after="0" w:line="360" w:lineRule="auto"/>
        <w:jc w:val="both"/>
        <w:rPr>
          <w:rFonts w:ascii="Arial" w:eastAsia="Arial" w:hAnsi="Arial" w:cs="Arial"/>
        </w:rPr>
      </w:pPr>
      <w:r>
        <w:rPr>
          <w:rFonts w:ascii="Arial" w:eastAsia="Arial" w:hAnsi="Arial" w:cs="Arial"/>
        </w:rPr>
        <w:t xml:space="preserve">The macro environment within which Netflix data centric strategy is functioning has volatility and imitation by its competitors increasing the costs of strategic inertia, and a stringent external-internal diagnosis is necessary before it responds can be evaluated. </w:t>
      </w:r>
      <w:proofErr w:type="spellStart"/>
      <w:r>
        <w:rPr>
          <w:rFonts w:ascii="Arial" w:eastAsia="Arial" w:hAnsi="Arial" w:cs="Arial"/>
        </w:rPr>
        <w:t>Bruijl</w:t>
      </w:r>
      <w:proofErr w:type="spellEnd"/>
      <w:r>
        <w:rPr>
          <w:rFonts w:ascii="Arial" w:eastAsia="Arial" w:hAnsi="Arial" w:cs="Arial"/>
        </w:rPr>
        <w:t xml:space="preserve"> introduces PESTLE as a systematic method of revealing macro forces of change in politics, economy, society, technology, and law and environmental aspects (</w:t>
      </w:r>
      <w:proofErr w:type="spellStart"/>
      <w:r>
        <w:rPr>
          <w:rFonts w:ascii="Arial" w:eastAsia="Arial" w:hAnsi="Arial" w:cs="Arial"/>
        </w:rPr>
        <w:t>Bruijl</w:t>
      </w:r>
      <w:proofErr w:type="spellEnd"/>
      <w:r>
        <w:rPr>
          <w:rFonts w:ascii="Arial" w:eastAsia="Arial" w:hAnsi="Arial" w:cs="Arial"/>
        </w:rPr>
        <w:t xml:space="preserve">, 2019; </w:t>
      </w:r>
      <w:proofErr w:type="spellStart"/>
      <w:r>
        <w:rPr>
          <w:rFonts w:ascii="Arial" w:eastAsia="Arial" w:hAnsi="Arial" w:cs="Arial"/>
        </w:rPr>
        <w:t>Paksoy</w:t>
      </w:r>
      <w:proofErr w:type="spellEnd"/>
      <w:r>
        <w:rPr>
          <w:rFonts w:ascii="Arial" w:eastAsia="Arial" w:hAnsi="Arial" w:cs="Arial"/>
        </w:rPr>
        <w:t xml:space="preserve">, Gündüz and Demir, 2023). Pressured disposable incomes and subscription fatigue make the content more sensitive to price, the pressures of the economy; culturally relevant and ethically minded content are demanded by the audience and are offered by new formats (such as AR/VR), which promises new experiences (Islam, 2020; Grewal et al., 2020; </w:t>
      </w:r>
      <w:proofErr w:type="spellStart"/>
      <w:r>
        <w:rPr>
          <w:rFonts w:ascii="Arial" w:eastAsia="Arial" w:hAnsi="Arial" w:cs="Arial"/>
        </w:rPr>
        <w:t>Rauschnabel</w:t>
      </w:r>
      <w:proofErr w:type="spellEnd"/>
      <w:r>
        <w:rPr>
          <w:rFonts w:ascii="Arial" w:eastAsia="Arial" w:hAnsi="Arial" w:cs="Arial"/>
        </w:rPr>
        <w:t xml:space="preserve"> et al., 2022). These environments are </w:t>
      </w:r>
      <w:proofErr w:type="spellStart"/>
      <w:r>
        <w:rPr>
          <w:rFonts w:ascii="Arial" w:eastAsia="Arial" w:hAnsi="Arial" w:cs="Arial"/>
        </w:rPr>
        <w:t>characterised</w:t>
      </w:r>
      <w:proofErr w:type="spellEnd"/>
      <w:r>
        <w:rPr>
          <w:rFonts w:ascii="Arial" w:eastAsia="Arial" w:hAnsi="Arial" w:cs="Arial"/>
        </w:rPr>
        <w:t xml:space="preserve"> by high </w:t>
      </w:r>
      <w:proofErr w:type="spellStart"/>
      <w:r>
        <w:rPr>
          <w:rFonts w:ascii="Arial" w:eastAsia="Arial" w:hAnsi="Arial" w:cs="Arial"/>
        </w:rPr>
        <w:t>VUCA</w:t>
      </w:r>
      <w:proofErr w:type="spellEnd"/>
      <w:r>
        <w:rPr>
          <w:rFonts w:ascii="Arial" w:eastAsia="Arial" w:hAnsi="Arial" w:cs="Arial"/>
        </w:rPr>
        <w:t xml:space="preserve">: fluctuation in the number of subscribers and competitor actions, uncertainty regarding the feasible </w:t>
      </w:r>
      <w:proofErr w:type="spellStart"/>
      <w:r>
        <w:rPr>
          <w:rFonts w:ascii="Arial" w:eastAsia="Arial" w:hAnsi="Arial" w:cs="Arial"/>
        </w:rPr>
        <w:t>monetisation</w:t>
      </w:r>
      <w:proofErr w:type="spellEnd"/>
      <w:r>
        <w:rPr>
          <w:rFonts w:ascii="Arial" w:eastAsia="Arial" w:hAnsi="Arial" w:cs="Arial"/>
        </w:rPr>
        <w:t xml:space="preserve"> model, cross market operations complexity, and uncertainty about casual relationships between content investment and churn (</w:t>
      </w:r>
      <w:proofErr w:type="spellStart"/>
      <w:r>
        <w:rPr>
          <w:rFonts w:ascii="Arial" w:eastAsia="Arial" w:hAnsi="Arial" w:cs="Arial"/>
        </w:rPr>
        <w:t>Amarantou</w:t>
      </w:r>
      <w:proofErr w:type="spellEnd"/>
      <w:r>
        <w:rPr>
          <w:rFonts w:ascii="Arial" w:eastAsia="Arial" w:hAnsi="Arial" w:cs="Arial"/>
        </w:rPr>
        <w:t xml:space="preserve"> et al., 2018; Rehman et al., 2021). They maintain, in </w:t>
      </w:r>
      <w:proofErr w:type="spellStart"/>
      <w:r>
        <w:rPr>
          <w:rFonts w:ascii="Arial" w:eastAsia="Arial" w:hAnsi="Arial" w:cs="Arial"/>
        </w:rPr>
        <w:t>VUCA</w:t>
      </w:r>
      <w:proofErr w:type="spellEnd"/>
      <w:r>
        <w:rPr>
          <w:rFonts w:ascii="Arial" w:eastAsia="Arial" w:hAnsi="Arial" w:cs="Arial"/>
        </w:rPr>
        <w:t xml:space="preserve"> circumstances, </w:t>
      </w:r>
      <w:r>
        <w:rPr>
          <w:rFonts w:ascii="Arial" w:eastAsia="Arial" w:hAnsi="Arial" w:cs="Arial"/>
        </w:rPr>
        <w:lastRenderedPageBreak/>
        <w:t xml:space="preserve">that </w:t>
      </w:r>
      <w:proofErr w:type="spellStart"/>
      <w:r>
        <w:rPr>
          <w:rFonts w:ascii="Arial" w:eastAsia="Arial" w:hAnsi="Arial" w:cs="Arial"/>
        </w:rPr>
        <w:t>organisations</w:t>
      </w:r>
      <w:proofErr w:type="spellEnd"/>
      <w:r>
        <w:rPr>
          <w:rFonts w:ascii="Arial" w:eastAsia="Arial" w:hAnsi="Arial" w:cs="Arial"/>
        </w:rPr>
        <w:t xml:space="preserve"> need to develop adaptive change capacities, as opposed to linear, planned change. Emphasize that </w:t>
      </w:r>
      <w:proofErr w:type="gramStart"/>
      <w:r>
        <w:rPr>
          <w:rFonts w:ascii="Arial" w:eastAsia="Arial" w:hAnsi="Arial" w:cs="Arial"/>
        </w:rPr>
        <w:t>brand oriented</w:t>
      </w:r>
      <w:proofErr w:type="gramEnd"/>
      <w:r>
        <w:rPr>
          <w:rFonts w:ascii="Arial" w:eastAsia="Arial" w:hAnsi="Arial" w:cs="Arial"/>
        </w:rPr>
        <w:t xml:space="preserve"> companies use the brand as a strategic compass (Tuominen et al., 2022); the brand promise at Netflix is less apparent as the company has merged with its competitors in terms of pricing and ad usage. Netflix data and experimentation competencies are strongly positioned in the strength category, whereas the culture based on innovation can either support or counteract the required strategic changes (McNett et al., 2022; </w:t>
      </w:r>
      <w:proofErr w:type="spellStart"/>
      <w:r>
        <w:rPr>
          <w:rFonts w:ascii="Arial" w:eastAsia="Arial" w:hAnsi="Arial" w:cs="Arial"/>
        </w:rPr>
        <w:t>Swito</w:t>
      </w:r>
      <w:proofErr w:type="spellEnd"/>
      <w:r>
        <w:rPr>
          <w:rFonts w:ascii="Arial" w:eastAsia="Arial" w:hAnsi="Arial" w:cs="Arial"/>
        </w:rPr>
        <w:t xml:space="preserve"> and </w:t>
      </w:r>
      <w:proofErr w:type="spellStart"/>
      <w:r>
        <w:rPr>
          <w:rFonts w:ascii="Arial" w:eastAsia="Arial" w:hAnsi="Arial" w:cs="Arial"/>
        </w:rPr>
        <w:t>Sidin</w:t>
      </w:r>
      <w:proofErr w:type="spellEnd"/>
      <w:r>
        <w:rPr>
          <w:rFonts w:ascii="Arial" w:eastAsia="Arial" w:hAnsi="Arial" w:cs="Arial"/>
        </w:rPr>
        <w:t>, 2020).</w:t>
      </w:r>
    </w:p>
    <w:p w14:paraId="12A43194" w14:textId="77777777" w:rsidR="00E41725" w:rsidRDefault="00E464B3">
      <w:pPr>
        <w:pStyle w:val="Heading2"/>
        <w:numPr>
          <w:ilvl w:val="1"/>
          <w:numId w:val="1"/>
        </w:numPr>
        <w:spacing w:before="0" w:after="0" w:line="360" w:lineRule="auto"/>
        <w:rPr>
          <w:rFonts w:ascii="Arial" w:eastAsia="Arial" w:hAnsi="Arial" w:cs="Arial"/>
        </w:rPr>
      </w:pPr>
      <w:bookmarkStart w:id="4" w:name="_Toc218692783"/>
      <w:r>
        <w:rPr>
          <w:rFonts w:ascii="Arial" w:eastAsia="Arial" w:hAnsi="Arial" w:cs="Arial"/>
        </w:rPr>
        <w:t>TOWS Matrix as Critical Lens</w:t>
      </w:r>
      <w:bookmarkEnd w:id="4"/>
    </w:p>
    <w:p w14:paraId="400EA7F3" w14:textId="77777777" w:rsidR="00E41725" w:rsidRDefault="00E464B3">
      <w:pPr>
        <w:spacing w:after="0" w:line="360" w:lineRule="auto"/>
        <w:jc w:val="both"/>
        <w:rPr>
          <w:rFonts w:ascii="Arial" w:eastAsia="Arial" w:hAnsi="Arial" w:cs="Arial"/>
        </w:rPr>
      </w:pPr>
      <w:r>
        <w:rPr>
          <w:rFonts w:ascii="Arial" w:eastAsia="Arial" w:hAnsi="Arial" w:cs="Arial"/>
        </w:rPr>
        <w:t xml:space="preserve">Based on this diagnosis, a TOWS matrix translates the SWOT of Netflix into clear strategic propositions that may be applied in evaluating whether the current strategy is sufficient: Strengths (S): strong global brand; high number of subscribers; data and analytics strength, that is proprietary; company culture of experimentation; extensive content portfolio. Weaknesses (W): price sensitivity of users is rising; differentiation is weakening as ad free pioneer; excessive reliance on reactive </w:t>
      </w:r>
      <w:proofErr w:type="spellStart"/>
      <w:r>
        <w:rPr>
          <w:rFonts w:ascii="Arial" w:eastAsia="Arial" w:hAnsi="Arial" w:cs="Arial"/>
        </w:rPr>
        <w:t>monetisation</w:t>
      </w:r>
      <w:proofErr w:type="spellEnd"/>
      <w:r>
        <w:rPr>
          <w:rFonts w:ascii="Arial" w:eastAsia="Arial" w:hAnsi="Arial" w:cs="Arial"/>
        </w:rPr>
        <w:t xml:space="preserve">; exploration of new forms of experience is limited; erosion of trust is possible. Opportunities (O): expansion in new markets; new interactive and social viewing formats, </w:t>
      </w:r>
      <w:proofErr w:type="gramStart"/>
      <w:r>
        <w:rPr>
          <w:rFonts w:ascii="Arial" w:eastAsia="Arial" w:hAnsi="Arial" w:cs="Arial"/>
        </w:rPr>
        <w:t>community based</w:t>
      </w:r>
      <w:proofErr w:type="gramEnd"/>
      <w:r>
        <w:rPr>
          <w:rFonts w:ascii="Arial" w:eastAsia="Arial" w:hAnsi="Arial" w:cs="Arial"/>
        </w:rPr>
        <w:t xml:space="preserve"> engagement, loyalty based models, partnerships and bundles. Threats (T): competitor platforms with high IP and bundles; regulatory, privacy, constraints; subscription fatigue; fast rate at format change by competitors; reputational backlash of unfairness and data practices.</w:t>
      </w:r>
    </w:p>
    <w:p w14:paraId="0D4DDD10" w14:textId="77777777" w:rsidR="00E41725" w:rsidRDefault="00E464B3">
      <w:pPr>
        <w:keepNext/>
        <w:spacing w:after="0" w:line="360" w:lineRule="auto"/>
        <w:jc w:val="center"/>
        <w:rPr>
          <w:rFonts w:ascii="Arial" w:eastAsia="Arial" w:hAnsi="Arial" w:cs="Arial"/>
        </w:rPr>
      </w:pPr>
      <w:r>
        <w:rPr>
          <w:rFonts w:ascii="Arial" w:eastAsia="Arial" w:hAnsi="Arial" w:cs="Arial"/>
          <w:noProof/>
        </w:rPr>
        <w:drawing>
          <wp:inline distT="0" distB="0" distL="0" distR="0" wp14:anchorId="0AFEE929" wp14:editId="70438FE0">
            <wp:extent cx="5662240" cy="24203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662240" cy="2420365"/>
                    </a:xfrm>
                    <a:prstGeom prst="rect">
                      <a:avLst/>
                    </a:prstGeom>
                    <a:ln/>
                  </pic:spPr>
                </pic:pic>
              </a:graphicData>
            </a:graphic>
          </wp:inline>
        </w:drawing>
      </w:r>
    </w:p>
    <w:p w14:paraId="7F2662BC" w14:textId="77777777" w:rsidR="00E41725" w:rsidRDefault="00E464B3">
      <w:pPr>
        <w:pBdr>
          <w:top w:val="nil"/>
          <w:left w:val="nil"/>
          <w:bottom w:val="nil"/>
          <w:right w:val="nil"/>
          <w:between w:val="nil"/>
        </w:pBdr>
        <w:spacing w:after="0" w:line="360" w:lineRule="auto"/>
        <w:jc w:val="center"/>
        <w:rPr>
          <w:rFonts w:ascii="Arial" w:eastAsia="Arial" w:hAnsi="Arial" w:cs="Arial"/>
          <w:i/>
          <w:iCs/>
          <w:color w:val="44546A"/>
          <w:sz w:val="18"/>
          <w:szCs w:val="18"/>
        </w:rPr>
      </w:pPr>
      <w:r>
        <w:rPr>
          <w:rFonts w:ascii="Arial" w:eastAsia="Arial" w:hAnsi="Arial" w:cs="Arial"/>
          <w:i/>
          <w:iCs/>
          <w:color w:val="44546A"/>
          <w:sz w:val="18"/>
          <w:szCs w:val="18"/>
        </w:rPr>
        <w:t>Figure 1: SWOT Analysis (Author)</w:t>
      </w:r>
    </w:p>
    <w:p w14:paraId="7EA6C1C6" w14:textId="77777777" w:rsidR="00E41725" w:rsidRDefault="00E464B3">
      <w:pPr>
        <w:spacing w:after="0" w:line="360" w:lineRule="auto"/>
        <w:jc w:val="both"/>
        <w:rPr>
          <w:rFonts w:ascii="Arial" w:eastAsia="Arial" w:hAnsi="Arial" w:cs="Arial"/>
        </w:rPr>
      </w:pPr>
      <w:r>
        <w:rPr>
          <w:rFonts w:ascii="Arial" w:eastAsia="Arial" w:hAnsi="Arial" w:cs="Arial"/>
        </w:rPr>
        <w:t>Out of this, some TOWS strategies are identified:</w:t>
      </w:r>
    </w:p>
    <w:p w14:paraId="5E64D651" w14:textId="77777777" w:rsidR="00E41725" w:rsidRDefault="00E464B3">
      <w:pPr>
        <w:spacing w:after="0" w:line="360" w:lineRule="auto"/>
        <w:jc w:val="both"/>
        <w:rPr>
          <w:rFonts w:ascii="Arial" w:eastAsia="Arial" w:hAnsi="Arial" w:cs="Arial"/>
        </w:rPr>
      </w:pPr>
      <w:r>
        <w:rPr>
          <w:rFonts w:ascii="Arial" w:eastAsia="Arial" w:hAnsi="Arial" w:cs="Arial"/>
        </w:rPr>
        <w:lastRenderedPageBreak/>
        <w:t xml:space="preserve">Be a pioneer in interactive, community centered content formats using brand and data, and stand out of the competitors who continue to perceive streaming as a passive experience (S + O). Netflix has not actively worked on this except in minor experiments; its </w:t>
      </w:r>
      <w:proofErr w:type="spellStart"/>
      <w:r>
        <w:rPr>
          <w:rFonts w:ascii="Arial" w:eastAsia="Arial" w:hAnsi="Arial" w:cs="Arial"/>
        </w:rPr>
        <w:t>optimisation</w:t>
      </w:r>
      <w:proofErr w:type="spellEnd"/>
      <w:r>
        <w:rPr>
          <w:rFonts w:ascii="Arial" w:eastAsia="Arial" w:hAnsi="Arial" w:cs="Arial"/>
        </w:rPr>
        <w:t xml:space="preserve"> has been on the static streaming rather than social experiences. The existence of that gap indicates the under exploitation of strengths. ST plan: Preempt regulatory and reputational risks with analytical skills and trial and error to create transparency and equity within the pricing and recommendation systems (S + T). Rather, Netflix has frequently been ahead in terms of revenue generation and then gone in reverse to do messages, and this weakens its capacity to influence the regulatory and reputational agenda. WO plan: Overcome increasing price sensitivity by developing unique, loyalty based and </w:t>
      </w:r>
      <w:proofErr w:type="gramStart"/>
      <w:r>
        <w:rPr>
          <w:rFonts w:ascii="Arial" w:eastAsia="Arial" w:hAnsi="Arial" w:cs="Arial"/>
        </w:rPr>
        <w:t>community based</w:t>
      </w:r>
      <w:proofErr w:type="gramEnd"/>
      <w:r>
        <w:rPr>
          <w:rFonts w:ascii="Arial" w:eastAsia="Arial" w:hAnsi="Arial" w:cs="Arial"/>
        </w:rPr>
        <w:t xml:space="preserve"> value (W + O). The differentiated tiers at Netflix are still mainly characterized by price and ad load, with no qualitatively differentiated experiences, and thus this opportunity is not </w:t>
      </w:r>
      <w:proofErr w:type="spellStart"/>
      <w:r>
        <w:rPr>
          <w:rFonts w:ascii="Arial" w:eastAsia="Arial" w:hAnsi="Arial" w:cs="Arial"/>
        </w:rPr>
        <w:t>realised</w:t>
      </w:r>
      <w:proofErr w:type="spellEnd"/>
      <w:r>
        <w:rPr>
          <w:rFonts w:ascii="Arial" w:eastAsia="Arial" w:hAnsi="Arial" w:cs="Arial"/>
        </w:rPr>
        <w:t xml:space="preserve"> yet. WT strategy: Ensure less reliance on price and policy changes through creating new and hard to copy experiential features (such as social viewing, co creation, interactive formats) that make switching costs less appealing (W + T). In this case the apparent lack of strategic inertia exhibited by Netflix with respect to value innovation as compared to its dynamism in </w:t>
      </w:r>
      <w:proofErr w:type="spellStart"/>
      <w:r>
        <w:rPr>
          <w:rFonts w:ascii="Arial" w:eastAsia="Arial" w:hAnsi="Arial" w:cs="Arial"/>
        </w:rPr>
        <w:t>monetisation</w:t>
      </w:r>
      <w:proofErr w:type="spellEnd"/>
      <w:r>
        <w:rPr>
          <w:rFonts w:ascii="Arial" w:eastAsia="Arial" w:hAnsi="Arial" w:cs="Arial"/>
        </w:rPr>
        <w:t xml:space="preserve"> is a direct support of the main thesis. A good strategy leverages the strengths to counter any threats and turns the opportunities into an advantage, at the same time working on the weaknesses (Cao and </w:t>
      </w:r>
      <w:proofErr w:type="spellStart"/>
      <w:r>
        <w:rPr>
          <w:rFonts w:ascii="Arial" w:eastAsia="Arial" w:hAnsi="Arial" w:cs="Arial"/>
        </w:rPr>
        <w:t>Su</w:t>
      </w:r>
      <w:proofErr w:type="spellEnd"/>
      <w:r>
        <w:rPr>
          <w:rFonts w:ascii="Arial" w:eastAsia="Arial" w:hAnsi="Arial" w:cs="Arial"/>
        </w:rPr>
        <w:t xml:space="preserve">, 2024). Compared to that, the current path that Netflix is taking seems to be disproportionate; Netflix has been using its advantages to punish users and increase prices, instead of </w:t>
      </w:r>
      <w:proofErr w:type="spellStart"/>
      <w:r>
        <w:rPr>
          <w:rFonts w:ascii="Arial" w:eastAsia="Arial" w:hAnsi="Arial" w:cs="Arial"/>
        </w:rPr>
        <w:t>re imagining</w:t>
      </w:r>
      <w:proofErr w:type="spellEnd"/>
      <w:r>
        <w:rPr>
          <w:rFonts w:ascii="Arial" w:eastAsia="Arial" w:hAnsi="Arial" w:cs="Arial"/>
        </w:rPr>
        <w:t xml:space="preserve"> value in a way that would render such </w:t>
      </w:r>
      <w:proofErr w:type="spellStart"/>
      <w:r>
        <w:rPr>
          <w:rFonts w:ascii="Arial" w:eastAsia="Arial" w:hAnsi="Arial" w:cs="Arial"/>
        </w:rPr>
        <w:t>monetisation</w:t>
      </w:r>
      <w:proofErr w:type="spellEnd"/>
      <w:r>
        <w:rPr>
          <w:rFonts w:ascii="Arial" w:eastAsia="Arial" w:hAnsi="Arial" w:cs="Arial"/>
        </w:rPr>
        <w:t xml:space="preserve"> both equitable and less disputed.</w:t>
      </w:r>
    </w:p>
    <w:p w14:paraId="5D7ED856" w14:textId="77777777" w:rsidR="00E41725" w:rsidRDefault="00E464B3">
      <w:pPr>
        <w:pStyle w:val="Heading1"/>
        <w:numPr>
          <w:ilvl w:val="0"/>
          <w:numId w:val="1"/>
        </w:numPr>
        <w:spacing w:before="0" w:after="0" w:line="360" w:lineRule="auto"/>
      </w:pPr>
      <w:bookmarkStart w:id="5" w:name="_Toc218692784"/>
      <w:r>
        <w:t>Netflix’s Response to Change: A Change-Management Failure</w:t>
      </w:r>
      <w:bookmarkEnd w:id="5"/>
    </w:p>
    <w:p w14:paraId="663E3F32" w14:textId="77777777" w:rsidR="00E41725" w:rsidRDefault="00E464B3">
      <w:pPr>
        <w:spacing w:after="0" w:line="360" w:lineRule="auto"/>
        <w:jc w:val="both"/>
        <w:rPr>
          <w:rFonts w:ascii="Arial" w:eastAsia="Arial" w:hAnsi="Arial" w:cs="Arial"/>
        </w:rPr>
      </w:pPr>
      <w:r>
        <w:rPr>
          <w:rFonts w:ascii="Arial" w:eastAsia="Arial" w:hAnsi="Arial" w:cs="Arial"/>
        </w:rPr>
        <w:t xml:space="preserve">The latest reaction of Netflix to the pressure exerted by the environment, particularly the advertisement tier and sharing password crackdown, can be seen as financially rational, although according to change management theory, they demonstrate the weaknesses of controlling the perception and relationships with the stakeholders, which supports the thesis of the replacement of strategic value generation by </w:t>
      </w:r>
      <w:proofErr w:type="spellStart"/>
      <w:r>
        <w:rPr>
          <w:rFonts w:ascii="Arial" w:eastAsia="Arial" w:hAnsi="Arial" w:cs="Arial"/>
        </w:rPr>
        <w:t>optimisation</w:t>
      </w:r>
      <w:proofErr w:type="spellEnd"/>
      <w:r>
        <w:rPr>
          <w:rFonts w:ascii="Arial" w:eastAsia="Arial" w:hAnsi="Arial" w:cs="Arial"/>
        </w:rPr>
        <w:t xml:space="preserve">. The </w:t>
      </w:r>
      <w:proofErr w:type="gramStart"/>
      <w:r>
        <w:rPr>
          <w:rFonts w:ascii="Arial" w:eastAsia="Arial" w:hAnsi="Arial" w:cs="Arial"/>
        </w:rPr>
        <w:t>8 step</w:t>
      </w:r>
      <w:proofErr w:type="gramEnd"/>
      <w:r>
        <w:rPr>
          <w:rFonts w:ascii="Arial" w:eastAsia="Arial" w:hAnsi="Arial" w:cs="Arial"/>
        </w:rPr>
        <w:t xml:space="preserve"> model </w:t>
      </w:r>
      <w:r>
        <w:rPr>
          <w:rFonts w:ascii="Arial" w:eastAsia="Arial" w:hAnsi="Arial" w:cs="Arial"/>
        </w:rPr>
        <w:lastRenderedPageBreak/>
        <w:t>by Kotter describes a popular change process urgency, coalition building, vision, communication, empowerment, short term wins, consolidation, and anchoring (</w:t>
      </w:r>
      <w:proofErr w:type="spellStart"/>
      <w:r>
        <w:rPr>
          <w:rFonts w:ascii="Arial" w:eastAsia="Arial" w:hAnsi="Arial" w:cs="Arial"/>
        </w:rPr>
        <w:t>Amarantou</w:t>
      </w:r>
      <w:proofErr w:type="spellEnd"/>
      <w:r>
        <w:rPr>
          <w:rFonts w:ascii="Arial" w:eastAsia="Arial" w:hAnsi="Arial" w:cs="Arial"/>
        </w:rPr>
        <w:t xml:space="preserve"> et al., 2018). An assessment of the crackdown of Netflix against these steps reveals grave deficits. To start with, Kotter starts by establishing a sense of urgency; effective leaders demonstrate to the stakeholders the reasons why change is needed today. Netflix positioned password sharing as a leakage of revenue and unfairness, but the story was self-centered. It was unable to persuade users to understand the reason behind the change to enhance experience or maintain content; users perceived extraction. Second, Kotter emphasizes creating a guiding coalition; it can hardly be found that Netflix involved internal and external stakeholders (e.g., customer panels, consumer advocates) and influenced the policy formulation. Third and fourth, it is important to create and present an effective vision. The vision of the crackdown that Netflix pursued was transactional, </w:t>
      </w:r>
      <w:proofErr w:type="gramStart"/>
      <w:r>
        <w:rPr>
          <w:rFonts w:ascii="Arial" w:eastAsia="Arial" w:hAnsi="Arial" w:cs="Arial"/>
        </w:rPr>
        <w:t>i.e.</w:t>
      </w:r>
      <w:proofErr w:type="gramEnd"/>
      <w:r>
        <w:rPr>
          <w:rFonts w:ascii="Arial" w:eastAsia="Arial" w:hAnsi="Arial" w:cs="Arial"/>
        </w:rPr>
        <w:t xml:space="preserve"> everyone has to pay, as opposed to aspirational. Fifth, Kotter urges the opening of the door to action through the elimination of barriers; rather, the change introduced tension among multi location or multi household customers, and workarounds (additional poly-member fees) were seen as an increment to cost. Sixth and seventh, short term wins and consolidation indicate emphasizing prominent early customer payoffs, </w:t>
      </w:r>
      <w:proofErr w:type="gramStart"/>
      <w:r>
        <w:rPr>
          <w:rFonts w:ascii="Arial" w:eastAsia="Arial" w:hAnsi="Arial" w:cs="Arial"/>
        </w:rPr>
        <w:t>e.g.</w:t>
      </w:r>
      <w:proofErr w:type="gramEnd"/>
      <w:r>
        <w:rPr>
          <w:rFonts w:ascii="Arial" w:eastAsia="Arial" w:hAnsi="Arial" w:cs="Arial"/>
        </w:rPr>
        <w:t xml:space="preserve"> improvement of content or other reward loyalty; this connection was ambiguous. Lastly, change anchoring demands new norms to match the brand values; to a brand that has been familiar with flexibility and user control, the clampdown was culturally dissonant. Combined, the performance of Netflix in comparison with the steps of Kotter is, at best, patchy.</w:t>
      </w:r>
    </w:p>
    <w:p w14:paraId="7D0B46D7" w14:textId="77777777" w:rsidR="00E41725" w:rsidRDefault="00E464B3">
      <w:pPr>
        <w:keepNext/>
        <w:spacing w:after="0" w:line="360" w:lineRule="auto"/>
        <w:jc w:val="center"/>
        <w:rPr>
          <w:rFonts w:ascii="Arial" w:eastAsia="Arial" w:hAnsi="Arial" w:cs="Arial"/>
        </w:rPr>
      </w:pPr>
      <w:r>
        <w:rPr>
          <w:rFonts w:ascii="Arial" w:eastAsia="Arial" w:hAnsi="Arial" w:cs="Arial"/>
          <w:noProof/>
        </w:rPr>
        <w:lastRenderedPageBreak/>
        <w:drawing>
          <wp:inline distT="0" distB="0" distL="0" distR="0" wp14:anchorId="6AF3773D" wp14:editId="19324A89">
            <wp:extent cx="5811472" cy="266359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811472" cy="2663591"/>
                    </a:xfrm>
                    <a:prstGeom prst="rect">
                      <a:avLst/>
                    </a:prstGeom>
                    <a:ln/>
                  </pic:spPr>
                </pic:pic>
              </a:graphicData>
            </a:graphic>
          </wp:inline>
        </w:drawing>
      </w:r>
    </w:p>
    <w:p w14:paraId="34A9929A" w14:textId="77777777" w:rsidR="00E41725" w:rsidRDefault="00E464B3">
      <w:pPr>
        <w:pBdr>
          <w:top w:val="nil"/>
          <w:left w:val="nil"/>
          <w:bottom w:val="nil"/>
          <w:right w:val="nil"/>
          <w:between w:val="nil"/>
        </w:pBdr>
        <w:spacing w:after="0" w:line="360" w:lineRule="auto"/>
        <w:jc w:val="center"/>
        <w:rPr>
          <w:rFonts w:ascii="Arial" w:eastAsia="Arial" w:hAnsi="Arial" w:cs="Arial"/>
          <w:i/>
          <w:iCs/>
          <w:color w:val="44546A"/>
          <w:sz w:val="18"/>
          <w:szCs w:val="18"/>
        </w:rPr>
      </w:pPr>
      <w:r>
        <w:rPr>
          <w:rFonts w:ascii="Arial" w:eastAsia="Arial" w:hAnsi="Arial" w:cs="Arial"/>
          <w:i/>
          <w:iCs/>
          <w:color w:val="44546A"/>
          <w:sz w:val="18"/>
          <w:szCs w:val="18"/>
        </w:rPr>
        <w:t>Figure 2: Kotter's 8 Step Model (Author)</w:t>
      </w:r>
    </w:p>
    <w:p w14:paraId="6869F862" w14:textId="77777777" w:rsidR="00E41725" w:rsidRDefault="00E464B3">
      <w:pPr>
        <w:spacing w:after="0" w:line="360" w:lineRule="auto"/>
        <w:jc w:val="both"/>
        <w:rPr>
          <w:rFonts w:ascii="Arial" w:eastAsia="Arial" w:hAnsi="Arial" w:cs="Arial"/>
        </w:rPr>
      </w:pPr>
      <w:r>
        <w:rPr>
          <w:rFonts w:ascii="Arial" w:eastAsia="Arial" w:hAnsi="Arial" w:cs="Arial"/>
        </w:rPr>
        <w:t xml:space="preserve">The force field analysis introduced by Lewin provides a complementary perspective on the ad tier introduction as the situation is viewed as a balance between driving and restraining forces. The motivation factors comprised the necessity of new source of income, precedent competition (other ad supported services), and advertiser requirements of streaming inventory. The restraining forces were user anticipations of a free of advertising brand, the dread of poor user experience and information insecurity and privacy concerns. Lewin proposes that change may be brought about by driving forces or restraining forces; Netflix has definitely increased driving forces by launching the tier and making its growth known, nevertheless, it has relatively less attempted to reduce restraining forces like providing a solid control over ad frequency, transparent value </w:t>
      </w:r>
      <w:proofErr w:type="spellStart"/>
      <w:r>
        <w:rPr>
          <w:rFonts w:ascii="Arial" w:eastAsia="Arial" w:hAnsi="Arial" w:cs="Arial"/>
        </w:rPr>
        <w:t>trade offs</w:t>
      </w:r>
      <w:proofErr w:type="spellEnd"/>
      <w:r>
        <w:rPr>
          <w:rFonts w:ascii="Arial" w:eastAsia="Arial" w:hAnsi="Arial" w:cs="Arial"/>
        </w:rPr>
        <w:t xml:space="preserve">, or compensatory benefits to long term ad free subscribers (Change Management Coach, 2023; Lewin, as discussed in </w:t>
      </w:r>
      <w:proofErr w:type="gramStart"/>
      <w:r>
        <w:rPr>
          <w:rFonts w:ascii="Arial" w:eastAsia="Arial" w:hAnsi="Arial" w:cs="Arial"/>
        </w:rPr>
        <w:t>web based</w:t>
      </w:r>
      <w:proofErr w:type="gramEnd"/>
      <w:r>
        <w:rPr>
          <w:rFonts w:ascii="Arial" w:eastAsia="Arial" w:hAnsi="Arial" w:cs="Arial"/>
        </w:rPr>
        <w:t xml:space="preserve"> summaries). The mismanaged change destroys trust and strengthens cynicism; stakeholders who are made to feel that they are managed, not engaged, will become less willing to accept any more initiatives in the future (</w:t>
      </w:r>
      <w:proofErr w:type="spellStart"/>
      <w:r>
        <w:rPr>
          <w:rFonts w:ascii="Arial" w:eastAsia="Arial" w:hAnsi="Arial" w:cs="Arial"/>
        </w:rPr>
        <w:t>Amarantou</w:t>
      </w:r>
      <w:proofErr w:type="spellEnd"/>
      <w:r>
        <w:rPr>
          <w:rFonts w:ascii="Arial" w:eastAsia="Arial" w:hAnsi="Arial" w:cs="Arial"/>
        </w:rPr>
        <w:t xml:space="preserve"> et al., 2018). The data driven mindset of Netflix was able to </w:t>
      </w:r>
      <w:proofErr w:type="spellStart"/>
      <w:r>
        <w:rPr>
          <w:rFonts w:ascii="Arial" w:eastAsia="Arial" w:hAnsi="Arial" w:cs="Arial"/>
        </w:rPr>
        <w:t>recognise</w:t>
      </w:r>
      <w:proofErr w:type="spellEnd"/>
      <w:r>
        <w:rPr>
          <w:rFonts w:ascii="Arial" w:eastAsia="Arial" w:hAnsi="Arial" w:cs="Arial"/>
        </w:rPr>
        <w:t xml:space="preserve"> revenue prospects in password abuse and ad inventory, but it failed to execute the change process in a manner that </w:t>
      </w:r>
      <w:proofErr w:type="spellStart"/>
      <w:r>
        <w:rPr>
          <w:rFonts w:ascii="Arial" w:eastAsia="Arial" w:hAnsi="Arial" w:cs="Arial"/>
        </w:rPr>
        <w:t>practises</w:t>
      </w:r>
      <w:proofErr w:type="spellEnd"/>
      <w:r>
        <w:rPr>
          <w:rFonts w:ascii="Arial" w:eastAsia="Arial" w:hAnsi="Arial" w:cs="Arial"/>
        </w:rPr>
        <w:t xml:space="preserve"> customer psychology and, as such, verifies the thesis statement that </w:t>
      </w:r>
      <w:proofErr w:type="spellStart"/>
      <w:r>
        <w:rPr>
          <w:rFonts w:ascii="Arial" w:eastAsia="Arial" w:hAnsi="Arial" w:cs="Arial"/>
        </w:rPr>
        <w:t>optimisation</w:t>
      </w:r>
      <w:proofErr w:type="spellEnd"/>
      <w:r>
        <w:rPr>
          <w:rFonts w:ascii="Arial" w:eastAsia="Arial" w:hAnsi="Arial" w:cs="Arial"/>
        </w:rPr>
        <w:t xml:space="preserve"> has choked out real strategic renewal in value proposition.</w:t>
      </w:r>
    </w:p>
    <w:p w14:paraId="446AAAA8" w14:textId="77777777" w:rsidR="00E41725" w:rsidRDefault="00E464B3">
      <w:pPr>
        <w:pStyle w:val="Heading1"/>
        <w:numPr>
          <w:ilvl w:val="0"/>
          <w:numId w:val="1"/>
        </w:numPr>
        <w:spacing w:before="0" w:after="0" w:line="360" w:lineRule="auto"/>
      </w:pPr>
      <w:bookmarkStart w:id="6" w:name="_Toc218692785"/>
      <w:proofErr w:type="spellStart"/>
      <w:r>
        <w:lastRenderedPageBreak/>
        <w:t>STP</w:t>
      </w:r>
      <w:proofErr w:type="spellEnd"/>
      <w:r>
        <w:t xml:space="preserve"> as a Site of Strategic Inertia</w:t>
      </w:r>
      <w:bookmarkEnd w:id="6"/>
    </w:p>
    <w:p w14:paraId="4B21CDD1" w14:textId="77777777" w:rsidR="00E41725" w:rsidRDefault="00E464B3">
      <w:pPr>
        <w:spacing w:after="0" w:line="360" w:lineRule="auto"/>
        <w:jc w:val="both"/>
        <w:rPr>
          <w:rFonts w:ascii="Arial" w:eastAsia="Arial" w:hAnsi="Arial" w:cs="Arial"/>
        </w:rPr>
      </w:pPr>
      <w:r>
        <w:rPr>
          <w:rFonts w:ascii="Arial" w:eastAsia="Arial" w:hAnsi="Arial" w:cs="Arial"/>
        </w:rPr>
        <w:t xml:space="preserve">The segmentation, targeting and positioning of Netflix previously fostered a unique customer centric approach; currently, one based on </w:t>
      </w:r>
      <w:proofErr w:type="spellStart"/>
      <w:r>
        <w:rPr>
          <w:rFonts w:ascii="Arial" w:eastAsia="Arial" w:hAnsi="Arial" w:cs="Arial"/>
        </w:rPr>
        <w:t>behavioural</w:t>
      </w:r>
      <w:proofErr w:type="spellEnd"/>
      <w:r>
        <w:rPr>
          <w:rFonts w:ascii="Arial" w:eastAsia="Arial" w:hAnsi="Arial" w:cs="Arial"/>
        </w:rPr>
        <w:t xml:space="preserve"> micro segmentation with no strong brand level position, its </w:t>
      </w:r>
      <w:proofErr w:type="spellStart"/>
      <w:r>
        <w:rPr>
          <w:rFonts w:ascii="Arial" w:eastAsia="Arial" w:hAnsi="Arial" w:cs="Arial"/>
        </w:rPr>
        <w:t>STP</w:t>
      </w:r>
      <w:proofErr w:type="spellEnd"/>
      <w:r>
        <w:rPr>
          <w:rFonts w:ascii="Arial" w:eastAsia="Arial" w:hAnsi="Arial" w:cs="Arial"/>
        </w:rPr>
        <w:t xml:space="preserve"> has fallen into a technically advanced yet strategically conservative structure, which proves the thesis of inertia. Chernev underlines that successful segmentation has to bridge the gap between visible and significant variations in value preferences and responsiveness whereas Lahtinen et al. (2020) highlight the fact that segments need to capture entire customer paths and not identify individual categories (Chernev, 2018; Lahtinen et al., 2020). Netflix is also outstanding at </w:t>
      </w:r>
      <w:proofErr w:type="spellStart"/>
      <w:r>
        <w:rPr>
          <w:rFonts w:ascii="Arial" w:eastAsia="Arial" w:hAnsi="Arial" w:cs="Arial"/>
        </w:rPr>
        <w:t>behavioural</w:t>
      </w:r>
      <w:proofErr w:type="spellEnd"/>
      <w:r>
        <w:rPr>
          <w:rFonts w:ascii="Arial" w:eastAsia="Arial" w:hAnsi="Arial" w:cs="Arial"/>
        </w:rPr>
        <w:t xml:space="preserve"> segmentation: the histories of views and the engagement data can be used to create fine grained taste communities (Zhang et al., 2018; Hussain, Chun and Khan, 2020). Nonetheless, Zhang et al. (2018) note that algorithmic segmentation puts users in humans can confine their exploration by being easily bound to a limited content in the bubbles. Competitive advantage needs to be clear on what aspects are important and how differentiation is developed (Ali and Anwar, 2021). The story of Netflix now strives to be the platform of everyone, which is an inclusive idea but lacks identity. This paradox is represented in targeting. Digital companies can serve a range of niches profitably on modular offers, though too broad without differentiation burdens the resources (Yusuf and </w:t>
      </w:r>
      <w:proofErr w:type="spellStart"/>
      <w:r>
        <w:rPr>
          <w:rFonts w:ascii="Arial" w:eastAsia="Arial" w:hAnsi="Arial" w:cs="Arial"/>
        </w:rPr>
        <w:t>Matiin</w:t>
      </w:r>
      <w:proofErr w:type="spellEnd"/>
      <w:r>
        <w:rPr>
          <w:rFonts w:ascii="Arial" w:eastAsia="Arial" w:hAnsi="Arial" w:cs="Arial"/>
        </w:rPr>
        <w:t xml:space="preserve">, 2022; Dina </w:t>
      </w:r>
      <w:proofErr w:type="spellStart"/>
      <w:r>
        <w:rPr>
          <w:rFonts w:ascii="Arial" w:eastAsia="Arial" w:hAnsi="Arial" w:cs="Arial"/>
        </w:rPr>
        <w:t>Garnida</w:t>
      </w:r>
      <w:proofErr w:type="spellEnd"/>
      <w:r>
        <w:rPr>
          <w:rFonts w:ascii="Arial" w:eastAsia="Arial" w:hAnsi="Arial" w:cs="Arial"/>
        </w:rPr>
        <w:t xml:space="preserve"> </w:t>
      </w:r>
      <w:proofErr w:type="spellStart"/>
      <w:r>
        <w:rPr>
          <w:rFonts w:ascii="Arial" w:eastAsia="Arial" w:hAnsi="Arial" w:cs="Arial"/>
        </w:rPr>
        <w:t>Akhmalia</w:t>
      </w:r>
      <w:proofErr w:type="spellEnd"/>
      <w:r>
        <w:rPr>
          <w:rFonts w:ascii="Arial" w:eastAsia="Arial" w:hAnsi="Arial" w:cs="Arial"/>
        </w:rPr>
        <w:t xml:space="preserve">, 2023; Rose et al., 2025). Netflix focuses on worldwide audiences without differentiated sub brands, </w:t>
      </w:r>
      <w:proofErr w:type="spellStart"/>
      <w:r>
        <w:rPr>
          <w:rFonts w:ascii="Arial" w:eastAsia="Arial" w:hAnsi="Arial" w:cs="Arial"/>
        </w:rPr>
        <w:t>maximising</w:t>
      </w:r>
      <w:proofErr w:type="spellEnd"/>
      <w:r>
        <w:rPr>
          <w:rFonts w:ascii="Arial" w:eastAsia="Arial" w:hAnsi="Arial" w:cs="Arial"/>
        </w:rPr>
        <w:t xml:space="preserve"> the scale of algorithms but reducing the possibility of segment specific value innovations other than basic tiering. This pattern is revealed in positioning in the sharpest way. Traditionally, Netflix was on-demand, ad free, and an alternative to linear TV, which gives freedom and binge-worthy plotlines (Li and Bastos, 2020). The ability to sustain a unique digital status depends on the constant symbolic innovation (Jamil, 2023; Phan, 2025). Using advertisements and mandatory passwords has destroyed its old pillars of no interruptions and casual sharing without defining a new higher order promise, transforming value expansive into value extractive positioning (Rust, 2020). Therefore, Netflix makes </w:t>
      </w:r>
      <w:proofErr w:type="spellStart"/>
      <w:r>
        <w:rPr>
          <w:rFonts w:ascii="Arial" w:eastAsia="Arial" w:hAnsi="Arial" w:cs="Arial"/>
        </w:rPr>
        <w:t>STP</w:t>
      </w:r>
      <w:proofErr w:type="spellEnd"/>
      <w:r>
        <w:rPr>
          <w:rFonts w:ascii="Arial" w:eastAsia="Arial" w:hAnsi="Arial" w:cs="Arial"/>
        </w:rPr>
        <w:t xml:space="preserve"> technically impressive but strategically defensive. The micro level relevance and retention of data driven segmentation and targeting are desirable but reinforce more of the same.</w:t>
      </w:r>
    </w:p>
    <w:p w14:paraId="6AE19C25" w14:textId="77777777" w:rsidR="00E41725" w:rsidRDefault="00E464B3">
      <w:pPr>
        <w:pStyle w:val="Heading1"/>
        <w:numPr>
          <w:ilvl w:val="0"/>
          <w:numId w:val="1"/>
        </w:numPr>
        <w:spacing w:before="0" w:after="0" w:line="360" w:lineRule="auto"/>
      </w:pPr>
      <w:bookmarkStart w:id="7" w:name="_Toc218692786"/>
      <w:r>
        <w:lastRenderedPageBreak/>
        <w:t xml:space="preserve">Marketing Mix: </w:t>
      </w:r>
      <w:proofErr w:type="spellStart"/>
      <w:r>
        <w:t>Optimising</w:t>
      </w:r>
      <w:proofErr w:type="spellEnd"/>
      <w:r>
        <w:t xml:space="preserve"> Tactics While Weakening the Promise</w:t>
      </w:r>
      <w:bookmarkEnd w:id="7"/>
    </w:p>
    <w:p w14:paraId="6C3033BF" w14:textId="77777777" w:rsidR="00E41725" w:rsidRDefault="00E464B3">
      <w:pPr>
        <w:spacing w:after="0" w:line="360" w:lineRule="auto"/>
        <w:jc w:val="both"/>
        <w:rPr>
          <w:rFonts w:ascii="Arial" w:eastAsia="Arial" w:hAnsi="Arial" w:cs="Arial"/>
        </w:rPr>
      </w:pPr>
      <w:r>
        <w:rPr>
          <w:rFonts w:ascii="Arial" w:eastAsia="Arial" w:hAnsi="Arial" w:cs="Arial"/>
        </w:rPr>
        <w:t xml:space="preserve">The </w:t>
      </w:r>
      <w:proofErr w:type="spellStart"/>
      <w:r>
        <w:rPr>
          <w:rFonts w:ascii="Arial" w:eastAsia="Arial" w:hAnsi="Arial" w:cs="Arial"/>
        </w:rPr>
        <w:t>7Ps</w:t>
      </w:r>
      <w:proofErr w:type="spellEnd"/>
      <w:r>
        <w:rPr>
          <w:rFonts w:ascii="Arial" w:eastAsia="Arial" w:hAnsi="Arial" w:cs="Arial"/>
        </w:rPr>
        <w:t xml:space="preserve"> of Netflix indicate that their marketing mix was </w:t>
      </w:r>
      <w:proofErr w:type="spellStart"/>
      <w:r>
        <w:rPr>
          <w:rFonts w:ascii="Arial" w:eastAsia="Arial" w:hAnsi="Arial" w:cs="Arial"/>
        </w:rPr>
        <w:t>optimised</w:t>
      </w:r>
      <w:proofErr w:type="spellEnd"/>
      <w:r>
        <w:rPr>
          <w:rFonts w:ascii="Arial" w:eastAsia="Arial" w:hAnsi="Arial" w:cs="Arial"/>
        </w:rPr>
        <w:t xml:space="preserve"> but not re imagined in order to maintain a unique, trust-based value proposition amidst digital disruption, the marketing mix is therefore defensive and does not solve the paradox at its core strategy. On product, Netflix continues to provide a </w:t>
      </w:r>
      <w:proofErr w:type="gramStart"/>
      <w:r>
        <w:rPr>
          <w:rFonts w:ascii="Arial" w:eastAsia="Arial" w:hAnsi="Arial" w:cs="Arial"/>
        </w:rPr>
        <w:t>high quality</w:t>
      </w:r>
      <w:proofErr w:type="gramEnd"/>
      <w:r>
        <w:rPr>
          <w:rFonts w:ascii="Arial" w:eastAsia="Arial" w:hAnsi="Arial" w:cs="Arial"/>
        </w:rPr>
        <w:t xml:space="preserve"> streaming experience, although it is yet to realize its data and innovation potential into new forms of value. Emotional reactions and </w:t>
      </w:r>
      <w:proofErr w:type="spellStart"/>
      <w:r>
        <w:rPr>
          <w:rFonts w:ascii="Arial" w:eastAsia="Arial" w:hAnsi="Arial" w:cs="Arial"/>
        </w:rPr>
        <w:t>behavioural</w:t>
      </w:r>
      <w:proofErr w:type="spellEnd"/>
      <w:r>
        <w:rPr>
          <w:rFonts w:ascii="Arial" w:eastAsia="Arial" w:hAnsi="Arial" w:cs="Arial"/>
        </w:rPr>
        <w:t xml:space="preserve"> outcomes are digitally or physically influenced by </w:t>
      </w:r>
      <w:proofErr w:type="spellStart"/>
      <w:r>
        <w:rPr>
          <w:rFonts w:ascii="Arial" w:eastAsia="Arial" w:hAnsi="Arial" w:cs="Arial"/>
        </w:rPr>
        <w:t>servicescapes</w:t>
      </w:r>
      <w:proofErr w:type="spellEnd"/>
      <w:r>
        <w:rPr>
          <w:rFonts w:ascii="Arial" w:eastAsia="Arial" w:hAnsi="Arial" w:cs="Arial"/>
        </w:rPr>
        <w:t xml:space="preserve"> (Rosenbaum et al., 2018; Jinga et al., 2024; </w:t>
      </w:r>
      <w:proofErr w:type="spellStart"/>
      <w:r>
        <w:rPr>
          <w:rFonts w:ascii="Arial" w:eastAsia="Arial" w:hAnsi="Arial" w:cs="Arial"/>
        </w:rPr>
        <w:t>Monferdini</w:t>
      </w:r>
      <w:proofErr w:type="spellEnd"/>
      <w:r>
        <w:rPr>
          <w:rFonts w:ascii="Arial" w:eastAsia="Arial" w:hAnsi="Arial" w:cs="Arial"/>
        </w:rPr>
        <w:t xml:space="preserve"> and </w:t>
      </w:r>
      <w:proofErr w:type="spellStart"/>
      <w:r>
        <w:rPr>
          <w:rFonts w:ascii="Arial" w:eastAsia="Arial" w:hAnsi="Arial" w:cs="Arial"/>
        </w:rPr>
        <w:t>Bottani</w:t>
      </w:r>
      <w:proofErr w:type="spellEnd"/>
      <w:r>
        <w:rPr>
          <w:rFonts w:ascii="Arial" w:eastAsia="Arial" w:hAnsi="Arial" w:cs="Arial"/>
        </w:rPr>
        <w:t xml:space="preserve">, 2024). The interface of Netflix is refined and streamlined, but mostly traditional; it </w:t>
      </w:r>
      <w:proofErr w:type="spellStart"/>
      <w:r>
        <w:rPr>
          <w:rFonts w:ascii="Arial" w:eastAsia="Arial" w:hAnsi="Arial" w:cs="Arial"/>
        </w:rPr>
        <w:t>maximises</w:t>
      </w:r>
      <w:proofErr w:type="spellEnd"/>
      <w:r>
        <w:rPr>
          <w:rFonts w:ascii="Arial" w:eastAsia="Arial" w:hAnsi="Arial" w:cs="Arial"/>
        </w:rPr>
        <w:t xml:space="preserve"> discovery on a predefined paradigm of scrolling, and clicking. According to </w:t>
      </w:r>
      <w:proofErr w:type="spellStart"/>
      <w:r>
        <w:rPr>
          <w:rFonts w:ascii="Arial" w:eastAsia="Arial" w:hAnsi="Arial" w:cs="Arial"/>
        </w:rPr>
        <w:t>Rauschnabel</w:t>
      </w:r>
      <w:proofErr w:type="spellEnd"/>
      <w:r>
        <w:rPr>
          <w:rFonts w:ascii="Arial" w:eastAsia="Arial" w:hAnsi="Arial" w:cs="Arial"/>
        </w:rPr>
        <w:t xml:space="preserve"> and colleagues, immersive and interactive technologies will reconfigure the expectations of the users of the media experiences (</w:t>
      </w:r>
      <w:proofErr w:type="spellStart"/>
      <w:r>
        <w:rPr>
          <w:rFonts w:ascii="Arial" w:eastAsia="Arial" w:hAnsi="Arial" w:cs="Arial"/>
        </w:rPr>
        <w:t>Rauschnabel</w:t>
      </w:r>
      <w:proofErr w:type="spellEnd"/>
      <w:r>
        <w:rPr>
          <w:rFonts w:ascii="Arial" w:eastAsia="Arial" w:hAnsi="Arial" w:cs="Arial"/>
        </w:rPr>
        <w:t xml:space="preserve"> et al., 2022). The </w:t>
      </w:r>
      <w:proofErr w:type="gramStart"/>
      <w:r>
        <w:rPr>
          <w:rFonts w:ascii="Arial" w:eastAsia="Arial" w:hAnsi="Arial" w:cs="Arial"/>
        </w:rPr>
        <w:t>quality of service</w:t>
      </w:r>
      <w:proofErr w:type="gramEnd"/>
      <w:r>
        <w:rPr>
          <w:rFonts w:ascii="Arial" w:eastAsia="Arial" w:hAnsi="Arial" w:cs="Arial"/>
        </w:rPr>
        <w:t xml:space="preserve"> provision also relies on responsiveness and perceived empathy (Farida and Setiawan, 2022); in case policy changes become frictional, the absence of visible, empathic product level responses like the walkthrough tour, or opt in experiment may reflect a preference of efficiency of operations, rather than the care relationship. On price, the sequential prices increases and ad load segmentation scenarios is an example of the criticism that Netflix has made </w:t>
      </w:r>
      <w:proofErr w:type="spellStart"/>
      <w:r>
        <w:rPr>
          <w:rFonts w:ascii="Arial" w:eastAsia="Arial" w:hAnsi="Arial" w:cs="Arial"/>
        </w:rPr>
        <w:t>monetisation</w:t>
      </w:r>
      <w:proofErr w:type="spellEnd"/>
      <w:r>
        <w:rPr>
          <w:rFonts w:ascii="Arial" w:eastAsia="Arial" w:hAnsi="Arial" w:cs="Arial"/>
        </w:rPr>
        <w:t xml:space="preserve"> its main strategic lever. The determination of price fairness is relative to reference prices and perceived change in value; they caution that recurring raises with no apparent value addition undermine trust (Bolton et al., 2019; van Esch et al., 2020). Simultaneously, Islam discovers that online shoppers consider subscription portfolios as a unified entity; they balance between many platforms and are more likely to quit when any of the platforms seems to exploit their loyalty (Islam, 2020). Models of customer profitability by Rust reveal long term value is highly dependent not only on ARPU, but equally on retention and advocacy (Rust, 2020). The pricing strategies used by Netflix, as such, can be short-term economically rational, yet long-term strategically poisonous, unless Netflix can present the story of fairness or some form of loyalty. Netflix scores high on ubiquitous gadget and geographic presence, which is consistent with the omnichannel convenience (Grewal et al., 2020; Hussain, 2020). Morgan et al. (2019) </w:t>
      </w:r>
      <w:r>
        <w:rPr>
          <w:rFonts w:ascii="Arial" w:eastAsia="Arial" w:hAnsi="Arial" w:cs="Arial"/>
        </w:rPr>
        <w:lastRenderedPageBreak/>
        <w:t xml:space="preserve">would add, though, that place is experiential too: even the perceived differences between catalogue fullness and local cultural appropriateness may corrosion the sense of being locally relevant despite global accessibility. When promoting, Netflix is still creative and data-driven, although it does not </w:t>
      </w:r>
      <w:proofErr w:type="spellStart"/>
      <w:r>
        <w:rPr>
          <w:rFonts w:ascii="Arial" w:eastAsia="Arial" w:hAnsi="Arial" w:cs="Arial"/>
        </w:rPr>
        <w:t>capitalise</w:t>
      </w:r>
      <w:proofErr w:type="spellEnd"/>
      <w:r>
        <w:rPr>
          <w:rFonts w:ascii="Arial" w:eastAsia="Arial" w:hAnsi="Arial" w:cs="Arial"/>
        </w:rPr>
        <w:t xml:space="preserve"> on the deeper trends to community and co creation. Bhandari and Bansal demonstrate that rich content marketing through narratives leads to interaction and sharing (Bhandari and Bansal, 2018); in that sense, Netflix shows which revolve around campaigns make sense. As Grave and Greff show, there is a reason why collaborative and creator </w:t>
      </w:r>
      <w:proofErr w:type="spellStart"/>
      <w:r>
        <w:rPr>
          <w:rFonts w:ascii="Arial" w:eastAsia="Arial" w:hAnsi="Arial" w:cs="Arial"/>
        </w:rPr>
        <w:t>centred</w:t>
      </w:r>
      <w:proofErr w:type="spellEnd"/>
      <w:r>
        <w:rPr>
          <w:rFonts w:ascii="Arial" w:eastAsia="Arial" w:hAnsi="Arial" w:cs="Arial"/>
        </w:rPr>
        <w:t xml:space="preserve"> strategies are able to build trust and authenticity (Grave and Greff, 2018). Meanwhile, according to the Global Social Media Trends report, there is a shift by the brands to community centric approaches where the users are more than mere audiences but in fact the participants. Netflix does play around with fandoms but does not exactly produce value with them as much as it co produces. Consequently, promotion reinforces rather than questions or develops the underlying proposition. The other elements of </w:t>
      </w:r>
      <w:proofErr w:type="spellStart"/>
      <w:r>
        <w:rPr>
          <w:rFonts w:ascii="Arial" w:eastAsia="Arial" w:hAnsi="Arial" w:cs="Arial"/>
        </w:rPr>
        <w:t>optimisation</w:t>
      </w:r>
      <w:proofErr w:type="spellEnd"/>
      <w:r>
        <w:rPr>
          <w:rFonts w:ascii="Arial" w:eastAsia="Arial" w:hAnsi="Arial" w:cs="Arial"/>
        </w:rPr>
        <w:t xml:space="preserve"> without reinvention are seen in the people, process and physical evidence. Both Farida and Setiawan (2022) and Yusuf and </w:t>
      </w:r>
      <w:proofErr w:type="spellStart"/>
      <w:r>
        <w:rPr>
          <w:rFonts w:ascii="Arial" w:eastAsia="Arial" w:hAnsi="Arial" w:cs="Arial"/>
        </w:rPr>
        <w:t>Matiin</w:t>
      </w:r>
      <w:proofErr w:type="spellEnd"/>
      <w:r>
        <w:rPr>
          <w:rFonts w:ascii="Arial" w:eastAsia="Arial" w:hAnsi="Arial" w:cs="Arial"/>
        </w:rPr>
        <w:t xml:space="preserve"> (2022) assume that loyalty is based on transparent and easy-to-understand procedures and human touchpoints that are empathetic. Onboarding, cancellations, and account management processes are well-done at Netflix, but the lack of transparency in certain decisions (such as recommendation logic, when prices were changed) pulls down the illusion of transparency. The presence of employees, particularly those working in the customer support and community management departments, is mostly implicit in the brand narrative; according to Rosenbaum et al. (2018), it makes the </w:t>
      </w:r>
      <w:proofErr w:type="spellStart"/>
      <w:r>
        <w:rPr>
          <w:rFonts w:ascii="Arial" w:eastAsia="Arial" w:hAnsi="Arial" w:cs="Arial"/>
        </w:rPr>
        <w:t>servicescape</w:t>
      </w:r>
      <w:proofErr w:type="spellEnd"/>
      <w:r>
        <w:rPr>
          <w:rFonts w:ascii="Arial" w:eastAsia="Arial" w:hAnsi="Arial" w:cs="Arial"/>
        </w:rPr>
        <w:t xml:space="preserve"> less human-centered.</w:t>
      </w:r>
    </w:p>
    <w:p w14:paraId="103E0D6B" w14:textId="77777777" w:rsidR="00E41725" w:rsidRDefault="00E464B3">
      <w:pPr>
        <w:keepNext/>
        <w:spacing w:after="0" w:line="360" w:lineRule="auto"/>
        <w:jc w:val="center"/>
        <w:rPr>
          <w:rFonts w:ascii="Arial" w:eastAsia="Arial" w:hAnsi="Arial" w:cs="Arial"/>
        </w:rPr>
      </w:pPr>
      <w:r>
        <w:rPr>
          <w:rFonts w:ascii="Arial" w:eastAsia="Arial" w:hAnsi="Arial" w:cs="Arial"/>
          <w:noProof/>
        </w:rPr>
        <w:lastRenderedPageBreak/>
        <w:drawing>
          <wp:inline distT="0" distB="0" distL="0" distR="0" wp14:anchorId="3962287C" wp14:editId="05B7F82A">
            <wp:extent cx="5113197" cy="460024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13197" cy="4600240"/>
                    </a:xfrm>
                    <a:prstGeom prst="rect">
                      <a:avLst/>
                    </a:prstGeom>
                    <a:ln/>
                  </pic:spPr>
                </pic:pic>
              </a:graphicData>
            </a:graphic>
          </wp:inline>
        </w:drawing>
      </w:r>
    </w:p>
    <w:p w14:paraId="37956C0E" w14:textId="77777777" w:rsidR="00E41725" w:rsidRDefault="00E464B3">
      <w:pPr>
        <w:pBdr>
          <w:top w:val="nil"/>
          <w:left w:val="nil"/>
          <w:bottom w:val="nil"/>
          <w:right w:val="nil"/>
          <w:between w:val="nil"/>
        </w:pBdr>
        <w:spacing w:after="0" w:line="360" w:lineRule="auto"/>
        <w:jc w:val="center"/>
        <w:rPr>
          <w:rFonts w:ascii="Arial" w:eastAsia="Arial" w:hAnsi="Arial" w:cs="Arial"/>
          <w:i/>
          <w:iCs/>
          <w:color w:val="44546A"/>
          <w:sz w:val="18"/>
          <w:szCs w:val="18"/>
        </w:rPr>
      </w:pPr>
      <w:r>
        <w:rPr>
          <w:rFonts w:ascii="Arial" w:eastAsia="Arial" w:hAnsi="Arial" w:cs="Arial"/>
          <w:i/>
          <w:iCs/>
          <w:color w:val="44546A"/>
          <w:sz w:val="18"/>
          <w:szCs w:val="18"/>
        </w:rPr>
        <w:t xml:space="preserve">Figure 3: </w:t>
      </w:r>
      <w:proofErr w:type="spellStart"/>
      <w:r>
        <w:rPr>
          <w:rFonts w:ascii="Arial" w:eastAsia="Arial" w:hAnsi="Arial" w:cs="Arial"/>
          <w:i/>
          <w:iCs/>
          <w:color w:val="44546A"/>
          <w:sz w:val="18"/>
          <w:szCs w:val="18"/>
        </w:rPr>
        <w:t>7P's</w:t>
      </w:r>
      <w:proofErr w:type="spellEnd"/>
      <w:r>
        <w:rPr>
          <w:rFonts w:ascii="Arial" w:eastAsia="Arial" w:hAnsi="Arial" w:cs="Arial"/>
          <w:i/>
          <w:iCs/>
          <w:color w:val="44546A"/>
          <w:sz w:val="18"/>
          <w:szCs w:val="18"/>
        </w:rPr>
        <w:t xml:space="preserve"> of Netflix (Author)</w:t>
      </w:r>
    </w:p>
    <w:p w14:paraId="7A5F3909" w14:textId="77777777" w:rsidR="00E41725" w:rsidRDefault="00E464B3">
      <w:pPr>
        <w:spacing w:after="0" w:line="360" w:lineRule="auto"/>
        <w:jc w:val="both"/>
        <w:rPr>
          <w:rFonts w:ascii="Arial" w:eastAsia="Arial" w:hAnsi="Arial" w:cs="Arial"/>
        </w:rPr>
      </w:pPr>
      <w:r>
        <w:rPr>
          <w:rFonts w:ascii="Arial" w:eastAsia="Arial" w:hAnsi="Arial" w:cs="Arial"/>
        </w:rPr>
        <w:t>Overall, the marketing mix is set to extract the best out of a proposition that is fundamentally stable; it is never set to re-establish the meaning behind what it means to be a subscriber of Netflix.</w:t>
      </w:r>
    </w:p>
    <w:p w14:paraId="321C1A50" w14:textId="77777777" w:rsidR="00E41725" w:rsidRDefault="00E464B3">
      <w:pPr>
        <w:pStyle w:val="Heading1"/>
        <w:numPr>
          <w:ilvl w:val="0"/>
          <w:numId w:val="1"/>
        </w:numPr>
        <w:spacing w:before="0" w:after="0" w:line="360" w:lineRule="auto"/>
      </w:pPr>
      <w:bookmarkStart w:id="8" w:name="_Toc218692787"/>
      <w:r>
        <w:t>Communications and Metrics: Measuring the Wrong Wins</w:t>
      </w:r>
      <w:bookmarkEnd w:id="8"/>
    </w:p>
    <w:p w14:paraId="7B2A3544" w14:textId="77777777" w:rsidR="00E41725" w:rsidRDefault="00E464B3">
      <w:pPr>
        <w:spacing w:after="0" w:line="360" w:lineRule="auto"/>
        <w:jc w:val="both"/>
        <w:rPr>
          <w:rFonts w:ascii="Arial" w:eastAsia="Arial" w:hAnsi="Arial" w:cs="Arial"/>
        </w:rPr>
      </w:pPr>
      <w:r>
        <w:rPr>
          <w:rFonts w:ascii="Arial" w:eastAsia="Arial" w:hAnsi="Arial" w:cs="Arial"/>
        </w:rPr>
        <w:t xml:space="preserve">Communications and metrics used at Netflix represent a complex yet limited definition of success, which tracks short term interaction and income with minute attention and underestimates such the constructs of fairness, trust, and uniqueness. Netflix uses tactical capabilities to do on communications, social channels, trailers, and prompt in platforms. The report (Global Social Media Trends) indicates that community building, </w:t>
      </w:r>
      <w:proofErr w:type="spellStart"/>
      <w:r>
        <w:rPr>
          <w:rFonts w:ascii="Arial" w:eastAsia="Arial" w:hAnsi="Arial" w:cs="Arial"/>
        </w:rPr>
        <w:t>humour</w:t>
      </w:r>
      <w:proofErr w:type="spellEnd"/>
      <w:r>
        <w:rPr>
          <w:rFonts w:ascii="Arial" w:eastAsia="Arial" w:hAnsi="Arial" w:cs="Arial"/>
        </w:rPr>
        <w:t xml:space="preserve">, relatability and short form content is more and more being used by the brands as tools to establish emotional connections. This is reflected on the social accounts of Netflix; they are culturally apt and humorous. According to Grave and Greff (2018), </w:t>
      </w:r>
      <w:r>
        <w:rPr>
          <w:rFonts w:ascii="Arial" w:eastAsia="Arial" w:hAnsi="Arial" w:cs="Arial"/>
        </w:rPr>
        <w:lastRenderedPageBreak/>
        <w:t xml:space="preserve">influencer partnerships strengthening credibility; Netflix accesses niche fandoms through its creators. However, Lahtinen et al. (2020) warn that communications should be in line with journey wide expectations. Cognitive dissonance cannot be countered by memes when the difference between the marketing messages that focus on discussing stories worth paying for and the actual restrictions and increased prices are met with. Morgan et al. (2019) </w:t>
      </w:r>
      <w:proofErr w:type="gramStart"/>
      <w:r>
        <w:rPr>
          <w:rFonts w:ascii="Arial" w:eastAsia="Arial" w:hAnsi="Arial" w:cs="Arial"/>
        </w:rPr>
        <w:t>recommend</w:t>
      </w:r>
      <w:proofErr w:type="gramEnd"/>
      <w:r>
        <w:rPr>
          <w:rFonts w:ascii="Arial" w:eastAsia="Arial" w:hAnsi="Arial" w:cs="Arial"/>
        </w:rPr>
        <w:t xml:space="preserve"> a balanced scorecard with customer lifetime value, brand equity, and attitudinal loyalty on metrics. Stavros </w:t>
      </w:r>
      <w:proofErr w:type="spellStart"/>
      <w:r>
        <w:rPr>
          <w:rFonts w:ascii="Arial" w:eastAsia="Arial" w:hAnsi="Arial" w:cs="Arial"/>
        </w:rPr>
        <w:t>Valsamidis</w:t>
      </w:r>
      <w:proofErr w:type="spellEnd"/>
      <w:r>
        <w:rPr>
          <w:rFonts w:ascii="Arial" w:eastAsia="Arial" w:hAnsi="Arial" w:cs="Arial"/>
        </w:rPr>
        <w:t xml:space="preserve"> et al. (2025), Verhoeff et al. (2021) and Kraus et al. (2022) demonstrate the big data dashboards display minute trends but caution that concentrating on the clicking and viewing is a cause of </w:t>
      </w:r>
      <w:proofErr w:type="gramStart"/>
      <w:r>
        <w:rPr>
          <w:rFonts w:ascii="Arial" w:eastAsia="Arial" w:hAnsi="Arial" w:cs="Arial"/>
        </w:rPr>
        <w:t>short term</w:t>
      </w:r>
      <w:proofErr w:type="gramEnd"/>
      <w:r>
        <w:rPr>
          <w:rFonts w:ascii="Arial" w:eastAsia="Arial" w:hAnsi="Arial" w:cs="Arial"/>
        </w:rPr>
        <w:t xml:space="preserve"> </w:t>
      </w:r>
      <w:proofErr w:type="spellStart"/>
      <w:r>
        <w:rPr>
          <w:rFonts w:ascii="Arial" w:eastAsia="Arial" w:hAnsi="Arial" w:cs="Arial"/>
        </w:rPr>
        <w:t>optimisation</w:t>
      </w:r>
      <w:proofErr w:type="spellEnd"/>
      <w:r>
        <w:rPr>
          <w:rFonts w:ascii="Arial" w:eastAsia="Arial" w:hAnsi="Arial" w:cs="Arial"/>
        </w:rPr>
        <w:t>. The great focus of Netflix on A/B testing, performance metrics contributes to constant improvement, but Rust (2020) cautions that this leads to myopia when all long horizon measures such as the perceived fairness or trust are overlooked. The risk is demonstrated by the fact that the company has been relying on sign up spikes and quarter-to-quarter revenue booms as headline indicators, in particular, around the adoption of passwords and the various ad tiers. The initial statistics indicate that the sign ups had increased substantially after the crackdown, which Netflix and critics use to justify it. Nevertheless, the force field approach of Lewin implies that such measurement can only describe short-term driving forces; restraining ones, resentment, depleted goodwill, latent intent of churning, etc. can build up and manifest themselves in the future.</w:t>
      </w:r>
    </w:p>
    <w:p w14:paraId="1D4A797A" w14:textId="77777777" w:rsidR="00E41725" w:rsidRDefault="00E464B3">
      <w:pPr>
        <w:spacing w:after="0" w:line="360" w:lineRule="auto"/>
        <w:jc w:val="both"/>
        <w:rPr>
          <w:rFonts w:ascii="Arial" w:eastAsia="Arial" w:hAnsi="Arial" w:cs="Arial"/>
        </w:rPr>
      </w:pPr>
      <w:r>
        <w:rPr>
          <w:rFonts w:ascii="Arial" w:eastAsia="Arial" w:hAnsi="Arial" w:cs="Arial"/>
        </w:rPr>
        <w:t xml:space="preserve">Therefore, even though the communication practices are advanced, and the measurement practices are advanced, the current practices used at Netflix are data driven </w:t>
      </w:r>
      <w:proofErr w:type="spellStart"/>
      <w:r>
        <w:rPr>
          <w:rFonts w:ascii="Arial" w:eastAsia="Arial" w:hAnsi="Arial" w:cs="Arial"/>
        </w:rPr>
        <w:t>optimisation</w:t>
      </w:r>
      <w:proofErr w:type="spellEnd"/>
      <w:r>
        <w:rPr>
          <w:rFonts w:ascii="Arial" w:eastAsia="Arial" w:hAnsi="Arial" w:cs="Arial"/>
        </w:rPr>
        <w:t xml:space="preserve"> rather than developing a unique, </w:t>
      </w:r>
      <w:proofErr w:type="gramStart"/>
      <w:r>
        <w:rPr>
          <w:rFonts w:ascii="Arial" w:eastAsia="Arial" w:hAnsi="Arial" w:cs="Arial"/>
        </w:rPr>
        <w:t>trust based</w:t>
      </w:r>
      <w:proofErr w:type="gramEnd"/>
      <w:r>
        <w:rPr>
          <w:rFonts w:ascii="Arial" w:eastAsia="Arial" w:hAnsi="Arial" w:cs="Arial"/>
        </w:rPr>
        <w:t xml:space="preserve"> proposition. This proves the thesis point: the very instruments that used to drive the differentiation process are threatening to undermine the strategic self.</w:t>
      </w:r>
    </w:p>
    <w:p w14:paraId="4D22F5E4" w14:textId="77777777" w:rsidR="00E41725" w:rsidRDefault="00E464B3">
      <w:pPr>
        <w:pStyle w:val="Heading1"/>
        <w:numPr>
          <w:ilvl w:val="0"/>
          <w:numId w:val="1"/>
        </w:numPr>
        <w:spacing w:before="0" w:after="0" w:line="360" w:lineRule="auto"/>
      </w:pPr>
      <w:bookmarkStart w:id="9" w:name="_Toc218692788"/>
      <w:r>
        <w:t>Integrated Critical Evaluation</w:t>
      </w:r>
      <w:bookmarkEnd w:id="9"/>
    </w:p>
    <w:p w14:paraId="51400AFC" w14:textId="77777777" w:rsidR="00E41725" w:rsidRDefault="00E464B3">
      <w:pPr>
        <w:spacing w:after="0" w:line="360" w:lineRule="auto"/>
        <w:jc w:val="both"/>
        <w:rPr>
          <w:rFonts w:ascii="Arial" w:eastAsia="Arial" w:hAnsi="Arial" w:cs="Arial"/>
        </w:rPr>
      </w:pPr>
      <w:r>
        <w:rPr>
          <w:rFonts w:ascii="Arial" w:eastAsia="Arial" w:hAnsi="Arial" w:cs="Arial"/>
        </w:rPr>
        <w:t xml:space="preserve">The cumulative assessment is now apparent: Netflix has enabled its most potent marketing instrument data driven </w:t>
      </w:r>
      <w:proofErr w:type="spellStart"/>
      <w:r>
        <w:rPr>
          <w:rFonts w:ascii="Arial" w:eastAsia="Arial" w:hAnsi="Arial" w:cs="Arial"/>
        </w:rPr>
        <w:t>optimisation</w:t>
      </w:r>
      <w:proofErr w:type="spellEnd"/>
      <w:r>
        <w:rPr>
          <w:rFonts w:ascii="Arial" w:eastAsia="Arial" w:hAnsi="Arial" w:cs="Arial"/>
        </w:rPr>
        <w:t xml:space="preserve"> to solidify itself into a strategic prejudice to incremental </w:t>
      </w:r>
      <w:proofErr w:type="spellStart"/>
      <w:r>
        <w:rPr>
          <w:rFonts w:ascii="Arial" w:eastAsia="Arial" w:hAnsi="Arial" w:cs="Arial"/>
        </w:rPr>
        <w:t>monetisation</w:t>
      </w:r>
      <w:proofErr w:type="spellEnd"/>
      <w:r>
        <w:rPr>
          <w:rFonts w:ascii="Arial" w:eastAsia="Arial" w:hAnsi="Arial" w:cs="Arial"/>
        </w:rPr>
        <w:t xml:space="preserve"> and micro tuning, instead of employing that instrument to re </w:t>
      </w:r>
      <w:proofErr w:type="spellStart"/>
      <w:r>
        <w:rPr>
          <w:rFonts w:ascii="Arial" w:eastAsia="Arial" w:hAnsi="Arial" w:cs="Arial"/>
        </w:rPr>
        <w:t>conceptualise</w:t>
      </w:r>
      <w:proofErr w:type="spellEnd"/>
      <w:r>
        <w:rPr>
          <w:rFonts w:ascii="Arial" w:eastAsia="Arial" w:hAnsi="Arial" w:cs="Arial"/>
        </w:rPr>
        <w:t xml:space="preserve"> competitive value amid digital disruption. The outside world is unreconcilable: </w:t>
      </w:r>
      <w:proofErr w:type="spellStart"/>
      <w:r>
        <w:rPr>
          <w:rFonts w:ascii="Arial" w:eastAsia="Arial" w:hAnsi="Arial" w:cs="Arial"/>
        </w:rPr>
        <w:t>VUCA</w:t>
      </w:r>
      <w:proofErr w:type="spellEnd"/>
      <w:r>
        <w:rPr>
          <w:rFonts w:ascii="Arial" w:eastAsia="Arial" w:hAnsi="Arial" w:cs="Arial"/>
        </w:rPr>
        <w:t xml:space="preserve"> factors, tough competitors and subscriptions burnout imply that every little action comes with a disproportionate reputational and relationship cost </w:t>
      </w:r>
      <w:r>
        <w:rPr>
          <w:rFonts w:ascii="Arial" w:eastAsia="Arial" w:hAnsi="Arial" w:cs="Arial"/>
        </w:rPr>
        <w:lastRenderedPageBreak/>
        <w:t>(</w:t>
      </w:r>
      <w:proofErr w:type="spellStart"/>
      <w:r>
        <w:rPr>
          <w:rFonts w:ascii="Arial" w:eastAsia="Arial" w:hAnsi="Arial" w:cs="Arial"/>
        </w:rPr>
        <w:t>Amarantou</w:t>
      </w:r>
      <w:proofErr w:type="spellEnd"/>
      <w:r>
        <w:rPr>
          <w:rFonts w:ascii="Arial" w:eastAsia="Arial" w:hAnsi="Arial" w:cs="Arial"/>
        </w:rPr>
        <w:t xml:space="preserve"> et al., 2018; </w:t>
      </w:r>
      <w:proofErr w:type="spellStart"/>
      <w:r>
        <w:rPr>
          <w:rFonts w:ascii="Arial" w:eastAsia="Arial" w:hAnsi="Arial" w:cs="Arial"/>
        </w:rPr>
        <w:t>Bruijl</w:t>
      </w:r>
      <w:proofErr w:type="spellEnd"/>
      <w:r>
        <w:rPr>
          <w:rFonts w:ascii="Arial" w:eastAsia="Arial" w:hAnsi="Arial" w:cs="Arial"/>
        </w:rPr>
        <w:t xml:space="preserve">, 2019). On the inside, it has developed an advanced </w:t>
      </w:r>
      <w:proofErr w:type="spellStart"/>
      <w:r>
        <w:rPr>
          <w:rFonts w:ascii="Arial" w:eastAsia="Arial" w:hAnsi="Arial" w:cs="Arial"/>
        </w:rPr>
        <w:t>optimisation</w:t>
      </w:r>
      <w:proofErr w:type="spellEnd"/>
      <w:r>
        <w:rPr>
          <w:rFonts w:ascii="Arial" w:eastAsia="Arial" w:hAnsi="Arial" w:cs="Arial"/>
        </w:rPr>
        <w:t xml:space="preserve"> machine through strong data and experimentation capabilities, as well as a </w:t>
      </w:r>
      <w:proofErr w:type="gramStart"/>
      <w:r>
        <w:rPr>
          <w:rFonts w:ascii="Arial" w:eastAsia="Arial" w:hAnsi="Arial" w:cs="Arial"/>
        </w:rPr>
        <w:t>performance based</w:t>
      </w:r>
      <w:proofErr w:type="gramEnd"/>
      <w:r>
        <w:rPr>
          <w:rFonts w:ascii="Arial" w:eastAsia="Arial" w:hAnsi="Arial" w:cs="Arial"/>
        </w:rPr>
        <w:t xml:space="preserve"> culture (</w:t>
      </w:r>
      <w:proofErr w:type="spellStart"/>
      <w:r>
        <w:rPr>
          <w:rFonts w:ascii="Arial" w:eastAsia="Arial" w:hAnsi="Arial" w:cs="Arial"/>
        </w:rPr>
        <w:t>Cirik</w:t>
      </w:r>
      <w:proofErr w:type="spellEnd"/>
      <w:r>
        <w:rPr>
          <w:rFonts w:ascii="Arial" w:eastAsia="Arial" w:hAnsi="Arial" w:cs="Arial"/>
        </w:rPr>
        <w:t xml:space="preserve"> and </w:t>
      </w:r>
      <w:proofErr w:type="spellStart"/>
      <w:r>
        <w:rPr>
          <w:rFonts w:ascii="Arial" w:eastAsia="Arial" w:hAnsi="Arial" w:cs="Arial"/>
        </w:rPr>
        <w:t>Makadok</w:t>
      </w:r>
      <w:proofErr w:type="spellEnd"/>
      <w:r>
        <w:rPr>
          <w:rFonts w:ascii="Arial" w:eastAsia="Arial" w:hAnsi="Arial" w:cs="Arial"/>
        </w:rPr>
        <w:t xml:space="preserve">, 2021; McNett et al., 2022). Netflix is not leveraging its strengths to their full strategic advantage as evaluated using the lens of TOWS. It has adopted SO and ST strategies that </w:t>
      </w:r>
      <w:proofErr w:type="spellStart"/>
      <w:r>
        <w:rPr>
          <w:rFonts w:ascii="Arial" w:eastAsia="Arial" w:hAnsi="Arial" w:cs="Arial"/>
        </w:rPr>
        <w:t>monetise</w:t>
      </w:r>
      <w:proofErr w:type="spellEnd"/>
      <w:r>
        <w:rPr>
          <w:rFonts w:ascii="Arial" w:eastAsia="Arial" w:hAnsi="Arial" w:cs="Arial"/>
        </w:rPr>
        <w:t xml:space="preserve"> more efficiently and protect streams of revenue, as opposed to those that redefine value in interactive terms, community centric terms, and </w:t>
      </w:r>
      <w:proofErr w:type="gramStart"/>
      <w:r>
        <w:rPr>
          <w:rFonts w:ascii="Arial" w:eastAsia="Arial" w:hAnsi="Arial" w:cs="Arial"/>
        </w:rPr>
        <w:t>loyalty based</w:t>
      </w:r>
      <w:proofErr w:type="gramEnd"/>
      <w:r>
        <w:rPr>
          <w:rFonts w:ascii="Arial" w:eastAsia="Arial" w:hAnsi="Arial" w:cs="Arial"/>
        </w:rPr>
        <w:t xml:space="preserve"> terms (Cao and </w:t>
      </w:r>
      <w:proofErr w:type="spellStart"/>
      <w:r>
        <w:rPr>
          <w:rFonts w:ascii="Arial" w:eastAsia="Arial" w:hAnsi="Arial" w:cs="Arial"/>
        </w:rPr>
        <w:t>Su</w:t>
      </w:r>
      <w:proofErr w:type="spellEnd"/>
      <w:r>
        <w:rPr>
          <w:rFonts w:ascii="Arial" w:eastAsia="Arial" w:hAnsi="Arial" w:cs="Arial"/>
        </w:rPr>
        <w:t xml:space="preserve">, 2024; Yin et al., 2024). Its WO and WT spaces where weaknesses and threats can be resolved by creating new forms of values are still relatively underdeveloped. In contrast to the benefits of the assessment criteria differentiation, competitive advantage, first mover leverage, loyalty and resource effectiveness the judgement is subtle but imperative. Netflix is a strong, innovative force, but its differentiation has become </w:t>
      </w:r>
      <w:proofErr w:type="gramStart"/>
      <w:r>
        <w:rPr>
          <w:rFonts w:ascii="Arial" w:eastAsia="Arial" w:hAnsi="Arial" w:cs="Arial"/>
        </w:rPr>
        <w:t>more thin</w:t>
      </w:r>
      <w:proofErr w:type="gramEnd"/>
      <w:r>
        <w:rPr>
          <w:rFonts w:ascii="Arial" w:eastAsia="Arial" w:hAnsi="Arial" w:cs="Arial"/>
        </w:rPr>
        <w:t xml:space="preserve">, first mover advantage is being lost, loyalty is less solid than the numbers indicate, and resources are still distributed more on maintaining the existing model rather than experimenting (Ali and Anwar, 2021; Rust, 2020; </w:t>
      </w:r>
      <w:proofErr w:type="spellStart"/>
      <w:r>
        <w:rPr>
          <w:rFonts w:ascii="Arial" w:eastAsia="Arial" w:hAnsi="Arial" w:cs="Arial"/>
        </w:rPr>
        <w:t>Fareniuk</w:t>
      </w:r>
      <w:proofErr w:type="spellEnd"/>
      <w:r>
        <w:rPr>
          <w:rFonts w:ascii="Arial" w:eastAsia="Arial" w:hAnsi="Arial" w:cs="Arial"/>
        </w:rPr>
        <w:t xml:space="preserve"> and </w:t>
      </w:r>
      <w:proofErr w:type="spellStart"/>
      <w:r>
        <w:rPr>
          <w:rFonts w:ascii="Arial" w:eastAsia="Arial" w:hAnsi="Arial" w:cs="Arial"/>
        </w:rPr>
        <w:t>Chornous</w:t>
      </w:r>
      <w:proofErr w:type="spellEnd"/>
      <w:r>
        <w:rPr>
          <w:rFonts w:ascii="Arial" w:eastAsia="Arial" w:hAnsi="Arial" w:cs="Arial"/>
        </w:rPr>
        <w:t xml:space="preserve">, 2023; </w:t>
      </w:r>
      <w:proofErr w:type="spellStart"/>
      <w:r>
        <w:rPr>
          <w:rFonts w:ascii="Arial" w:eastAsia="Arial" w:hAnsi="Arial" w:cs="Arial"/>
        </w:rPr>
        <w:t>Akisetty</w:t>
      </w:r>
      <w:proofErr w:type="spellEnd"/>
      <w:r>
        <w:rPr>
          <w:rFonts w:ascii="Arial" w:eastAsia="Arial" w:hAnsi="Arial" w:cs="Arial"/>
        </w:rPr>
        <w:t xml:space="preserve"> et al., 2024).</w:t>
      </w:r>
    </w:p>
    <w:p w14:paraId="20F2599D" w14:textId="77777777" w:rsidR="00E41725" w:rsidRDefault="00E464B3">
      <w:pPr>
        <w:pStyle w:val="Heading1"/>
        <w:numPr>
          <w:ilvl w:val="0"/>
          <w:numId w:val="1"/>
        </w:numPr>
        <w:spacing w:before="0" w:after="0" w:line="360" w:lineRule="auto"/>
      </w:pPr>
      <w:bookmarkStart w:id="10" w:name="_Toc218692789"/>
      <w:r>
        <w:t>Conclusions</w:t>
      </w:r>
      <w:bookmarkEnd w:id="10"/>
    </w:p>
    <w:p w14:paraId="0C649D60" w14:textId="77777777" w:rsidR="00E41725" w:rsidRDefault="00E464B3">
      <w:pPr>
        <w:spacing w:after="0" w:line="360" w:lineRule="auto"/>
        <w:jc w:val="both"/>
        <w:rPr>
          <w:rFonts w:ascii="Arial" w:eastAsia="Arial" w:hAnsi="Arial" w:cs="Arial"/>
        </w:rPr>
      </w:pPr>
      <w:r>
        <w:rPr>
          <w:rFonts w:ascii="Arial" w:eastAsia="Arial" w:hAnsi="Arial" w:cs="Arial"/>
        </w:rPr>
        <w:t xml:space="preserve">Conclusively, marketing plays a central role in the Netflix business model, combining data, original contents, pricing and communications in a manner that has made the firm to be the most preferred global streaming service regardless of the intense digital disruption and competition; the company investments in analytics, original contents, and global branding have developed a huge customer and shareholder value, which aligns with the theoretical perspective of value-based strategy and customer equity voiced by Chernev and Rust. The main flaws of the existing marketing approach of Netflix, thus, are not the lack of advanced tools and capabilities, but the danger of the lack of alignment between the changing expectations of customers, financial limitations and strategic decisions of the company; as </w:t>
      </w:r>
      <w:proofErr w:type="spellStart"/>
      <w:r>
        <w:rPr>
          <w:rFonts w:ascii="Arial" w:eastAsia="Arial" w:hAnsi="Arial" w:cs="Arial"/>
        </w:rPr>
        <w:t>digitalisation</w:t>
      </w:r>
      <w:proofErr w:type="spellEnd"/>
      <w:r>
        <w:rPr>
          <w:rFonts w:ascii="Arial" w:eastAsia="Arial" w:hAnsi="Arial" w:cs="Arial"/>
        </w:rPr>
        <w:t xml:space="preserve"> gains momentum, and new types of entertainment are created, Netflix would need to tune up its </w:t>
      </w:r>
      <w:proofErr w:type="spellStart"/>
      <w:r>
        <w:rPr>
          <w:rFonts w:ascii="Arial" w:eastAsia="Arial" w:hAnsi="Arial" w:cs="Arial"/>
        </w:rPr>
        <w:t>STP</w:t>
      </w:r>
      <w:proofErr w:type="spellEnd"/>
      <w:r>
        <w:rPr>
          <w:rFonts w:ascii="Arial" w:eastAsia="Arial" w:hAnsi="Arial" w:cs="Arial"/>
        </w:rPr>
        <w:t xml:space="preserve">, </w:t>
      </w:r>
      <w:proofErr w:type="spellStart"/>
      <w:r>
        <w:rPr>
          <w:rFonts w:ascii="Arial" w:eastAsia="Arial" w:hAnsi="Arial" w:cs="Arial"/>
        </w:rPr>
        <w:t>7Ps</w:t>
      </w:r>
      <w:proofErr w:type="spellEnd"/>
      <w:r>
        <w:rPr>
          <w:rFonts w:ascii="Arial" w:eastAsia="Arial" w:hAnsi="Arial" w:cs="Arial"/>
        </w:rPr>
        <w:t xml:space="preserve">, so that its brand can remain meaningfully different, the pricing and communication options would seem equitable and open to transparent, and the policy on the content and the community would promote engagement, as opposed to exhaustion. Based on the </w:t>
      </w:r>
      <w:proofErr w:type="spellStart"/>
      <w:r>
        <w:rPr>
          <w:rFonts w:ascii="Arial" w:eastAsia="Arial" w:hAnsi="Arial" w:cs="Arial"/>
        </w:rPr>
        <w:t>SOSTAC</w:t>
      </w:r>
      <w:proofErr w:type="spellEnd"/>
      <w:r>
        <w:rPr>
          <w:rFonts w:ascii="Arial" w:eastAsia="Arial" w:hAnsi="Arial" w:cs="Arial"/>
        </w:rPr>
        <w:t xml:space="preserve"> framework and </w:t>
      </w:r>
      <w:r>
        <w:rPr>
          <w:rFonts w:ascii="Arial" w:eastAsia="Arial" w:hAnsi="Arial" w:cs="Arial"/>
        </w:rPr>
        <w:lastRenderedPageBreak/>
        <w:t>offering a consistent, viable direction of solidifying the marketing strategy of Netflix in the context of persistent change.</w:t>
      </w:r>
    </w:p>
    <w:p w14:paraId="0AF62E57" w14:textId="77777777" w:rsidR="00E41725" w:rsidRDefault="00E464B3">
      <w:pPr>
        <w:pStyle w:val="Heading1"/>
        <w:numPr>
          <w:ilvl w:val="0"/>
          <w:numId w:val="1"/>
        </w:numPr>
        <w:spacing w:before="0" w:after="0" w:line="360" w:lineRule="auto"/>
      </w:pPr>
      <w:bookmarkStart w:id="11" w:name="_Toc218692790"/>
      <w:r>
        <w:t>Recommendations</w:t>
      </w:r>
      <w:bookmarkEnd w:id="11"/>
      <w:r>
        <w:t xml:space="preserve"> </w:t>
      </w:r>
    </w:p>
    <w:p w14:paraId="215C7781" w14:textId="77777777" w:rsidR="00E41725" w:rsidRDefault="00E464B3">
      <w:pPr>
        <w:spacing w:after="0" w:line="360" w:lineRule="auto"/>
        <w:jc w:val="both"/>
        <w:rPr>
          <w:rFonts w:ascii="Arial" w:eastAsia="Arial" w:hAnsi="Arial" w:cs="Arial"/>
        </w:rPr>
      </w:pPr>
      <w:r>
        <w:rPr>
          <w:rFonts w:ascii="Arial" w:eastAsia="Arial" w:hAnsi="Arial" w:cs="Arial"/>
          <w:b/>
          <w:bCs/>
        </w:rPr>
        <w:t>Reestablish Perceived Fairness and Loyalty based on Relationship-Based Pricing.</w:t>
      </w:r>
      <w:r>
        <w:rPr>
          <w:rFonts w:ascii="Arial" w:eastAsia="Arial" w:hAnsi="Arial" w:cs="Arial"/>
        </w:rPr>
        <w:t xml:space="preserve"> Situation problem: The growing dependency on price increases and policy enforcement by Netflix has undermined the perceived price equity and confidence.</w:t>
      </w:r>
    </w:p>
    <w:p w14:paraId="736156AB" w14:textId="77777777" w:rsidR="00E41725" w:rsidRDefault="00E464B3">
      <w:pPr>
        <w:spacing w:after="0" w:line="360" w:lineRule="auto"/>
        <w:jc w:val="both"/>
        <w:rPr>
          <w:rFonts w:ascii="Arial" w:eastAsia="Arial" w:hAnsi="Arial" w:cs="Arial"/>
        </w:rPr>
      </w:pPr>
      <w:r>
        <w:rPr>
          <w:rFonts w:ascii="Arial" w:eastAsia="Arial" w:hAnsi="Arial" w:cs="Arial"/>
        </w:rPr>
        <w:t xml:space="preserve">Objective: Retain subscribers who have a tenure of more than three years and enhance attitudes of price fairness. </w:t>
      </w:r>
    </w:p>
    <w:p w14:paraId="7846D0E8" w14:textId="77777777" w:rsidR="00E41725" w:rsidRDefault="00E464B3">
      <w:pPr>
        <w:spacing w:after="0" w:line="360" w:lineRule="auto"/>
        <w:jc w:val="both"/>
        <w:rPr>
          <w:rFonts w:ascii="Arial" w:eastAsia="Arial" w:hAnsi="Arial" w:cs="Arial"/>
        </w:rPr>
      </w:pPr>
      <w:r>
        <w:rPr>
          <w:rFonts w:ascii="Arial" w:eastAsia="Arial" w:hAnsi="Arial" w:cs="Arial"/>
        </w:rPr>
        <w:t>Tactic: Establish a Loyalty Tier with long-term customers which holds the price level unchanged over 24 months and grants early access to specific material, clearly presented as the reward to long-term commitment.</w:t>
      </w:r>
    </w:p>
    <w:p w14:paraId="4FC95EF9" w14:textId="77777777" w:rsidR="00E41725" w:rsidRDefault="00E464B3">
      <w:pPr>
        <w:spacing w:after="0" w:line="360" w:lineRule="auto"/>
        <w:jc w:val="both"/>
        <w:rPr>
          <w:rFonts w:ascii="Arial" w:eastAsia="Arial" w:hAnsi="Arial" w:cs="Arial"/>
        </w:rPr>
      </w:pPr>
      <w:r>
        <w:rPr>
          <w:rFonts w:ascii="Arial" w:eastAsia="Arial" w:hAnsi="Arial" w:cs="Arial"/>
        </w:rPr>
        <w:t>Control: Measures Before and after implementation monitor churn, Net Promoter Score and fairness perceptions in this cohort and compare it to a control group.</w:t>
      </w:r>
    </w:p>
    <w:p w14:paraId="7B4D58AF" w14:textId="77777777" w:rsidR="00E41725" w:rsidRDefault="00E464B3">
      <w:pPr>
        <w:spacing w:after="0" w:line="360" w:lineRule="auto"/>
        <w:jc w:val="both"/>
        <w:rPr>
          <w:rFonts w:ascii="Arial" w:eastAsia="Arial" w:hAnsi="Arial" w:cs="Arial"/>
        </w:rPr>
      </w:pPr>
      <w:r>
        <w:rPr>
          <w:rFonts w:ascii="Arial" w:eastAsia="Arial" w:hAnsi="Arial" w:cs="Arial"/>
          <w:b/>
          <w:bCs/>
        </w:rPr>
        <w:t>Re-purpose Data Capabilities to Interactive and Social Value Innovation.</w:t>
      </w:r>
      <w:r>
        <w:rPr>
          <w:rFonts w:ascii="Arial" w:eastAsia="Arial" w:hAnsi="Arial" w:cs="Arial"/>
        </w:rPr>
        <w:t xml:space="preserve"> </w:t>
      </w:r>
    </w:p>
    <w:p w14:paraId="615036CC" w14:textId="77777777" w:rsidR="00E41725" w:rsidRDefault="00E464B3">
      <w:pPr>
        <w:spacing w:after="0" w:line="360" w:lineRule="auto"/>
        <w:jc w:val="both"/>
        <w:rPr>
          <w:rFonts w:ascii="Arial" w:eastAsia="Arial" w:hAnsi="Arial" w:cs="Arial"/>
        </w:rPr>
      </w:pPr>
      <w:r>
        <w:rPr>
          <w:rFonts w:ascii="Arial" w:eastAsia="Arial" w:hAnsi="Arial" w:cs="Arial"/>
        </w:rPr>
        <w:t xml:space="preserve">Situation problem: The data capabilities at Netflix are aimed at maximizing a passive streaming design, which maintains strategic inertia and expedites </w:t>
      </w:r>
      <w:proofErr w:type="spellStart"/>
      <w:r>
        <w:rPr>
          <w:rFonts w:ascii="Arial" w:eastAsia="Arial" w:hAnsi="Arial" w:cs="Arial"/>
        </w:rPr>
        <w:t>commoditisation</w:t>
      </w:r>
      <w:proofErr w:type="spellEnd"/>
      <w:r>
        <w:rPr>
          <w:rFonts w:ascii="Arial" w:eastAsia="Arial" w:hAnsi="Arial" w:cs="Arial"/>
        </w:rPr>
        <w:t xml:space="preserve"> as competitors copy </w:t>
      </w:r>
      <w:proofErr w:type="spellStart"/>
      <w:r>
        <w:rPr>
          <w:rFonts w:ascii="Arial" w:eastAsia="Arial" w:hAnsi="Arial" w:cs="Arial"/>
        </w:rPr>
        <w:t>personalisation</w:t>
      </w:r>
      <w:proofErr w:type="spellEnd"/>
      <w:r>
        <w:rPr>
          <w:rFonts w:ascii="Arial" w:eastAsia="Arial" w:hAnsi="Arial" w:cs="Arial"/>
        </w:rPr>
        <w:t>.</w:t>
      </w:r>
    </w:p>
    <w:p w14:paraId="5D530873" w14:textId="77777777" w:rsidR="00E41725" w:rsidRDefault="00E464B3">
      <w:pPr>
        <w:spacing w:after="0" w:line="360" w:lineRule="auto"/>
        <w:jc w:val="both"/>
        <w:rPr>
          <w:rFonts w:ascii="Arial" w:eastAsia="Arial" w:hAnsi="Arial" w:cs="Arial"/>
        </w:rPr>
      </w:pPr>
      <w:r>
        <w:rPr>
          <w:rFonts w:ascii="Arial" w:eastAsia="Arial" w:hAnsi="Arial" w:cs="Arial"/>
        </w:rPr>
        <w:t xml:space="preserve">Objective: Use interactive and social ways of watching to differentiate Netflix. </w:t>
      </w:r>
    </w:p>
    <w:p w14:paraId="55780389" w14:textId="77777777" w:rsidR="00E41725" w:rsidRDefault="00E464B3">
      <w:pPr>
        <w:spacing w:after="0" w:line="360" w:lineRule="auto"/>
        <w:jc w:val="both"/>
        <w:rPr>
          <w:rFonts w:ascii="Arial" w:eastAsia="Arial" w:hAnsi="Arial" w:cs="Arial"/>
        </w:rPr>
      </w:pPr>
      <w:r>
        <w:rPr>
          <w:rFonts w:ascii="Arial" w:eastAsia="Arial" w:hAnsi="Arial" w:cs="Arial"/>
        </w:rPr>
        <w:t>Tactic: Pilot social viewing rooms on selected titles, allowing co-viewing, chat and joint playlists; use data to enhance the experience and positioning the offering as a unique Netflix experience and not an addition.</w:t>
      </w:r>
    </w:p>
    <w:p w14:paraId="782C7DDA" w14:textId="77777777" w:rsidR="00E41725" w:rsidRDefault="00E464B3">
      <w:pPr>
        <w:spacing w:after="0" w:line="360" w:lineRule="auto"/>
        <w:jc w:val="both"/>
        <w:rPr>
          <w:rFonts w:ascii="Arial" w:eastAsia="Arial" w:hAnsi="Arial" w:cs="Arial"/>
        </w:rPr>
      </w:pPr>
      <w:r>
        <w:rPr>
          <w:rFonts w:ascii="Arial" w:eastAsia="Arial" w:hAnsi="Arial" w:cs="Arial"/>
        </w:rPr>
        <w:t>Control: Measure adoption, re-use, and impact on interaction and retention among pilot users.</w:t>
      </w:r>
    </w:p>
    <w:p w14:paraId="5DE5014A" w14:textId="77777777" w:rsidR="00E41725" w:rsidRDefault="00E464B3">
      <w:pPr>
        <w:spacing w:after="0" w:line="360" w:lineRule="auto"/>
        <w:jc w:val="both"/>
        <w:rPr>
          <w:rFonts w:ascii="Arial" w:eastAsia="Arial" w:hAnsi="Arial" w:cs="Arial"/>
        </w:rPr>
      </w:pPr>
      <w:proofErr w:type="spellStart"/>
      <w:r>
        <w:rPr>
          <w:rFonts w:ascii="Arial" w:eastAsia="Arial" w:hAnsi="Arial" w:cs="Arial"/>
          <w:b/>
          <w:bCs/>
        </w:rPr>
        <w:t>Rehumanise</w:t>
      </w:r>
      <w:proofErr w:type="spellEnd"/>
      <w:r>
        <w:rPr>
          <w:rFonts w:ascii="Arial" w:eastAsia="Arial" w:hAnsi="Arial" w:cs="Arial"/>
          <w:b/>
          <w:bCs/>
        </w:rPr>
        <w:t xml:space="preserve"> Change Management: Customer-</w:t>
      </w:r>
      <w:proofErr w:type="spellStart"/>
      <w:r>
        <w:rPr>
          <w:rFonts w:ascii="Arial" w:eastAsia="Arial" w:hAnsi="Arial" w:cs="Arial"/>
          <w:b/>
          <w:bCs/>
        </w:rPr>
        <w:t>Centred</w:t>
      </w:r>
      <w:proofErr w:type="spellEnd"/>
      <w:r>
        <w:rPr>
          <w:rFonts w:ascii="Arial" w:eastAsia="Arial" w:hAnsi="Arial" w:cs="Arial"/>
          <w:b/>
          <w:bCs/>
        </w:rPr>
        <w:t xml:space="preserve"> Leadership and Co-Design.</w:t>
      </w:r>
      <w:r>
        <w:rPr>
          <w:rFonts w:ascii="Arial" w:eastAsia="Arial" w:hAnsi="Arial" w:cs="Arial"/>
        </w:rPr>
        <w:t xml:space="preserve"> Situation problem: </w:t>
      </w:r>
      <w:proofErr w:type="gramStart"/>
      <w:r>
        <w:rPr>
          <w:rFonts w:ascii="Arial" w:eastAsia="Arial" w:hAnsi="Arial" w:cs="Arial"/>
        </w:rPr>
        <w:t>New</w:t>
      </w:r>
      <w:proofErr w:type="gramEnd"/>
      <w:r>
        <w:rPr>
          <w:rFonts w:ascii="Arial" w:eastAsia="Arial" w:hAnsi="Arial" w:cs="Arial"/>
        </w:rPr>
        <w:t xml:space="preserve"> initiatives have been made through top-down, policy-based processes, causing more resistance, adverse attitude and losing trust.</w:t>
      </w:r>
    </w:p>
    <w:p w14:paraId="356F5FB5" w14:textId="77777777" w:rsidR="00E41725" w:rsidRDefault="00E464B3">
      <w:pPr>
        <w:spacing w:after="0" w:line="360" w:lineRule="auto"/>
        <w:jc w:val="both"/>
        <w:rPr>
          <w:rFonts w:ascii="Arial" w:eastAsia="Arial" w:hAnsi="Arial" w:cs="Arial"/>
        </w:rPr>
      </w:pPr>
      <w:r>
        <w:rPr>
          <w:rFonts w:ascii="Arial" w:eastAsia="Arial" w:hAnsi="Arial" w:cs="Arial"/>
        </w:rPr>
        <w:t xml:space="preserve">Objective: </w:t>
      </w:r>
      <w:proofErr w:type="spellStart"/>
      <w:r>
        <w:rPr>
          <w:rFonts w:ascii="Arial" w:eastAsia="Arial" w:hAnsi="Arial" w:cs="Arial"/>
        </w:rPr>
        <w:t>Minimise</w:t>
      </w:r>
      <w:proofErr w:type="spellEnd"/>
      <w:r>
        <w:rPr>
          <w:rFonts w:ascii="Arial" w:eastAsia="Arial" w:hAnsi="Arial" w:cs="Arial"/>
        </w:rPr>
        <w:t xml:space="preserve"> misunderstanding and ill-will in the event of big pricing or policy changes.</w:t>
      </w:r>
    </w:p>
    <w:p w14:paraId="0CB764D8" w14:textId="77777777" w:rsidR="00E41725" w:rsidRDefault="00E464B3">
      <w:pPr>
        <w:spacing w:after="0" w:line="360" w:lineRule="auto"/>
        <w:jc w:val="both"/>
        <w:rPr>
          <w:rFonts w:ascii="Arial" w:eastAsia="Arial" w:hAnsi="Arial" w:cs="Arial"/>
        </w:rPr>
      </w:pPr>
      <w:r>
        <w:rPr>
          <w:rFonts w:ascii="Arial" w:eastAsia="Arial" w:hAnsi="Arial" w:cs="Arial"/>
        </w:rPr>
        <w:t>Tactic: Implement a Kotter-based checklist on all significant changes (customer-framed urgency, coalition building, clear vision and transparent communication) and with help of opt-in trials and customer panels to co-design details to roll out globally.</w:t>
      </w:r>
    </w:p>
    <w:p w14:paraId="72A46DE2" w14:textId="77777777" w:rsidR="00E41725" w:rsidRDefault="00E464B3">
      <w:pPr>
        <w:spacing w:after="0" w:line="360" w:lineRule="auto"/>
        <w:jc w:val="both"/>
        <w:rPr>
          <w:rFonts w:ascii="Arial" w:eastAsia="Arial" w:hAnsi="Arial" w:cs="Arial"/>
        </w:rPr>
      </w:pPr>
      <w:r>
        <w:rPr>
          <w:rFonts w:ascii="Arial" w:eastAsia="Arial" w:hAnsi="Arial" w:cs="Arial"/>
        </w:rPr>
        <w:lastRenderedPageBreak/>
        <w:t>Control: Monitor volume of complaints, short-term churn and sentiment compared to the past unilateral changes.</w:t>
      </w:r>
      <w:r>
        <w:br w:type="page"/>
      </w:r>
    </w:p>
    <w:p w14:paraId="291878E1" w14:textId="77777777" w:rsidR="00E41725" w:rsidRDefault="00E464B3">
      <w:pPr>
        <w:pStyle w:val="Heading1"/>
        <w:numPr>
          <w:ilvl w:val="0"/>
          <w:numId w:val="1"/>
        </w:numPr>
        <w:spacing w:before="0" w:after="0" w:line="360" w:lineRule="auto"/>
      </w:pPr>
      <w:bookmarkStart w:id="12" w:name="_Toc218692791"/>
      <w:r>
        <w:lastRenderedPageBreak/>
        <w:t>Reference list</w:t>
      </w:r>
      <w:bookmarkEnd w:id="12"/>
    </w:p>
    <w:p w14:paraId="2AE21A4B"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Akisetty</w:t>
      </w:r>
      <w:proofErr w:type="spellEnd"/>
      <w:r>
        <w:rPr>
          <w:rFonts w:ascii="Arial" w:eastAsia="Arial" w:hAnsi="Arial" w:cs="Arial"/>
        </w:rPr>
        <w:t xml:space="preserve">, </w:t>
      </w:r>
      <w:proofErr w:type="spellStart"/>
      <w:r>
        <w:rPr>
          <w:rFonts w:ascii="Arial" w:eastAsia="Arial" w:hAnsi="Arial" w:cs="Arial"/>
        </w:rPr>
        <w:t>A.S.V.V</w:t>
      </w:r>
      <w:proofErr w:type="spellEnd"/>
      <w:r>
        <w:rPr>
          <w:rFonts w:ascii="Arial" w:eastAsia="Arial" w:hAnsi="Arial" w:cs="Arial"/>
        </w:rPr>
        <w:t xml:space="preserve">., Ayyagari, A., </w:t>
      </w:r>
      <w:proofErr w:type="spellStart"/>
      <w:r>
        <w:rPr>
          <w:rFonts w:ascii="Arial" w:eastAsia="Arial" w:hAnsi="Arial" w:cs="Arial"/>
        </w:rPr>
        <w:t>Pagidi</w:t>
      </w:r>
      <w:proofErr w:type="spellEnd"/>
      <w:r>
        <w:rPr>
          <w:rFonts w:ascii="Arial" w:eastAsia="Arial" w:hAnsi="Arial" w:cs="Arial"/>
        </w:rPr>
        <w:t xml:space="preserve">, </w:t>
      </w:r>
      <w:proofErr w:type="spellStart"/>
      <w:r>
        <w:rPr>
          <w:rFonts w:ascii="Arial" w:eastAsia="Arial" w:hAnsi="Arial" w:cs="Arial"/>
        </w:rPr>
        <w:t>R.K</w:t>
      </w:r>
      <w:proofErr w:type="spellEnd"/>
      <w:r>
        <w:rPr>
          <w:rFonts w:ascii="Arial" w:eastAsia="Arial" w:hAnsi="Arial" w:cs="Arial"/>
        </w:rPr>
        <w:t xml:space="preserve">., Singh, D.S.P., Kumar, Prof. (Dr) S. and Jain, S. (2024). Optimizing Marketing Strategies with MMM (Marketing Mix Modeling) Techniques. Journal of Quantum Science and Technology, [online] 1(3).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/10.63345/</w:t>
      </w:r>
      <w:proofErr w:type="spellStart"/>
      <w:r>
        <w:rPr>
          <w:rFonts w:ascii="Arial" w:eastAsia="Arial" w:hAnsi="Arial" w:cs="Arial"/>
        </w:rPr>
        <w:t>jqst.v1i3.88</w:t>
      </w:r>
      <w:proofErr w:type="spellEnd"/>
      <w:proofErr w:type="gramEnd"/>
      <w:r>
        <w:rPr>
          <w:rFonts w:ascii="Arial" w:eastAsia="Arial" w:hAnsi="Arial" w:cs="Arial"/>
        </w:rPr>
        <w:t>.</w:t>
      </w:r>
    </w:p>
    <w:p w14:paraId="3F177ED2" w14:textId="77777777" w:rsidR="00E41725" w:rsidRDefault="00E41725">
      <w:pPr>
        <w:spacing w:after="0" w:line="360" w:lineRule="auto"/>
        <w:jc w:val="both"/>
        <w:rPr>
          <w:rFonts w:ascii="Arial" w:eastAsia="Arial" w:hAnsi="Arial" w:cs="Arial"/>
        </w:rPr>
      </w:pPr>
    </w:p>
    <w:p w14:paraId="03691463" w14:textId="77777777" w:rsidR="00E41725" w:rsidRDefault="00E464B3">
      <w:pPr>
        <w:spacing w:after="0" w:line="360" w:lineRule="auto"/>
        <w:jc w:val="both"/>
      </w:pPr>
      <w:r>
        <w:rPr>
          <w:rFonts w:ascii="Arial" w:eastAsia="Arial" w:hAnsi="Arial" w:cs="Arial"/>
        </w:rPr>
        <w:t xml:space="preserve">Ali, B.J. and Anwar, G. (2021). Business Strategy: The Influence of Strategic Competitiveness on Competitive Advantage. [online] </w:t>
      </w:r>
      <w:proofErr w:type="spellStart"/>
      <w:r>
        <w:rPr>
          <w:rFonts w:ascii="Arial" w:eastAsia="Arial" w:hAnsi="Arial" w:cs="Arial"/>
        </w:rPr>
        <w:t>papers.ssrn.com</w:t>
      </w:r>
      <w:proofErr w:type="spellEnd"/>
      <w:r>
        <w:rPr>
          <w:rFonts w:ascii="Arial" w:eastAsia="Arial" w:hAnsi="Arial" w:cs="Arial"/>
        </w:rPr>
        <w:t xml:space="preserve">. Available at: </w:t>
      </w:r>
      <w:hyperlink r:id="rId10">
        <w:r>
          <w:rPr>
            <w:rFonts w:ascii="Arial" w:eastAsia="Arial" w:hAnsi="Arial" w:cs="Arial"/>
            <w:color w:val="0563C1"/>
            <w:u w:val="single"/>
          </w:rPr>
          <w:t>https://</w:t>
        </w:r>
        <w:proofErr w:type="spellStart"/>
        <w:r>
          <w:rPr>
            <w:rFonts w:ascii="Arial" w:eastAsia="Arial" w:hAnsi="Arial" w:cs="Arial"/>
            <w:color w:val="0563C1"/>
            <w:u w:val="single"/>
          </w:rPr>
          <w:t>papers.ssrn.com</w:t>
        </w:r>
        <w:proofErr w:type="spellEnd"/>
        <w:r>
          <w:rPr>
            <w:rFonts w:ascii="Arial" w:eastAsia="Arial" w:hAnsi="Arial" w:cs="Arial"/>
            <w:color w:val="0563C1"/>
            <w:u w:val="single"/>
          </w:rPr>
          <w:t>/</w:t>
        </w:r>
        <w:proofErr w:type="spellStart"/>
        <w:r>
          <w:rPr>
            <w:rFonts w:ascii="Arial" w:eastAsia="Arial" w:hAnsi="Arial" w:cs="Arial"/>
            <w:color w:val="0563C1"/>
            <w:u w:val="single"/>
          </w:rPr>
          <w:t>sol3</w:t>
        </w:r>
        <w:proofErr w:type="spellEnd"/>
        <w:r>
          <w:rPr>
            <w:rFonts w:ascii="Arial" w:eastAsia="Arial" w:hAnsi="Arial" w:cs="Arial"/>
            <w:color w:val="0563C1"/>
            <w:u w:val="single"/>
          </w:rPr>
          <w:t>/</w:t>
        </w:r>
        <w:proofErr w:type="spellStart"/>
        <w:r>
          <w:rPr>
            <w:rFonts w:ascii="Arial" w:eastAsia="Arial" w:hAnsi="Arial" w:cs="Arial"/>
            <w:color w:val="0563C1"/>
            <w:u w:val="single"/>
          </w:rPr>
          <w:t>papers.cfm?abstract_id</w:t>
        </w:r>
        <w:proofErr w:type="spellEnd"/>
        <w:r>
          <w:rPr>
            <w:rFonts w:ascii="Arial" w:eastAsia="Arial" w:hAnsi="Arial" w:cs="Arial"/>
            <w:color w:val="0563C1"/>
            <w:u w:val="single"/>
          </w:rPr>
          <w:t>=3835696</w:t>
        </w:r>
      </w:hyperlink>
    </w:p>
    <w:p w14:paraId="713FC220" w14:textId="77777777" w:rsidR="00E41725" w:rsidRDefault="00E41725">
      <w:pPr>
        <w:spacing w:after="0" w:line="360" w:lineRule="auto"/>
        <w:jc w:val="both"/>
        <w:rPr>
          <w:rFonts w:ascii="Arial" w:eastAsia="Arial" w:hAnsi="Arial" w:cs="Arial"/>
        </w:rPr>
      </w:pPr>
    </w:p>
    <w:p w14:paraId="36072D40"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Amarantou</w:t>
      </w:r>
      <w:proofErr w:type="spellEnd"/>
      <w:r>
        <w:rPr>
          <w:rFonts w:ascii="Arial" w:eastAsia="Arial" w:hAnsi="Arial" w:cs="Arial"/>
        </w:rPr>
        <w:t xml:space="preserve">, V., </w:t>
      </w:r>
      <w:proofErr w:type="spellStart"/>
      <w:r>
        <w:rPr>
          <w:rFonts w:ascii="Arial" w:eastAsia="Arial" w:hAnsi="Arial" w:cs="Arial"/>
        </w:rPr>
        <w:t>Kazakopoulou</w:t>
      </w:r>
      <w:proofErr w:type="spellEnd"/>
      <w:r>
        <w:rPr>
          <w:rFonts w:ascii="Arial" w:eastAsia="Arial" w:hAnsi="Arial" w:cs="Arial"/>
        </w:rPr>
        <w:t xml:space="preserve">, S., Chatzoudes, D. and Chatzoglou, P. (2018). Resistance to change: an empirical investigation of its antecedents. Journal of Organizational Change Management, [online] 31(2), </w:t>
      </w:r>
      <w:proofErr w:type="spellStart"/>
      <w:r>
        <w:rPr>
          <w:rFonts w:ascii="Arial" w:eastAsia="Arial" w:hAnsi="Arial" w:cs="Arial"/>
        </w:rPr>
        <w:t>pp.426</w:t>
      </w:r>
      <w:proofErr w:type="spellEnd"/>
      <w:r>
        <w:rPr>
          <w:rFonts w:ascii="Arial" w:eastAsia="Arial" w:hAnsi="Arial" w:cs="Arial"/>
        </w:rPr>
        <w:t xml:space="preserve">–450.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/10.1108/</w:t>
      </w:r>
      <w:proofErr w:type="spellStart"/>
      <w:r>
        <w:rPr>
          <w:rFonts w:ascii="Arial" w:eastAsia="Arial" w:hAnsi="Arial" w:cs="Arial"/>
        </w:rPr>
        <w:t>jocm</w:t>
      </w:r>
      <w:proofErr w:type="spellEnd"/>
      <w:r>
        <w:rPr>
          <w:rFonts w:ascii="Arial" w:eastAsia="Arial" w:hAnsi="Arial" w:cs="Arial"/>
        </w:rPr>
        <w:t>-05-2017-0196</w:t>
      </w:r>
      <w:proofErr w:type="gramEnd"/>
      <w:r>
        <w:rPr>
          <w:rFonts w:ascii="Arial" w:eastAsia="Arial" w:hAnsi="Arial" w:cs="Arial"/>
        </w:rPr>
        <w:t>.</w:t>
      </w:r>
    </w:p>
    <w:p w14:paraId="4C5FD22E" w14:textId="77777777" w:rsidR="00E41725" w:rsidRDefault="00E41725">
      <w:pPr>
        <w:spacing w:after="0" w:line="360" w:lineRule="auto"/>
        <w:jc w:val="both"/>
        <w:rPr>
          <w:rFonts w:ascii="Arial" w:eastAsia="Arial" w:hAnsi="Arial" w:cs="Arial"/>
        </w:rPr>
      </w:pPr>
    </w:p>
    <w:p w14:paraId="130F1810" w14:textId="77777777" w:rsidR="00E41725" w:rsidRDefault="00E464B3">
      <w:pPr>
        <w:spacing w:after="0" w:line="360" w:lineRule="auto"/>
        <w:jc w:val="both"/>
        <w:rPr>
          <w:rFonts w:ascii="Arial" w:eastAsia="Arial" w:hAnsi="Arial" w:cs="Arial"/>
        </w:rPr>
      </w:pPr>
      <w:r>
        <w:rPr>
          <w:rFonts w:ascii="Arial" w:eastAsia="Arial" w:hAnsi="Arial" w:cs="Arial"/>
        </w:rPr>
        <w:t xml:space="preserve">Balducci, B. and Marinova, D. (2018). Unstructured data in marketing. Journal of the Academy of Marketing Science, [online] 46(4), </w:t>
      </w:r>
      <w:proofErr w:type="spellStart"/>
      <w:r>
        <w:rPr>
          <w:rFonts w:ascii="Arial" w:eastAsia="Arial" w:hAnsi="Arial" w:cs="Arial"/>
        </w:rPr>
        <w:t>pp.557</w:t>
      </w:r>
      <w:proofErr w:type="spellEnd"/>
      <w:r>
        <w:rPr>
          <w:rFonts w:ascii="Arial" w:eastAsia="Arial" w:hAnsi="Arial" w:cs="Arial"/>
        </w:rPr>
        <w:t xml:space="preserve">–590.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/10.1007/</w:t>
      </w:r>
      <w:proofErr w:type="spellStart"/>
      <w:r>
        <w:rPr>
          <w:rFonts w:ascii="Arial" w:eastAsia="Arial" w:hAnsi="Arial" w:cs="Arial"/>
        </w:rPr>
        <w:t>s11747</w:t>
      </w:r>
      <w:proofErr w:type="spellEnd"/>
      <w:r>
        <w:rPr>
          <w:rFonts w:ascii="Arial" w:eastAsia="Arial" w:hAnsi="Arial" w:cs="Arial"/>
        </w:rPr>
        <w:t>-018-0581-x</w:t>
      </w:r>
      <w:proofErr w:type="gramEnd"/>
      <w:r>
        <w:rPr>
          <w:rFonts w:ascii="Arial" w:eastAsia="Arial" w:hAnsi="Arial" w:cs="Arial"/>
        </w:rPr>
        <w:t>.</w:t>
      </w:r>
    </w:p>
    <w:p w14:paraId="451AE020" w14:textId="77777777" w:rsidR="00E41725" w:rsidRDefault="00E41725">
      <w:pPr>
        <w:spacing w:after="0" w:line="360" w:lineRule="auto"/>
        <w:jc w:val="both"/>
        <w:rPr>
          <w:rFonts w:ascii="Arial" w:eastAsia="Arial" w:hAnsi="Arial" w:cs="Arial"/>
        </w:rPr>
      </w:pPr>
    </w:p>
    <w:p w14:paraId="3314FBF3" w14:textId="77777777" w:rsidR="00E41725" w:rsidRDefault="00E464B3">
      <w:pPr>
        <w:spacing w:after="0" w:line="360" w:lineRule="auto"/>
        <w:jc w:val="both"/>
        <w:rPr>
          <w:rFonts w:ascii="Arial" w:eastAsia="Arial" w:hAnsi="Arial" w:cs="Arial"/>
        </w:rPr>
      </w:pPr>
      <w:r>
        <w:rPr>
          <w:rFonts w:ascii="Arial" w:eastAsia="Arial" w:hAnsi="Arial" w:cs="Arial"/>
        </w:rPr>
        <w:t xml:space="preserve">Bhandari, R.S. and Bansal, A. (2018). Impact of Search Engine Optimization as a Marketing Tool. Jindal Journal of Business Research, [online] 7(1), </w:t>
      </w:r>
      <w:proofErr w:type="spellStart"/>
      <w:r>
        <w:rPr>
          <w:rFonts w:ascii="Arial" w:eastAsia="Arial" w:hAnsi="Arial" w:cs="Arial"/>
        </w:rPr>
        <w:t>pp.23</w:t>
      </w:r>
      <w:proofErr w:type="spellEnd"/>
      <w:r>
        <w:rPr>
          <w:rFonts w:ascii="Arial" w:eastAsia="Arial" w:hAnsi="Arial" w:cs="Arial"/>
        </w:rPr>
        <w:t xml:space="preserve">–36.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/10.1177/2278682117754016</w:t>
      </w:r>
      <w:proofErr w:type="gramEnd"/>
      <w:r>
        <w:rPr>
          <w:rFonts w:ascii="Arial" w:eastAsia="Arial" w:hAnsi="Arial" w:cs="Arial"/>
        </w:rPr>
        <w:t>.</w:t>
      </w:r>
    </w:p>
    <w:p w14:paraId="47126854" w14:textId="77777777" w:rsidR="00E41725" w:rsidRDefault="00E41725">
      <w:pPr>
        <w:spacing w:after="0" w:line="360" w:lineRule="auto"/>
        <w:jc w:val="both"/>
        <w:rPr>
          <w:rFonts w:ascii="Arial" w:eastAsia="Arial" w:hAnsi="Arial" w:cs="Arial"/>
        </w:rPr>
      </w:pPr>
    </w:p>
    <w:p w14:paraId="28392A32" w14:textId="77777777" w:rsidR="00E41725" w:rsidRDefault="00E464B3">
      <w:pPr>
        <w:spacing w:after="0" w:line="360" w:lineRule="auto"/>
        <w:jc w:val="both"/>
        <w:rPr>
          <w:rFonts w:ascii="Arial" w:eastAsia="Arial" w:hAnsi="Arial" w:cs="Arial"/>
        </w:rPr>
      </w:pPr>
      <w:r>
        <w:rPr>
          <w:rFonts w:ascii="Arial" w:eastAsia="Arial" w:hAnsi="Arial" w:cs="Arial"/>
        </w:rPr>
        <w:t xml:space="preserve">Bolton, R.N., Chapman, R.G. and Mills, A.J. (2019). Harnessing digital disruption with marketing simulations. Journal of Marketing Education, 41(1), </w:t>
      </w:r>
      <w:proofErr w:type="spellStart"/>
      <w:r>
        <w:rPr>
          <w:rFonts w:ascii="Arial" w:eastAsia="Arial" w:hAnsi="Arial" w:cs="Arial"/>
        </w:rPr>
        <w:t>pp.15</w:t>
      </w:r>
      <w:proofErr w:type="spellEnd"/>
      <w:r>
        <w:rPr>
          <w:rFonts w:ascii="Arial" w:eastAsia="Arial" w:hAnsi="Arial" w:cs="Arial"/>
        </w:rPr>
        <w:t xml:space="preserve">–31.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/10.1177/0273475318803417</w:t>
      </w:r>
      <w:proofErr w:type="gramEnd"/>
      <w:r>
        <w:rPr>
          <w:rFonts w:ascii="Arial" w:eastAsia="Arial" w:hAnsi="Arial" w:cs="Arial"/>
        </w:rPr>
        <w:t>.</w:t>
      </w:r>
    </w:p>
    <w:p w14:paraId="3414852D" w14:textId="77777777" w:rsidR="00E41725" w:rsidRDefault="00E41725">
      <w:pPr>
        <w:spacing w:after="0" w:line="360" w:lineRule="auto"/>
        <w:jc w:val="both"/>
        <w:rPr>
          <w:rFonts w:ascii="Arial" w:eastAsia="Arial" w:hAnsi="Arial" w:cs="Arial"/>
        </w:rPr>
      </w:pPr>
    </w:p>
    <w:p w14:paraId="1245CDFE"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Bruijl</w:t>
      </w:r>
      <w:proofErr w:type="spellEnd"/>
      <w:r>
        <w:rPr>
          <w:rFonts w:ascii="Arial" w:eastAsia="Arial" w:hAnsi="Arial" w:cs="Arial"/>
        </w:rPr>
        <w:t xml:space="preserve">, </w:t>
      </w:r>
      <w:proofErr w:type="spellStart"/>
      <w:r>
        <w:rPr>
          <w:rFonts w:ascii="Arial" w:eastAsia="Arial" w:hAnsi="Arial" w:cs="Arial"/>
        </w:rPr>
        <w:t>G.H.Th</w:t>
      </w:r>
      <w:proofErr w:type="spellEnd"/>
      <w:r>
        <w:rPr>
          <w:rFonts w:ascii="Arial" w:eastAsia="Arial" w:hAnsi="Arial" w:cs="Arial"/>
        </w:rPr>
        <w:t xml:space="preserve">. (2019). The Relevance of Porter’s Five Forces in Today’s Innovative and Changing Business Environment. [online] </w:t>
      </w:r>
      <w:proofErr w:type="spellStart"/>
      <w:r>
        <w:rPr>
          <w:rFonts w:ascii="Arial" w:eastAsia="Arial" w:hAnsi="Arial" w:cs="Arial"/>
        </w:rPr>
        <w:t>SSRN</w:t>
      </w:r>
      <w:proofErr w:type="spellEnd"/>
      <w:r>
        <w:rPr>
          <w:rFonts w:ascii="Arial" w:eastAsia="Arial" w:hAnsi="Arial" w:cs="Arial"/>
        </w:rPr>
        <w:t xml:space="preserve">. Available at: </w:t>
      </w:r>
      <w:hyperlink r:id="rId11">
        <w:r>
          <w:rPr>
            <w:rFonts w:ascii="Arial" w:eastAsia="Arial" w:hAnsi="Arial" w:cs="Arial"/>
            <w:color w:val="0563C1"/>
            <w:u w:val="single"/>
          </w:rPr>
          <w:t>https://</w:t>
        </w:r>
        <w:proofErr w:type="spellStart"/>
        <w:r>
          <w:rPr>
            <w:rFonts w:ascii="Arial" w:eastAsia="Arial" w:hAnsi="Arial" w:cs="Arial"/>
            <w:color w:val="0563C1"/>
            <w:u w:val="single"/>
          </w:rPr>
          <w:t>papers.ssrn.com</w:t>
        </w:r>
        <w:proofErr w:type="spellEnd"/>
        <w:r>
          <w:rPr>
            <w:rFonts w:ascii="Arial" w:eastAsia="Arial" w:hAnsi="Arial" w:cs="Arial"/>
            <w:color w:val="0563C1"/>
            <w:u w:val="single"/>
          </w:rPr>
          <w:t>/</w:t>
        </w:r>
        <w:proofErr w:type="spellStart"/>
        <w:r>
          <w:rPr>
            <w:rFonts w:ascii="Arial" w:eastAsia="Arial" w:hAnsi="Arial" w:cs="Arial"/>
            <w:color w:val="0563C1"/>
            <w:u w:val="single"/>
          </w:rPr>
          <w:t>sol3</w:t>
        </w:r>
        <w:proofErr w:type="spellEnd"/>
        <w:r>
          <w:rPr>
            <w:rFonts w:ascii="Arial" w:eastAsia="Arial" w:hAnsi="Arial" w:cs="Arial"/>
            <w:color w:val="0563C1"/>
            <w:u w:val="single"/>
          </w:rPr>
          <w:t>/</w:t>
        </w:r>
        <w:proofErr w:type="spellStart"/>
        <w:r>
          <w:rPr>
            <w:rFonts w:ascii="Arial" w:eastAsia="Arial" w:hAnsi="Arial" w:cs="Arial"/>
            <w:color w:val="0563C1"/>
            <w:u w:val="single"/>
          </w:rPr>
          <w:t>papers.cfm?abstract_id</w:t>
        </w:r>
        <w:proofErr w:type="spellEnd"/>
        <w:r>
          <w:rPr>
            <w:rFonts w:ascii="Arial" w:eastAsia="Arial" w:hAnsi="Arial" w:cs="Arial"/>
            <w:color w:val="0563C1"/>
            <w:u w:val="single"/>
          </w:rPr>
          <w:t>=3192207</w:t>
        </w:r>
      </w:hyperlink>
      <w:r>
        <w:rPr>
          <w:rFonts w:ascii="Arial" w:eastAsia="Arial" w:hAnsi="Arial" w:cs="Arial"/>
        </w:rPr>
        <w:t>.</w:t>
      </w:r>
    </w:p>
    <w:p w14:paraId="1AFC370F" w14:textId="77777777" w:rsidR="00E41725" w:rsidRDefault="00E41725">
      <w:pPr>
        <w:spacing w:after="0" w:line="360" w:lineRule="auto"/>
        <w:jc w:val="both"/>
        <w:rPr>
          <w:rFonts w:ascii="Arial" w:eastAsia="Arial" w:hAnsi="Arial" w:cs="Arial"/>
        </w:rPr>
      </w:pPr>
    </w:p>
    <w:p w14:paraId="58D8ED40" w14:textId="77777777" w:rsidR="00E41725" w:rsidRDefault="00E464B3">
      <w:pPr>
        <w:spacing w:after="0" w:line="360" w:lineRule="auto"/>
        <w:jc w:val="both"/>
        <w:rPr>
          <w:rFonts w:ascii="Arial" w:eastAsia="Arial" w:hAnsi="Arial" w:cs="Arial"/>
        </w:rPr>
      </w:pPr>
      <w:r>
        <w:rPr>
          <w:rFonts w:ascii="Arial" w:eastAsia="Arial" w:hAnsi="Arial" w:cs="Arial"/>
        </w:rPr>
        <w:lastRenderedPageBreak/>
        <w:t xml:space="preserve">Cao, C. and </w:t>
      </w:r>
      <w:proofErr w:type="spellStart"/>
      <w:r>
        <w:rPr>
          <w:rFonts w:ascii="Arial" w:eastAsia="Arial" w:hAnsi="Arial" w:cs="Arial"/>
        </w:rPr>
        <w:t>Su</w:t>
      </w:r>
      <w:proofErr w:type="spellEnd"/>
      <w:r>
        <w:rPr>
          <w:rFonts w:ascii="Arial" w:eastAsia="Arial" w:hAnsi="Arial" w:cs="Arial"/>
        </w:rPr>
        <w:t xml:space="preserve">, Y. (2024). Transportation infrastructure and regional resource allocation. Cities, 155, </w:t>
      </w:r>
      <w:proofErr w:type="spellStart"/>
      <w:r>
        <w:rPr>
          <w:rFonts w:ascii="Arial" w:eastAsia="Arial" w:hAnsi="Arial" w:cs="Arial"/>
        </w:rPr>
        <w:t>p.105433</w:t>
      </w:r>
      <w:proofErr w:type="spellEnd"/>
      <w:r>
        <w:rPr>
          <w:rFonts w:ascii="Arial" w:eastAsia="Arial" w:hAnsi="Arial" w:cs="Arial"/>
        </w:rPr>
        <w:t xml:space="preserve">.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/10.1016/</w:t>
      </w:r>
      <w:proofErr w:type="spellStart"/>
      <w:r>
        <w:rPr>
          <w:rFonts w:ascii="Arial" w:eastAsia="Arial" w:hAnsi="Arial" w:cs="Arial"/>
        </w:rPr>
        <w:t>j.cities.2024.105433</w:t>
      </w:r>
      <w:proofErr w:type="spellEnd"/>
      <w:proofErr w:type="gramEnd"/>
      <w:r>
        <w:rPr>
          <w:rFonts w:ascii="Arial" w:eastAsia="Arial" w:hAnsi="Arial" w:cs="Arial"/>
        </w:rPr>
        <w:t>.</w:t>
      </w:r>
    </w:p>
    <w:p w14:paraId="15128FF0" w14:textId="77777777" w:rsidR="00E41725" w:rsidRDefault="00E41725">
      <w:pPr>
        <w:spacing w:after="0" w:line="360" w:lineRule="auto"/>
        <w:jc w:val="both"/>
        <w:rPr>
          <w:rFonts w:ascii="Arial" w:eastAsia="Arial" w:hAnsi="Arial" w:cs="Arial"/>
        </w:rPr>
      </w:pPr>
    </w:p>
    <w:p w14:paraId="04289BF2" w14:textId="77777777" w:rsidR="00E41725" w:rsidRDefault="00E464B3">
      <w:pPr>
        <w:spacing w:after="0" w:line="360" w:lineRule="auto"/>
        <w:jc w:val="both"/>
        <w:rPr>
          <w:rFonts w:ascii="Arial" w:eastAsia="Arial" w:hAnsi="Arial" w:cs="Arial"/>
        </w:rPr>
      </w:pPr>
      <w:r>
        <w:rPr>
          <w:rFonts w:ascii="Arial" w:eastAsia="Arial" w:hAnsi="Arial" w:cs="Arial"/>
        </w:rPr>
        <w:t>Chernev, A. (2025). Strategic Marketing Management, 11th Edition. [online] Google Books. Available at: https://books.google.com.bd/books?hl=en&amp;lr=&amp;id=NzFlEQAAQBAJ&amp;oi=fnd&amp;pg=PT5&amp;dq=Strategic+marketing+planning&amp;ots=CEJCAH-B4C&amp;sig=ign6rkKPUv9M_93KVIK_0nqYRNc&amp;redir_esc=y#v=onepage&amp;q=Strategic%20marketing%20planning&amp;f=false [Accessed 2 Jan. 2026].</w:t>
      </w:r>
    </w:p>
    <w:p w14:paraId="24F33768" w14:textId="77777777" w:rsidR="00E41725" w:rsidRDefault="00E41725">
      <w:pPr>
        <w:spacing w:after="0" w:line="360" w:lineRule="auto"/>
        <w:jc w:val="both"/>
        <w:rPr>
          <w:rFonts w:ascii="Arial" w:eastAsia="Arial" w:hAnsi="Arial" w:cs="Arial"/>
        </w:rPr>
      </w:pPr>
    </w:p>
    <w:p w14:paraId="21A155DE"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Cirik</w:t>
      </w:r>
      <w:proofErr w:type="spellEnd"/>
      <w:r>
        <w:rPr>
          <w:rFonts w:ascii="Arial" w:eastAsia="Arial" w:hAnsi="Arial" w:cs="Arial"/>
        </w:rPr>
        <w:t xml:space="preserve">, K. and </w:t>
      </w:r>
      <w:proofErr w:type="spellStart"/>
      <w:r>
        <w:rPr>
          <w:rFonts w:ascii="Arial" w:eastAsia="Arial" w:hAnsi="Arial" w:cs="Arial"/>
        </w:rPr>
        <w:t>Makadok</w:t>
      </w:r>
      <w:proofErr w:type="spellEnd"/>
      <w:r>
        <w:rPr>
          <w:rFonts w:ascii="Arial" w:eastAsia="Arial" w:hAnsi="Arial" w:cs="Arial"/>
        </w:rPr>
        <w:t xml:space="preserve">, R. (2021). First-Mover Advantages Versus First-Mover Benefits: What’s the Difference and Why Does It Matter? Academy of Management Review, 48(3).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/10.5465/</w:t>
      </w:r>
      <w:proofErr w:type="spellStart"/>
      <w:r>
        <w:rPr>
          <w:rFonts w:ascii="Arial" w:eastAsia="Arial" w:hAnsi="Arial" w:cs="Arial"/>
        </w:rPr>
        <w:t>amr.2017.0499</w:t>
      </w:r>
      <w:proofErr w:type="spellEnd"/>
      <w:proofErr w:type="gramEnd"/>
      <w:r>
        <w:rPr>
          <w:rFonts w:ascii="Arial" w:eastAsia="Arial" w:hAnsi="Arial" w:cs="Arial"/>
        </w:rPr>
        <w:t>.</w:t>
      </w:r>
    </w:p>
    <w:p w14:paraId="4567EB42" w14:textId="77777777" w:rsidR="00E41725" w:rsidRDefault="00E41725">
      <w:pPr>
        <w:spacing w:after="0" w:line="360" w:lineRule="auto"/>
        <w:jc w:val="both"/>
        <w:rPr>
          <w:rFonts w:ascii="Arial" w:eastAsia="Arial" w:hAnsi="Arial" w:cs="Arial"/>
        </w:rPr>
      </w:pPr>
    </w:p>
    <w:p w14:paraId="3EB91300" w14:textId="77777777" w:rsidR="00E41725" w:rsidRDefault="00E464B3">
      <w:pPr>
        <w:spacing w:after="0" w:line="360" w:lineRule="auto"/>
        <w:jc w:val="both"/>
        <w:rPr>
          <w:rFonts w:ascii="Arial" w:eastAsia="Arial" w:hAnsi="Arial" w:cs="Arial"/>
        </w:rPr>
      </w:pPr>
      <w:r>
        <w:rPr>
          <w:rFonts w:ascii="Arial" w:eastAsia="Arial" w:hAnsi="Arial" w:cs="Arial"/>
        </w:rPr>
        <w:t xml:space="preserve">Dina </w:t>
      </w:r>
      <w:proofErr w:type="spellStart"/>
      <w:r>
        <w:rPr>
          <w:rFonts w:ascii="Arial" w:eastAsia="Arial" w:hAnsi="Arial" w:cs="Arial"/>
        </w:rPr>
        <w:t>Garnida</w:t>
      </w:r>
      <w:proofErr w:type="spellEnd"/>
      <w:r>
        <w:rPr>
          <w:rFonts w:ascii="Arial" w:eastAsia="Arial" w:hAnsi="Arial" w:cs="Arial"/>
        </w:rPr>
        <w:t xml:space="preserve"> </w:t>
      </w:r>
      <w:proofErr w:type="spellStart"/>
      <w:r>
        <w:rPr>
          <w:rFonts w:ascii="Arial" w:eastAsia="Arial" w:hAnsi="Arial" w:cs="Arial"/>
        </w:rPr>
        <w:t>Akhmalia</w:t>
      </w:r>
      <w:proofErr w:type="spellEnd"/>
      <w:r>
        <w:rPr>
          <w:rFonts w:ascii="Arial" w:eastAsia="Arial" w:hAnsi="Arial" w:cs="Arial"/>
        </w:rPr>
        <w:t xml:space="preserve"> (2023). The influence of marketing </w:t>
      </w:r>
      <w:proofErr w:type="gramStart"/>
      <w:r>
        <w:rPr>
          <w:rFonts w:ascii="Arial" w:eastAsia="Arial" w:hAnsi="Arial" w:cs="Arial"/>
        </w:rPr>
        <w:t>mix</w:t>
      </w:r>
      <w:proofErr w:type="gramEnd"/>
      <w:r>
        <w:rPr>
          <w:rFonts w:ascii="Arial" w:eastAsia="Arial" w:hAnsi="Arial" w:cs="Arial"/>
        </w:rPr>
        <w:t xml:space="preserve"> on purchase decisions. </w:t>
      </w:r>
      <w:proofErr w:type="spellStart"/>
      <w:r>
        <w:rPr>
          <w:rFonts w:ascii="Arial" w:eastAsia="Arial" w:hAnsi="Arial" w:cs="Arial"/>
        </w:rPr>
        <w:t>Jurnal</w:t>
      </w:r>
      <w:proofErr w:type="spellEnd"/>
      <w:r>
        <w:rPr>
          <w:rFonts w:ascii="Arial" w:eastAsia="Arial" w:hAnsi="Arial" w:cs="Arial"/>
        </w:rPr>
        <w:t xml:space="preserve"> </w:t>
      </w:r>
      <w:proofErr w:type="spellStart"/>
      <w:r>
        <w:rPr>
          <w:rFonts w:ascii="Arial" w:eastAsia="Arial" w:hAnsi="Arial" w:cs="Arial"/>
        </w:rPr>
        <w:t>Inovasi</w:t>
      </w:r>
      <w:proofErr w:type="spellEnd"/>
      <w:r>
        <w:rPr>
          <w:rFonts w:ascii="Arial" w:eastAsia="Arial" w:hAnsi="Arial" w:cs="Arial"/>
        </w:rPr>
        <w:t xml:space="preserve"> </w:t>
      </w:r>
      <w:proofErr w:type="spellStart"/>
      <w:r>
        <w:rPr>
          <w:rFonts w:ascii="Arial" w:eastAsia="Arial" w:hAnsi="Arial" w:cs="Arial"/>
        </w:rPr>
        <w:t>Ekonomi</w:t>
      </w:r>
      <w:proofErr w:type="spellEnd"/>
      <w:r>
        <w:rPr>
          <w:rFonts w:ascii="Arial" w:eastAsia="Arial" w:hAnsi="Arial" w:cs="Arial"/>
        </w:rPr>
        <w:t xml:space="preserve">, 8(02), </w:t>
      </w:r>
      <w:proofErr w:type="spellStart"/>
      <w:r>
        <w:rPr>
          <w:rFonts w:ascii="Arial" w:eastAsia="Arial" w:hAnsi="Arial" w:cs="Arial"/>
        </w:rPr>
        <w:t>pp.51</w:t>
      </w:r>
      <w:proofErr w:type="spellEnd"/>
      <w:r>
        <w:rPr>
          <w:rFonts w:ascii="Arial" w:eastAsia="Arial" w:hAnsi="Arial" w:cs="Arial"/>
        </w:rPr>
        <w:t xml:space="preserve">–56.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/10.22219/</w:t>
      </w:r>
      <w:proofErr w:type="spellStart"/>
      <w:r>
        <w:rPr>
          <w:rFonts w:ascii="Arial" w:eastAsia="Arial" w:hAnsi="Arial" w:cs="Arial"/>
        </w:rPr>
        <w:t>jiko.v8i02.21313</w:t>
      </w:r>
      <w:proofErr w:type="spellEnd"/>
      <w:proofErr w:type="gramEnd"/>
      <w:r>
        <w:rPr>
          <w:rFonts w:ascii="Arial" w:eastAsia="Arial" w:hAnsi="Arial" w:cs="Arial"/>
        </w:rPr>
        <w:t>.</w:t>
      </w:r>
    </w:p>
    <w:p w14:paraId="5D1AC08A" w14:textId="77777777" w:rsidR="00E41725" w:rsidRDefault="00E41725">
      <w:pPr>
        <w:spacing w:after="0" w:line="360" w:lineRule="auto"/>
        <w:jc w:val="both"/>
        <w:rPr>
          <w:rFonts w:ascii="Arial" w:eastAsia="Arial" w:hAnsi="Arial" w:cs="Arial"/>
        </w:rPr>
      </w:pPr>
    </w:p>
    <w:p w14:paraId="66594A4B"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Fareniuk</w:t>
      </w:r>
      <w:proofErr w:type="spellEnd"/>
      <w:r>
        <w:rPr>
          <w:rFonts w:ascii="Arial" w:eastAsia="Arial" w:hAnsi="Arial" w:cs="Arial"/>
        </w:rPr>
        <w:t xml:space="preserve">, Y. and </w:t>
      </w:r>
      <w:proofErr w:type="spellStart"/>
      <w:r>
        <w:rPr>
          <w:rFonts w:ascii="Arial" w:eastAsia="Arial" w:hAnsi="Arial" w:cs="Arial"/>
        </w:rPr>
        <w:t>Chornous</w:t>
      </w:r>
      <w:proofErr w:type="spellEnd"/>
      <w:r>
        <w:rPr>
          <w:rFonts w:ascii="Arial" w:eastAsia="Arial" w:hAnsi="Arial" w:cs="Arial"/>
        </w:rPr>
        <w:t xml:space="preserve">, G. (2023). Optimization of Media Strategy via Marketing Mix Modeling in Retailing. </w:t>
      </w:r>
      <w:proofErr w:type="spellStart"/>
      <w:r>
        <w:rPr>
          <w:rFonts w:ascii="Arial" w:eastAsia="Arial" w:hAnsi="Arial" w:cs="Arial"/>
        </w:rPr>
        <w:t>Ekonomika</w:t>
      </w:r>
      <w:proofErr w:type="spellEnd"/>
      <w:r>
        <w:rPr>
          <w:rFonts w:ascii="Arial" w:eastAsia="Arial" w:hAnsi="Arial" w:cs="Arial"/>
        </w:rPr>
        <w:t xml:space="preserve">, 102(1), </w:t>
      </w:r>
      <w:proofErr w:type="spellStart"/>
      <w:r>
        <w:rPr>
          <w:rFonts w:ascii="Arial" w:eastAsia="Arial" w:hAnsi="Arial" w:cs="Arial"/>
        </w:rPr>
        <w:t>pp.6</w:t>
      </w:r>
      <w:proofErr w:type="spellEnd"/>
      <w:r>
        <w:rPr>
          <w:rFonts w:ascii="Arial" w:eastAsia="Arial" w:hAnsi="Arial" w:cs="Arial"/>
        </w:rPr>
        <w:t xml:space="preserve">–25.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/10.15388/</w:t>
      </w:r>
      <w:proofErr w:type="spellStart"/>
      <w:r>
        <w:rPr>
          <w:rFonts w:ascii="Arial" w:eastAsia="Arial" w:hAnsi="Arial" w:cs="Arial"/>
        </w:rPr>
        <w:t>ekon.2023.102.1.1</w:t>
      </w:r>
      <w:proofErr w:type="spellEnd"/>
      <w:proofErr w:type="gramEnd"/>
      <w:r>
        <w:rPr>
          <w:rFonts w:ascii="Arial" w:eastAsia="Arial" w:hAnsi="Arial" w:cs="Arial"/>
        </w:rPr>
        <w:t>.</w:t>
      </w:r>
    </w:p>
    <w:p w14:paraId="0A840920" w14:textId="77777777" w:rsidR="00E41725" w:rsidRDefault="00E41725">
      <w:pPr>
        <w:spacing w:after="0" w:line="360" w:lineRule="auto"/>
        <w:jc w:val="both"/>
        <w:rPr>
          <w:rFonts w:ascii="Arial" w:eastAsia="Arial" w:hAnsi="Arial" w:cs="Arial"/>
        </w:rPr>
      </w:pPr>
    </w:p>
    <w:p w14:paraId="065EB6FE" w14:textId="77777777" w:rsidR="00E41725" w:rsidRDefault="00E464B3">
      <w:pPr>
        <w:spacing w:after="0" w:line="360" w:lineRule="auto"/>
        <w:jc w:val="both"/>
        <w:rPr>
          <w:rFonts w:ascii="Arial" w:eastAsia="Arial" w:hAnsi="Arial" w:cs="Arial"/>
        </w:rPr>
      </w:pPr>
      <w:r>
        <w:rPr>
          <w:rFonts w:ascii="Arial" w:eastAsia="Arial" w:hAnsi="Arial" w:cs="Arial"/>
        </w:rPr>
        <w:t xml:space="preserve">Farida, I. and Setiawan, D. (2022). Business Strategies and Competitive advantage: the Role of Performance and Innovation. Journal of Open Innovation: Technology, Market, and Complexity, 8(3), </w:t>
      </w:r>
      <w:proofErr w:type="spellStart"/>
      <w:r>
        <w:rPr>
          <w:rFonts w:ascii="Arial" w:eastAsia="Arial" w:hAnsi="Arial" w:cs="Arial"/>
        </w:rPr>
        <w:t>p.163</w:t>
      </w:r>
      <w:proofErr w:type="spellEnd"/>
      <w:r>
        <w:rPr>
          <w:rFonts w:ascii="Arial" w:eastAsia="Arial" w:hAnsi="Arial" w:cs="Arial"/>
        </w:rPr>
        <w:t xml:space="preserve">.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/10.3390/</w:t>
      </w:r>
      <w:proofErr w:type="spellStart"/>
      <w:r>
        <w:rPr>
          <w:rFonts w:ascii="Arial" w:eastAsia="Arial" w:hAnsi="Arial" w:cs="Arial"/>
        </w:rPr>
        <w:t>joitmc8030163</w:t>
      </w:r>
      <w:proofErr w:type="spellEnd"/>
      <w:proofErr w:type="gramEnd"/>
      <w:r>
        <w:rPr>
          <w:rFonts w:ascii="Arial" w:eastAsia="Arial" w:hAnsi="Arial" w:cs="Arial"/>
        </w:rPr>
        <w:t>.</w:t>
      </w:r>
    </w:p>
    <w:p w14:paraId="7A9EE1BF" w14:textId="77777777" w:rsidR="00E41725" w:rsidRDefault="00E41725">
      <w:pPr>
        <w:spacing w:after="0" w:line="360" w:lineRule="auto"/>
        <w:jc w:val="both"/>
        <w:rPr>
          <w:rFonts w:ascii="Arial" w:eastAsia="Arial" w:hAnsi="Arial" w:cs="Arial"/>
        </w:rPr>
      </w:pPr>
    </w:p>
    <w:p w14:paraId="3C47546C" w14:textId="77777777" w:rsidR="00E41725" w:rsidRDefault="00E464B3">
      <w:pPr>
        <w:spacing w:after="0" w:line="360" w:lineRule="auto"/>
        <w:jc w:val="both"/>
        <w:rPr>
          <w:rFonts w:ascii="Arial" w:eastAsia="Arial" w:hAnsi="Arial" w:cs="Arial"/>
        </w:rPr>
      </w:pPr>
      <w:r>
        <w:rPr>
          <w:rFonts w:ascii="Arial" w:eastAsia="Arial" w:hAnsi="Arial" w:cs="Arial"/>
        </w:rPr>
        <w:t xml:space="preserve">Grewal, D., Hulland, J., </w:t>
      </w:r>
      <w:proofErr w:type="spellStart"/>
      <w:r>
        <w:rPr>
          <w:rFonts w:ascii="Arial" w:eastAsia="Arial" w:hAnsi="Arial" w:cs="Arial"/>
        </w:rPr>
        <w:t>Kopalle</w:t>
      </w:r>
      <w:proofErr w:type="spellEnd"/>
      <w:r>
        <w:rPr>
          <w:rFonts w:ascii="Arial" w:eastAsia="Arial" w:hAnsi="Arial" w:cs="Arial"/>
        </w:rPr>
        <w:t xml:space="preserve">, P.K. and </w:t>
      </w:r>
      <w:proofErr w:type="spellStart"/>
      <w:r>
        <w:rPr>
          <w:rFonts w:ascii="Arial" w:eastAsia="Arial" w:hAnsi="Arial" w:cs="Arial"/>
        </w:rPr>
        <w:t>Karahanna</w:t>
      </w:r>
      <w:proofErr w:type="spellEnd"/>
      <w:r>
        <w:rPr>
          <w:rFonts w:ascii="Arial" w:eastAsia="Arial" w:hAnsi="Arial" w:cs="Arial"/>
        </w:rPr>
        <w:t xml:space="preserve">, E. (2020). The future of technology and marketing: A multidisciplinary perspective. Journal of the Academy of Marketing Science, [online] 48(1), </w:t>
      </w:r>
      <w:proofErr w:type="spellStart"/>
      <w:r>
        <w:rPr>
          <w:rFonts w:ascii="Arial" w:eastAsia="Arial" w:hAnsi="Arial" w:cs="Arial"/>
        </w:rPr>
        <w:t>pp.1</w:t>
      </w:r>
      <w:proofErr w:type="spellEnd"/>
      <w:r>
        <w:rPr>
          <w:rFonts w:ascii="Arial" w:eastAsia="Arial" w:hAnsi="Arial" w:cs="Arial"/>
        </w:rPr>
        <w:t xml:space="preserve">–8. Available at: </w:t>
      </w:r>
      <w:hyperlink r:id="rId12">
        <w:r>
          <w:rPr>
            <w:rFonts w:ascii="Arial" w:eastAsia="Arial" w:hAnsi="Arial" w:cs="Arial"/>
            <w:color w:val="0563C1"/>
            <w:u w:val="single"/>
          </w:rPr>
          <w:t>https://</w:t>
        </w:r>
        <w:proofErr w:type="spellStart"/>
        <w:r>
          <w:rPr>
            <w:rFonts w:ascii="Arial" w:eastAsia="Arial" w:hAnsi="Arial" w:cs="Arial"/>
            <w:color w:val="0563C1"/>
            <w:u w:val="single"/>
          </w:rPr>
          <w:t>link.springer.com</w:t>
        </w:r>
        <w:proofErr w:type="spellEnd"/>
        <w:r>
          <w:rPr>
            <w:rFonts w:ascii="Arial" w:eastAsia="Arial" w:hAnsi="Arial" w:cs="Arial"/>
            <w:color w:val="0563C1"/>
            <w:u w:val="single"/>
          </w:rPr>
          <w:t>/article/10.1007/</w:t>
        </w:r>
        <w:proofErr w:type="spellStart"/>
        <w:r>
          <w:rPr>
            <w:rFonts w:ascii="Arial" w:eastAsia="Arial" w:hAnsi="Arial" w:cs="Arial"/>
            <w:color w:val="0563C1"/>
            <w:u w:val="single"/>
          </w:rPr>
          <w:t>s11747</w:t>
        </w:r>
        <w:proofErr w:type="spellEnd"/>
        <w:r>
          <w:rPr>
            <w:rFonts w:ascii="Arial" w:eastAsia="Arial" w:hAnsi="Arial" w:cs="Arial"/>
            <w:color w:val="0563C1"/>
            <w:u w:val="single"/>
          </w:rPr>
          <w:t>-019-00711-4</w:t>
        </w:r>
      </w:hyperlink>
      <w:r>
        <w:rPr>
          <w:rFonts w:ascii="Arial" w:eastAsia="Arial" w:hAnsi="Arial" w:cs="Arial"/>
        </w:rPr>
        <w:t>.</w:t>
      </w:r>
    </w:p>
    <w:p w14:paraId="177E8CC7" w14:textId="77777777" w:rsidR="00E41725" w:rsidRDefault="00E41725">
      <w:pPr>
        <w:spacing w:after="0" w:line="360" w:lineRule="auto"/>
        <w:jc w:val="both"/>
        <w:rPr>
          <w:rFonts w:ascii="Arial" w:eastAsia="Arial" w:hAnsi="Arial" w:cs="Arial"/>
        </w:rPr>
      </w:pPr>
    </w:p>
    <w:p w14:paraId="6CEB6417" w14:textId="77777777" w:rsidR="00E41725" w:rsidRDefault="00E464B3">
      <w:pPr>
        <w:spacing w:after="0" w:line="360" w:lineRule="auto"/>
        <w:jc w:val="both"/>
        <w:rPr>
          <w:rFonts w:ascii="Arial" w:eastAsia="Arial" w:hAnsi="Arial" w:cs="Arial"/>
        </w:rPr>
      </w:pPr>
      <w:r>
        <w:rPr>
          <w:rFonts w:ascii="Arial" w:eastAsia="Arial" w:hAnsi="Arial" w:cs="Arial"/>
        </w:rPr>
        <w:lastRenderedPageBreak/>
        <w:t xml:space="preserve">Hussain, A., Chun, J. and Khan, M.R. (2020). A novel customer-centric Methodology for Optimal Service Selection (MOSS) in a cloud environment. A novel customer-centric Methodology for Optimal Service Selection (MOSS) in a cloud environment, 105, </w:t>
      </w:r>
      <w:proofErr w:type="spellStart"/>
      <w:r>
        <w:rPr>
          <w:rFonts w:ascii="Arial" w:eastAsia="Arial" w:hAnsi="Arial" w:cs="Arial"/>
        </w:rPr>
        <w:t>pp.562</w:t>
      </w:r>
      <w:proofErr w:type="spellEnd"/>
      <w:r>
        <w:rPr>
          <w:rFonts w:ascii="Arial" w:eastAsia="Arial" w:hAnsi="Arial" w:cs="Arial"/>
        </w:rPr>
        <w:t xml:space="preserve">–580.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/10.1016/</w:t>
      </w:r>
      <w:proofErr w:type="spellStart"/>
      <w:r>
        <w:rPr>
          <w:rFonts w:ascii="Arial" w:eastAsia="Arial" w:hAnsi="Arial" w:cs="Arial"/>
        </w:rPr>
        <w:t>j.future.2019.12.024</w:t>
      </w:r>
      <w:proofErr w:type="spellEnd"/>
      <w:proofErr w:type="gramEnd"/>
      <w:r>
        <w:rPr>
          <w:rFonts w:ascii="Arial" w:eastAsia="Arial" w:hAnsi="Arial" w:cs="Arial"/>
        </w:rPr>
        <w:t>.</w:t>
      </w:r>
    </w:p>
    <w:p w14:paraId="1D6BB03B" w14:textId="77777777" w:rsidR="00E41725" w:rsidRDefault="00E41725">
      <w:pPr>
        <w:spacing w:after="0" w:line="360" w:lineRule="auto"/>
        <w:jc w:val="both"/>
        <w:rPr>
          <w:rFonts w:ascii="Arial" w:eastAsia="Arial" w:hAnsi="Arial" w:cs="Arial"/>
        </w:rPr>
      </w:pPr>
    </w:p>
    <w:p w14:paraId="4754943C" w14:textId="77777777" w:rsidR="00E41725" w:rsidRDefault="00E464B3">
      <w:pPr>
        <w:spacing w:after="0" w:line="360" w:lineRule="auto"/>
        <w:jc w:val="both"/>
        <w:rPr>
          <w:rFonts w:ascii="Arial" w:eastAsia="Arial" w:hAnsi="Arial" w:cs="Arial"/>
        </w:rPr>
      </w:pPr>
      <w:r>
        <w:rPr>
          <w:rFonts w:ascii="Arial" w:eastAsia="Arial" w:hAnsi="Arial" w:cs="Arial"/>
        </w:rPr>
        <w:t xml:space="preserve">Islam, M.M. (2020). Segmenting, targeting and positioning in Islamic marketing. Journal of Islamic Marketing, [online] ahead-of-print(ahead-of-print).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/10.1108/</w:t>
      </w:r>
      <w:proofErr w:type="spellStart"/>
      <w:r>
        <w:rPr>
          <w:rFonts w:ascii="Arial" w:eastAsia="Arial" w:hAnsi="Arial" w:cs="Arial"/>
        </w:rPr>
        <w:t>jima</w:t>
      </w:r>
      <w:proofErr w:type="spellEnd"/>
      <w:r>
        <w:rPr>
          <w:rFonts w:ascii="Arial" w:eastAsia="Arial" w:hAnsi="Arial" w:cs="Arial"/>
        </w:rPr>
        <w:t>-10-2018-0181</w:t>
      </w:r>
      <w:proofErr w:type="gramEnd"/>
      <w:r>
        <w:rPr>
          <w:rFonts w:ascii="Arial" w:eastAsia="Arial" w:hAnsi="Arial" w:cs="Arial"/>
        </w:rPr>
        <w:t>.</w:t>
      </w:r>
    </w:p>
    <w:p w14:paraId="12C7A29B" w14:textId="77777777" w:rsidR="00E41725" w:rsidRDefault="00E41725">
      <w:pPr>
        <w:spacing w:after="0" w:line="360" w:lineRule="auto"/>
        <w:jc w:val="both"/>
        <w:rPr>
          <w:rFonts w:ascii="Arial" w:eastAsia="Arial" w:hAnsi="Arial" w:cs="Arial"/>
        </w:rPr>
      </w:pPr>
    </w:p>
    <w:p w14:paraId="0FB5E1DD" w14:textId="77777777" w:rsidR="00E41725" w:rsidRDefault="00E464B3">
      <w:pPr>
        <w:spacing w:after="0" w:line="360" w:lineRule="auto"/>
        <w:jc w:val="both"/>
        <w:rPr>
          <w:rFonts w:ascii="Arial" w:eastAsia="Arial" w:hAnsi="Arial" w:cs="Arial"/>
        </w:rPr>
      </w:pPr>
      <w:r>
        <w:rPr>
          <w:rFonts w:ascii="Arial" w:eastAsia="Arial" w:hAnsi="Arial" w:cs="Arial"/>
        </w:rPr>
        <w:t xml:space="preserve">Jamil, J. (2023). PESTLE Analysis and Sustainable Event Marketing -Evidences from Mount Kinabalu International </w:t>
      </w:r>
      <w:proofErr w:type="spellStart"/>
      <w:r>
        <w:rPr>
          <w:rFonts w:ascii="Arial" w:eastAsia="Arial" w:hAnsi="Arial" w:cs="Arial"/>
        </w:rPr>
        <w:t>Climbathon</w:t>
      </w:r>
      <w:proofErr w:type="spellEnd"/>
      <w:r>
        <w:rPr>
          <w:rFonts w:ascii="Arial" w:eastAsia="Arial" w:hAnsi="Arial" w:cs="Arial"/>
        </w:rPr>
        <w:t xml:space="preserve"> Destination, Borneo. Journal of Event, Travel and Tour Management, [online] 3, </w:t>
      </w:r>
      <w:proofErr w:type="spellStart"/>
      <w:r>
        <w:rPr>
          <w:rFonts w:ascii="Arial" w:eastAsia="Arial" w:hAnsi="Arial" w:cs="Arial"/>
        </w:rPr>
        <w:t>pp.1</w:t>
      </w:r>
      <w:proofErr w:type="spellEnd"/>
      <w:r>
        <w:rPr>
          <w:rFonts w:ascii="Arial" w:eastAsia="Arial" w:hAnsi="Arial" w:cs="Arial"/>
        </w:rPr>
        <w:t xml:space="preserve">–18.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/10.34013/</w:t>
      </w:r>
      <w:proofErr w:type="spellStart"/>
      <w:r>
        <w:rPr>
          <w:rFonts w:ascii="Arial" w:eastAsia="Arial" w:hAnsi="Arial" w:cs="Arial"/>
        </w:rPr>
        <w:t>jett.v3i2.1326</w:t>
      </w:r>
      <w:proofErr w:type="spellEnd"/>
      <w:proofErr w:type="gramEnd"/>
      <w:r>
        <w:rPr>
          <w:rFonts w:ascii="Arial" w:eastAsia="Arial" w:hAnsi="Arial" w:cs="Arial"/>
        </w:rPr>
        <w:t>.</w:t>
      </w:r>
    </w:p>
    <w:p w14:paraId="4FA68EAF" w14:textId="77777777" w:rsidR="00E41725" w:rsidRDefault="00E41725">
      <w:pPr>
        <w:spacing w:after="0" w:line="360" w:lineRule="auto"/>
        <w:jc w:val="both"/>
        <w:rPr>
          <w:rFonts w:ascii="Arial" w:eastAsia="Arial" w:hAnsi="Arial" w:cs="Arial"/>
        </w:rPr>
      </w:pPr>
    </w:p>
    <w:p w14:paraId="43BCC0A4" w14:textId="77777777" w:rsidR="00E41725" w:rsidRDefault="00E464B3">
      <w:pPr>
        <w:spacing w:after="0" w:line="360" w:lineRule="auto"/>
        <w:jc w:val="both"/>
        <w:rPr>
          <w:rFonts w:ascii="Arial" w:eastAsia="Arial" w:hAnsi="Arial" w:cs="Arial"/>
        </w:rPr>
      </w:pPr>
      <w:r>
        <w:rPr>
          <w:rFonts w:ascii="Arial" w:eastAsia="Arial" w:hAnsi="Arial" w:cs="Arial"/>
        </w:rPr>
        <w:t xml:space="preserve">Jinga, A.A., Hussen, </w:t>
      </w:r>
      <w:proofErr w:type="spellStart"/>
      <w:r>
        <w:rPr>
          <w:rFonts w:ascii="Arial" w:eastAsia="Arial" w:hAnsi="Arial" w:cs="Arial"/>
        </w:rPr>
        <w:t>J.O</w:t>
      </w:r>
      <w:proofErr w:type="spellEnd"/>
      <w:r>
        <w:rPr>
          <w:rFonts w:ascii="Arial" w:eastAsia="Arial" w:hAnsi="Arial" w:cs="Arial"/>
        </w:rPr>
        <w:t xml:space="preserve">., Negash, </w:t>
      </w:r>
      <w:proofErr w:type="spellStart"/>
      <w:r>
        <w:rPr>
          <w:rFonts w:ascii="Arial" w:eastAsia="Arial" w:hAnsi="Arial" w:cs="Arial"/>
        </w:rPr>
        <w:t>H.G</w:t>
      </w:r>
      <w:proofErr w:type="spellEnd"/>
      <w:r>
        <w:rPr>
          <w:rFonts w:ascii="Arial" w:eastAsia="Arial" w:hAnsi="Arial" w:cs="Arial"/>
        </w:rPr>
        <w:t xml:space="preserve">. and Estifanos, A.B. (2024). Leadership Behavior and Organizational Change Management in Selected Public Universities of Ethiopia: Exploring the Impact of Leadership Influences and Change Processes. </w:t>
      </w:r>
      <w:proofErr w:type="spellStart"/>
      <w:r>
        <w:rPr>
          <w:rFonts w:ascii="Arial" w:eastAsia="Arial" w:hAnsi="Arial" w:cs="Arial"/>
        </w:rPr>
        <w:t>Heliyon</w:t>
      </w:r>
      <w:proofErr w:type="spellEnd"/>
      <w:r>
        <w:rPr>
          <w:rFonts w:ascii="Arial" w:eastAsia="Arial" w:hAnsi="Arial" w:cs="Arial"/>
        </w:rPr>
        <w:t xml:space="preserve">, 10(19).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/10.1016/</w:t>
      </w:r>
      <w:proofErr w:type="spellStart"/>
      <w:r>
        <w:rPr>
          <w:rFonts w:ascii="Arial" w:eastAsia="Arial" w:hAnsi="Arial" w:cs="Arial"/>
        </w:rPr>
        <w:t>j.heliyon.2024.e37149</w:t>
      </w:r>
      <w:proofErr w:type="spellEnd"/>
      <w:proofErr w:type="gramEnd"/>
      <w:r>
        <w:rPr>
          <w:rFonts w:ascii="Arial" w:eastAsia="Arial" w:hAnsi="Arial" w:cs="Arial"/>
        </w:rPr>
        <w:t>.</w:t>
      </w:r>
    </w:p>
    <w:p w14:paraId="3B373117" w14:textId="77777777" w:rsidR="00E41725" w:rsidRDefault="00E41725">
      <w:pPr>
        <w:spacing w:after="0" w:line="360" w:lineRule="auto"/>
        <w:jc w:val="both"/>
        <w:rPr>
          <w:rFonts w:ascii="Arial" w:eastAsia="Arial" w:hAnsi="Arial" w:cs="Arial"/>
        </w:rPr>
      </w:pPr>
    </w:p>
    <w:p w14:paraId="4F630D35" w14:textId="77777777" w:rsidR="00E41725" w:rsidRDefault="00E464B3">
      <w:pPr>
        <w:spacing w:after="0" w:line="360" w:lineRule="auto"/>
        <w:jc w:val="both"/>
        <w:rPr>
          <w:rFonts w:ascii="Arial" w:eastAsia="Arial" w:hAnsi="Arial" w:cs="Arial"/>
        </w:rPr>
      </w:pPr>
      <w:r>
        <w:rPr>
          <w:rFonts w:ascii="Arial" w:eastAsia="Arial" w:hAnsi="Arial" w:cs="Arial"/>
        </w:rPr>
        <w:t xml:space="preserve">Kraus, S., Durst, S., Ferreira, J.J., Veiga, P., Kailer, N. and Weinmann, A. (2022). Digital Transformation in Business and Management research: an Overview of the Current Status Quo. International Journal of Information Management, [online] 63(4), </w:t>
      </w:r>
      <w:proofErr w:type="spellStart"/>
      <w:r>
        <w:rPr>
          <w:rFonts w:ascii="Arial" w:eastAsia="Arial" w:hAnsi="Arial" w:cs="Arial"/>
        </w:rPr>
        <w:t>pp.1</w:t>
      </w:r>
      <w:proofErr w:type="spellEnd"/>
      <w:r>
        <w:rPr>
          <w:rFonts w:ascii="Arial" w:eastAsia="Arial" w:hAnsi="Arial" w:cs="Arial"/>
        </w:rPr>
        <w:t xml:space="preserve">–18.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/10.1016/</w:t>
      </w:r>
      <w:proofErr w:type="spellStart"/>
      <w:r>
        <w:rPr>
          <w:rFonts w:ascii="Arial" w:eastAsia="Arial" w:hAnsi="Arial" w:cs="Arial"/>
        </w:rPr>
        <w:t>j.ijinfomgt.2021.102466</w:t>
      </w:r>
      <w:proofErr w:type="spellEnd"/>
      <w:proofErr w:type="gramEnd"/>
      <w:r>
        <w:rPr>
          <w:rFonts w:ascii="Arial" w:eastAsia="Arial" w:hAnsi="Arial" w:cs="Arial"/>
        </w:rPr>
        <w:t>.</w:t>
      </w:r>
    </w:p>
    <w:p w14:paraId="25FE7988" w14:textId="77777777" w:rsidR="00E41725" w:rsidRDefault="00E41725">
      <w:pPr>
        <w:spacing w:after="0" w:line="360" w:lineRule="auto"/>
        <w:jc w:val="both"/>
        <w:rPr>
          <w:rFonts w:ascii="Arial" w:eastAsia="Arial" w:hAnsi="Arial" w:cs="Arial"/>
        </w:rPr>
      </w:pPr>
    </w:p>
    <w:p w14:paraId="2E8910A0" w14:textId="77777777" w:rsidR="00E41725" w:rsidRDefault="00E464B3">
      <w:pPr>
        <w:spacing w:after="0" w:line="360" w:lineRule="auto"/>
        <w:jc w:val="both"/>
        <w:rPr>
          <w:rFonts w:ascii="Arial" w:eastAsia="Arial" w:hAnsi="Arial" w:cs="Arial"/>
        </w:rPr>
      </w:pPr>
      <w:r>
        <w:rPr>
          <w:rFonts w:ascii="Arial" w:eastAsia="Arial" w:hAnsi="Arial" w:cs="Arial"/>
        </w:rPr>
        <w:t xml:space="preserve">Lahtinen, V., Dietrich, T. and Thiele, S.R. (2020). Long Live the Marketing mix. Testing the Effectiveness of the Commercial Marketing Mix in a Social Marketing Context. Journal of Social Marketing, 10(3), </w:t>
      </w:r>
      <w:proofErr w:type="spellStart"/>
      <w:r>
        <w:rPr>
          <w:rFonts w:ascii="Arial" w:eastAsia="Arial" w:hAnsi="Arial" w:cs="Arial"/>
        </w:rPr>
        <w:t>pp.357</w:t>
      </w:r>
      <w:proofErr w:type="spellEnd"/>
      <w:r>
        <w:rPr>
          <w:rFonts w:ascii="Arial" w:eastAsia="Arial" w:hAnsi="Arial" w:cs="Arial"/>
        </w:rPr>
        <w:t>–375.</w:t>
      </w:r>
    </w:p>
    <w:p w14:paraId="5B4FA922" w14:textId="77777777" w:rsidR="00E41725" w:rsidRDefault="00E41725">
      <w:pPr>
        <w:spacing w:after="0" w:line="360" w:lineRule="auto"/>
        <w:jc w:val="both"/>
        <w:rPr>
          <w:rFonts w:ascii="Arial" w:eastAsia="Arial" w:hAnsi="Arial" w:cs="Arial"/>
        </w:rPr>
      </w:pPr>
    </w:p>
    <w:p w14:paraId="1A18637B" w14:textId="77777777" w:rsidR="00E41725" w:rsidRDefault="00E464B3">
      <w:pPr>
        <w:spacing w:after="0" w:line="360" w:lineRule="auto"/>
        <w:jc w:val="both"/>
        <w:rPr>
          <w:rFonts w:ascii="Arial" w:eastAsia="Arial" w:hAnsi="Arial" w:cs="Arial"/>
        </w:rPr>
      </w:pPr>
      <w:r>
        <w:rPr>
          <w:rFonts w:ascii="Arial" w:eastAsia="Arial" w:hAnsi="Arial" w:cs="Arial"/>
        </w:rPr>
        <w:t xml:space="preserve">McNett, M., Tucker, S., </w:t>
      </w:r>
      <w:proofErr w:type="spellStart"/>
      <w:r>
        <w:rPr>
          <w:rFonts w:ascii="Arial" w:eastAsia="Arial" w:hAnsi="Arial" w:cs="Arial"/>
        </w:rPr>
        <w:t>Zadvinskis</w:t>
      </w:r>
      <w:proofErr w:type="spellEnd"/>
      <w:r>
        <w:rPr>
          <w:rFonts w:ascii="Arial" w:eastAsia="Arial" w:hAnsi="Arial" w:cs="Arial"/>
        </w:rPr>
        <w:t xml:space="preserve">, I., Tolles, D., Thomas, B., Gorsuch, P. and Gallagher-Ford, L. (2022). A Qualitative Force Field Analysis of Facilitators and Barriers to Evidence-Based Practice in Healthcare Using an Implementation Framework. Global </w:t>
      </w:r>
      <w:r>
        <w:rPr>
          <w:rFonts w:ascii="Arial" w:eastAsia="Arial" w:hAnsi="Arial" w:cs="Arial"/>
        </w:rPr>
        <w:lastRenderedPageBreak/>
        <w:t xml:space="preserve">Implementation Research and Applications, [online] 2(3).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/10.1007/</w:t>
      </w:r>
      <w:proofErr w:type="spellStart"/>
      <w:r>
        <w:rPr>
          <w:rFonts w:ascii="Arial" w:eastAsia="Arial" w:hAnsi="Arial" w:cs="Arial"/>
        </w:rPr>
        <w:t>s43477</w:t>
      </w:r>
      <w:proofErr w:type="spellEnd"/>
      <w:r>
        <w:rPr>
          <w:rFonts w:ascii="Arial" w:eastAsia="Arial" w:hAnsi="Arial" w:cs="Arial"/>
        </w:rPr>
        <w:t>-022-00051-6</w:t>
      </w:r>
      <w:proofErr w:type="gramEnd"/>
      <w:r>
        <w:rPr>
          <w:rFonts w:ascii="Arial" w:eastAsia="Arial" w:hAnsi="Arial" w:cs="Arial"/>
        </w:rPr>
        <w:t>.</w:t>
      </w:r>
    </w:p>
    <w:p w14:paraId="34AD2F44" w14:textId="77777777" w:rsidR="00E41725" w:rsidRDefault="00E41725">
      <w:pPr>
        <w:spacing w:after="0" w:line="360" w:lineRule="auto"/>
        <w:jc w:val="both"/>
        <w:rPr>
          <w:rFonts w:ascii="Arial" w:eastAsia="Arial" w:hAnsi="Arial" w:cs="Arial"/>
        </w:rPr>
      </w:pPr>
    </w:p>
    <w:p w14:paraId="72FB056A"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Monferdini</w:t>
      </w:r>
      <w:proofErr w:type="spellEnd"/>
      <w:r>
        <w:rPr>
          <w:rFonts w:ascii="Arial" w:eastAsia="Arial" w:hAnsi="Arial" w:cs="Arial"/>
        </w:rPr>
        <w:t xml:space="preserve">, L. and </w:t>
      </w:r>
      <w:proofErr w:type="spellStart"/>
      <w:r>
        <w:rPr>
          <w:rFonts w:ascii="Arial" w:eastAsia="Arial" w:hAnsi="Arial" w:cs="Arial"/>
        </w:rPr>
        <w:t>Bottani</w:t>
      </w:r>
      <w:proofErr w:type="spellEnd"/>
      <w:r>
        <w:rPr>
          <w:rFonts w:ascii="Arial" w:eastAsia="Arial" w:hAnsi="Arial" w:cs="Arial"/>
        </w:rPr>
        <w:t xml:space="preserve">, E. (2024). How do businesses utilize change management for process optimization? A cross-analysis among industrial sectors. Business Process Management Journal, 30(8), </w:t>
      </w:r>
      <w:proofErr w:type="spellStart"/>
      <w:r>
        <w:rPr>
          <w:rFonts w:ascii="Arial" w:eastAsia="Arial" w:hAnsi="Arial" w:cs="Arial"/>
        </w:rPr>
        <w:t>pp.371</w:t>
      </w:r>
      <w:proofErr w:type="spellEnd"/>
      <w:r>
        <w:rPr>
          <w:rFonts w:ascii="Arial" w:eastAsia="Arial" w:hAnsi="Arial" w:cs="Arial"/>
        </w:rPr>
        <w:t xml:space="preserve">–414.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/10.1108/</w:t>
      </w:r>
      <w:proofErr w:type="spellStart"/>
      <w:r>
        <w:rPr>
          <w:rFonts w:ascii="Arial" w:eastAsia="Arial" w:hAnsi="Arial" w:cs="Arial"/>
        </w:rPr>
        <w:t>bpmj</w:t>
      </w:r>
      <w:proofErr w:type="spellEnd"/>
      <w:r>
        <w:rPr>
          <w:rFonts w:ascii="Arial" w:eastAsia="Arial" w:hAnsi="Arial" w:cs="Arial"/>
        </w:rPr>
        <w:t>-03-2024-0158</w:t>
      </w:r>
      <w:proofErr w:type="gramEnd"/>
      <w:r>
        <w:rPr>
          <w:rFonts w:ascii="Arial" w:eastAsia="Arial" w:hAnsi="Arial" w:cs="Arial"/>
        </w:rPr>
        <w:t>.</w:t>
      </w:r>
    </w:p>
    <w:p w14:paraId="230B98D0" w14:textId="77777777" w:rsidR="00E41725" w:rsidRDefault="00E41725">
      <w:pPr>
        <w:spacing w:after="0" w:line="360" w:lineRule="auto"/>
        <w:jc w:val="both"/>
        <w:rPr>
          <w:rFonts w:ascii="Arial" w:eastAsia="Arial" w:hAnsi="Arial" w:cs="Arial"/>
        </w:rPr>
      </w:pPr>
    </w:p>
    <w:p w14:paraId="0EF22D38" w14:textId="77777777" w:rsidR="00E41725" w:rsidRDefault="00E464B3">
      <w:pPr>
        <w:spacing w:after="0" w:line="360" w:lineRule="auto"/>
        <w:jc w:val="both"/>
        <w:rPr>
          <w:rFonts w:ascii="Arial" w:eastAsia="Arial" w:hAnsi="Arial" w:cs="Arial"/>
        </w:rPr>
      </w:pPr>
      <w:r>
        <w:rPr>
          <w:rFonts w:ascii="Arial" w:eastAsia="Arial" w:hAnsi="Arial" w:cs="Arial"/>
        </w:rPr>
        <w:t xml:space="preserve">Morgan, N.A., Whitler, </w:t>
      </w:r>
      <w:proofErr w:type="spellStart"/>
      <w:r>
        <w:rPr>
          <w:rFonts w:ascii="Arial" w:eastAsia="Arial" w:hAnsi="Arial" w:cs="Arial"/>
        </w:rPr>
        <w:t>K.A</w:t>
      </w:r>
      <w:proofErr w:type="spellEnd"/>
      <w:r>
        <w:rPr>
          <w:rFonts w:ascii="Arial" w:eastAsia="Arial" w:hAnsi="Arial" w:cs="Arial"/>
        </w:rPr>
        <w:t xml:space="preserve">., Feng, H. and Chari, S. (2019). Research in Marketing Strategy. Journal of the Academy of Marketing Science, [online] 47(1), </w:t>
      </w:r>
      <w:proofErr w:type="spellStart"/>
      <w:r>
        <w:rPr>
          <w:rFonts w:ascii="Arial" w:eastAsia="Arial" w:hAnsi="Arial" w:cs="Arial"/>
        </w:rPr>
        <w:t>pp.4</w:t>
      </w:r>
      <w:proofErr w:type="spellEnd"/>
      <w:r>
        <w:rPr>
          <w:rFonts w:ascii="Arial" w:eastAsia="Arial" w:hAnsi="Arial" w:cs="Arial"/>
        </w:rPr>
        <w:t xml:space="preserve">–29. </w:t>
      </w:r>
      <w:proofErr w:type="spellStart"/>
      <w:r>
        <w:rPr>
          <w:rFonts w:ascii="Arial" w:eastAsia="Arial" w:hAnsi="Arial" w:cs="Arial"/>
        </w:rPr>
        <w:t>doi</w:t>
      </w:r>
      <w:proofErr w:type="spellEnd"/>
      <w:r>
        <w:rPr>
          <w:rFonts w:ascii="Arial" w:eastAsia="Arial" w:hAnsi="Arial" w:cs="Arial"/>
        </w:rPr>
        <w:t>: https://</w:t>
      </w:r>
      <w:proofErr w:type="spellStart"/>
      <w:r>
        <w:rPr>
          <w:rFonts w:ascii="Arial" w:eastAsia="Arial" w:hAnsi="Arial" w:cs="Arial"/>
        </w:rPr>
        <w:t>doi.org</w:t>
      </w:r>
      <w:proofErr w:type="spellEnd"/>
      <w:r>
        <w:rPr>
          <w:rFonts w:ascii="Arial" w:eastAsia="Arial" w:hAnsi="Arial" w:cs="Arial"/>
        </w:rPr>
        <w:t>/10.1007/</w:t>
      </w:r>
      <w:proofErr w:type="spellStart"/>
      <w:r>
        <w:rPr>
          <w:rFonts w:ascii="Arial" w:eastAsia="Arial" w:hAnsi="Arial" w:cs="Arial"/>
        </w:rPr>
        <w:t>s11747</w:t>
      </w:r>
      <w:proofErr w:type="spellEnd"/>
      <w:r>
        <w:rPr>
          <w:rFonts w:ascii="Arial" w:eastAsia="Arial" w:hAnsi="Arial" w:cs="Arial"/>
        </w:rPr>
        <w:t>-018-0598-1.</w:t>
      </w:r>
    </w:p>
    <w:p w14:paraId="7BBD8605" w14:textId="77777777" w:rsidR="00E41725" w:rsidRDefault="00E41725">
      <w:pPr>
        <w:spacing w:after="0" w:line="360" w:lineRule="auto"/>
        <w:jc w:val="both"/>
        <w:rPr>
          <w:rFonts w:ascii="Arial" w:eastAsia="Arial" w:hAnsi="Arial" w:cs="Arial"/>
        </w:rPr>
      </w:pPr>
    </w:p>
    <w:p w14:paraId="30CB755D"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Paksoy</w:t>
      </w:r>
      <w:proofErr w:type="spellEnd"/>
      <w:r>
        <w:rPr>
          <w:rFonts w:ascii="Arial" w:eastAsia="Arial" w:hAnsi="Arial" w:cs="Arial"/>
        </w:rPr>
        <w:t xml:space="preserve">, T., Gündüz, M.A. and Demir, S. (2023). Overall Competitiveness efficiency: a Quantitative Approach to the Five Forces Model. Computers &amp; Industrial Engineering, [online] 182(109422).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/10.1016/</w:t>
      </w:r>
      <w:proofErr w:type="spellStart"/>
      <w:r>
        <w:rPr>
          <w:rFonts w:ascii="Arial" w:eastAsia="Arial" w:hAnsi="Arial" w:cs="Arial"/>
        </w:rPr>
        <w:t>j.cie.2023.109422</w:t>
      </w:r>
      <w:proofErr w:type="spellEnd"/>
      <w:proofErr w:type="gramEnd"/>
      <w:r>
        <w:rPr>
          <w:rFonts w:ascii="Arial" w:eastAsia="Arial" w:hAnsi="Arial" w:cs="Arial"/>
        </w:rPr>
        <w:t>.</w:t>
      </w:r>
    </w:p>
    <w:p w14:paraId="08623AE5" w14:textId="77777777" w:rsidR="00E41725" w:rsidRDefault="00E41725">
      <w:pPr>
        <w:spacing w:after="0" w:line="360" w:lineRule="auto"/>
        <w:jc w:val="both"/>
        <w:rPr>
          <w:rFonts w:ascii="Arial" w:eastAsia="Arial" w:hAnsi="Arial" w:cs="Arial"/>
        </w:rPr>
      </w:pPr>
    </w:p>
    <w:p w14:paraId="3B7A08F5" w14:textId="77777777" w:rsidR="00E41725" w:rsidRDefault="00E464B3">
      <w:pPr>
        <w:spacing w:after="0" w:line="360" w:lineRule="auto"/>
        <w:jc w:val="both"/>
        <w:rPr>
          <w:rFonts w:ascii="Arial" w:eastAsia="Arial" w:hAnsi="Arial" w:cs="Arial"/>
        </w:rPr>
      </w:pPr>
      <w:r>
        <w:rPr>
          <w:rFonts w:ascii="Arial" w:eastAsia="Arial" w:hAnsi="Arial" w:cs="Arial"/>
        </w:rPr>
        <w:t xml:space="preserve">Phan, Q. (2025). PESTLE Analysis for Sustainable Marketing: Mount Kinabalu </w:t>
      </w:r>
      <w:proofErr w:type="spellStart"/>
      <w:r>
        <w:rPr>
          <w:rFonts w:ascii="Arial" w:eastAsia="Arial" w:hAnsi="Arial" w:cs="Arial"/>
        </w:rPr>
        <w:t>Climbathon</w:t>
      </w:r>
      <w:proofErr w:type="spellEnd"/>
      <w:r>
        <w:rPr>
          <w:rFonts w:ascii="Arial" w:eastAsia="Arial" w:hAnsi="Arial" w:cs="Arial"/>
        </w:rPr>
        <w:t xml:space="preserve">. [online] </w:t>
      </w:r>
      <w:proofErr w:type="spellStart"/>
      <w:r>
        <w:rPr>
          <w:rFonts w:ascii="Arial" w:eastAsia="Arial" w:hAnsi="Arial" w:cs="Arial"/>
        </w:rPr>
        <w:t>Studocu</w:t>
      </w:r>
      <w:proofErr w:type="spellEnd"/>
      <w:r>
        <w:rPr>
          <w:rFonts w:ascii="Arial" w:eastAsia="Arial" w:hAnsi="Arial" w:cs="Arial"/>
        </w:rPr>
        <w:t>. Available at: https://www.studocu.vn/vn/document/university-of-economics-hcmc-international-school-of-business/managerial-economics/jett-cddscdcda/119438408 [Accessed 6 Jan. 2026].</w:t>
      </w:r>
    </w:p>
    <w:p w14:paraId="53B66775" w14:textId="77777777" w:rsidR="00E41725" w:rsidRDefault="00E41725">
      <w:pPr>
        <w:spacing w:after="0" w:line="360" w:lineRule="auto"/>
        <w:jc w:val="both"/>
        <w:rPr>
          <w:rFonts w:ascii="Arial" w:eastAsia="Arial" w:hAnsi="Arial" w:cs="Arial"/>
        </w:rPr>
      </w:pPr>
    </w:p>
    <w:p w14:paraId="17ABE626"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Rauschnabel</w:t>
      </w:r>
      <w:proofErr w:type="spellEnd"/>
      <w:r>
        <w:rPr>
          <w:rFonts w:ascii="Arial" w:eastAsia="Arial" w:hAnsi="Arial" w:cs="Arial"/>
        </w:rPr>
        <w:t xml:space="preserve">, P.A., Babin, B.J., tom Dieck, M.C., Krey, N. and Jung, T. (2022). What is augmented reality marketing? Its definition, complexity, and future. Journal of Business Research, [online] 142(1), </w:t>
      </w:r>
      <w:proofErr w:type="spellStart"/>
      <w:r>
        <w:rPr>
          <w:rFonts w:ascii="Arial" w:eastAsia="Arial" w:hAnsi="Arial" w:cs="Arial"/>
        </w:rPr>
        <w:t>pp.1140</w:t>
      </w:r>
      <w:proofErr w:type="spellEnd"/>
      <w:r>
        <w:rPr>
          <w:rFonts w:ascii="Arial" w:eastAsia="Arial" w:hAnsi="Arial" w:cs="Arial"/>
        </w:rPr>
        <w:t xml:space="preserve">–1150.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/10.1016/</w:t>
      </w:r>
      <w:proofErr w:type="spellStart"/>
      <w:r>
        <w:rPr>
          <w:rFonts w:ascii="Arial" w:eastAsia="Arial" w:hAnsi="Arial" w:cs="Arial"/>
        </w:rPr>
        <w:t>j.jbusres.2021.12.084</w:t>
      </w:r>
      <w:proofErr w:type="spellEnd"/>
      <w:proofErr w:type="gramEnd"/>
      <w:r>
        <w:rPr>
          <w:rFonts w:ascii="Arial" w:eastAsia="Arial" w:hAnsi="Arial" w:cs="Arial"/>
        </w:rPr>
        <w:t>.</w:t>
      </w:r>
    </w:p>
    <w:p w14:paraId="38A8EFD6" w14:textId="77777777" w:rsidR="00E41725" w:rsidRDefault="00E41725">
      <w:pPr>
        <w:spacing w:after="0" w:line="360" w:lineRule="auto"/>
        <w:jc w:val="both"/>
        <w:rPr>
          <w:rFonts w:ascii="Arial" w:eastAsia="Arial" w:hAnsi="Arial" w:cs="Arial"/>
        </w:rPr>
      </w:pPr>
    </w:p>
    <w:p w14:paraId="4405A8C7" w14:textId="77777777" w:rsidR="00E41725" w:rsidRDefault="00E464B3">
      <w:pPr>
        <w:spacing w:after="0" w:line="360" w:lineRule="auto"/>
        <w:jc w:val="both"/>
        <w:rPr>
          <w:rFonts w:ascii="Arial" w:eastAsia="Arial" w:hAnsi="Arial" w:cs="Arial"/>
        </w:rPr>
      </w:pPr>
      <w:r>
        <w:rPr>
          <w:rFonts w:ascii="Arial" w:eastAsia="Arial" w:hAnsi="Arial" w:cs="Arial"/>
        </w:rPr>
        <w:t xml:space="preserve">Rehman, N., Mahmood, A., </w:t>
      </w:r>
      <w:proofErr w:type="spellStart"/>
      <w:r>
        <w:rPr>
          <w:rFonts w:ascii="Arial" w:eastAsia="Arial" w:hAnsi="Arial" w:cs="Arial"/>
        </w:rPr>
        <w:t>Ibtasam</w:t>
      </w:r>
      <w:proofErr w:type="spellEnd"/>
      <w:r>
        <w:rPr>
          <w:rFonts w:ascii="Arial" w:eastAsia="Arial" w:hAnsi="Arial" w:cs="Arial"/>
        </w:rPr>
        <w:t xml:space="preserve">, M., Murtaza, S.A., Iqbal, N. and Molnár, E. (2021). The Psychology of Resistance to Change: </w:t>
      </w:r>
      <w:proofErr w:type="gramStart"/>
      <w:r>
        <w:rPr>
          <w:rFonts w:ascii="Arial" w:eastAsia="Arial" w:hAnsi="Arial" w:cs="Arial"/>
        </w:rPr>
        <w:t>the</w:t>
      </w:r>
      <w:proofErr w:type="gramEnd"/>
      <w:r>
        <w:rPr>
          <w:rFonts w:ascii="Arial" w:eastAsia="Arial" w:hAnsi="Arial" w:cs="Arial"/>
        </w:rPr>
        <w:t xml:space="preserve"> Antidotal Effect of Organizational Justice, Support and Leader-Member Exchange. Frontiers in Psychology, [online] 12(1), </w:t>
      </w:r>
      <w:proofErr w:type="spellStart"/>
      <w:r>
        <w:rPr>
          <w:rFonts w:ascii="Arial" w:eastAsia="Arial" w:hAnsi="Arial" w:cs="Arial"/>
        </w:rPr>
        <w:t>pp.1</w:t>
      </w:r>
      <w:proofErr w:type="spellEnd"/>
      <w:r>
        <w:rPr>
          <w:rFonts w:ascii="Arial" w:eastAsia="Arial" w:hAnsi="Arial" w:cs="Arial"/>
        </w:rPr>
        <w:t xml:space="preserve">–15.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/10.3389/</w:t>
      </w:r>
      <w:proofErr w:type="spellStart"/>
      <w:r>
        <w:rPr>
          <w:rFonts w:ascii="Arial" w:eastAsia="Arial" w:hAnsi="Arial" w:cs="Arial"/>
        </w:rPr>
        <w:t>fpsyg.2021.678952</w:t>
      </w:r>
      <w:proofErr w:type="spellEnd"/>
      <w:proofErr w:type="gramEnd"/>
      <w:r>
        <w:rPr>
          <w:rFonts w:ascii="Arial" w:eastAsia="Arial" w:hAnsi="Arial" w:cs="Arial"/>
        </w:rPr>
        <w:t>.</w:t>
      </w:r>
    </w:p>
    <w:p w14:paraId="2828B170" w14:textId="77777777" w:rsidR="00E41725" w:rsidRDefault="00E41725">
      <w:pPr>
        <w:spacing w:after="0" w:line="360" w:lineRule="auto"/>
        <w:jc w:val="both"/>
        <w:rPr>
          <w:rFonts w:ascii="Arial" w:eastAsia="Arial" w:hAnsi="Arial" w:cs="Arial"/>
        </w:rPr>
      </w:pPr>
    </w:p>
    <w:p w14:paraId="3C2BD2AE" w14:textId="77777777" w:rsidR="00E41725" w:rsidRDefault="00E464B3">
      <w:pPr>
        <w:spacing w:after="0" w:line="360" w:lineRule="auto"/>
        <w:jc w:val="both"/>
        <w:rPr>
          <w:rFonts w:ascii="Arial" w:eastAsia="Arial" w:hAnsi="Arial" w:cs="Arial"/>
        </w:rPr>
      </w:pPr>
      <w:r>
        <w:rPr>
          <w:rFonts w:ascii="Arial" w:eastAsia="Arial" w:hAnsi="Arial" w:cs="Arial"/>
        </w:rPr>
        <w:t xml:space="preserve">Rose, A., </w:t>
      </w:r>
      <w:proofErr w:type="spellStart"/>
      <w:r>
        <w:rPr>
          <w:rFonts w:ascii="Arial" w:eastAsia="Arial" w:hAnsi="Arial" w:cs="Arial"/>
        </w:rPr>
        <w:t>Maganding</w:t>
      </w:r>
      <w:proofErr w:type="spellEnd"/>
      <w:r>
        <w:rPr>
          <w:rFonts w:ascii="Arial" w:eastAsia="Arial" w:hAnsi="Arial" w:cs="Arial"/>
        </w:rPr>
        <w:t xml:space="preserve">, D., De Vera, R., </w:t>
      </w:r>
      <w:proofErr w:type="spellStart"/>
      <w:r>
        <w:rPr>
          <w:rFonts w:ascii="Arial" w:eastAsia="Arial" w:hAnsi="Arial" w:cs="Arial"/>
        </w:rPr>
        <w:t>Caduan</w:t>
      </w:r>
      <w:proofErr w:type="spellEnd"/>
      <w:r>
        <w:rPr>
          <w:rFonts w:ascii="Arial" w:eastAsia="Arial" w:hAnsi="Arial" w:cs="Arial"/>
        </w:rPr>
        <w:t xml:space="preserve">, S., Mae, T., </w:t>
      </w:r>
      <w:proofErr w:type="spellStart"/>
      <w:r>
        <w:rPr>
          <w:rFonts w:ascii="Arial" w:eastAsia="Arial" w:hAnsi="Arial" w:cs="Arial"/>
        </w:rPr>
        <w:t>Mayaga</w:t>
      </w:r>
      <w:proofErr w:type="spellEnd"/>
      <w:r>
        <w:rPr>
          <w:rFonts w:ascii="Arial" w:eastAsia="Arial" w:hAnsi="Arial" w:cs="Arial"/>
        </w:rPr>
        <w:t xml:space="preserve">, G., </w:t>
      </w:r>
      <w:proofErr w:type="spellStart"/>
      <w:r>
        <w:rPr>
          <w:rFonts w:ascii="Arial" w:eastAsia="Arial" w:hAnsi="Arial" w:cs="Arial"/>
        </w:rPr>
        <w:t>Revosana</w:t>
      </w:r>
      <w:proofErr w:type="spellEnd"/>
      <w:r>
        <w:rPr>
          <w:rFonts w:ascii="Arial" w:eastAsia="Arial" w:hAnsi="Arial" w:cs="Arial"/>
        </w:rPr>
        <w:t>, M. and Han-</w:t>
      </w:r>
      <w:proofErr w:type="spellStart"/>
      <w:r>
        <w:rPr>
          <w:rFonts w:ascii="Arial" w:eastAsia="Arial" w:hAnsi="Arial" w:cs="Arial"/>
        </w:rPr>
        <w:t>Awon</w:t>
      </w:r>
      <w:proofErr w:type="spellEnd"/>
      <w:r>
        <w:rPr>
          <w:rFonts w:ascii="Arial" w:eastAsia="Arial" w:hAnsi="Arial" w:cs="Arial"/>
        </w:rPr>
        <w:t xml:space="preserve"> (2025). Evaluating the Effectiveness of Marketing Mix Towards Customer Purchase Decision in Local Bakery. [online] Available at: https://rsisinternational.org/journals/ijrsi/uploads/vol12-iss10-pg4145-4157-202511_pdf.pdf [Accessed 6 Jan. 2026].</w:t>
      </w:r>
    </w:p>
    <w:p w14:paraId="783E3181" w14:textId="77777777" w:rsidR="00E41725" w:rsidRDefault="00E41725">
      <w:pPr>
        <w:spacing w:after="0" w:line="360" w:lineRule="auto"/>
        <w:jc w:val="both"/>
        <w:rPr>
          <w:rFonts w:ascii="Arial" w:eastAsia="Arial" w:hAnsi="Arial" w:cs="Arial"/>
        </w:rPr>
      </w:pPr>
    </w:p>
    <w:p w14:paraId="04FE08F8" w14:textId="77777777" w:rsidR="00E41725" w:rsidRDefault="00E464B3">
      <w:pPr>
        <w:spacing w:after="0" w:line="360" w:lineRule="auto"/>
        <w:jc w:val="both"/>
        <w:rPr>
          <w:rFonts w:ascii="Arial" w:eastAsia="Arial" w:hAnsi="Arial" w:cs="Arial"/>
        </w:rPr>
      </w:pPr>
      <w:r>
        <w:rPr>
          <w:rFonts w:ascii="Arial" w:eastAsia="Arial" w:hAnsi="Arial" w:cs="Arial"/>
        </w:rPr>
        <w:t xml:space="preserve">Rosenbaum, D., More, E. and </w:t>
      </w:r>
      <w:proofErr w:type="spellStart"/>
      <w:r>
        <w:rPr>
          <w:rFonts w:ascii="Arial" w:eastAsia="Arial" w:hAnsi="Arial" w:cs="Arial"/>
        </w:rPr>
        <w:t>Steane</w:t>
      </w:r>
      <w:proofErr w:type="spellEnd"/>
      <w:r>
        <w:rPr>
          <w:rFonts w:ascii="Arial" w:eastAsia="Arial" w:hAnsi="Arial" w:cs="Arial"/>
        </w:rPr>
        <w:t xml:space="preserve">, P. (2018). Planned </w:t>
      </w:r>
      <w:proofErr w:type="spellStart"/>
      <w:r>
        <w:rPr>
          <w:rFonts w:ascii="Arial" w:eastAsia="Arial" w:hAnsi="Arial" w:cs="Arial"/>
        </w:rPr>
        <w:t>Organisational</w:t>
      </w:r>
      <w:proofErr w:type="spellEnd"/>
      <w:r>
        <w:rPr>
          <w:rFonts w:ascii="Arial" w:eastAsia="Arial" w:hAnsi="Arial" w:cs="Arial"/>
        </w:rPr>
        <w:t xml:space="preserve"> Change Management. Journal of Organizational Change Management, 31(2), </w:t>
      </w:r>
      <w:proofErr w:type="spellStart"/>
      <w:r>
        <w:rPr>
          <w:rFonts w:ascii="Arial" w:eastAsia="Arial" w:hAnsi="Arial" w:cs="Arial"/>
        </w:rPr>
        <w:t>pp.286</w:t>
      </w:r>
      <w:proofErr w:type="spellEnd"/>
      <w:r>
        <w:rPr>
          <w:rFonts w:ascii="Arial" w:eastAsia="Arial" w:hAnsi="Arial" w:cs="Arial"/>
        </w:rPr>
        <w:t xml:space="preserve">–303.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/10.1108/</w:t>
      </w:r>
      <w:proofErr w:type="spellStart"/>
      <w:r>
        <w:rPr>
          <w:rFonts w:ascii="Arial" w:eastAsia="Arial" w:hAnsi="Arial" w:cs="Arial"/>
        </w:rPr>
        <w:t>jocm</w:t>
      </w:r>
      <w:proofErr w:type="spellEnd"/>
      <w:r>
        <w:rPr>
          <w:rFonts w:ascii="Arial" w:eastAsia="Arial" w:hAnsi="Arial" w:cs="Arial"/>
        </w:rPr>
        <w:t>-06-2015-0089</w:t>
      </w:r>
      <w:proofErr w:type="gramEnd"/>
      <w:r>
        <w:rPr>
          <w:rFonts w:ascii="Arial" w:eastAsia="Arial" w:hAnsi="Arial" w:cs="Arial"/>
        </w:rPr>
        <w:t>.</w:t>
      </w:r>
    </w:p>
    <w:p w14:paraId="20AAC32D" w14:textId="77777777" w:rsidR="00E41725" w:rsidRDefault="00E41725">
      <w:pPr>
        <w:spacing w:after="0" w:line="360" w:lineRule="auto"/>
        <w:jc w:val="both"/>
        <w:rPr>
          <w:rFonts w:ascii="Arial" w:eastAsia="Arial" w:hAnsi="Arial" w:cs="Arial"/>
        </w:rPr>
      </w:pPr>
    </w:p>
    <w:p w14:paraId="520E47D9" w14:textId="77777777" w:rsidR="00E41725" w:rsidRDefault="00E464B3">
      <w:pPr>
        <w:spacing w:after="0" w:line="360" w:lineRule="auto"/>
        <w:jc w:val="both"/>
        <w:rPr>
          <w:rFonts w:ascii="Arial" w:eastAsia="Arial" w:hAnsi="Arial" w:cs="Arial"/>
        </w:rPr>
      </w:pPr>
      <w:r>
        <w:rPr>
          <w:rFonts w:ascii="Arial" w:eastAsia="Arial" w:hAnsi="Arial" w:cs="Arial"/>
        </w:rPr>
        <w:t xml:space="preserve">Stavros </w:t>
      </w:r>
      <w:proofErr w:type="spellStart"/>
      <w:r>
        <w:rPr>
          <w:rFonts w:ascii="Arial" w:eastAsia="Arial" w:hAnsi="Arial" w:cs="Arial"/>
        </w:rPr>
        <w:t>Valsamidis</w:t>
      </w:r>
      <w:proofErr w:type="spellEnd"/>
      <w:r>
        <w:rPr>
          <w:rFonts w:ascii="Arial" w:eastAsia="Arial" w:hAnsi="Arial" w:cs="Arial"/>
        </w:rPr>
        <w:t xml:space="preserve">, Aikaterini </w:t>
      </w:r>
      <w:proofErr w:type="spellStart"/>
      <w:r>
        <w:rPr>
          <w:rFonts w:ascii="Arial" w:eastAsia="Arial" w:hAnsi="Arial" w:cs="Arial"/>
        </w:rPr>
        <w:t>Tsisinou</w:t>
      </w:r>
      <w:proofErr w:type="spellEnd"/>
      <w:r>
        <w:rPr>
          <w:rFonts w:ascii="Arial" w:eastAsia="Arial" w:hAnsi="Arial" w:cs="Arial"/>
        </w:rPr>
        <w:t xml:space="preserve">, </w:t>
      </w:r>
      <w:proofErr w:type="spellStart"/>
      <w:r>
        <w:rPr>
          <w:rFonts w:ascii="Arial" w:eastAsia="Arial" w:hAnsi="Arial" w:cs="Arial"/>
        </w:rPr>
        <w:t>Giannoula</w:t>
      </w:r>
      <w:proofErr w:type="spellEnd"/>
      <w:r>
        <w:rPr>
          <w:rFonts w:ascii="Arial" w:eastAsia="Arial" w:hAnsi="Arial" w:cs="Arial"/>
        </w:rPr>
        <w:t xml:space="preserve"> Florou and </w:t>
      </w:r>
      <w:proofErr w:type="spellStart"/>
      <w:r>
        <w:rPr>
          <w:rFonts w:ascii="Arial" w:eastAsia="Arial" w:hAnsi="Arial" w:cs="Arial"/>
        </w:rPr>
        <w:t>Gounopoulos</w:t>
      </w:r>
      <w:proofErr w:type="spellEnd"/>
      <w:r>
        <w:rPr>
          <w:rFonts w:ascii="Arial" w:eastAsia="Arial" w:hAnsi="Arial" w:cs="Arial"/>
        </w:rPr>
        <w:t xml:space="preserve">, E. (2025). Digital Disruption in Promoting and Advertising. Springer proceedings in business and economics, </w:t>
      </w:r>
      <w:proofErr w:type="spellStart"/>
      <w:r>
        <w:rPr>
          <w:rFonts w:ascii="Arial" w:eastAsia="Arial" w:hAnsi="Arial" w:cs="Arial"/>
        </w:rPr>
        <w:t>pp.275</w:t>
      </w:r>
      <w:proofErr w:type="spellEnd"/>
      <w:r>
        <w:rPr>
          <w:rFonts w:ascii="Arial" w:eastAsia="Arial" w:hAnsi="Arial" w:cs="Arial"/>
        </w:rPr>
        <w:t xml:space="preserve">–295.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/10.1007/978-3-031-90054-9_18</w:t>
      </w:r>
      <w:proofErr w:type="gramEnd"/>
      <w:r>
        <w:rPr>
          <w:rFonts w:ascii="Arial" w:eastAsia="Arial" w:hAnsi="Arial" w:cs="Arial"/>
        </w:rPr>
        <w:t>.</w:t>
      </w:r>
    </w:p>
    <w:p w14:paraId="08E73A02" w14:textId="77777777" w:rsidR="00E41725" w:rsidRDefault="00E41725">
      <w:pPr>
        <w:spacing w:after="0" w:line="360" w:lineRule="auto"/>
        <w:jc w:val="both"/>
        <w:rPr>
          <w:rFonts w:ascii="Arial" w:eastAsia="Arial" w:hAnsi="Arial" w:cs="Arial"/>
        </w:rPr>
      </w:pPr>
    </w:p>
    <w:p w14:paraId="29A920F7" w14:textId="77777777" w:rsidR="00E41725" w:rsidRDefault="00E464B3">
      <w:pPr>
        <w:spacing w:after="0" w:line="360" w:lineRule="auto"/>
        <w:jc w:val="both"/>
        <w:rPr>
          <w:rFonts w:ascii="Arial" w:eastAsia="Arial" w:hAnsi="Arial" w:cs="Arial"/>
        </w:rPr>
      </w:pPr>
      <w:proofErr w:type="spellStart"/>
      <w:r>
        <w:rPr>
          <w:rFonts w:ascii="Arial" w:eastAsia="Arial" w:hAnsi="Arial" w:cs="Arial"/>
        </w:rPr>
        <w:t>Swito</w:t>
      </w:r>
      <w:proofErr w:type="spellEnd"/>
      <w:r>
        <w:rPr>
          <w:rFonts w:ascii="Arial" w:eastAsia="Arial" w:hAnsi="Arial" w:cs="Arial"/>
        </w:rPr>
        <w:t xml:space="preserve">, I. and </w:t>
      </w:r>
      <w:proofErr w:type="spellStart"/>
      <w:r>
        <w:rPr>
          <w:rFonts w:ascii="Arial" w:eastAsia="Arial" w:hAnsi="Arial" w:cs="Arial"/>
        </w:rPr>
        <w:t>Sidin</w:t>
      </w:r>
      <w:proofErr w:type="spellEnd"/>
      <w:r>
        <w:rPr>
          <w:rFonts w:ascii="Arial" w:eastAsia="Arial" w:hAnsi="Arial" w:cs="Arial"/>
        </w:rPr>
        <w:t xml:space="preserve">, I. (2020). Barriers and Facilitators Implementation of Evidence-Based Nursing practice in Hospitals: A Literature Review. STRADA </w:t>
      </w:r>
      <w:proofErr w:type="spellStart"/>
      <w:r>
        <w:rPr>
          <w:rFonts w:ascii="Arial" w:eastAsia="Arial" w:hAnsi="Arial" w:cs="Arial"/>
        </w:rPr>
        <w:t>Jurnal</w:t>
      </w:r>
      <w:proofErr w:type="spellEnd"/>
      <w:r>
        <w:rPr>
          <w:rFonts w:ascii="Arial" w:eastAsia="Arial" w:hAnsi="Arial" w:cs="Arial"/>
        </w:rPr>
        <w:t xml:space="preserve"> </w:t>
      </w:r>
      <w:proofErr w:type="spellStart"/>
      <w:r>
        <w:rPr>
          <w:rFonts w:ascii="Arial" w:eastAsia="Arial" w:hAnsi="Arial" w:cs="Arial"/>
        </w:rPr>
        <w:t>Ilmiah</w:t>
      </w:r>
      <w:proofErr w:type="spellEnd"/>
      <w:r>
        <w:rPr>
          <w:rFonts w:ascii="Arial" w:eastAsia="Arial" w:hAnsi="Arial" w:cs="Arial"/>
        </w:rPr>
        <w:t xml:space="preserve"> Kesehatan, 9(2), </w:t>
      </w:r>
      <w:proofErr w:type="spellStart"/>
      <w:r>
        <w:rPr>
          <w:rFonts w:ascii="Arial" w:eastAsia="Arial" w:hAnsi="Arial" w:cs="Arial"/>
        </w:rPr>
        <w:t>pp.1504</w:t>
      </w:r>
      <w:proofErr w:type="spellEnd"/>
      <w:r>
        <w:rPr>
          <w:rFonts w:ascii="Arial" w:eastAsia="Arial" w:hAnsi="Arial" w:cs="Arial"/>
        </w:rPr>
        <w:t xml:space="preserve">–1511.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/10.30994/</w:t>
      </w:r>
      <w:proofErr w:type="spellStart"/>
      <w:r>
        <w:rPr>
          <w:rFonts w:ascii="Arial" w:eastAsia="Arial" w:hAnsi="Arial" w:cs="Arial"/>
        </w:rPr>
        <w:t>sjik.v9i2.338</w:t>
      </w:r>
      <w:proofErr w:type="spellEnd"/>
      <w:proofErr w:type="gramEnd"/>
      <w:r>
        <w:rPr>
          <w:rFonts w:ascii="Arial" w:eastAsia="Arial" w:hAnsi="Arial" w:cs="Arial"/>
        </w:rPr>
        <w:t>.</w:t>
      </w:r>
    </w:p>
    <w:p w14:paraId="58626D16" w14:textId="77777777" w:rsidR="00E41725" w:rsidRDefault="00E41725">
      <w:pPr>
        <w:spacing w:after="0" w:line="360" w:lineRule="auto"/>
        <w:jc w:val="both"/>
        <w:rPr>
          <w:rFonts w:ascii="Arial" w:eastAsia="Arial" w:hAnsi="Arial" w:cs="Arial"/>
        </w:rPr>
      </w:pPr>
    </w:p>
    <w:p w14:paraId="52FFB829" w14:textId="77777777" w:rsidR="00E41725" w:rsidRDefault="00E464B3">
      <w:pPr>
        <w:spacing w:after="0" w:line="360" w:lineRule="auto"/>
        <w:jc w:val="both"/>
        <w:rPr>
          <w:rFonts w:ascii="Arial" w:eastAsia="Arial" w:hAnsi="Arial" w:cs="Arial"/>
        </w:rPr>
      </w:pPr>
      <w:r>
        <w:rPr>
          <w:rFonts w:ascii="Arial" w:eastAsia="Arial" w:hAnsi="Arial" w:cs="Arial"/>
        </w:rPr>
        <w:t xml:space="preserve">Tuominen, S., Reijonen, H., Nagy, G., Buratti, A. and Laukkanen, T. (2022). Customer-centric strategy driving innovativeness and business growth in international markets. International Marketing Review, [online] 40(3), </w:t>
      </w:r>
      <w:proofErr w:type="spellStart"/>
      <w:r>
        <w:rPr>
          <w:rFonts w:ascii="Arial" w:eastAsia="Arial" w:hAnsi="Arial" w:cs="Arial"/>
        </w:rPr>
        <w:t>pp.479</w:t>
      </w:r>
      <w:proofErr w:type="spellEnd"/>
      <w:r>
        <w:rPr>
          <w:rFonts w:ascii="Arial" w:eastAsia="Arial" w:hAnsi="Arial" w:cs="Arial"/>
        </w:rPr>
        <w:t xml:space="preserve">–496. Available at: </w:t>
      </w:r>
      <w:hyperlink r:id="rId13">
        <w:r>
          <w:rPr>
            <w:rFonts w:ascii="Arial" w:eastAsia="Arial" w:hAnsi="Arial" w:cs="Arial"/>
            <w:color w:val="0563C1"/>
            <w:u w:val="single"/>
          </w:rPr>
          <w:t>https://www.emerald.com/insight/content/doi/10.1108/imr-09-2020-0215/full/html</w:t>
        </w:r>
      </w:hyperlink>
    </w:p>
    <w:p w14:paraId="3748EE90" w14:textId="77777777" w:rsidR="00E41725" w:rsidRDefault="00E41725">
      <w:pPr>
        <w:spacing w:after="0" w:line="360" w:lineRule="auto"/>
        <w:jc w:val="both"/>
        <w:rPr>
          <w:rFonts w:ascii="Arial" w:eastAsia="Arial" w:hAnsi="Arial" w:cs="Arial"/>
        </w:rPr>
      </w:pPr>
    </w:p>
    <w:p w14:paraId="03F4D2D9" w14:textId="77777777" w:rsidR="00E41725" w:rsidRDefault="00E464B3">
      <w:pPr>
        <w:spacing w:after="0" w:line="360" w:lineRule="auto"/>
        <w:jc w:val="both"/>
        <w:rPr>
          <w:rFonts w:ascii="Arial" w:eastAsia="Arial" w:hAnsi="Arial" w:cs="Arial"/>
        </w:rPr>
      </w:pPr>
      <w:r>
        <w:rPr>
          <w:rFonts w:ascii="Arial" w:eastAsia="Arial" w:hAnsi="Arial" w:cs="Arial"/>
        </w:rPr>
        <w:t xml:space="preserve">van Esch, P., von der Heidt, T., </w:t>
      </w:r>
      <w:proofErr w:type="spellStart"/>
      <w:r>
        <w:rPr>
          <w:rFonts w:ascii="Arial" w:eastAsia="Arial" w:hAnsi="Arial" w:cs="Arial"/>
        </w:rPr>
        <w:t>Frethey</w:t>
      </w:r>
      <w:proofErr w:type="spellEnd"/>
      <w:r>
        <w:rPr>
          <w:rFonts w:ascii="Arial" w:eastAsia="Arial" w:hAnsi="Arial" w:cs="Arial"/>
        </w:rPr>
        <w:t xml:space="preserve">-Bentham, C. and Northey, G. (2020). THE EFFECT OF MARKETING SIMULATIONS ON STUDENT ENGAGEMENT AND ACADEMIC OUTCOMES. Marketing Education Review, 30(1), </w:t>
      </w:r>
      <w:proofErr w:type="spellStart"/>
      <w:r>
        <w:rPr>
          <w:rFonts w:ascii="Arial" w:eastAsia="Arial" w:hAnsi="Arial" w:cs="Arial"/>
        </w:rPr>
        <w:t>pp.43</w:t>
      </w:r>
      <w:proofErr w:type="spellEnd"/>
      <w:r>
        <w:rPr>
          <w:rFonts w:ascii="Arial" w:eastAsia="Arial" w:hAnsi="Arial" w:cs="Arial"/>
        </w:rPr>
        <w:t xml:space="preserve">–56.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/10.1080/10528008.2020.1713003</w:t>
      </w:r>
      <w:proofErr w:type="gramEnd"/>
      <w:r>
        <w:rPr>
          <w:rFonts w:ascii="Arial" w:eastAsia="Arial" w:hAnsi="Arial" w:cs="Arial"/>
        </w:rPr>
        <w:t>.</w:t>
      </w:r>
    </w:p>
    <w:p w14:paraId="62497BB6" w14:textId="77777777" w:rsidR="00E41725" w:rsidRDefault="00E41725">
      <w:pPr>
        <w:spacing w:after="0" w:line="360" w:lineRule="auto"/>
        <w:jc w:val="both"/>
        <w:rPr>
          <w:rFonts w:ascii="Arial" w:eastAsia="Arial" w:hAnsi="Arial" w:cs="Arial"/>
        </w:rPr>
      </w:pPr>
    </w:p>
    <w:p w14:paraId="381BEDC1" w14:textId="77777777" w:rsidR="00E41725" w:rsidRDefault="00E464B3">
      <w:pPr>
        <w:spacing w:after="0" w:line="360" w:lineRule="auto"/>
        <w:jc w:val="both"/>
        <w:rPr>
          <w:rFonts w:ascii="Arial" w:eastAsia="Arial" w:hAnsi="Arial" w:cs="Arial"/>
        </w:rPr>
      </w:pPr>
      <w:r>
        <w:rPr>
          <w:rFonts w:ascii="Arial" w:eastAsia="Arial" w:hAnsi="Arial" w:cs="Arial"/>
        </w:rPr>
        <w:t xml:space="preserve">Verhoef, P.C., Broekhuizen, T., Bart, Y., Bhattacharya, A., Qi Dong, J., Fabian, N. and Haenlein, M. (2021). Digital transformation: a Multidisciplinary Reflection and Research </w:t>
      </w:r>
      <w:r>
        <w:rPr>
          <w:rFonts w:ascii="Arial" w:eastAsia="Arial" w:hAnsi="Arial" w:cs="Arial"/>
        </w:rPr>
        <w:lastRenderedPageBreak/>
        <w:t xml:space="preserve">Agenda. Journal of Business Research, [online] 122(122), </w:t>
      </w:r>
      <w:proofErr w:type="spellStart"/>
      <w:r>
        <w:rPr>
          <w:rFonts w:ascii="Arial" w:eastAsia="Arial" w:hAnsi="Arial" w:cs="Arial"/>
        </w:rPr>
        <w:t>pp.889</w:t>
      </w:r>
      <w:proofErr w:type="spellEnd"/>
      <w:r>
        <w:rPr>
          <w:rFonts w:ascii="Arial" w:eastAsia="Arial" w:hAnsi="Arial" w:cs="Arial"/>
        </w:rPr>
        <w:t xml:space="preserve">–901.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/10.1016/</w:t>
      </w:r>
      <w:proofErr w:type="spellStart"/>
      <w:r>
        <w:rPr>
          <w:rFonts w:ascii="Arial" w:eastAsia="Arial" w:hAnsi="Arial" w:cs="Arial"/>
        </w:rPr>
        <w:t>j.jbusres.2019.09.022</w:t>
      </w:r>
      <w:proofErr w:type="spellEnd"/>
      <w:proofErr w:type="gramEnd"/>
      <w:r>
        <w:rPr>
          <w:rFonts w:ascii="Arial" w:eastAsia="Arial" w:hAnsi="Arial" w:cs="Arial"/>
        </w:rPr>
        <w:t>.</w:t>
      </w:r>
    </w:p>
    <w:p w14:paraId="227CC986" w14:textId="77777777" w:rsidR="00E41725" w:rsidRDefault="00E41725">
      <w:pPr>
        <w:spacing w:after="0" w:line="360" w:lineRule="auto"/>
        <w:jc w:val="both"/>
        <w:rPr>
          <w:rFonts w:ascii="Arial" w:eastAsia="Arial" w:hAnsi="Arial" w:cs="Arial"/>
        </w:rPr>
      </w:pPr>
    </w:p>
    <w:p w14:paraId="284BED4D" w14:textId="77777777" w:rsidR="00E41725" w:rsidRDefault="00E464B3">
      <w:pPr>
        <w:spacing w:after="0" w:line="360" w:lineRule="auto"/>
        <w:jc w:val="both"/>
        <w:rPr>
          <w:rFonts w:ascii="Arial" w:eastAsia="Arial" w:hAnsi="Arial" w:cs="Arial"/>
        </w:rPr>
      </w:pPr>
      <w:r>
        <w:rPr>
          <w:rFonts w:ascii="Arial" w:eastAsia="Arial" w:hAnsi="Arial" w:cs="Arial"/>
        </w:rPr>
        <w:t xml:space="preserve">Yin, F., Qian, Y., Zeng, J. and Wei, X. (2024). The Spatial Spillover Effects of Transportation Infrastructure on Regional Economic Growth—An Empirical Study at the Provincial Level in China. Sustainability, 16(19), </w:t>
      </w:r>
      <w:proofErr w:type="spellStart"/>
      <w:r>
        <w:rPr>
          <w:rFonts w:ascii="Arial" w:eastAsia="Arial" w:hAnsi="Arial" w:cs="Arial"/>
        </w:rPr>
        <w:t>pp.8689</w:t>
      </w:r>
      <w:proofErr w:type="spellEnd"/>
      <w:r>
        <w:rPr>
          <w:rFonts w:ascii="Arial" w:eastAsia="Arial" w:hAnsi="Arial" w:cs="Arial"/>
        </w:rPr>
        <w:t xml:space="preserve">–8689.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/10.3390/</w:t>
      </w:r>
      <w:proofErr w:type="spellStart"/>
      <w:r>
        <w:rPr>
          <w:rFonts w:ascii="Arial" w:eastAsia="Arial" w:hAnsi="Arial" w:cs="Arial"/>
        </w:rPr>
        <w:t>su16198689</w:t>
      </w:r>
      <w:proofErr w:type="spellEnd"/>
      <w:proofErr w:type="gramEnd"/>
      <w:r>
        <w:rPr>
          <w:rFonts w:ascii="Arial" w:eastAsia="Arial" w:hAnsi="Arial" w:cs="Arial"/>
        </w:rPr>
        <w:t>.</w:t>
      </w:r>
    </w:p>
    <w:p w14:paraId="03DB71BA" w14:textId="77777777" w:rsidR="00E41725" w:rsidRDefault="00E41725">
      <w:pPr>
        <w:spacing w:after="0" w:line="360" w:lineRule="auto"/>
        <w:jc w:val="both"/>
        <w:rPr>
          <w:rFonts w:ascii="Arial" w:eastAsia="Arial" w:hAnsi="Arial" w:cs="Arial"/>
        </w:rPr>
      </w:pPr>
    </w:p>
    <w:p w14:paraId="14A69C61" w14:textId="77777777" w:rsidR="00E41725" w:rsidRDefault="00E464B3">
      <w:pPr>
        <w:spacing w:after="0" w:line="360" w:lineRule="auto"/>
        <w:jc w:val="both"/>
        <w:rPr>
          <w:rFonts w:ascii="Arial" w:eastAsia="Arial" w:hAnsi="Arial" w:cs="Arial"/>
        </w:rPr>
      </w:pPr>
      <w:r>
        <w:rPr>
          <w:rFonts w:ascii="Arial" w:eastAsia="Arial" w:hAnsi="Arial" w:cs="Arial"/>
        </w:rPr>
        <w:t xml:space="preserve">Yusuf, M. and </w:t>
      </w:r>
      <w:proofErr w:type="spellStart"/>
      <w:r>
        <w:rPr>
          <w:rFonts w:ascii="Arial" w:eastAsia="Arial" w:hAnsi="Arial" w:cs="Arial"/>
        </w:rPr>
        <w:t>Matiin</w:t>
      </w:r>
      <w:proofErr w:type="spellEnd"/>
      <w:r>
        <w:rPr>
          <w:rFonts w:ascii="Arial" w:eastAsia="Arial" w:hAnsi="Arial" w:cs="Arial"/>
        </w:rPr>
        <w:t xml:space="preserve">, N. (2022). ANALYSIS OF THE EFFECT OF THE MARKETING MIX ON PURCHASING DECISIONS. International Journal of Economics and Management Research, [online] 1(3), </w:t>
      </w:r>
      <w:proofErr w:type="spellStart"/>
      <w:r>
        <w:rPr>
          <w:rFonts w:ascii="Arial" w:eastAsia="Arial" w:hAnsi="Arial" w:cs="Arial"/>
        </w:rPr>
        <w:t>pp.177</w:t>
      </w:r>
      <w:proofErr w:type="spellEnd"/>
      <w:r>
        <w:rPr>
          <w:rFonts w:ascii="Arial" w:eastAsia="Arial" w:hAnsi="Arial" w:cs="Arial"/>
        </w:rPr>
        <w:t xml:space="preserve">–182. Available at: </w:t>
      </w:r>
      <w:hyperlink r:id="rId14">
        <w:r>
          <w:rPr>
            <w:rFonts w:ascii="Arial" w:eastAsia="Arial" w:hAnsi="Arial" w:cs="Arial"/>
            <w:color w:val="0563C1"/>
            <w:u w:val="single"/>
          </w:rPr>
          <w:t>http://ijemr.politeknikpratama.ac.id/index.php/ijemr/article/view/56</w:t>
        </w:r>
      </w:hyperlink>
      <w:r>
        <w:rPr>
          <w:rFonts w:ascii="Arial" w:eastAsia="Arial" w:hAnsi="Arial" w:cs="Arial"/>
        </w:rPr>
        <w:t>.</w:t>
      </w:r>
    </w:p>
    <w:p w14:paraId="56C9E45E" w14:textId="77777777" w:rsidR="00E41725" w:rsidRDefault="00E41725">
      <w:pPr>
        <w:spacing w:after="0" w:line="360" w:lineRule="auto"/>
        <w:jc w:val="both"/>
        <w:rPr>
          <w:rFonts w:ascii="Arial" w:eastAsia="Arial" w:hAnsi="Arial" w:cs="Arial"/>
        </w:rPr>
      </w:pPr>
    </w:p>
    <w:p w14:paraId="1A4ACDA8" w14:textId="77777777" w:rsidR="00E41725" w:rsidRDefault="00E464B3">
      <w:pPr>
        <w:spacing w:after="0" w:line="360" w:lineRule="auto"/>
        <w:jc w:val="both"/>
        <w:rPr>
          <w:rFonts w:ascii="Arial" w:eastAsia="Arial" w:hAnsi="Arial" w:cs="Arial"/>
        </w:rPr>
      </w:pPr>
      <w:r>
        <w:rPr>
          <w:rFonts w:ascii="Arial" w:eastAsia="Arial" w:hAnsi="Arial" w:cs="Arial"/>
        </w:rPr>
        <w:t xml:space="preserve">Zhang, J., Li, D. and Fan, X. (2018). A Customer-Centric Trust Evaluation Model for Personalized Service Selection. Scientific Programming, 2018, </w:t>
      </w:r>
      <w:proofErr w:type="spellStart"/>
      <w:r>
        <w:rPr>
          <w:rFonts w:ascii="Arial" w:eastAsia="Arial" w:hAnsi="Arial" w:cs="Arial"/>
        </w:rPr>
        <w:t>pp.1</w:t>
      </w:r>
      <w:proofErr w:type="spellEnd"/>
      <w:r>
        <w:rPr>
          <w:rFonts w:ascii="Arial" w:eastAsia="Arial" w:hAnsi="Arial" w:cs="Arial"/>
        </w:rPr>
        <w:t xml:space="preserve">–13. </w:t>
      </w:r>
      <w:proofErr w:type="spellStart"/>
      <w:proofErr w:type="gramStart"/>
      <w:r>
        <w:rPr>
          <w:rFonts w:ascii="Arial" w:eastAsia="Arial" w:hAnsi="Arial" w:cs="Arial"/>
        </w:rPr>
        <w:t>doi:https</w:t>
      </w:r>
      <w:proofErr w:type="spellEnd"/>
      <w:r>
        <w:rPr>
          <w:rFonts w:ascii="Arial" w:eastAsia="Arial" w:hAnsi="Arial" w:cs="Arial"/>
        </w:rPr>
        <w:t>://</w:t>
      </w:r>
      <w:proofErr w:type="spellStart"/>
      <w:r>
        <w:rPr>
          <w:rFonts w:ascii="Arial" w:eastAsia="Arial" w:hAnsi="Arial" w:cs="Arial"/>
        </w:rPr>
        <w:t>doi.org</w:t>
      </w:r>
      <w:proofErr w:type="spellEnd"/>
      <w:r>
        <w:rPr>
          <w:rFonts w:ascii="Arial" w:eastAsia="Arial" w:hAnsi="Arial" w:cs="Arial"/>
        </w:rPr>
        <w:t>/10.1155/2018/4819195</w:t>
      </w:r>
      <w:proofErr w:type="gramEnd"/>
      <w:r>
        <w:rPr>
          <w:rFonts w:ascii="Arial" w:eastAsia="Arial" w:hAnsi="Arial" w:cs="Arial"/>
        </w:rPr>
        <w:t>.</w:t>
      </w:r>
    </w:p>
    <w:p w14:paraId="42C061E6" w14:textId="77777777" w:rsidR="00E41725" w:rsidRDefault="00E41725">
      <w:pPr>
        <w:spacing w:after="0" w:line="360" w:lineRule="auto"/>
        <w:jc w:val="both"/>
        <w:rPr>
          <w:rFonts w:ascii="Arial" w:eastAsia="Arial" w:hAnsi="Arial" w:cs="Arial"/>
        </w:rPr>
      </w:pPr>
    </w:p>
    <w:p w14:paraId="69789369" w14:textId="77777777" w:rsidR="00E41725" w:rsidRDefault="00E41725">
      <w:pPr>
        <w:spacing w:after="0" w:line="360" w:lineRule="auto"/>
        <w:jc w:val="both"/>
        <w:rPr>
          <w:rFonts w:ascii="Arial" w:eastAsia="Arial" w:hAnsi="Arial" w:cs="Arial"/>
        </w:rPr>
      </w:pPr>
    </w:p>
    <w:p w14:paraId="51BC21B3" w14:textId="77777777" w:rsidR="00E41725" w:rsidRDefault="00E41725">
      <w:pPr>
        <w:spacing w:after="0" w:line="360" w:lineRule="auto"/>
        <w:jc w:val="both"/>
        <w:rPr>
          <w:rFonts w:ascii="Arial" w:eastAsia="Arial" w:hAnsi="Arial" w:cs="Arial"/>
        </w:rPr>
      </w:pPr>
    </w:p>
    <w:p w14:paraId="3965A1DA" w14:textId="77777777" w:rsidR="00E41725" w:rsidRDefault="00E41725">
      <w:pPr>
        <w:spacing w:after="0" w:line="360" w:lineRule="auto"/>
        <w:jc w:val="both"/>
        <w:rPr>
          <w:rFonts w:ascii="Arial" w:eastAsia="Arial" w:hAnsi="Arial" w:cs="Arial"/>
        </w:rPr>
      </w:pPr>
    </w:p>
    <w:sectPr w:rsidR="00E41725">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EA993" w14:textId="77777777" w:rsidR="006A53BC" w:rsidRDefault="006A53BC">
      <w:pPr>
        <w:spacing w:after="0" w:line="240" w:lineRule="auto"/>
      </w:pPr>
      <w:r>
        <w:separator/>
      </w:r>
    </w:p>
  </w:endnote>
  <w:endnote w:type="continuationSeparator" w:id="0">
    <w:p w14:paraId="70C1BDEC" w14:textId="77777777" w:rsidR="006A53BC" w:rsidRDefault="006A5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embedRegular r:id="rId1" w:fontKey="{C6C041D5-3F83-4334-B237-9C31B44A6051}"/>
    <w:embedBold r:id="rId2" w:fontKey="{84680FB8-B0B6-4F98-98AB-9B0D288AA61F}"/>
    <w:embedItalic r:id="rId3" w:fontKey="{D2718337-1F10-452B-9D6E-7B0DCB5FCCA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6E14E278-06D0-41C1-AA42-B7C51B116B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BBE0E" w14:textId="77777777" w:rsidR="00E41725" w:rsidRDefault="00E464B3">
    <w:pPr>
      <w:jc w:val="right"/>
    </w:pPr>
    <w:r>
      <w:fldChar w:fldCharType="begin"/>
    </w:r>
    <w:r>
      <w:instrText>PAGE</w:instrText>
    </w:r>
    <w:r>
      <w:fldChar w:fldCharType="separate"/>
    </w:r>
    <w:r w:rsidR="00A8356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EDEA0" w14:textId="77777777" w:rsidR="006A53BC" w:rsidRDefault="006A53BC">
      <w:pPr>
        <w:spacing w:after="0" w:line="240" w:lineRule="auto"/>
      </w:pPr>
      <w:r>
        <w:separator/>
      </w:r>
    </w:p>
  </w:footnote>
  <w:footnote w:type="continuationSeparator" w:id="0">
    <w:p w14:paraId="0A40A4FE" w14:textId="77777777" w:rsidR="006A53BC" w:rsidRDefault="006A53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1373B"/>
    <w:multiLevelType w:val="multilevel"/>
    <w:tmpl w:val="03064B9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725"/>
    <w:rsid w:val="0018546C"/>
    <w:rsid w:val="006A53BC"/>
    <w:rsid w:val="00A83565"/>
    <w:rsid w:val="00E41725"/>
    <w:rsid w:val="00E464B3"/>
    <w:rsid w:val="00FE0E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A1D72"/>
  <w15:docId w15:val="{CAECB651-4895-41F5-89C2-531367453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ind w:left="432" w:hanging="432"/>
      <w:outlineLvl w:val="0"/>
    </w:pPr>
    <w:rPr>
      <w:rFonts w:ascii="Arial" w:eastAsia="Arial" w:hAnsi="Arial" w:cs="Arial"/>
      <w:b/>
      <w:bCs/>
      <w:color w:val="4472C4"/>
      <w:sz w:val="32"/>
      <w:szCs w:val="32"/>
    </w:rPr>
  </w:style>
  <w:style w:type="paragraph" w:styleId="Heading2">
    <w:name w:val="heading 2"/>
    <w:basedOn w:val="Normal"/>
    <w:next w:val="Normal"/>
    <w:uiPriority w:val="9"/>
    <w:unhideWhenUsed/>
    <w:qFormat/>
    <w:pPr>
      <w:keepNext/>
      <w:keepLines/>
      <w:spacing w:before="160" w:after="80"/>
      <w:ind w:left="576" w:hanging="576"/>
      <w:outlineLvl w:val="1"/>
    </w:pPr>
    <w:rPr>
      <w:b/>
      <w:bCs/>
      <w:color w:val="000000"/>
    </w:rPr>
  </w:style>
  <w:style w:type="paragraph" w:styleId="Heading3">
    <w:name w:val="heading 3"/>
    <w:basedOn w:val="Normal"/>
    <w:next w:val="Normal"/>
    <w:uiPriority w:val="9"/>
    <w:semiHidden/>
    <w:unhideWhenUsed/>
    <w:qFormat/>
    <w:pPr>
      <w:keepNext/>
      <w:keepLines/>
      <w:spacing w:before="160" w:after="80"/>
      <w:ind w:left="720" w:hanging="72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ind w:left="864" w:hanging="864"/>
      <w:outlineLvl w:val="3"/>
    </w:pPr>
    <w:rPr>
      <w:i/>
      <w:iCs/>
      <w:color w:val="2F5496"/>
    </w:rPr>
  </w:style>
  <w:style w:type="paragraph" w:styleId="Heading5">
    <w:name w:val="heading 5"/>
    <w:basedOn w:val="Normal"/>
    <w:next w:val="Normal"/>
    <w:uiPriority w:val="9"/>
    <w:semiHidden/>
    <w:unhideWhenUsed/>
    <w:qFormat/>
    <w:pPr>
      <w:keepNext/>
      <w:keepLines/>
      <w:spacing w:before="80" w:after="40"/>
      <w:ind w:left="1008" w:hanging="1008"/>
      <w:outlineLvl w:val="4"/>
    </w:pPr>
    <w:rPr>
      <w:color w:val="2F5496"/>
    </w:rPr>
  </w:style>
  <w:style w:type="paragraph" w:styleId="Heading6">
    <w:name w:val="heading 6"/>
    <w:basedOn w:val="Normal"/>
    <w:next w:val="Normal"/>
    <w:uiPriority w:val="9"/>
    <w:semiHidden/>
    <w:unhideWhenUsed/>
    <w:qFormat/>
    <w:pPr>
      <w:keepNext/>
      <w:keepLines/>
      <w:spacing w:before="40" w:after="0"/>
      <w:ind w:left="1152" w:hanging="1152"/>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paragraph" w:styleId="TOC1">
    <w:name w:val="toc 1"/>
    <w:basedOn w:val="Normal"/>
    <w:next w:val="Normal"/>
    <w:autoRedefine/>
    <w:uiPriority w:val="39"/>
    <w:unhideWhenUsed/>
    <w:rsid w:val="0018546C"/>
    <w:pPr>
      <w:spacing w:after="100"/>
    </w:pPr>
  </w:style>
  <w:style w:type="paragraph" w:styleId="TOC2">
    <w:name w:val="toc 2"/>
    <w:basedOn w:val="Normal"/>
    <w:next w:val="Normal"/>
    <w:autoRedefine/>
    <w:uiPriority w:val="39"/>
    <w:unhideWhenUsed/>
    <w:rsid w:val="0018546C"/>
    <w:pPr>
      <w:spacing w:after="100"/>
      <w:ind w:left="240"/>
    </w:pPr>
  </w:style>
  <w:style w:type="character" w:styleId="Hyperlink">
    <w:name w:val="Hyperlink"/>
    <w:basedOn w:val="DefaultParagraphFont"/>
    <w:uiPriority w:val="99"/>
    <w:unhideWhenUsed/>
    <w:rsid w:val="0018546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erald.com/insight/content/doi/10.1108/imr-09-2020-0215/full/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nk.springer.com/article/10.1007/s11747-019-00711-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pers.ssrn.com/sol3/papers.cfm?abstract_id=319220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papers.ssrn.com/sol3/papers.cfm?abstract_id=383569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ijemr.politeknikpratama.ac.id/index.php/ijemr/article/view/5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6420</Words>
  <Characters>36597</Characters>
  <Application>Microsoft Office Word</Application>
  <DocSecurity>0</DocSecurity>
  <Lines>304</Lines>
  <Paragraphs>85</Paragraphs>
  <ScaleCrop>false</ScaleCrop>
  <Company/>
  <LinksUpToDate>false</LinksUpToDate>
  <CharactersWithSpaces>42932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Md Rakib</cp:lastModifiedBy>
  <cp:revision>2</cp:revision>
  <dcterms:created xsi:type="dcterms:W3CDTF">2026-01-07T15:40:00Z</dcterms:created>
  <dcterms:modified xsi:type="dcterms:W3CDTF">2026-01-07T15:40:00Z</dcterms:modified>
</cp:coreProperties>
</file>