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75A02B5" w14:textId="5F3BF4B0" w:rsidR="005A11BC" w:rsidRPr="005A11BC" w:rsidRDefault="005A11BC" w:rsidP="00080BD0">
      <w:pPr>
        <w:spacing w:before="100" w:beforeAutospacing="1" w:after="100" w:afterAutospacing="1" w:line="240" w:lineRule="auto"/>
        <w:jc w:val="center"/>
        <w:outlineLvl w:val="0"/>
        <w:rPr>
          <w:rFonts w:ascii="Times New Roman" w:eastAsia="Times New Roman" w:hAnsi="Times New Roman" w:cs="Times New Roman"/>
          <w:b/>
          <w:bCs/>
          <w:color w:val="153D63" w:themeColor="text2" w:themeTint="E6"/>
          <w:kern w:val="36"/>
          <w:sz w:val="50"/>
          <w:szCs w:val="50"/>
          <w:u w:val="single"/>
          <w14:ligatures w14:val="none"/>
        </w:rPr>
      </w:pPr>
      <w:r w:rsidRPr="005A11BC">
        <w:rPr>
          <w:rFonts w:ascii="Times New Roman" w:eastAsia="Times New Roman" w:hAnsi="Times New Roman" w:cs="Times New Roman"/>
          <w:b/>
          <w:bCs/>
          <w:color w:val="153D63" w:themeColor="text2" w:themeTint="E6"/>
          <w:kern w:val="36"/>
          <w:sz w:val="50"/>
          <w:szCs w:val="50"/>
          <w:u w:val="single"/>
          <w14:ligatures w14:val="none"/>
        </w:rPr>
        <w:t>In-Depth Analysis</w:t>
      </w:r>
      <w:r w:rsidRPr="00080BD0">
        <w:rPr>
          <w:rFonts w:ascii="Times New Roman" w:eastAsia="Times New Roman" w:hAnsi="Times New Roman" w:cs="Times New Roman"/>
          <w:b/>
          <w:bCs/>
          <w:color w:val="153D63" w:themeColor="text2" w:themeTint="E6"/>
          <w:kern w:val="36"/>
          <w:sz w:val="50"/>
          <w:szCs w:val="50"/>
          <w:u w:val="single"/>
          <w14:ligatures w14:val="none"/>
        </w:rPr>
        <w:t>-</w:t>
      </w:r>
    </w:p>
    <w:p w14:paraId="54EDD3D0" w14:textId="6CF49226" w:rsidR="0053052C" w:rsidRPr="00080BD0" w:rsidRDefault="0053052C" w:rsidP="00080BD0">
      <w:pPr>
        <w:spacing w:before="100" w:beforeAutospacing="1" w:after="100" w:afterAutospacing="1" w:line="240" w:lineRule="auto"/>
        <w:jc w:val="center"/>
        <w:outlineLvl w:val="0"/>
        <w:rPr>
          <w:rFonts w:ascii="Times New Roman" w:eastAsia="Times New Roman" w:hAnsi="Times New Roman" w:cs="Times New Roman"/>
          <w:b/>
          <w:bCs/>
          <w:color w:val="153D63" w:themeColor="text2" w:themeTint="E6"/>
          <w:kern w:val="36"/>
          <w:sz w:val="50"/>
          <w:szCs w:val="50"/>
          <w:u w:val="single"/>
          <w14:ligatures w14:val="none"/>
        </w:rPr>
      </w:pPr>
      <w:r w:rsidRPr="0053052C">
        <w:rPr>
          <w:rFonts w:ascii="Times New Roman" w:eastAsia="Times New Roman" w:hAnsi="Times New Roman" w:cs="Times New Roman"/>
          <w:b/>
          <w:bCs/>
          <w:color w:val="153D63" w:themeColor="text2" w:themeTint="E6"/>
          <w:kern w:val="36"/>
          <w:sz w:val="50"/>
          <w:szCs w:val="50"/>
          <w:u w:val="single"/>
          <w14:ligatures w14:val="none"/>
        </w:rPr>
        <w:t>CV and Employability Workshop</w:t>
      </w:r>
    </w:p>
    <w:p w14:paraId="641B38D8" w14:textId="7BDCFB9A" w:rsidR="006D20E6" w:rsidRPr="0053052C" w:rsidRDefault="006D20E6" w:rsidP="0053052C">
      <w:pPr>
        <w:spacing w:before="100" w:beforeAutospacing="1" w:after="100" w:afterAutospacing="1" w:line="240" w:lineRule="auto"/>
        <w:outlineLvl w:val="0"/>
        <w:rPr>
          <w:rFonts w:ascii="Times New Roman" w:eastAsia="Times New Roman" w:hAnsi="Times New Roman" w:cs="Times New Roman"/>
          <w:b/>
          <w:bCs/>
          <w:color w:val="153D63" w:themeColor="text2" w:themeTint="E6"/>
          <w:kern w:val="36"/>
          <w:sz w:val="50"/>
          <w:szCs w:val="50"/>
          <w:u w:val="single"/>
          <w14:ligatures w14:val="none"/>
        </w:rPr>
      </w:pPr>
      <w:r w:rsidRPr="00080BD0">
        <w:rPr>
          <w:noProof/>
          <w:color w:val="153D63" w:themeColor="text2" w:themeTint="E6"/>
          <w:sz w:val="50"/>
          <w:szCs w:val="50"/>
          <w:u w:val="single"/>
        </w:rPr>
        <w:drawing>
          <wp:anchor distT="0" distB="0" distL="114300" distR="114300" simplePos="0" relativeHeight="251659264" behindDoc="0" locked="0" layoutInCell="1" allowOverlap="1" wp14:anchorId="67AD2D7E" wp14:editId="79B71FD9">
            <wp:simplePos x="0" y="0"/>
            <wp:positionH relativeFrom="column">
              <wp:posOffset>0</wp:posOffset>
            </wp:positionH>
            <wp:positionV relativeFrom="paragraph">
              <wp:posOffset>528320</wp:posOffset>
            </wp:positionV>
            <wp:extent cx="5731510" cy="3173730"/>
            <wp:effectExtent l="0" t="0" r="0" b="1270"/>
            <wp:wrapTopAndBottom/>
            <wp:docPr id="22407299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4072991" name=""/>
                    <pic:cNvPicPr/>
                  </pic:nvPicPr>
                  <pic:blipFill>
                    <a:blip r:embed="rId6"/>
                    <a:stretch>
                      <a:fillRect/>
                    </a:stretch>
                  </pic:blipFill>
                  <pic:spPr>
                    <a:xfrm>
                      <a:off x="0" y="0"/>
                      <a:ext cx="5731510" cy="3173730"/>
                    </a:xfrm>
                    <a:prstGeom prst="rect">
                      <a:avLst/>
                    </a:prstGeom>
                  </pic:spPr>
                </pic:pic>
              </a:graphicData>
            </a:graphic>
          </wp:anchor>
        </w:drawing>
      </w:r>
    </w:p>
    <w:p w14:paraId="42E3BD56" w14:textId="77777777" w:rsidR="0053052C" w:rsidRPr="0053052C" w:rsidRDefault="0053052C" w:rsidP="0053052C">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sidRPr="0053052C">
        <w:rPr>
          <w:rFonts w:ascii="Times New Roman" w:eastAsia="Times New Roman" w:hAnsi="Times New Roman" w:cs="Times New Roman"/>
          <w:b/>
          <w:bCs/>
          <w:color w:val="153D63" w:themeColor="text2" w:themeTint="E6"/>
          <w:kern w:val="0"/>
          <w:sz w:val="36"/>
          <w:szCs w:val="36"/>
          <w14:ligatures w14:val="none"/>
        </w:rPr>
        <w:t>Introduction</w:t>
      </w:r>
    </w:p>
    <w:p w14:paraId="35E35FDD" w14:textId="6EB6C0D3"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 xml:space="preserve">During my placement I had the opportunity to deliver a </w:t>
      </w:r>
      <w:r w:rsidR="00647E41" w:rsidRPr="0053052C">
        <w:rPr>
          <w:rFonts w:ascii="Times New Roman" w:hAnsi="Times New Roman" w:cs="Times New Roman"/>
          <w:color w:val="000000"/>
          <w:kern w:val="0"/>
          <w14:ligatures w14:val="none"/>
        </w:rPr>
        <w:t>30</w:t>
      </w:r>
      <w:r w:rsidR="00647E41">
        <w:rPr>
          <w:rFonts w:ascii="Times New Roman" w:hAnsi="Times New Roman" w:cs="Times New Roman"/>
          <w:color w:val="000000"/>
          <w:kern w:val="0"/>
          <w14:ligatures w14:val="none"/>
        </w:rPr>
        <w:t>-minute</w:t>
      </w:r>
      <w:r w:rsidRPr="0053052C">
        <w:rPr>
          <w:rFonts w:ascii="Times New Roman" w:hAnsi="Times New Roman" w:cs="Times New Roman"/>
          <w:color w:val="000000"/>
          <w:kern w:val="0"/>
          <w14:ligatures w14:val="none"/>
        </w:rPr>
        <w:t xml:space="preserve"> workshop during the weekly “7 o’clock session,” which takes place at the start of every youth club night. These sessions </w:t>
      </w:r>
      <w:bookmarkStart w:id="0" w:name="_Int_Cgfm4yBK"/>
      <w:r w:rsidRPr="0053052C">
        <w:rPr>
          <w:rFonts w:ascii="Times New Roman" w:hAnsi="Times New Roman" w:cs="Times New Roman"/>
          <w:color w:val="000000"/>
          <w:kern w:val="0"/>
          <w14:ligatures w14:val="none"/>
        </w:rPr>
        <w:t>are designed</w:t>
      </w:r>
      <w:bookmarkEnd w:id="0"/>
      <w:r w:rsidRPr="0053052C">
        <w:rPr>
          <w:rFonts w:ascii="Times New Roman" w:hAnsi="Times New Roman" w:cs="Times New Roman"/>
          <w:color w:val="000000"/>
          <w:kern w:val="0"/>
          <w14:ligatures w14:val="none"/>
        </w:rPr>
        <w:t xml:space="preserve"> for staff to deliver short workshops based on the needs and interests of the young people who attend the club. The young people who attend the youth club are aged between 11 and 17, and over time many of them had spoken to me about wanting to get a job</w:t>
      </w:r>
      <w:r w:rsidR="00CE1137">
        <w:rPr>
          <w:rFonts w:ascii="Times New Roman" w:hAnsi="Times New Roman" w:cs="Times New Roman"/>
          <w:color w:val="000000"/>
          <w:kern w:val="0"/>
          <w14:ligatures w14:val="none"/>
        </w:rPr>
        <w:t xml:space="preserve">. </w:t>
      </w:r>
      <w:r w:rsidRPr="0053052C">
        <w:rPr>
          <w:rFonts w:ascii="Times New Roman" w:hAnsi="Times New Roman" w:cs="Times New Roman"/>
          <w:color w:val="000000"/>
          <w:kern w:val="0"/>
          <w14:ligatures w14:val="none"/>
        </w:rPr>
        <w:t xml:space="preserve">Through informal conversations, I realised that several of them were unsure about what a CV </w:t>
      </w:r>
      <w:r w:rsidR="003D40F1" w:rsidRPr="0053052C">
        <w:rPr>
          <w:rFonts w:ascii="Times New Roman" w:hAnsi="Times New Roman" w:cs="Times New Roman"/>
          <w:color w:val="000000"/>
          <w:kern w:val="0"/>
          <w14:ligatures w14:val="none"/>
        </w:rPr>
        <w:t>was</w:t>
      </w:r>
      <w:r w:rsidRPr="0053052C">
        <w:rPr>
          <w:rFonts w:ascii="Times New Roman" w:hAnsi="Times New Roman" w:cs="Times New Roman"/>
          <w:color w:val="000000"/>
          <w:kern w:val="0"/>
          <w14:ligatures w14:val="none"/>
        </w:rPr>
        <w:t xml:space="preserve">, while others said they would like some help with creating one. A few young people had some basic knowledge already, but </w:t>
      </w:r>
      <w:r w:rsidR="003D40F1" w:rsidRPr="0053052C">
        <w:rPr>
          <w:rFonts w:ascii="Times New Roman" w:hAnsi="Times New Roman" w:cs="Times New Roman"/>
          <w:color w:val="000000"/>
          <w:kern w:val="0"/>
          <w14:ligatures w14:val="none"/>
        </w:rPr>
        <w:t>overall,</w:t>
      </w:r>
      <w:r w:rsidRPr="0053052C">
        <w:rPr>
          <w:rFonts w:ascii="Times New Roman" w:hAnsi="Times New Roman" w:cs="Times New Roman"/>
          <w:color w:val="000000"/>
          <w:kern w:val="0"/>
          <w14:ligatures w14:val="none"/>
        </w:rPr>
        <w:t xml:space="preserve"> there seemed to be a gap in understanding about how to present themselves and their skills. Because of this, I decided to plan and deliver a short PowerPoint workshop introducing the idea of CVs and employability skills.</w:t>
      </w:r>
    </w:p>
    <w:p w14:paraId="6EE17008" w14:textId="4ABDAEB7" w:rsidR="0053052C" w:rsidRPr="0053052C" w:rsidRDefault="003D40F1" w:rsidP="0053052C">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sidRPr="00080BD0">
        <w:rPr>
          <w:rFonts w:ascii="Times New Roman" w:eastAsia="Times New Roman" w:hAnsi="Times New Roman" w:cs="Times New Roman"/>
          <w:b/>
          <w:bCs/>
          <w:color w:val="153D63" w:themeColor="text2" w:themeTint="E6"/>
          <w:kern w:val="0"/>
          <w:sz w:val="36"/>
          <w:szCs w:val="36"/>
          <w14:ligatures w14:val="none"/>
        </w:rPr>
        <w:t>Finding</w:t>
      </w:r>
      <w:r w:rsidR="0053052C" w:rsidRPr="0053052C">
        <w:rPr>
          <w:rFonts w:ascii="Times New Roman" w:eastAsia="Times New Roman" w:hAnsi="Times New Roman" w:cs="Times New Roman"/>
          <w:b/>
          <w:bCs/>
          <w:color w:val="153D63" w:themeColor="text2" w:themeTint="E6"/>
          <w:kern w:val="0"/>
          <w:sz w:val="36"/>
          <w:szCs w:val="36"/>
          <w14:ligatures w14:val="none"/>
        </w:rPr>
        <w:t xml:space="preserve"> the Needs of Young People</w:t>
      </w:r>
    </w:p>
    <w:p w14:paraId="5993DF70" w14:textId="52719297" w:rsid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 xml:space="preserve">Youth work practice emphasises responding to the needs, interests, and experiences of young people. </w:t>
      </w:r>
      <w:bookmarkStart w:id="1" w:name="_Int_vvNShIw1"/>
      <w:r w:rsidRPr="0053052C">
        <w:rPr>
          <w:rFonts w:ascii="Times New Roman" w:hAnsi="Times New Roman" w:cs="Times New Roman"/>
          <w:color w:val="000000"/>
          <w:kern w:val="0"/>
          <w14:ligatures w14:val="none"/>
        </w:rPr>
        <w:t>By listening to the young people during informal conversations, it</w:t>
      </w:r>
      <w:bookmarkEnd w:id="1"/>
      <w:r w:rsidRPr="0053052C">
        <w:rPr>
          <w:rFonts w:ascii="Times New Roman" w:hAnsi="Times New Roman" w:cs="Times New Roman"/>
          <w:color w:val="000000"/>
          <w:kern w:val="0"/>
          <w14:ligatures w14:val="none"/>
        </w:rPr>
        <w:t xml:space="preserve"> became clear that employability was a topic they wanted to explore. Some had already considered part-time jobs, while others were unsure how to begin the process. According to </w:t>
      </w:r>
      <w:r w:rsidR="003D40F1" w:rsidRPr="0053052C">
        <w:rPr>
          <w:rFonts w:ascii="Times New Roman" w:hAnsi="Times New Roman" w:cs="Times New Roman"/>
          <w:color w:val="000000"/>
          <w:kern w:val="0"/>
          <w14:ligatures w14:val="none"/>
        </w:rPr>
        <w:t>Jeff’s</w:t>
      </w:r>
      <w:r w:rsidRPr="0053052C">
        <w:rPr>
          <w:rFonts w:ascii="Times New Roman" w:hAnsi="Times New Roman" w:cs="Times New Roman"/>
          <w:color w:val="000000"/>
          <w:kern w:val="0"/>
          <w14:ligatures w14:val="none"/>
        </w:rPr>
        <w:t xml:space="preserve"> and Smith (2010), youth work </w:t>
      </w:r>
      <w:bookmarkStart w:id="2" w:name="_Int_vh6rp3Jr"/>
      <w:r w:rsidRPr="0053052C">
        <w:rPr>
          <w:rFonts w:ascii="Times New Roman" w:hAnsi="Times New Roman" w:cs="Times New Roman"/>
          <w:color w:val="000000"/>
          <w:kern w:val="0"/>
          <w14:ligatures w14:val="none"/>
        </w:rPr>
        <w:t xml:space="preserve">is </w:t>
      </w:r>
      <w:r w:rsidR="003D40F1" w:rsidRPr="0053052C">
        <w:rPr>
          <w:rFonts w:ascii="Times New Roman" w:hAnsi="Times New Roman" w:cs="Times New Roman"/>
          <w:color w:val="000000"/>
          <w:kern w:val="0"/>
          <w14:ligatures w14:val="none"/>
        </w:rPr>
        <w:t>linked</w:t>
      </w:r>
      <w:bookmarkEnd w:id="2"/>
      <w:r w:rsidRPr="0053052C">
        <w:rPr>
          <w:rFonts w:ascii="Times New Roman" w:hAnsi="Times New Roman" w:cs="Times New Roman"/>
          <w:color w:val="000000"/>
          <w:kern w:val="0"/>
          <w14:ligatures w14:val="none"/>
        </w:rPr>
        <w:t xml:space="preserve"> to informal education, where learning takes place through discussion, activities, and relationships rather than formal classroom teaching. The decision </w:t>
      </w:r>
      <w:r w:rsidRPr="0053052C">
        <w:rPr>
          <w:rFonts w:ascii="Times New Roman" w:hAnsi="Times New Roman" w:cs="Times New Roman"/>
          <w:color w:val="000000"/>
          <w:kern w:val="0"/>
          <w14:ligatures w14:val="none"/>
        </w:rPr>
        <w:lastRenderedPageBreak/>
        <w:t>to deliver a CV workshop was therefore based on listening to young people and responding to their expressed needs.</w:t>
      </w:r>
    </w:p>
    <w:p w14:paraId="60D7844C" w14:textId="4D973567" w:rsidR="00080BD0" w:rsidRPr="0053052C" w:rsidRDefault="008521E0" w:rsidP="0053052C">
      <w:pPr>
        <w:spacing w:before="100" w:beforeAutospacing="1" w:after="100" w:afterAutospacing="1" w:line="240" w:lineRule="auto"/>
        <w:rPr>
          <w:rFonts w:ascii="Times New Roman" w:hAnsi="Times New Roman" w:cs="Times New Roman"/>
          <w:color w:val="000000"/>
          <w:kern w:val="0"/>
          <w14:ligatures w14:val="none"/>
        </w:rPr>
      </w:pPr>
      <w:r>
        <w:rPr>
          <w:noProof/>
        </w:rPr>
        <w:drawing>
          <wp:anchor distT="0" distB="0" distL="114300" distR="114300" simplePos="0" relativeHeight="251671552" behindDoc="0" locked="0" layoutInCell="1" allowOverlap="1" wp14:anchorId="3CE87CFF" wp14:editId="61CF4D6D">
            <wp:simplePos x="0" y="0"/>
            <wp:positionH relativeFrom="column">
              <wp:posOffset>0</wp:posOffset>
            </wp:positionH>
            <wp:positionV relativeFrom="paragraph">
              <wp:posOffset>350520</wp:posOffset>
            </wp:positionV>
            <wp:extent cx="3122295" cy="1740535"/>
            <wp:effectExtent l="0" t="0" r="1905" b="0"/>
            <wp:wrapTopAndBottom/>
            <wp:docPr id="21152379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5237947" name=""/>
                    <pic:cNvPicPr/>
                  </pic:nvPicPr>
                  <pic:blipFill>
                    <a:blip r:embed="rId7"/>
                    <a:stretch>
                      <a:fillRect/>
                    </a:stretch>
                  </pic:blipFill>
                  <pic:spPr>
                    <a:xfrm>
                      <a:off x="0" y="0"/>
                      <a:ext cx="3122295" cy="1740535"/>
                    </a:xfrm>
                    <a:prstGeom prst="rect">
                      <a:avLst/>
                    </a:prstGeom>
                  </pic:spPr>
                </pic:pic>
              </a:graphicData>
            </a:graphic>
            <wp14:sizeRelH relativeFrom="margin">
              <wp14:pctWidth>0</wp14:pctWidth>
            </wp14:sizeRelH>
            <wp14:sizeRelV relativeFrom="margin">
              <wp14:pctHeight>0</wp14:pctHeight>
            </wp14:sizeRelV>
          </wp:anchor>
        </w:drawing>
      </w:r>
    </w:p>
    <w:p w14:paraId="7E347E0D" w14:textId="48B1F6FA" w:rsidR="00944FAC" w:rsidRDefault="00F65736" w:rsidP="0053052C">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Pr>
          <w:noProof/>
        </w:rPr>
        <w:drawing>
          <wp:anchor distT="0" distB="0" distL="114300" distR="114300" simplePos="0" relativeHeight="251673600" behindDoc="0" locked="0" layoutInCell="1" allowOverlap="1" wp14:anchorId="6E5CC3B6" wp14:editId="6333AB4A">
            <wp:simplePos x="0" y="0"/>
            <wp:positionH relativeFrom="column">
              <wp:posOffset>2011045</wp:posOffset>
            </wp:positionH>
            <wp:positionV relativeFrom="paragraph">
              <wp:posOffset>2053590</wp:posOffset>
            </wp:positionV>
            <wp:extent cx="3578860" cy="2017395"/>
            <wp:effectExtent l="0" t="0" r="2540" b="1905"/>
            <wp:wrapTopAndBottom/>
            <wp:docPr id="48081124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0811244" name=""/>
                    <pic:cNvPicPr/>
                  </pic:nvPicPr>
                  <pic:blipFill>
                    <a:blip r:embed="rId8"/>
                    <a:stretch>
                      <a:fillRect/>
                    </a:stretch>
                  </pic:blipFill>
                  <pic:spPr>
                    <a:xfrm>
                      <a:off x="0" y="0"/>
                      <a:ext cx="3578860" cy="2017395"/>
                    </a:xfrm>
                    <a:prstGeom prst="rect">
                      <a:avLst/>
                    </a:prstGeom>
                  </pic:spPr>
                </pic:pic>
              </a:graphicData>
            </a:graphic>
            <wp14:sizeRelH relativeFrom="margin">
              <wp14:pctWidth>0</wp14:pctWidth>
            </wp14:sizeRelH>
            <wp14:sizeRelV relativeFrom="margin">
              <wp14:pctHeight>0</wp14:pctHeight>
            </wp14:sizeRelV>
          </wp:anchor>
        </w:drawing>
      </w:r>
    </w:p>
    <w:p w14:paraId="18EFA12F" w14:textId="783757E9" w:rsidR="0053052C" w:rsidRPr="0053052C" w:rsidRDefault="0053052C" w:rsidP="0053052C">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sidRPr="0053052C">
        <w:rPr>
          <w:rFonts w:ascii="Times New Roman" w:eastAsia="Times New Roman" w:hAnsi="Times New Roman" w:cs="Times New Roman"/>
          <w:b/>
          <w:bCs/>
          <w:color w:val="153D63" w:themeColor="text2" w:themeTint="E6"/>
          <w:kern w:val="0"/>
          <w:sz w:val="36"/>
          <w:szCs w:val="36"/>
          <w14:ligatures w14:val="none"/>
        </w:rPr>
        <w:t>Workshop Design and Activities</w:t>
      </w:r>
    </w:p>
    <w:p w14:paraId="3C074537"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To begin the session, I used an icebreaker activity called “Who’s Most Likely To.” This activity helped create a relaxed and engaging environment where young people felt comfortable participating. Starting with a game encouraged discussion and built confidence, allowing everyone to feel included in the session.</w:t>
      </w:r>
    </w:p>
    <w:p w14:paraId="7DF73135"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Following the icebreaker, I focused on helping young people recognise that they already have valuable skills. Many of them initially believed that they had no skills because they had not yet had a job. I reassured them that skills can come from everyday experiences such as school, sports, hobbies, or responsibilities at home. For example, playing video games can develop problem-solving skills, participating in sports builds teamwork and communication skills, and attending school or youth club demonstrates commitment and reliability. Helping young people recognise these transferable skills reflects a strengths-based approach to youth work (</w:t>
      </w:r>
      <w:proofErr w:type="spellStart"/>
      <w:r w:rsidRPr="0053052C">
        <w:rPr>
          <w:rFonts w:ascii="Times New Roman" w:hAnsi="Times New Roman" w:cs="Times New Roman"/>
          <w:color w:val="000000"/>
          <w:kern w:val="0"/>
          <w14:ligatures w14:val="none"/>
        </w:rPr>
        <w:t>Ord</w:t>
      </w:r>
      <w:proofErr w:type="spellEnd"/>
      <w:r w:rsidRPr="0053052C">
        <w:rPr>
          <w:rFonts w:ascii="Times New Roman" w:hAnsi="Times New Roman" w:cs="Times New Roman"/>
          <w:color w:val="000000"/>
          <w:kern w:val="0"/>
          <w14:ligatures w14:val="none"/>
        </w:rPr>
        <w:t>, 2012).</w:t>
      </w:r>
    </w:p>
    <w:p w14:paraId="0F27C37B" w14:textId="353FD78B" w:rsidR="0053052C" w:rsidRPr="0053052C" w:rsidRDefault="003237E2" w:rsidP="0053052C">
      <w:pPr>
        <w:spacing w:before="100" w:beforeAutospacing="1" w:after="100" w:afterAutospacing="1" w:line="240" w:lineRule="auto"/>
        <w:rPr>
          <w:rFonts w:ascii="Times New Roman" w:hAnsi="Times New Roman" w:cs="Times New Roman"/>
          <w:color w:val="000000"/>
          <w:kern w:val="0"/>
          <w14:ligatures w14:val="none"/>
        </w:rPr>
      </w:pPr>
      <w:r>
        <w:rPr>
          <w:noProof/>
        </w:rPr>
        <w:lastRenderedPageBreak/>
        <w:drawing>
          <wp:anchor distT="0" distB="0" distL="114300" distR="114300" simplePos="0" relativeHeight="251667456" behindDoc="0" locked="0" layoutInCell="1" allowOverlap="1" wp14:anchorId="14B85E49" wp14:editId="7AF0C946">
            <wp:simplePos x="0" y="0"/>
            <wp:positionH relativeFrom="column">
              <wp:posOffset>2513330</wp:posOffset>
            </wp:positionH>
            <wp:positionV relativeFrom="paragraph">
              <wp:posOffset>3398520</wp:posOffset>
            </wp:positionV>
            <wp:extent cx="3481705" cy="1908175"/>
            <wp:effectExtent l="0" t="0" r="0" b="0"/>
            <wp:wrapTopAndBottom/>
            <wp:docPr id="9775195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7519518" name=""/>
                    <pic:cNvPicPr/>
                  </pic:nvPicPr>
                  <pic:blipFill>
                    <a:blip r:embed="rId9"/>
                    <a:stretch>
                      <a:fillRect/>
                    </a:stretch>
                  </pic:blipFill>
                  <pic:spPr>
                    <a:xfrm>
                      <a:off x="0" y="0"/>
                      <a:ext cx="3481705" cy="1908175"/>
                    </a:xfrm>
                    <a:prstGeom prst="rect">
                      <a:avLst/>
                    </a:prstGeom>
                  </pic:spPr>
                </pic:pic>
              </a:graphicData>
            </a:graphic>
            <wp14:sizeRelH relativeFrom="margin">
              <wp14:pctWidth>0</wp14:pctWidth>
            </wp14:sizeRelH>
            <wp14:sizeRelV relativeFrom="margin">
              <wp14:pctHeight>0</wp14:pctHeight>
            </wp14:sizeRelV>
          </wp:anchor>
        </w:drawing>
      </w:r>
      <w:r w:rsidR="0053052C" w:rsidRPr="0053052C">
        <w:rPr>
          <w:rFonts w:ascii="Times New Roman" w:hAnsi="Times New Roman" w:cs="Times New Roman"/>
          <w:color w:val="000000"/>
          <w:kern w:val="0"/>
          <w14:ligatures w14:val="none"/>
        </w:rPr>
        <w:t>The PowerPoint explained the main sections of a CV, including personal information, a short summary, skills, education, achievements, and experience. To make the session interactive, I displayed different career paths and asked the young people to decide who in the group was most likely to succeed in each role. This activity generated discussion and allowed the young people to identify strengths in themselves and their peers. The feedback was positive, with many young people engaged throughout and actively contributing ideas.</w:t>
      </w:r>
    </w:p>
    <w:p w14:paraId="31E22781" w14:textId="6D3CC85C" w:rsidR="00EA5454" w:rsidRPr="0053052C" w:rsidRDefault="006F2AE4" w:rsidP="0053052C">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Pr>
          <w:noProof/>
        </w:rPr>
        <w:drawing>
          <wp:anchor distT="0" distB="0" distL="114300" distR="114300" simplePos="0" relativeHeight="251669504" behindDoc="0" locked="0" layoutInCell="1" allowOverlap="1" wp14:anchorId="63E1096A" wp14:editId="7BD33C92">
            <wp:simplePos x="0" y="0"/>
            <wp:positionH relativeFrom="column">
              <wp:posOffset>-1270</wp:posOffset>
            </wp:positionH>
            <wp:positionV relativeFrom="paragraph">
              <wp:posOffset>110490</wp:posOffset>
            </wp:positionV>
            <wp:extent cx="3674110" cy="2050415"/>
            <wp:effectExtent l="0" t="0" r="0" b="0"/>
            <wp:wrapTopAndBottom/>
            <wp:docPr id="19649781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4978103" name=""/>
                    <pic:cNvPicPr/>
                  </pic:nvPicPr>
                  <pic:blipFill>
                    <a:blip r:embed="rId10"/>
                    <a:stretch>
                      <a:fillRect/>
                    </a:stretch>
                  </pic:blipFill>
                  <pic:spPr>
                    <a:xfrm>
                      <a:off x="0" y="0"/>
                      <a:ext cx="3674110" cy="2050415"/>
                    </a:xfrm>
                    <a:prstGeom prst="rect">
                      <a:avLst/>
                    </a:prstGeom>
                  </pic:spPr>
                </pic:pic>
              </a:graphicData>
            </a:graphic>
            <wp14:sizeRelH relativeFrom="margin">
              <wp14:pctWidth>0</wp14:pctWidth>
            </wp14:sizeRelH>
            <wp14:sizeRelV relativeFrom="margin">
              <wp14:pctHeight>0</wp14:pctHeight>
            </wp14:sizeRelV>
          </wp:anchor>
        </w:drawing>
      </w:r>
      <w:r w:rsidR="0053052C" w:rsidRPr="0053052C">
        <w:rPr>
          <w:rFonts w:ascii="Times New Roman" w:eastAsia="Times New Roman" w:hAnsi="Times New Roman" w:cs="Times New Roman"/>
          <w:b/>
          <w:bCs/>
          <w:color w:val="153D63" w:themeColor="text2" w:themeTint="E6"/>
          <w:kern w:val="0"/>
          <w:sz w:val="36"/>
          <w:szCs w:val="36"/>
          <w14:ligatures w14:val="none"/>
        </w:rPr>
        <w:t>Follow-Up Session: Creating Mini CVs</w:t>
      </w:r>
    </w:p>
    <w:p w14:paraId="5594E986" w14:textId="128604A4" w:rsidR="008A7424"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 xml:space="preserve">Following the initial workshop, I delivered a second session where young people created their own “mini CVs.” This allowed them to apply the skills learned in the first session in a practical way. Each young person completed a CV including date of birth, personal summary, skills, education, achievements, and experience. They were also given the option to use fake contact details and to draw a picture of themselves to make the activity more fun. While some initially struggled to identify their skills, with encouragement they were able to recognise abilities such as helping at home, participating in school activities, or playing in sports teams. </w:t>
      </w:r>
      <w:r w:rsidRPr="0053052C">
        <w:rPr>
          <w:rFonts w:ascii="Times New Roman" w:hAnsi="Times New Roman" w:cs="Times New Roman"/>
          <w:color w:val="000000"/>
          <w:kern w:val="0"/>
          <w14:ligatures w14:val="none"/>
        </w:rPr>
        <w:lastRenderedPageBreak/>
        <w:t xml:space="preserve">This hands-on approach reflects </w:t>
      </w:r>
      <w:proofErr w:type="spellStart"/>
      <w:r w:rsidRPr="0053052C">
        <w:rPr>
          <w:rFonts w:ascii="Times New Roman" w:hAnsi="Times New Roman" w:cs="Times New Roman"/>
          <w:color w:val="000000"/>
          <w:kern w:val="0"/>
          <w14:ligatures w14:val="none"/>
        </w:rPr>
        <w:t>Kolb’s</w:t>
      </w:r>
      <w:proofErr w:type="spellEnd"/>
      <w:r w:rsidRPr="0053052C">
        <w:rPr>
          <w:rFonts w:ascii="Times New Roman" w:hAnsi="Times New Roman" w:cs="Times New Roman"/>
          <w:color w:val="000000"/>
          <w:kern w:val="0"/>
          <w14:ligatures w14:val="none"/>
        </w:rPr>
        <w:t xml:space="preserve"> experiential learning theory, which highlights the </w:t>
      </w:r>
      <w:r w:rsidR="009047FB">
        <w:rPr>
          <w:noProof/>
        </w:rPr>
        <w:drawing>
          <wp:anchor distT="0" distB="0" distL="114300" distR="114300" simplePos="0" relativeHeight="251661312" behindDoc="0" locked="0" layoutInCell="1" allowOverlap="1" wp14:anchorId="3A715608" wp14:editId="5F3C0276">
            <wp:simplePos x="0" y="0"/>
            <wp:positionH relativeFrom="column">
              <wp:posOffset>2531745</wp:posOffset>
            </wp:positionH>
            <wp:positionV relativeFrom="paragraph">
              <wp:posOffset>702945</wp:posOffset>
            </wp:positionV>
            <wp:extent cx="3235325" cy="5839460"/>
            <wp:effectExtent l="0" t="0" r="3175" b="2540"/>
            <wp:wrapTopAndBottom/>
            <wp:docPr id="10327445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2744583" name=""/>
                    <pic:cNvPicPr/>
                  </pic:nvPicPr>
                  <pic:blipFill>
                    <a:blip r:embed="rId11"/>
                    <a:stretch>
                      <a:fillRect/>
                    </a:stretch>
                  </pic:blipFill>
                  <pic:spPr>
                    <a:xfrm>
                      <a:off x="0" y="0"/>
                      <a:ext cx="3235325" cy="5839460"/>
                    </a:xfrm>
                    <a:prstGeom prst="rect">
                      <a:avLst/>
                    </a:prstGeom>
                  </pic:spPr>
                </pic:pic>
              </a:graphicData>
            </a:graphic>
            <wp14:sizeRelH relativeFrom="margin">
              <wp14:pctWidth>0</wp14:pctWidth>
            </wp14:sizeRelH>
            <wp14:sizeRelV relativeFrom="margin">
              <wp14:pctHeight>0</wp14:pctHeight>
            </wp14:sizeRelV>
          </wp:anchor>
        </w:drawing>
      </w:r>
      <w:r w:rsidR="009047FB">
        <w:rPr>
          <w:noProof/>
        </w:rPr>
        <w:drawing>
          <wp:anchor distT="0" distB="0" distL="114300" distR="114300" simplePos="0" relativeHeight="251663360" behindDoc="0" locked="0" layoutInCell="1" allowOverlap="1" wp14:anchorId="1A1E84EE" wp14:editId="4F2BFFB0">
            <wp:simplePos x="0" y="0"/>
            <wp:positionH relativeFrom="column">
              <wp:posOffset>-635</wp:posOffset>
            </wp:positionH>
            <wp:positionV relativeFrom="paragraph">
              <wp:posOffset>791210</wp:posOffset>
            </wp:positionV>
            <wp:extent cx="2400935" cy="2729230"/>
            <wp:effectExtent l="0" t="0" r="0" b="1270"/>
            <wp:wrapTopAndBottom/>
            <wp:docPr id="15729825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2982525" name=""/>
                    <pic:cNvPicPr/>
                  </pic:nvPicPr>
                  <pic:blipFill>
                    <a:blip r:embed="rId12"/>
                    <a:stretch>
                      <a:fillRect/>
                    </a:stretch>
                  </pic:blipFill>
                  <pic:spPr>
                    <a:xfrm>
                      <a:off x="0" y="0"/>
                      <a:ext cx="2400935" cy="2729230"/>
                    </a:xfrm>
                    <a:prstGeom prst="rect">
                      <a:avLst/>
                    </a:prstGeom>
                  </pic:spPr>
                </pic:pic>
              </a:graphicData>
            </a:graphic>
            <wp14:sizeRelH relativeFrom="margin">
              <wp14:pctWidth>0</wp14:pctWidth>
            </wp14:sizeRelH>
            <wp14:sizeRelV relativeFrom="margin">
              <wp14:pctHeight>0</wp14:pctHeight>
            </wp14:sizeRelV>
          </wp:anchor>
        </w:drawing>
      </w:r>
      <w:r w:rsidR="005F59E6">
        <w:rPr>
          <w:noProof/>
        </w:rPr>
        <w:drawing>
          <wp:anchor distT="0" distB="0" distL="114300" distR="114300" simplePos="0" relativeHeight="251665408" behindDoc="0" locked="0" layoutInCell="1" allowOverlap="1" wp14:anchorId="14FDD18B" wp14:editId="3B354164">
            <wp:simplePos x="0" y="0"/>
            <wp:positionH relativeFrom="column">
              <wp:posOffset>0</wp:posOffset>
            </wp:positionH>
            <wp:positionV relativeFrom="paragraph">
              <wp:posOffset>3692525</wp:posOffset>
            </wp:positionV>
            <wp:extent cx="2400935" cy="2850515"/>
            <wp:effectExtent l="0" t="0" r="0" b="0"/>
            <wp:wrapTopAndBottom/>
            <wp:docPr id="10954048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404827" name=""/>
                    <pic:cNvPicPr/>
                  </pic:nvPicPr>
                  <pic:blipFill>
                    <a:blip r:embed="rId13"/>
                    <a:stretch>
                      <a:fillRect/>
                    </a:stretch>
                  </pic:blipFill>
                  <pic:spPr>
                    <a:xfrm>
                      <a:off x="0" y="0"/>
                      <a:ext cx="2400935" cy="2850515"/>
                    </a:xfrm>
                    <a:prstGeom prst="rect">
                      <a:avLst/>
                    </a:prstGeom>
                  </pic:spPr>
                </pic:pic>
              </a:graphicData>
            </a:graphic>
            <wp14:sizeRelH relativeFrom="margin">
              <wp14:pctWidth>0</wp14:pctWidth>
            </wp14:sizeRelH>
            <wp14:sizeRelV relativeFrom="margin">
              <wp14:pctHeight>0</wp14:pctHeight>
            </wp14:sizeRelV>
          </wp:anchor>
        </w:drawing>
      </w:r>
      <w:r w:rsidRPr="0053052C">
        <w:rPr>
          <w:rFonts w:ascii="Times New Roman" w:hAnsi="Times New Roman" w:cs="Times New Roman"/>
          <w:color w:val="000000"/>
          <w:kern w:val="0"/>
          <w14:ligatures w14:val="none"/>
        </w:rPr>
        <w:t>importance of learning through doing and reflecting on practical experiences (</w:t>
      </w:r>
      <w:proofErr w:type="spellStart"/>
      <w:r w:rsidRPr="0053052C">
        <w:rPr>
          <w:rFonts w:ascii="Times New Roman" w:hAnsi="Times New Roman" w:cs="Times New Roman"/>
          <w:color w:val="000000"/>
          <w:kern w:val="0"/>
          <w14:ligatures w14:val="none"/>
        </w:rPr>
        <w:t>Kolb</w:t>
      </w:r>
      <w:proofErr w:type="spellEnd"/>
      <w:r w:rsidRPr="0053052C">
        <w:rPr>
          <w:rFonts w:ascii="Times New Roman" w:hAnsi="Times New Roman" w:cs="Times New Roman"/>
          <w:color w:val="000000"/>
          <w:kern w:val="0"/>
          <w14:ligatures w14:val="none"/>
        </w:rPr>
        <w:t>, 1984).</w:t>
      </w:r>
    </w:p>
    <w:p w14:paraId="7249AC29" w14:textId="77777777" w:rsidR="005F4462" w:rsidRDefault="005F4462" w:rsidP="0053052C">
      <w:pPr>
        <w:spacing w:before="100" w:beforeAutospacing="1" w:after="100" w:afterAutospacing="1" w:line="240" w:lineRule="auto"/>
        <w:rPr>
          <w:rFonts w:ascii="Times New Roman" w:eastAsia="Times New Roman" w:hAnsi="Times New Roman" w:cs="Times New Roman"/>
          <w:b/>
          <w:bCs/>
          <w:color w:val="000000"/>
          <w:kern w:val="0"/>
          <w:sz w:val="36"/>
          <w:szCs w:val="36"/>
          <w14:ligatures w14:val="none"/>
        </w:rPr>
      </w:pPr>
    </w:p>
    <w:p w14:paraId="3AA03CF1" w14:textId="1727F0B2"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The workshop connects to several youth work theories and principles. Freire’s (1970) ideas on dialogue and empowerment emphasise that learning should be participative, where individuals critically reflect and share ideas rather than passively receiving information. Activities such as “Who’s Most Likely To” encouraged discussion and participation, allowing young people to feel involved in their own learning.</w:t>
      </w:r>
    </w:p>
    <w:p w14:paraId="304EB60E"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The session also demonstrates principles of informal education, which focus on learning through relationships, conversation, and shared experiences (</w:t>
      </w:r>
      <w:proofErr w:type="spellStart"/>
      <w:r w:rsidRPr="0053052C">
        <w:rPr>
          <w:rFonts w:ascii="Times New Roman" w:hAnsi="Times New Roman" w:cs="Times New Roman"/>
          <w:color w:val="000000"/>
          <w:kern w:val="0"/>
          <w14:ligatures w14:val="none"/>
        </w:rPr>
        <w:t>Jeffs</w:t>
      </w:r>
      <w:proofErr w:type="spellEnd"/>
      <w:r w:rsidRPr="0053052C">
        <w:rPr>
          <w:rFonts w:ascii="Times New Roman" w:hAnsi="Times New Roman" w:cs="Times New Roman"/>
          <w:color w:val="000000"/>
          <w:kern w:val="0"/>
          <w14:ligatures w14:val="none"/>
        </w:rPr>
        <w:t xml:space="preserve"> and Smith, 2010). By combining interactive games, group discussion, and hands-on activities, the session created a supportive and engaging environment for learning.</w:t>
      </w:r>
    </w:p>
    <w:p w14:paraId="56AB1306" w14:textId="1AD931D0"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lastRenderedPageBreak/>
        <w:t>Participation and voice were also central to the workshop. The session was planned based on young people’s expressed interests, aligning with the United Nations Convention on the Rights of the Child (1989), particularly Article 12, which states that young people should have the opportunity to express their views and have them taken seriously. By creating a session based on what the young people asked for, I supported their participation, empowerment, and engagement.</w:t>
      </w:r>
    </w:p>
    <w:p w14:paraId="7C05A225" w14:textId="15164129" w:rsidR="0053052C" w:rsidRDefault="007716AA" w:rsidP="0053052C">
      <w:pPr>
        <w:spacing w:before="100" w:beforeAutospacing="1" w:after="100" w:afterAutospacing="1" w:line="240" w:lineRule="auto"/>
        <w:rPr>
          <w:rFonts w:ascii="Times New Roman" w:hAnsi="Times New Roman" w:cs="Times New Roman"/>
          <w:color w:val="000000"/>
          <w:kern w:val="0"/>
          <w14:ligatures w14:val="none"/>
        </w:rPr>
      </w:pPr>
      <w:r>
        <w:rPr>
          <w:noProof/>
        </w:rPr>
        <w:drawing>
          <wp:anchor distT="0" distB="0" distL="114300" distR="114300" simplePos="0" relativeHeight="251675648" behindDoc="0" locked="0" layoutInCell="1" allowOverlap="1" wp14:anchorId="7F1BD281" wp14:editId="33C9A71C">
            <wp:simplePos x="0" y="0"/>
            <wp:positionH relativeFrom="column">
              <wp:posOffset>-88265</wp:posOffset>
            </wp:positionH>
            <wp:positionV relativeFrom="paragraph">
              <wp:posOffset>4709795</wp:posOffset>
            </wp:positionV>
            <wp:extent cx="6216015" cy="2918460"/>
            <wp:effectExtent l="0" t="0" r="0" b="2540"/>
            <wp:wrapTopAndBottom/>
            <wp:docPr id="15788351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8835149" name=""/>
                    <pic:cNvPicPr/>
                  </pic:nvPicPr>
                  <pic:blipFill>
                    <a:blip r:embed="rId14"/>
                    <a:stretch>
                      <a:fillRect/>
                    </a:stretch>
                  </pic:blipFill>
                  <pic:spPr>
                    <a:xfrm>
                      <a:off x="0" y="0"/>
                      <a:ext cx="6216015" cy="2918460"/>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7696" behindDoc="0" locked="0" layoutInCell="1" allowOverlap="1" wp14:anchorId="300DACA1" wp14:editId="763146F5">
            <wp:simplePos x="0" y="0"/>
            <wp:positionH relativeFrom="column">
              <wp:posOffset>3130062</wp:posOffset>
            </wp:positionH>
            <wp:positionV relativeFrom="paragraph">
              <wp:posOffset>1408332</wp:posOffset>
            </wp:positionV>
            <wp:extent cx="2998470" cy="3253008"/>
            <wp:effectExtent l="0" t="0" r="0" b="0"/>
            <wp:wrapTopAndBottom/>
            <wp:docPr id="4435515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3551599" name=""/>
                    <pic:cNvPicPr/>
                  </pic:nvPicPr>
                  <pic:blipFill>
                    <a:blip r:embed="rId15"/>
                    <a:stretch>
                      <a:fillRect/>
                    </a:stretch>
                  </pic:blipFill>
                  <pic:spPr>
                    <a:xfrm>
                      <a:off x="0" y="0"/>
                      <a:ext cx="2998470" cy="3253008"/>
                    </a:xfrm>
                    <a:prstGeom prst="rect">
                      <a:avLst/>
                    </a:prstGeom>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9744" behindDoc="0" locked="0" layoutInCell="1" allowOverlap="1" wp14:anchorId="7B521E3D" wp14:editId="11CE711A">
            <wp:simplePos x="0" y="0"/>
            <wp:positionH relativeFrom="column">
              <wp:posOffset>-88265</wp:posOffset>
            </wp:positionH>
            <wp:positionV relativeFrom="paragraph">
              <wp:posOffset>1407795</wp:posOffset>
            </wp:positionV>
            <wp:extent cx="3094355" cy="3252470"/>
            <wp:effectExtent l="0" t="0" r="4445" b="0"/>
            <wp:wrapTopAndBottom/>
            <wp:docPr id="19727840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2784014" name=""/>
                    <pic:cNvPicPr/>
                  </pic:nvPicPr>
                  <pic:blipFill>
                    <a:blip r:embed="rId16"/>
                    <a:stretch>
                      <a:fillRect/>
                    </a:stretch>
                  </pic:blipFill>
                  <pic:spPr>
                    <a:xfrm>
                      <a:off x="0" y="0"/>
                      <a:ext cx="3094355" cy="3252470"/>
                    </a:xfrm>
                    <a:prstGeom prst="rect">
                      <a:avLst/>
                    </a:prstGeom>
                  </pic:spPr>
                </pic:pic>
              </a:graphicData>
            </a:graphic>
            <wp14:sizeRelH relativeFrom="margin">
              <wp14:pctWidth>0</wp14:pctWidth>
            </wp14:sizeRelH>
            <wp14:sizeRelV relativeFrom="margin">
              <wp14:pctHeight>0</wp14:pctHeight>
            </wp14:sizeRelV>
          </wp:anchor>
        </w:drawing>
      </w:r>
      <w:r w:rsidR="0053052C" w:rsidRPr="0053052C">
        <w:rPr>
          <w:rFonts w:ascii="Times New Roman" w:hAnsi="Times New Roman" w:cs="Times New Roman"/>
          <w:color w:val="000000"/>
          <w:kern w:val="0"/>
          <w14:ligatures w14:val="none"/>
        </w:rPr>
        <w:t>Finally, the session aligns with professional standards for youth work. The Youth Work National Occupational Standards emphasise supporting young people’s personal, social, and educational development (CLD Standards Council Scotland, 2019). The Code of Occupational Ethics for the Youth Service in Wales highlights the responsibility of youth workers to support young people’s wellbeing and development (ETS Wales &amp; YMCA Wales Community College, 2012). By helping young people recognise their skills and build confidence, the workshop fulfilled these professional and ethical requirements.</w:t>
      </w:r>
    </w:p>
    <w:p w14:paraId="370AC8D9" w14:textId="62E6AC7E" w:rsidR="00692427" w:rsidRPr="0053052C" w:rsidRDefault="00692427" w:rsidP="0053052C">
      <w:pPr>
        <w:spacing w:before="100" w:beforeAutospacing="1" w:after="100" w:afterAutospacing="1" w:line="240" w:lineRule="auto"/>
        <w:rPr>
          <w:rFonts w:ascii="Times New Roman" w:hAnsi="Times New Roman" w:cs="Times New Roman"/>
          <w:color w:val="000000"/>
          <w:kern w:val="0"/>
          <w14:ligatures w14:val="none"/>
        </w:rPr>
      </w:pPr>
    </w:p>
    <w:p w14:paraId="7F2A64E4" w14:textId="54A08C37" w:rsidR="0053052C" w:rsidRDefault="0053052C" w:rsidP="0053052C">
      <w:pPr>
        <w:spacing w:before="100" w:beforeAutospacing="1" w:after="100" w:afterAutospacing="1" w:line="240" w:lineRule="auto"/>
        <w:outlineLvl w:val="1"/>
        <w:rPr>
          <w:rFonts w:ascii="Times New Roman" w:eastAsia="Times New Roman" w:hAnsi="Times New Roman" w:cs="Times New Roman"/>
          <w:b/>
          <w:bCs/>
          <w:color w:val="153D63" w:themeColor="text2" w:themeTint="E6"/>
          <w:kern w:val="0"/>
          <w:sz w:val="36"/>
          <w:szCs w:val="36"/>
          <w14:ligatures w14:val="none"/>
        </w:rPr>
      </w:pPr>
      <w:r w:rsidRPr="0053052C">
        <w:rPr>
          <w:rFonts w:ascii="Times New Roman" w:eastAsia="Times New Roman" w:hAnsi="Times New Roman" w:cs="Times New Roman"/>
          <w:b/>
          <w:bCs/>
          <w:color w:val="153D63" w:themeColor="text2" w:themeTint="E6"/>
          <w:kern w:val="0"/>
          <w:sz w:val="36"/>
          <w:szCs w:val="36"/>
          <w14:ligatures w14:val="none"/>
        </w:rPr>
        <w:t>Reflection and Evaluation</w:t>
      </w:r>
    </w:p>
    <w:p w14:paraId="3B86E977" w14:textId="7500C1AB" w:rsidR="0053052C" w:rsidRPr="0053052C" w:rsidRDefault="00BB1626" w:rsidP="0053052C">
      <w:pPr>
        <w:spacing w:after="0" w:line="240" w:lineRule="auto"/>
        <w:rPr>
          <w:rFonts w:ascii="Times New Roman" w:eastAsia="Times New Roman" w:hAnsi="Times New Roman" w:cs="Times New Roman"/>
          <w:kern w:val="0"/>
          <w14:ligatures w14:val="none"/>
        </w:rPr>
      </w:pPr>
      <w:r>
        <w:rPr>
          <w:rFonts w:ascii="-webkit-standard" w:eastAsia="Times New Roman" w:hAnsi="-webkit-standard"/>
          <w:color w:val="000000"/>
          <w:sz w:val="27"/>
          <w:szCs w:val="27"/>
        </w:rPr>
        <w:t xml:space="preserve">Reflecting on the sessions, I feel I was successful in introducing young people to CVs and helping them see the skills they already have. Looking back in this in-depth analysis, it’s clear that the engaging style of the workshops really encouraged participation and discussion, and the young people gave lots of positive feedback while getting a better understanding of what a CV is. Delivering the sessions also helped me build my confidence in planning and leading group activities, and showed me how important informal, strengths-based, and participative approaches are in youth work. This ties in with </w:t>
      </w:r>
      <w:proofErr w:type="spellStart"/>
      <w:r>
        <w:rPr>
          <w:rFonts w:ascii="-webkit-standard" w:eastAsia="Times New Roman" w:hAnsi="-webkit-standard"/>
          <w:color w:val="000000"/>
          <w:sz w:val="27"/>
          <w:szCs w:val="27"/>
        </w:rPr>
        <w:t>Kolb’s</w:t>
      </w:r>
      <w:proofErr w:type="spellEnd"/>
      <w:r>
        <w:rPr>
          <w:rFonts w:ascii="-webkit-standard" w:eastAsia="Times New Roman" w:hAnsi="-webkit-standard"/>
          <w:color w:val="000000"/>
          <w:sz w:val="27"/>
          <w:szCs w:val="27"/>
        </w:rPr>
        <w:t xml:space="preserve"> (1984) idea of experiential learning, as the young people were learning by actually creating their own CVs and thinking about their skills. It also links to strengths-based practice, which focuses on recognising and developing the abilities young people already have (</w:t>
      </w:r>
      <w:proofErr w:type="spellStart"/>
      <w:r>
        <w:rPr>
          <w:rFonts w:ascii="-webkit-standard" w:eastAsia="Times New Roman" w:hAnsi="-webkit-standard"/>
          <w:color w:val="000000"/>
          <w:sz w:val="27"/>
          <w:szCs w:val="27"/>
        </w:rPr>
        <w:t>Ord</w:t>
      </w:r>
      <w:proofErr w:type="spellEnd"/>
      <w:r>
        <w:rPr>
          <w:rFonts w:ascii="-webkit-standard" w:eastAsia="Times New Roman" w:hAnsi="-webkit-standard"/>
          <w:color w:val="000000"/>
          <w:sz w:val="27"/>
          <w:szCs w:val="27"/>
        </w:rPr>
        <w:t>, 2012), and informal education, where learning happens through conversation, interaction, and activities rather than formal teaching (</w:t>
      </w:r>
      <w:proofErr w:type="spellStart"/>
      <w:r>
        <w:rPr>
          <w:rFonts w:ascii="-webkit-standard" w:eastAsia="Times New Roman" w:hAnsi="-webkit-standard"/>
          <w:color w:val="000000"/>
          <w:sz w:val="27"/>
          <w:szCs w:val="27"/>
        </w:rPr>
        <w:t>Jeffs</w:t>
      </w:r>
      <w:proofErr w:type="spellEnd"/>
      <w:r>
        <w:rPr>
          <w:rFonts w:ascii="-webkit-standard" w:eastAsia="Times New Roman" w:hAnsi="-webkit-standard"/>
          <w:color w:val="000000"/>
          <w:sz w:val="27"/>
          <w:szCs w:val="27"/>
        </w:rPr>
        <w:t xml:space="preserve"> and Smith, 2010). In future, I could build on this by adding activities like discussions about job applications or mock interviews to develop employability skills even further. Overall, this experience showed me how combining practical activities with discussion can really help young people develop skills they can use both now and later.</w:t>
      </w:r>
      <w:r w:rsidR="0053052C" w:rsidRPr="0053052C">
        <w:rPr>
          <w:rFonts w:ascii="Times New Roman" w:eastAsia="Times New Roman" w:hAnsi="Times New Roman" w:cs="Times New Roman"/>
          <w:noProof/>
          <w:kern w:val="0"/>
          <w14:ligatures w14:val="none"/>
        </w:rPr>
        <mc:AlternateContent>
          <mc:Choice Requires="wps">
            <w:drawing>
              <wp:inline distT="0" distB="0" distL="0" distR="0" wp14:anchorId="2ED6F0FB" wp14:editId="06E78C5A">
                <wp:extent cx="5731510" cy="1270"/>
                <wp:effectExtent l="0" t="33655" r="0" b="38735"/>
                <wp:docPr id="417373780"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354A4CB"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1B7478F" w14:textId="77777777" w:rsidR="0053052C" w:rsidRPr="00713CAE" w:rsidRDefault="0053052C" w:rsidP="0053052C">
      <w:pPr>
        <w:spacing w:before="100" w:beforeAutospacing="1" w:after="100" w:afterAutospacing="1" w:line="240" w:lineRule="auto"/>
        <w:outlineLvl w:val="0"/>
        <w:rPr>
          <w:rFonts w:ascii="Times New Roman" w:eastAsia="Times New Roman" w:hAnsi="Times New Roman" w:cs="Times New Roman"/>
          <w:b/>
          <w:bCs/>
          <w:i/>
          <w:iCs/>
          <w:color w:val="153D63" w:themeColor="text2" w:themeTint="E6"/>
          <w:kern w:val="36"/>
          <w:sz w:val="38"/>
          <w:szCs w:val="38"/>
          <w:u w:val="single"/>
          <w14:ligatures w14:val="none"/>
        </w:rPr>
      </w:pPr>
      <w:r w:rsidRPr="00713CAE">
        <w:rPr>
          <w:rFonts w:ascii="Times New Roman" w:eastAsia="Times New Roman" w:hAnsi="Times New Roman" w:cs="Times New Roman"/>
          <w:b/>
          <w:bCs/>
          <w:i/>
          <w:iCs/>
          <w:color w:val="153D63" w:themeColor="text2" w:themeTint="E6"/>
          <w:kern w:val="36"/>
          <w:sz w:val="38"/>
          <w:szCs w:val="38"/>
          <w:u w:val="single"/>
          <w14:ligatures w14:val="none"/>
        </w:rPr>
        <w:t>Reference List</w:t>
      </w:r>
    </w:p>
    <w:p w14:paraId="2F40FDCF"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CLD Standards Council Scotland (2019) </w:t>
      </w:r>
      <w:r w:rsidRPr="0053052C">
        <w:rPr>
          <w:rFonts w:ascii="Times New Roman" w:hAnsi="Times New Roman" w:cs="Times New Roman"/>
          <w:i/>
          <w:iCs/>
          <w:color w:val="000000"/>
          <w:kern w:val="0"/>
          <w14:ligatures w14:val="none"/>
        </w:rPr>
        <w:t>National Occupational Standards for Youth Work</w:t>
      </w:r>
      <w:r w:rsidRPr="0053052C">
        <w:rPr>
          <w:rFonts w:ascii="Times New Roman" w:hAnsi="Times New Roman" w:cs="Times New Roman"/>
          <w:color w:val="000000"/>
          <w:kern w:val="0"/>
          <w14:ligatures w14:val="none"/>
        </w:rPr>
        <w:t>. Glasgow: CLD Standards Council Scotland.</w:t>
      </w:r>
    </w:p>
    <w:p w14:paraId="6B55C543"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Education Workforce Council (2024) </w:t>
      </w:r>
      <w:r w:rsidRPr="0053052C">
        <w:rPr>
          <w:rFonts w:ascii="Times New Roman" w:hAnsi="Times New Roman" w:cs="Times New Roman"/>
          <w:i/>
          <w:iCs/>
          <w:color w:val="000000"/>
          <w:kern w:val="0"/>
          <w14:ligatures w14:val="none"/>
        </w:rPr>
        <w:t>Code of Professional Conduct and Practice for the Education Workforce</w:t>
      </w:r>
      <w:r w:rsidRPr="0053052C">
        <w:rPr>
          <w:rFonts w:ascii="Times New Roman" w:hAnsi="Times New Roman" w:cs="Times New Roman"/>
          <w:color w:val="000000"/>
          <w:kern w:val="0"/>
          <w14:ligatures w14:val="none"/>
        </w:rPr>
        <w:t>. Cardiff: Education Workforce Council.</w:t>
      </w:r>
    </w:p>
    <w:p w14:paraId="547D9E17"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ETS Wales &amp; YMCA Wales Community College (2012) </w:t>
      </w:r>
      <w:r w:rsidRPr="0053052C">
        <w:rPr>
          <w:rFonts w:ascii="Times New Roman" w:hAnsi="Times New Roman" w:cs="Times New Roman"/>
          <w:i/>
          <w:iCs/>
          <w:color w:val="000000"/>
          <w:kern w:val="0"/>
          <w14:ligatures w14:val="none"/>
        </w:rPr>
        <w:t>Code of Occupational Ethics for the Youth Service in Wales</w:t>
      </w:r>
      <w:r w:rsidRPr="0053052C">
        <w:rPr>
          <w:rFonts w:ascii="Times New Roman" w:hAnsi="Times New Roman" w:cs="Times New Roman"/>
          <w:color w:val="000000"/>
          <w:kern w:val="0"/>
          <w14:ligatures w14:val="none"/>
        </w:rPr>
        <w:t>. Cardiff: ETS Wales.</w:t>
      </w:r>
    </w:p>
    <w:p w14:paraId="7226B0D8"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t>Freire, P. (1970) </w:t>
      </w:r>
      <w:r w:rsidRPr="0053052C">
        <w:rPr>
          <w:rFonts w:ascii="Times New Roman" w:hAnsi="Times New Roman" w:cs="Times New Roman"/>
          <w:i/>
          <w:iCs/>
          <w:color w:val="000000"/>
          <w:kern w:val="0"/>
          <w14:ligatures w14:val="none"/>
        </w:rPr>
        <w:t>Pedagogy of the Oppressed</w:t>
      </w:r>
      <w:r w:rsidRPr="0053052C">
        <w:rPr>
          <w:rFonts w:ascii="Times New Roman" w:hAnsi="Times New Roman" w:cs="Times New Roman"/>
          <w:color w:val="000000"/>
          <w:kern w:val="0"/>
          <w14:ligatures w14:val="none"/>
        </w:rPr>
        <w:t>. New York: Continuum.</w:t>
      </w:r>
    </w:p>
    <w:p w14:paraId="515B3C2A"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proofErr w:type="spellStart"/>
      <w:r w:rsidRPr="0053052C">
        <w:rPr>
          <w:rFonts w:ascii="Times New Roman" w:hAnsi="Times New Roman" w:cs="Times New Roman"/>
          <w:color w:val="000000"/>
          <w:kern w:val="0"/>
          <w14:ligatures w14:val="none"/>
        </w:rPr>
        <w:t>Jeffs</w:t>
      </w:r>
      <w:proofErr w:type="spellEnd"/>
      <w:r w:rsidRPr="0053052C">
        <w:rPr>
          <w:rFonts w:ascii="Times New Roman" w:hAnsi="Times New Roman" w:cs="Times New Roman"/>
          <w:color w:val="000000"/>
          <w:kern w:val="0"/>
          <w14:ligatures w14:val="none"/>
        </w:rPr>
        <w:t>, T. and Smith, M. (2010) </w:t>
      </w:r>
      <w:r w:rsidRPr="0053052C">
        <w:rPr>
          <w:rFonts w:ascii="Times New Roman" w:hAnsi="Times New Roman" w:cs="Times New Roman"/>
          <w:i/>
          <w:iCs/>
          <w:color w:val="000000"/>
          <w:kern w:val="0"/>
          <w14:ligatures w14:val="none"/>
        </w:rPr>
        <w:t>Informal Education: Conversation, Democracy and Learning</w:t>
      </w:r>
      <w:r w:rsidRPr="0053052C">
        <w:rPr>
          <w:rFonts w:ascii="Times New Roman" w:hAnsi="Times New Roman" w:cs="Times New Roman"/>
          <w:color w:val="000000"/>
          <w:kern w:val="0"/>
          <w14:ligatures w14:val="none"/>
        </w:rPr>
        <w:t>. Nottingham: Educational Heretics Press.</w:t>
      </w:r>
    </w:p>
    <w:p w14:paraId="341FEE1A"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proofErr w:type="spellStart"/>
      <w:r w:rsidRPr="0053052C">
        <w:rPr>
          <w:rFonts w:ascii="Times New Roman" w:hAnsi="Times New Roman" w:cs="Times New Roman"/>
          <w:color w:val="000000"/>
          <w:kern w:val="0"/>
          <w14:ligatures w14:val="none"/>
        </w:rPr>
        <w:t>Kolb</w:t>
      </w:r>
      <w:proofErr w:type="spellEnd"/>
      <w:r w:rsidRPr="0053052C">
        <w:rPr>
          <w:rFonts w:ascii="Times New Roman" w:hAnsi="Times New Roman" w:cs="Times New Roman"/>
          <w:color w:val="000000"/>
          <w:kern w:val="0"/>
          <w14:ligatures w14:val="none"/>
        </w:rPr>
        <w:t>, D. (1984) </w:t>
      </w:r>
      <w:r w:rsidRPr="0053052C">
        <w:rPr>
          <w:rFonts w:ascii="Times New Roman" w:hAnsi="Times New Roman" w:cs="Times New Roman"/>
          <w:i/>
          <w:iCs/>
          <w:color w:val="000000"/>
          <w:kern w:val="0"/>
          <w14:ligatures w14:val="none"/>
        </w:rPr>
        <w:t>Experiential Learning: Experience as the Source of Learning and Development</w:t>
      </w:r>
      <w:r w:rsidRPr="0053052C">
        <w:rPr>
          <w:rFonts w:ascii="Times New Roman" w:hAnsi="Times New Roman" w:cs="Times New Roman"/>
          <w:color w:val="000000"/>
          <w:kern w:val="0"/>
          <w14:ligatures w14:val="none"/>
        </w:rPr>
        <w:t>. Englewood Cliffs, NJ: Prentice Hall.</w:t>
      </w:r>
    </w:p>
    <w:p w14:paraId="47FE22ED"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proofErr w:type="spellStart"/>
      <w:r w:rsidRPr="0053052C">
        <w:rPr>
          <w:rFonts w:ascii="Times New Roman" w:hAnsi="Times New Roman" w:cs="Times New Roman"/>
          <w:color w:val="000000"/>
          <w:kern w:val="0"/>
          <w14:ligatures w14:val="none"/>
        </w:rPr>
        <w:t>Ord</w:t>
      </w:r>
      <w:proofErr w:type="spellEnd"/>
      <w:r w:rsidRPr="0053052C">
        <w:rPr>
          <w:rFonts w:ascii="Times New Roman" w:hAnsi="Times New Roman" w:cs="Times New Roman"/>
          <w:color w:val="000000"/>
          <w:kern w:val="0"/>
          <w14:ligatures w14:val="none"/>
        </w:rPr>
        <w:t>, J. (2012) </w:t>
      </w:r>
      <w:r w:rsidRPr="0053052C">
        <w:rPr>
          <w:rFonts w:ascii="Times New Roman" w:hAnsi="Times New Roman" w:cs="Times New Roman"/>
          <w:i/>
          <w:iCs/>
          <w:color w:val="000000"/>
          <w:kern w:val="0"/>
          <w14:ligatures w14:val="none"/>
        </w:rPr>
        <w:t>Critical Issues in Youth Work Management</w:t>
      </w:r>
      <w:r w:rsidRPr="0053052C">
        <w:rPr>
          <w:rFonts w:ascii="Times New Roman" w:hAnsi="Times New Roman" w:cs="Times New Roman"/>
          <w:color w:val="000000"/>
          <w:kern w:val="0"/>
          <w14:ligatures w14:val="none"/>
        </w:rPr>
        <w:t xml:space="preserve">. London: </w:t>
      </w:r>
      <w:proofErr w:type="spellStart"/>
      <w:r w:rsidRPr="0053052C">
        <w:rPr>
          <w:rFonts w:ascii="Times New Roman" w:hAnsi="Times New Roman" w:cs="Times New Roman"/>
          <w:color w:val="000000"/>
          <w:kern w:val="0"/>
          <w14:ligatures w14:val="none"/>
        </w:rPr>
        <w:t>Routledge</w:t>
      </w:r>
      <w:proofErr w:type="spellEnd"/>
      <w:r w:rsidRPr="0053052C">
        <w:rPr>
          <w:rFonts w:ascii="Times New Roman" w:hAnsi="Times New Roman" w:cs="Times New Roman"/>
          <w:color w:val="000000"/>
          <w:kern w:val="0"/>
          <w14:ligatures w14:val="none"/>
        </w:rPr>
        <w:t>.</w:t>
      </w:r>
    </w:p>
    <w:p w14:paraId="7B8EC2DF" w14:textId="77777777" w:rsidR="0053052C" w:rsidRPr="0053052C" w:rsidRDefault="0053052C" w:rsidP="0053052C">
      <w:pPr>
        <w:spacing w:before="100" w:beforeAutospacing="1" w:after="100" w:afterAutospacing="1" w:line="240" w:lineRule="auto"/>
        <w:rPr>
          <w:rFonts w:ascii="Times New Roman" w:hAnsi="Times New Roman" w:cs="Times New Roman"/>
          <w:color w:val="000000"/>
          <w:kern w:val="0"/>
          <w14:ligatures w14:val="none"/>
        </w:rPr>
      </w:pPr>
      <w:r w:rsidRPr="0053052C">
        <w:rPr>
          <w:rFonts w:ascii="Times New Roman" w:hAnsi="Times New Roman" w:cs="Times New Roman"/>
          <w:color w:val="000000"/>
          <w:kern w:val="0"/>
          <w14:ligatures w14:val="none"/>
        </w:rPr>
        <w:lastRenderedPageBreak/>
        <w:t>United Nations (1989) </w:t>
      </w:r>
      <w:r w:rsidRPr="0053052C">
        <w:rPr>
          <w:rFonts w:ascii="Times New Roman" w:hAnsi="Times New Roman" w:cs="Times New Roman"/>
          <w:i/>
          <w:iCs/>
          <w:color w:val="000000"/>
          <w:kern w:val="0"/>
          <w14:ligatures w14:val="none"/>
        </w:rPr>
        <w:t>United Nations Convention on the Rights of the Child</w:t>
      </w:r>
      <w:r w:rsidRPr="0053052C">
        <w:rPr>
          <w:rFonts w:ascii="Times New Roman" w:hAnsi="Times New Roman" w:cs="Times New Roman"/>
          <w:color w:val="000000"/>
          <w:kern w:val="0"/>
          <w14:ligatures w14:val="none"/>
        </w:rPr>
        <w:t>. Geneva: United Nations.</w:t>
      </w:r>
    </w:p>
    <w:p w14:paraId="7F9DD258" w14:textId="77777777" w:rsidR="005A11BC" w:rsidRDefault="005A11BC"/>
    <w:sectPr w:rsidR="005A11BC">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61B987" w14:textId="77777777" w:rsidR="001B0BFB" w:rsidRDefault="001B0BFB" w:rsidP="00217890">
      <w:pPr>
        <w:spacing w:after="0" w:line="240" w:lineRule="auto"/>
      </w:pPr>
      <w:r>
        <w:separator/>
      </w:r>
    </w:p>
  </w:endnote>
  <w:endnote w:type="continuationSeparator" w:id="0">
    <w:p w14:paraId="285D7612" w14:textId="77777777" w:rsidR="001B0BFB" w:rsidRDefault="001B0BFB" w:rsidP="002178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Helvetica">
    <w:panose1 w:val="00000000000000000000"/>
    <w:charset w:val="00"/>
    <w:family w:val="auto"/>
    <w:pitch w:val="variable"/>
    <w:sig w:usb0="E00002FF" w:usb1="5000785B" w:usb2="00000000" w:usb3="00000000" w:csb0="0000019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CellSpacing w:w="0" w:type="dxa"/>
      <w:tblCellMar>
        <w:left w:w="0" w:type="dxa"/>
        <w:right w:w="0" w:type="dxa"/>
      </w:tblCellMar>
      <w:tblLook w:val="04A0" w:firstRow="1" w:lastRow="0" w:firstColumn="1" w:lastColumn="0" w:noHBand="0" w:noVBand="1"/>
    </w:tblPr>
    <w:tblGrid>
      <w:gridCol w:w="6"/>
      <w:gridCol w:w="941"/>
    </w:tblGrid>
    <w:tr w:rsidR="006E49C7" w:rsidRPr="006E49C7" w14:paraId="3A362945" w14:textId="77777777">
      <w:trPr>
        <w:tblCellSpacing w:w="0" w:type="dxa"/>
      </w:trPr>
      <w:tc>
        <w:tcPr>
          <w:tcW w:w="0" w:type="auto"/>
          <w:hideMark/>
        </w:tcPr>
        <w:p w14:paraId="1E1185B8" w14:textId="77777777" w:rsidR="006E49C7" w:rsidRPr="006E49C7" w:rsidRDefault="006E49C7" w:rsidP="006E49C7">
          <w:pPr>
            <w:spacing w:after="0" w:line="240" w:lineRule="auto"/>
            <w:rPr>
              <w:rFonts w:ascii="Times New Roman" w:hAnsi="Times New Roman" w:cs="Times New Roman"/>
              <w:kern w:val="0"/>
              <w14:ligatures w14:val="none"/>
            </w:rPr>
          </w:pPr>
        </w:p>
      </w:tc>
      <w:tc>
        <w:tcPr>
          <w:tcW w:w="0" w:type="auto"/>
          <w:hideMark/>
        </w:tcPr>
        <w:p w14:paraId="21439EF7" w14:textId="77777777" w:rsidR="006E49C7" w:rsidRPr="006E49C7" w:rsidRDefault="006E49C7" w:rsidP="006E49C7">
          <w:pPr>
            <w:spacing w:after="0" w:line="240" w:lineRule="auto"/>
            <w:rPr>
              <w:rFonts w:ascii="Helvetica" w:hAnsi="Helvetica" w:cs="Times New Roman"/>
              <w:kern w:val="0"/>
              <w:sz w:val="18"/>
              <w:szCs w:val="18"/>
              <w14:ligatures w14:val="none"/>
            </w:rPr>
          </w:pPr>
          <w:r w:rsidRPr="006E49C7">
            <w:rPr>
              <w:rFonts w:ascii="Helvetica" w:hAnsi="Helvetica" w:cs="Times New Roman"/>
              <w:kern w:val="0"/>
              <w:sz w:val="18"/>
              <w:szCs w:val="18"/>
              <w14:ligatures w14:val="none"/>
            </w:rPr>
            <w:t>ECYW5010</w:t>
          </w:r>
        </w:p>
      </w:tc>
    </w:tr>
  </w:tbl>
  <w:p w14:paraId="5105CC27" w14:textId="77777777" w:rsidR="00217890" w:rsidRDefault="002178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32A72B" w14:textId="77777777" w:rsidR="001B0BFB" w:rsidRDefault="001B0BFB" w:rsidP="00217890">
      <w:pPr>
        <w:spacing w:after="0" w:line="240" w:lineRule="auto"/>
      </w:pPr>
      <w:r>
        <w:separator/>
      </w:r>
    </w:p>
  </w:footnote>
  <w:footnote w:type="continuationSeparator" w:id="0">
    <w:p w14:paraId="23D9A171" w14:textId="77777777" w:rsidR="001B0BFB" w:rsidRDefault="001B0BFB" w:rsidP="0021789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C3C6EB" w14:textId="548E5894" w:rsidR="00217890" w:rsidRDefault="00B41F5D">
    <w:pPr>
      <w:pStyle w:val="Header"/>
    </w:pPr>
    <w:r w:rsidRPr="00B41F5D">
      <w:t>2404639</w:t>
    </w:r>
  </w:p>
</w:hdr>
</file>

<file path=word/intelligence2.xml><?xml version="1.0" encoding="utf-8"?>
<int2:intelligence xmlns:int2="http://schemas.microsoft.com/office/intelligence/2020/intelligence" xmlns:oel="http://schemas.microsoft.com/office/2019/extlst">
  <int2:observations>
    <int2:bookmark int2:bookmarkName="_Int_Cgfm4yBK" int2:invalidationBookmarkName="" int2:hashCode="4Xd6k7UUTgQvP/" int2:id="KB20FCs8">
      <int2:state int2:value="Rejected" int2:type="style"/>
    </int2:bookmark>
    <int2:bookmark int2:bookmarkName="_Int_vvNShIw1" int2:invalidationBookmarkName="" int2:hashCode="QF1ninnQoLh5uE" int2:id="iDIkhQ0v">
      <int2:state int2:value="Rejected" int2:type="style"/>
    </int2:bookmark>
    <int2:bookmark int2:bookmarkName="_Int_vh6rp3Jr" int2:invalidationBookmarkName="" int2:hashCode="Z+iejkHD7EYVSz" int2:id="qB8AYPrW">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11BC"/>
    <w:rsid w:val="00080BD0"/>
    <w:rsid w:val="000B17FC"/>
    <w:rsid w:val="000D6C2A"/>
    <w:rsid w:val="00141823"/>
    <w:rsid w:val="001B0BFB"/>
    <w:rsid w:val="0020756A"/>
    <w:rsid w:val="00217890"/>
    <w:rsid w:val="00224B34"/>
    <w:rsid w:val="003237E2"/>
    <w:rsid w:val="003B2DC1"/>
    <w:rsid w:val="003C7D9D"/>
    <w:rsid w:val="003D40F1"/>
    <w:rsid w:val="00443B74"/>
    <w:rsid w:val="004B715E"/>
    <w:rsid w:val="00521FD1"/>
    <w:rsid w:val="0053052C"/>
    <w:rsid w:val="005811D2"/>
    <w:rsid w:val="005A11BC"/>
    <w:rsid w:val="005F4462"/>
    <w:rsid w:val="005F59E6"/>
    <w:rsid w:val="00647E41"/>
    <w:rsid w:val="00692427"/>
    <w:rsid w:val="006D20E6"/>
    <w:rsid w:val="006E49C7"/>
    <w:rsid w:val="006F2AE4"/>
    <w:rsid w:val="00713CAE"/>
    <w:rsid w:val="00717905"/>
    <w:rsid w:val="00766A1A"/>
    <w:rsid w:val="007716AA"/>
    <w:rsid w:val="008521E0"/>
    <w:rsid w:val="008607C4"/>
    <w:rsid w:val="008A7424"/>
    <w:rsid w:val="009047FB"/>
    <w:rsid w:val="00944FAC"/>
    <w:rsid w:val="009A6783"/>
    <w:rsid w:val="009D777F"/>
    <w:rsid w:val="00A517BF"/>
    <w:rsid w:val="00B41F5D"/>
    <w:rsid w:val="00B50550"/>
    <w:rsid w:val="00BB1626"/>
    <w:rsid w:val="00CA19BB"/>
    <w:rsid w:val="00CB19ED"/>
    <w:rsid w:val="00CE1137"/>
    <w:rsid w:val="00DB1D34"/>
    <w:rsid w:val="00EA5454"/>
    <w:rsid w:val="00F008EC"/>
    <w:rsid w:val="00F104FC"/>
    <w:rsid w:val="00F12CAA"/>
    <w:rsid w:val="00F372B0"/>
    <w:rsid w:val="00F65736"/>
    <w:rsid w:val="00FB2DA7"/>
    <w:rsid w:val="00FC11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1F849C3"/>
  <w15:chartTrackingRefBased/>
  <w15:docId w15:val="{D0D573DE-C758-DD42-85AB-BBA985A011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A11B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A11B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A11B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A11B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A11B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A11B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A11B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A11B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A11B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A11B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A11B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A11B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A11B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A11B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A11B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A11B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A11B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A11BC"/>
    <w:rPr>
      <w:rFonts w:eastAsiaTheme="majorEastAsia" w:cstheme="majorBidi"/>
      <w:color w:val="272727" w:themeColor="text1" w:themeTint="D8"/>
    </w:rPr>
  </w:style>
  <w:style w:type="paragraph" w:styleId="Title">
    <w:name w:val="Title"/>
    <w:basedOn w:val="Normal"/>
    <w:next w:val="Normal"/>
    <w:link w:val="TitleChar"/>
    <w:uiPriority w:val="10"/>
    <w:qFormat/>
    <w:rsid w:val="005A11B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A11B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A11B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A11B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A11BC"/>
    <w:pPr>
      <w:spacing w:before="160"/>
      <w:jc w:val="center"/>
    </w:pPr>
    <w:rPr>
      <w:i/>
      <w:iCs/>
      <w:color w:val="404040" w:themeColor="text1" w:themeTint="BF"/>
    </w:rPr>
  </w:style>
  <w:style w:type="character" w:customStyle="1" w:styleId="QuoteChar">
    <w:name w:val="Quote Char"/>
    <w:basedOn w:val="DefaultParagraphFont"/>
    <w:link w:val="Quote"/>
    <w:uiPriority w:val="29"/>
    <w:rsid w:val="005A11BC"/>
    <w:rPr>
      <w:i/>
      <w:iCs/>
      <w:color w:val="404040" w:themeColor="text1" w:themeTint="BF"/>
    </w:rPr>
  </w:style>
  <w:style w:type="paragraph" w:styleId="ListParagraph">
    <w:name w:val="List Paragraph"/>
    <w:basedOn w:val="Normal"/>
    <w:uiPriority w:val="34"/>
    <w:qFormat/>
    <w:rsid w:val="005A11BC"/>
    <w:pPr>
      <w:ind w:left="720"/>
      <w:contextualSpacing/>
    </w:pPr>
  </w:style>
  <w:style w:type="character" w:styleId="IntenseEmphasis">
    <w:name w:val="Intense Emphasis"/>
    <w:basedOn w:val="DefaultParagraphFont"/>
    <w:uiPriority w:val="21"/>
    <w:qFormat/>
    <w:rsid w:val="005A11BC"/>
    <w:rPr>
      <w:i/>
      <w:iCs/>
      <w:color w:val="0F4761" w:themeColor="accent1" w:themeShade="BF"/>
    </w:rPr>
  </w:style>
  <w:style w:type="paragraph" w:styleId="IntenseQuote">
    <w:name w:val="Intense Quote"/>
    <w:basedOn w:val="Normal"/>
    <w:next w:val="Normal"/>
    <w:link w:val="IntenseQuoteChar"/>
    <w:uiPriority w:val="30"/>
    <w:qFormat/>
    <w:rsid w:val="005A11B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A11BC"/>
    <w:rPr>
      <w:i/>
      <w:iCs/>
      <w:color w:val="0F4761" w:themeColor="accent1" w:themeShade="BF"/>
    </w:rPr>
  </w:style>
  <w:style w:type="character" w:styleId="IntenseReference">
    <w:name w:val="Intense Reference"/>
    <w:basedOn w:val="DefaultParagraphFont"/>
    <w:uiPriority w:val="32"/>
    <w:qFormat/>
    <w:rsid w:val="005A11BC"/>
    <w:rPr>
      <w:b/>
      <w:bCs/>
      <w:smallCaps/>
      <w:color w:val="0F4761" w:themeColor="accent1" w:themeShade="BF"/>
      <w:spacing w:val="5"/>
    </w:rPr>
  </w:style>
  <w:style w:type="paragraph" w:styleId="NormalWeb">
    <w:name w:val="Normal (Web)"/>
    <w:basedOn w:val="Normal"/>
    <w:uiPriority w:val="99"/>
    <w:semiHidden/>
    <w:unhideWhenUsed/>
    <w:rsid w:val="005A11BC"/>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53052C"/>
  </w:style>
  <w:style w:type="character" w:styleId="Emphasis">
    <w:name w:val="Emphasis"/>
    <w:basedOn w:val="DefaultParagraphFont"/>
    <w:uiPriority w:val="20"/>
    <w:qFormat/>
    <w:rsid w:val="0053052C"/>
    <w:rPr>
      <w:i/>
      <w:iCs/>
    </w:rPr>
  </w:style>
  <w:style w:type="paragraph" w:styleId="Header">
    <w:name w:val="header"/>
    <w:basedOn w:val="Normal"/>
    <w:link w:val="HeaderChar"/>
    <w:uiPriority w:val="99"/>
    <w:unhideWhenUsed/>
    <w:rsid w:val="002178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217890"/>
  </w:style>
  <w:style w:type="paragraph" w:styleId="Footer">
    <w:name w:val="footer"/>
    <w:basedOn w:val="Normal"/>
    <w:link w:val="FooterChar"/>
    <w:uiPriority w:val="99"/>
    <w:unhideWhenUsed/>
    <w:rsid w:val="002178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217890"/>
  </w:style>
  <w:style w:type="paragraph" w:customStyle="1" w:styleId="p1">
    <w:name w:val="p1"/>
    <w:basedOn w:val="Normal"/>
    <w:rsid w:val="006E49C7"/>
    <w:pPr>
      <w:spacing w:after="0" w:line="240" w:lineRule="auto"/>
    </w:pPr>
    <w:rPr>
      <w:rFonts w:ascii="Times New Roman" w:hAnsi="Times New Roman" w:cs="Times New Roman"/>
      <w:kern w:val="0"/>
      <w14:ligatures w14:val="none"/>
    </w:rPr>
  </w:style>
  <w:style w:type="paragraph" w:customStyle="1" w:styleId="p2">
    <w:name w:val="p2"/>
    <w:basedOn w:val="Normal"/>
    <w:rsid w:val="006E49C7"/>
    <w:pPr>
      <w:spacing w:after="0" w:line="240" w:lineRule="auto"/>
    </w:pPr>
    <w:rPr>
      <w:rFonts w:ascii="Helvetica" w:hAnsi="Helvetica" w:cs="Times New Roman"/>
      <w:kern w:val="0"/>
      <w:sz w:val="18"/>
      <w:szCs w:val="18"/>
      <w14:ligatures w14:val="none"/>
    </w:rPr>
  </w:style>
  <w:style w:type="character" w:customStyle="1" w:styleId="s1">
    <w:name w:val="s1"/>
    <w:basedOn w:val="DefaultParagraphFont"/>
    <w:rsid w:val="006E49C7"/>
    <w:rPr>
      <w:rFonts w:ascii="Helvetica" w:hAnsi="Helvetica" w:hint="default"/>
      <w:b w:val="0"/>
      <w:bCs w:val="0"/>
      <w:i w:val="0"/>
      <w:iCs w:val="0"/>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image" Target="media/image8.jpeg"/><Relationship Id="rId18" Type="http://schemas.openxmlformats.org/officeDocument/2006/relationships/footer" Target="footer1.xml"/><Relationship Id="rId3" Type="http://schemas.openxmlformats.org/officeDocument/2006/relationships/webSettings" Target="webSettings.xml"/><Relationship Id="rId21" Type="http://schemas.microsoft.com/office/2020/10/relationships/intelligence" Target="intelligence2.xml"/><Relationship Id="rId7" Type="http://schemas.openxmlformats.org/officeDocument/2006/relationships/image" Target="media/image2.jpeg"/><Relationship Id="rId12" Type="http://schemas.openxmlformats.org/officeDocument/2006/relationships/image" Target="media/image7.jpeg"/><Relationship Id="rId17"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image" Target="media/image11.png"/><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jpeg"/><Relationship Id="rId5" Type="http://schemas.openxmlformats.org/officeDocument/2006/relationships/endnotes" Target="endnotes.xml"/><Relationship Id="rId15" Type="http://schemas.openxmlformats.org/officeDocument/2006/relationships/image" Target="media/image10.png"/><Relationship Id="rId10" Type="http://schemas.openxmlformats.org/officeDocument/2006/relationships/image" Target="media/image5.jpeg"/><Relationship Id="rId19"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image" Target="media/image9.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13</TotalTime>
  <Pages>7</Pages>
  <Words>1219</Words>
  <Characters>6954</Characters>
  <Application>Microsoft Office Word</Application>
  <DocSecurity>0</DocSecurity>
  <Lines>57</Lines>
  <Paragraphs>16</Paragraphs>
  <ScaleCrop>false</ScaleCrop>
  <Company/>
  <LinksUpToDate>false</LinksUpToDate>
  <CharactersWithSpaces>8157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Deenah Zaakirah (2404639)</dc:creator>
  <cp:keywords/>
  <dc:description/>
  <cp:lastModifiedBy>Deenah Zaakirah (2404639)</cp:lastModifiedBy>
  <cp:revision>15</cp:revision>
  <dcterms:created xsi:type="dcterms:W3CDTF">2026-03-04T13:04:00Z</dcterms:created>
  <dcterms:modified xsi:type="dcterms:W3CDTF">2026-03-04T13:15:00Z</dcterms:modified>
</cp:coreProperties>
</file>