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451" w:rsidRDefault="00494451" w:rsidP="00494451">
      <w:pPr>
        <w:spacing w:after="0" w:line="360" w:lineRule="auto"/>
        <w:rPr>
          <w:rFonts w:ascii="Arial" w:hAnsi="Arial" w:cs="Arial"/>
          <w:sz w:val="24"/>
          <w:szCs w:val="24"/>
        </w:rPr>
      </w:pPr>
      <w:r w:rsidRPr="009C0079">
        <w:rPr>
          <w:rFonts w:ascii="Arial" w:hAnsi="Arial" w:cs="Arial"/>
          <w:b/>
          <w:bCs/>
          <w:sz w:val="24"/>
          <w:szCs w:val="24"/>
        </w:rPr>
        <w:t xml:space="preserve">Module name: </w:t>
      </w:r>
      <w:r>
        <w:rPr>
          <w:rFonts w:ascii="Arial" w:hAnsi="Arial" w:cs="Arial"/>
          <w:sz w:val="24"/>
          <w:szCs w:val="24"/>
        </w:rPr>
        <w:t>BMSW6103</w:t>
      </w:r>
      <w:r w:rsidRPr="009C0079">
        <w:rPr>
          <w:rFonts w:ascii="Arial" w:hAnsi="Arial" w:cs="Arial"/>
          <w:sz w:val="24"/>
          <w:szCs w:val="24"/>
        </w:rPr>
        <w:t xml:space="preserve"> – </w:t>
      </w:r>
      <w:r w:rsidRPr="00494451">
        <w:rPr>
          <w:rFonts w:ascii="Arial" w:hAnsi="Arial" w:cs="Arial"/>
          <w:sz w:val="24"/>
          <w:szCs w:val="24"/>
        </w:rPr>
        <w:t>Leading and implementing workplace change</w:t>
      </w:r>
      <w:r w:rsidRPr="009C0079">
        <w:rPr>
          <w:rFonts w:ascii="Arial" w:hAnsi="Arial" w:cs="Arial"/>
          <w:sz w:val="24"/>
          <w:szCs w:val="24"/>
        </w:rPr>
        <w:br/>
      </w:r>
      <w:r w:rsidRPr="009C0079">
        <w:rPr>
          <w:rFonts w:ascii="Arial" w:hAnsi="Arial" w:cs="Arial"/>
          <w:b/>
          <w:bCs/>
          <w:sz w:val="24"/>
          <w:szCs w:val="24"/>
        </w:rPr>
        <w:t xml:space="preserve">Assignment title: </w:t>
      </w:r>
      <w:r w:rsidRPr="00494451">
        <w:rPr>
          <w:rFonts w:ascii="Arial" w:hAnsi="Arial" w:cs="Arial"/>
          <w:sz w:val="24"/>
          <w:szCs w:val="24"/>
        </w:rPr>
        <w:t>Change management</w:t>
      </w:r>
      <w:r>
        <w:rPr>
          <w:rFonts w:ascii="Arial" w:hAnsi="Arial" w:cs="Arial"/>
          <w:sz w:val="24"/>
          <w:szCs w:val="24"/>
        </w:rPr>
        <w:t xml:space="preserve"> </w:t>
      </w:r>
      <w:r w:rsidRPr="00494451">
        <w:rPr>
          <w:rFonts w:ascii="Arial" w:hAnsi="Arial" w:cs="Arial"/>
          <w:sz w:val="24"/>
          <w:szCs w:val="24"/>
        </w:rPr>
        <w:t>portfolio</w:t>
      </w:r>
      <w:r>
        <w:rPr>
          <w:rFonts w:ascii="Arial" w:hAnsi="Arial" w:cs="Arial"/>
          <w:sz w:val="24"/>
          <w:szCs w:val="24"/>
        </w:rPr>
        <w:t xml:space="preserve"> – Post office</w:t>
      </w:r>
      <w:r w:rsidRPr="009C0079">
        <w:rPr>
          <w:rFonts w:ascii="Arial" w:hAnsi="Arial" w:cs="Arial"/>
          <w:sz w:val="24"/>
          <w:szCs w:val="24"/>
        </w:rPr>
        <w:br/>
      </w:r>
      <w:r w:rsidRPr="009C0079">
        <w:rPr>
          <w:rFonts w:ascii="Arial" w:hAnsi="Arial" w:cs="Arial"/>
          <w:b/>
          <w:bCs/>
          <w:sz w:val="24"/>
          <w:szCs w:val="24"/>
        </w:rPr>
        <w:t xml:space="preserve">Module tutor: </w:t>
      </w:r>
      <w:r>
        <w:rPr>
          <w:rFonts w:ascii="Arial" w:hAnsi="Arial" w:cs="Arial"/>
          <w:sz w:val="24"/>
          <w:szCs w:val="24"/>
        </w:rPr>
        <w:t xml:space="preserve">Prof. </w:t>
      </w:r>
      <w:r w:rsidRPr="00494451">
        <w:rPr>
          <w:rFonts w:ascii="Arial" w:hAnsi="Arial" w:cs="Arial"/>
          <w:sz w:val="24"/>
          <w:szCs w:val="24"/>
        </w:rPr>
        <w:t>Dennis Pepple</w:t>
      </w:r>
      <w:r w:rsidRPr="009C0079">
        <w:rPr>
          <w:rFonts w:ascii="Arial" w:hAnsi="Arial" w:cs="Arial"/>
          <w:sz w:val="24"/>
          <w:szCs w:val="24"/>
        </w:rPr>
        <w:br/>
      </w:r>
      <w:r w:rsidRPr="009C0079">
        <w:rPr>
          <w:rFonts w:ascii="Arial" w:hAnsi="Arial" w:cs="Arial"/>
          <w:b/>
          <w:bCs/>
          <w:sz w:val="24"/>
          <w:szCs w:val="24"/>
        </w:rPr>
        <w:t xml:space="preserve">Student: </w:t>
      </w:r>
      <w:r w:rsidRPr="009C0079">
        <w:rPr>
          <w:rFonts w:ascii="Arial" w:hAnsi="Arial" w:cs="Arial"/>
          <w:sz w:val="24"/>
          <w:szCs w:val="24"/>
        </w:rPr>
        <w:t>Frida Izabella Tac</w:t>
      </w:r>
      <w:r w:rsidRPr="009C0079">
        <w:rPr>
          <w:rFonts w:ascii="Arial" w:hAnsi="Arial" w:cs="Arial"/>
          <w:sz w:val="24"/>
          <w:szCs w:val="24"/>
        </w:rPr>
        <w:br/>
      </w:r>
      <w:r w:rsidRPr="009C0079">
        <w:rPr>
          <w:rFonts w:ascii="Arial" w:hAnsi="Arial" w:cs="Arial"/>
          <w:b/>
          <w:bCs/>
          <w:sz w:val="24"/>
          <w:szCs w:val="24"/>
        </w:rPr>
        <w:t xml:space="preserve">Student ID: </w:t>
      </w:r>
      <w:r w:rsidRPr="009C0079">
        <w:rPr>
          <w:rFonts w:ascii="Arial" w:hAnsi="Arial" w:cs="Arial"/>
          <w:sz w:val="24"/>
          <w:szCs w:val="24"/>
        </w:rPr>
        <w:t>2118358</w:t>
      </w: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p w:rsidR="00494451" w:rsidRDefault="00494451" w:rsidP="00494451">
      <w:pPr>
        <w:spacing w:after="0" w:line="360" w:lineRule="auto"/>
        <w:rPr>
          <w:rFonts w:ascii="Arial" w:hAnsi="Arial" w:cs="Arial"/>
          <w:sz w:val="24"/>
          <w:szCs w:val="24"/>
        </w:rPr>
      </w:pPr>
    </w:p>
    <w:sdt>
      <w:sdtPr>
        <w:id w:val="791104438"/>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201045" w:rsidRDefault="00201045" w:rsidP="00201045">
          <w:pPr>
            <w:pStyle w:val="TOCHeading"/>
            <w:jc w:val="center"/>
            <w:rPr>
              <w:rFonts w:ascii="Arial" w:hAnsi="Arial" w:cs="Arial"/>
              <w:sz w:val="24"/>
              <w:szCs w:val="24"/>
            </w:rPr>
          </w:pPr>
          <w:r w:rsidRPr="00201045">
            <w:rPr>
              <w:rFonts w:ascii="Arial" w:hAnsi="Arial" w:cs="Arial"/>
              <w:color w:val="auto"/>
              <w:sz w:val="24"/>
              <w:szCs w:val="24"/>
            </w:rPr>
            <w:t>Table of contents</w:t>
          </w:r>
        </w:p>
        <w:p w:rsidR="00201045" w:rsidRPr="00201045" w:rsidRDefault="00201045" w:rsidP="00201045"/>
        <w:p w:rsidR="00201045" w:rsidRPr="00201045" w:rsidRDefault="00201045">
          <w:pPr>
            <w:pStyle w:val="TOC1"/>
            <w:tabs>
              <w:tab w:val="right" w:leader="dot" w:pos="9350"/>
            </w:tabs>
            <w:rPr>
              <w:b/>
              <w:noProof/>
            </w:rPr>
          </w:pPr>
          <w:r>
            <w:fldChar w:fldCharType="begin"/>
          </w:r>
          <w:r>
            <w:instrText xml:space="preserve"> TOC \o "1-3" \h \z \u </w:instrText>
          </w:r>
          <w:r>
            <w:fldChar w:fldCharType="separate"/>
          </w:r>
          <w:hyperlink w:anchor="_Toc172506030" w:history="1">
            <w:r w:rsidRPr="00201045">
              <w:rPr>
                <w:rStyle w:val="Hyperlink"/>
                <w:rFonts w:ascii="Arial" w:hAnsi="Arial" w:cs="Arial"/>
                <w:b/>
                <w:noProof/>
              </w:rPr>
              <w:t>Introduction</w:t>
            </w:r>
            <w:r w:rsidRPr="00201045">
              <w:rPr>
                <w:b/>
                <w:noProof/>
                <w:webHidden/>
              </w:rPr>
              <w:tab/>
            </w:r>
            <w:r w:rsidRPr="00201045">
              <w:rPr>
                <w:b/>
                <w:noProof/>
                <w:webHidden/>
              </w:rPr>
              <w:fldChar w:fldCharType="begin"/>
            </w:r>
            <w:r w:rsidRPr="00201045">
              <w:rPr>
                <w:b/>
                <w:noProof/>
                <w:webHidden/>
              </w:rPr>
              <w:instrText xml:space="preserve"> PAGEREF _Toc172506030 \h </w:instrText>
            </w:r>
            <w:r w:rsidRPr="00201045">
              <w:rPr>
                <w:b/>
                <w:noProof/>
                <w:webHidden/>
              </w:rPr>
            </w:r>
            <w:r w:rsidRPr="00201045">
              <w:rPr>
                <w:b/>
                <w:noProof/>
                <w:webHidden/>
              </w:rPr>
              <w:fldChar w:fldCharType="separate"/>
            </w:r>
            <w:r>
              <w:rPr>
                <w:b/>
                <w:noProof/>
                <w:webHidden/>
              </w:rPr>
              <w:t>3</w:t>
            </w:r>
            <w:r w:rsidRPr="00201045">
              <w:rPr>
                <w:b/>
                <w:noProof/>
                <w:webHidden/>
              </w:rPr>
              <w:fldChar w:fldCharType="end"/>
            </w:r>
          </w:hyperlink>
        </w:p>
        <w:p w:rsidR="00201045" w:rsidRPr="00201045" w:rsidRDefault="00201045">
          <w:pPr>
            <w:pStyle w:val="TOC1"/>
            <w:tabs>
              <w:tab w:val="right" w:leader="dot" w:pos="9350"/>
            </w:tabs>
            <w:rPr>
              <w:b/>
              <w:noProof/>
            </w:rPr>
          </w:pPr>
          <w:hyperlink w:anchor="_Toc172506031" w:history="1">
            <w:r w:rsidRPr="00201045">
              <w:rPr>
                <w:rStyle w:val="Hyperlink"/>
                <w:rFonts w:ascii="Arial" w:hAnsi="Arial" w:cs="Arial"/>
                <w:b/>
                <w:noProof/>
              </w:rPr>
              <w:t>The Salience Model for stakeholder analysis</w:t>
            </w:r>
            <w:r w:rsidRPr="00201045">
              <w:rPr>
                <w:b/>
                <w:noProof/>
                <w:webHidden/>
              </w:rPr>
              <w:tab/>
            </w:r>
            <w:r w:rsidRPr="00201045">
              <w:rPr>
                <w:b/>
                <w:noProof/>
                <w:webHidden/>
              </w:rPr>
              <w:fldChar w:fldCharType="begin"/>
            </w:r>
            <w:r w:rsidRPr="00201045">
              <w:rPr>
                <w:b/>
                <w:noProof/>
                <w:webHidden/>
              </w:rPr>
              <w:instrText xml:space="preserve"> PAGEREF _Toc172506031 \h </w:instrText>
            </w:r>
            <w:r w:rsidRPr="00201045">
              <w:rPr>
                <w:b/>
                <w:noProof/>
                <w:webHidden/>
              </w:rPr>
            </w:r>
            <w:r w:rsidRPr="00201045">
              <w:rPr>
                <w:b/>
                <w:noProof/>
                <w:webHidden/>
              </w:rPr>
              <w:fldChar w:fldCharType="separate"/>
            </w:r>
            <w:r>
              <w:rPr>
                <w:b/>
                <w:noProof/>
                <w:webHidden/>
              </w:rPr>
              <w:t>4</w:t>
            </w:r>
            <w:r w:rsidRPr="00201045">
              <w:rPr>
                <w:b/>
                <w:noProof/>
                <w:webHidden/>
              </w:rPr>
              <w:fldChar w:fldCharType="end"/>
            </w:r>
          </w:hyperlink>
        </w:p>
        <w:p w:rsidR="00201045" w:rsidRPr="00201045" w:rsidRDefault="00201045">
          <w:pPr>
            <w:pStyle w:val="TOC1"/>
            <w:tabs>
              <w:tab w:val="right" w:leader="dot" w:pos="9350"/>
            </w:tabs>
            <w:rPr>
              <w:b/>
              <w:noProof/>
            </w:rPr>
          </w:pPr>
          <w:hyperlink w:anchor="_Toc172506032" w:history="1">
            <w:r w:rsidRPr="00201045">
              <w:rPr>
                <w:rStyle w:val="Hyperlink"/>
                <w:rFonts w:ascii="Arial" w:hAnsi="Arial" w:cs="Arial"/>
                <w:b/>
                <w:noProof/>
              </w:rPr>
              <w:t>Discussion of the conflict resolution styles and recommendation for the appropriate style for the case</w:t>
            </w:r>
            <w:r w:rsidRPr="00201045">
              <w:rPr>
                <w:b/>
                <w:noProof/>
                <w:webHidden/>
              </w:rPr>
              <w:tab/>
            </w:r>
            <w:r w:rsidRPr="00201045">
              <w:rPr>
                <w:b/>
                <w:noProof/>
                <w:webHidden/>
              </w:rPr>
              <w:fldChar w:fldCharType="begin"/>
            </w:r>
            <w:r w:rsidRPr="00201045">
              <w:rPr>
                <w:b/>
                <w:noProof/>
                <w:webHidden/>
              </w:rPr>
              <w:instrText xml:space="preserve"> PAGEREF _Toc172506032 \h </w:instrText>
            </w:r>
            <w:r w:rsidRPr="00201045">
              <w:rPr>
                <w:b/>
                <w:noProof/>
                <w:webHidden/>
              </w:rPr>
            </w:r>
            <w:r w:rsidRPr="00201045">
              <w:rPr>
                <w:b/>
                <w:noProof/>
                <w:webHidden/>
              </w:rPr>
              <w:fldChar w:fldCharType="separate"/>
            </w:r>
            <w:r>
              <w:rPr>
                <w:b/>
                <w:noProof/>
                <w:webHidden/>
              </w:rPr>
              <w:t>9</w:t>
            </w:r>
            <w:r w:rsidRPr="00201045">
              <w:rPr>
                <w:b/>
                <w:noProof/>
                <w:webHidden/>
              </w:rPr>
              <w:fldChar w:fldCharType="end"/>
            </w:r>
          </w:hyperlink>
        </w:p>
        <w:p w:rsidR="00201045" w:rsidRPr="00201045" w:rsidRDefault="00201045">
          <w:pPr>
            <w:pStyle w:val="TOC1"/>
            <w:tabs>
              <w:tab w:val="right" w:leader="dot" w:pos="9350"/>
            </w:tabs>
            <w:rPr>
              <w:b/>
              <w:noProof/>
            </w:rPr>
          </w:pPr>
          <w:hyperlink w:anchor="_Toc172506033" w:history="1">
            <w:r w:rsidRPr="00201045">
              <w:rPr>
                <w:rStyle w:val="Hyperlink"/>
                <w:rFonts w:ascii="Arial" w:hAnsi="Arial" w:cs="Arial"/>
                <w:b/>
                <w:noProof/>
              </w:rPr>
              <w:t>Ways to reach a ‘win-win’ solution among the stakeholders</w:t>
            </w:r>
            <w:r w:rsidRPr="00201045">
              <w:rPr>
                <w:b/>
                <w:noProof/>
                <w:webHidden/>
              </w:rPr>
              <w:tab/>
            </w:r>
            <w:r w:rsidRPr="00201045">
              <w:rPr>
                <w:b/>
                <w:noProof/>
                <w:webHidden/>
              </w:rPr>
              <w:fldChar w:fldCharType="begin"/>
            </w:r>
            <w:r w:rsidRPr="00201045">
              <w:rPr>
                <w:b/>
                <w:noProof/>
                <w:webHidden/>
              </w:rPr>
              <w:instrText xml:space="preserve"> PAGEREF _Toc172506033 \h </w:instrText>
            </w:r>
            <w:r w:rsidRPr="00201045">
              <w:rPr>
                <w:b/>
                <w:noProof/>
                <w:webHidden/>
              </w:rPr>
            </w:r>
            <w:r w:rsidRPr="00201045">
              <w:rPr>
                <w:b/>
                <w:noProof/>
                <w:webHidden/>
              </w:rPr>
              <w:fldChar w:fldCharType="separate"/>
            </w:r>
            <w:r>
              <w:rPr>
                <w:b/>
                <w:noProof/>
                <w:webHidden/>
              </w:rPr>
              <w:t>14</w:t>
            </w:r>
            <w:r w:rsidRPr="00201045">
              <w:rPr>
                <w:b/>
                <w:noProof/>
                <w:webHidden/>
              </w:rPr>
              <w:fldChar w:fldCharType="end"/>
            </w:r>
          </w:hyperlink>
        </w:p>
        <w:p w:rsidR="00201045" w:rsidRPr="00201045" w:rsidRDefault="00201045">
          <w:pPr>
            <w:pStyle w:val="TOC1"/>
            <w:tabs>
              <w:tab w:val="right" w:leader="dot" w:pos="9350"/>
            </w:tabs>
            <w:rPr>
              <w:b/>
              <w:noProof/>
            </w:rPr>
          </w:pPr>
          <w:hyperlink w:anchor="_Toc172506034" w:history="1">
            <w:r w:rsidRPr="00201045">
              <w:rPr>
                <w:rStyle w:val="Hyperlink"/>
                <w:rFonts w:ascii="Arial" w:hAnsi="Arial" w:cs="Arial"/>
                <w:b/>
                <w:noProof/>
              </w:rPr>
              <w:t>Reflection</w:t>
            </w:r>
            <w:r w:rsidRPr="00201045">
              <w:rPr>
                <w:b/>
                <w:noProof/>
                <w:webHidden/>
              </w:rPr>
              <w:tab/>
            </w:r>
            <w:r w:rsidRPr="00201045">
              <w:rPr>
                <w:b/>
                <w:noProof/>
                <w:webHidden/>
              </w:rPr>
              <w:fldChar w:fldCharType="begin"/>
            </w:r>
            <w:r w:rsidRPr="00201045">
              <w:rPr>
                <w:b/>
                <w:noProof/>
                <w:webHidden/>
              </w:rPr>
              <w:instrText xml:space="preserve"> PAGEREF _Toc172506034 \h </w:instrText>
            </w:r>
            <w:r w:rsidRPr="00201045">
              <w:rPr>
                <w:b/>
                <w:noProof/>
                <w:webHidden/>
              </w:rPr>
            </w:r>
            <w:r w:rsidRPr="00201045">
              <w:rPr>
                <w:b/>
                <w:noProof/>
                <w:webHidden/>
              </w:rPr>
              <w:fldChar w:fldCharType="separate"/>
            </w:r>
            <w:r>
              <w:rPr>
                <w:b/>
                <w:noProof/>
                <w:webHidden/>
              </w:rPr>
              <w:t>17</w:t>
            </w:r>
            <w:r w:rsidRPr="00201045">
              <w:rPr>
                <w:b/>
                <w:noProof/>
                <w:webHidden/>
              </w:rPr>
              <w:fldChar w:fldCharType="end"/>
            </w:r>
          </w:hyperlink>
        </w:p>
        <w:p w:rsidR="00201045" w:rsidRPr="00201045" w:rsidRDefault="00201045">
          <w:pPr>
            <w:pStyle w:val="TOC1"/>
            <w:tabs>
              <w:tab w:val="right" w:leader="dot" w:pos="9350"/>
            </w:tabs>
            <w:rPr>
              <w:b/>
              <w:noProof/>
            </w:rPr>
          </w:pPr>
          <w:hyperlink w:anchor="_Toc172506035" w:history="1">
            <w:r w:rsidRPr="00201045">
              <w:rPr>
                <w:rStyle w:val="Hyperlink"/>
                <w:rFonts w:ascii="Arial" w:hAnsi="Arial" w:cs="Arial"/>
                <w:b/>
                <w:noProof/>
              </w:rPr>
              <w:t>Conclusion</w:t>
            </w:r>
            <w:r w:rsidRPr="00201045">
              <w:rPr>
                <w:b/>
                <w:noProof/>
                <w:webHidden/>
              </w:rPr>
              <w:tab/>
            </w:r>
            <w:r w:rsidRPr="00201045">
              <w:rPr>
                <w:b/>
                <w:noProof/>
                <w:webHidden/>
              </w:rPr>
              <w:fldChar w:fldCharType="begin"/>
            </w:r>
            <w:r w:rsidRPr="00201045">
              <w:rPr>
                <w:b/>
                <w:noProof/>
                <w:webHidden/>
              </w:rPr>
              <w:instrText xml:space="preserve"> PAGEREF _Toc172506035 \h </w:instrText>
            </w:r>
            <w:r w:rsidRPr="00201045">
              <w:rPr>
                <w:b/>
                <w:noProof/>
                <w:webHidden/>
              </w:rPr>
            </w:r>
            <w:r w:rsidRPr="00201045">
              <w:rPr>
                <w:b/>
                <w:noProof/>
                <w:webHidden/>
              </w:rPr>
              <w:fldChar w:fldCharType="separate"/>
            </w:r>
            <w:r>
              <w:rPr>
                <w:b/>
                <w:noProof/>
                <w:webHidden/>
              </w:rPr>
              <w:t>20</w:t>
            </w:r>
            <w:r w:rsidRPr="00201045">
              <w:rPr>
                <w:b/>
                <w:noProof/>
                <w:webHidden/>
              </w:rPr>
              <w:fldChar w:fldCharType="end"/>
            </w:r>
          </w:hyperlink>
        </w:p>
        <w:p w:rsidR="00201045" w:rsidRDefault="00201045">
          <w:pPr>
            <w:pStyle w:val="TOC1"/>
            <w:tabs>
              <w:tab w:val="right" w:leader="dot" w:pos="9350"/>
            </w:tabs>
            <w:rPr>
              <w:noProof/>
            </w:rPr>
          </w:pPr>
          <w:hyperlink w:anchor="_Toc172506036" w:history="1">
            <w:r w:rsidRPr="00201045">
              <w:rPr>
                <w:rStyle w:val="Hyperlink"/>
                <w:rFonts w:ascii="Arial" w:hAnsi="Arial" w:cs="Arial"/>
                <w:b/>
                <w:noProof/>
              </w:rPr>
              <w:t>References</w:t>
            </w:r>
            <w:r w:rsidRPr="00201045">
              <w:rPr>
                <w:b/>
                <w:noProof/>
                <w:webHidden/>
              </w:rPr>
              <w:tab/>
            </w:r>
            <w:r w:rsidRPr="00201045">
              <w:rPr>
                <w:b/>
                <w:noProof/>
                <w:webHidden/>
              </w:rPr>
              <w:fldChar w:fldCharType="begin"/>
            </w:r>
            <w:r w:rsidRPr="00201045">
              <w:rPr>
                <w:b/>
                <w:noProof/>
                <w:webHidden/>
              </w:rPr>
              <w:instrText xml:space="preserve"> PAGEREF _Toc172506036 \h </w:instrText>
            </w:r>
            <w:r w:rsidRPr="00201045">
              <w:rPr>
                <w:b/>
                <w:noProof/>
                <w:webHidden/>
              </w:rPr>
            </w:r>
            <w:r w:rsidRPr="00201045">
              <w:rPr>
                <w:b/>
                <w:noProof/>
                <w:webHidden/>
              </w:rPr>
              <w:fldChar w:fldCharType="separate"/>
            </w:r>
            <w:r>
              <w:rPr>
                <w:b/>
                <w:noProof/>
                <w:webHidden/>
              </w:rPr>
              <w:t>21</w:t>
            </w:r>
            <w:r w:rsidRPr="00201045">
              <w:rPr>
                <w:b/>
                <w:noProof/>
                <w:webHidden/>
              </w:rPr>
              <w:fldChar w:fldCharType="end"/>
            </w:r>
          </w:hyperlink>
        </w:p>
        <w:p w:rsidR="00201045" w:rsidRDefault="00201045">
          <w:r>
            <w:fldChar w:fldCharType="end"/>
          </w:r>
        </w:p>
      </w:sdtContent>
    </w:sdt>
    <w:p w:rsidR="00201045" w:rsidRDefault="00201045" w:rsidP="00046747">
      <w:pPr>
        <w:pStyle w:val="Heading1"/>
        <w:spacing w:before="0" w:line="360" w:lineRule="auto"/>
        <w:jc w:val="center"/>
        <w:rPr>
          <w:rFonts w:ascii="Arial" w:hAnsi="Arial" w:cs="Arial"/>
          <w:color w:val="auto"/>
          <w:sz w:val="24"/>
          <w:szCs w:val="24"/>
        </w:rPr>
      </w:pPr>
      <w:bookmarkStart w:id="0" w:name="_Toc172506030"/>
    </w:p>
    <w:p w:rsidR="00201045" w:rsidRDefault="00201045" w:rsidP="00201045"/>
    <w:p w:rsidR="00201045" w:rsidRDefault="00201045" w:rsidP="00201045"/>
    <w:p w:rsidR="00201045" w:rsidRDefault="00201045" w:rsidP="00201045"/>
    <w:p w:rsidR="00201045" w:rsidRDefault="00201045" w:rsidP="00201045"/>
    <w:p w:rsidR="00201045" w:rsidRDefault="00201045" w:rsidP="00201045"/>
    <w:p w:rsidR="00201045" w:rsidRDefault="00201045" w:rsidP="00201045"/>
    <w:p w:rsidR="00201045" w:rsidRDefault="00201045" w:rsidP="00201045"/>
    <w:p w:rsidR="00201045" w:rsidRDefault="00201045" w:rsidP="00201045"/>
    <w:p w:rsidR="00201045" w:rsidRDefault="00201045" w:rsidP="00201045"/>
    <w:p w:rsidR="00201045" w:rsidRDefault="00201045" w:rsidP="00201045"/>
    <w:p w:rsidR="00201045" w:rsidRDefault="00201045" w:rsidP="00201045"/>
    <w:p w:rsidR="00201045" w:rsidRPr="00201045" w:rsidRDefault="00201045" w:rsidP="00201045"/>
    <w:p w:rsidR="00201045" w:rsidRDefault="00201045" w:rsidP="00046747">
      <w:pPr>
        <w:pStyle w:val="Heading1"/>
        <w:spacing w:before="0" w:line="360" w:lineRule="auto"/>
        <w:jc w:val="center"/>
        <w:rPr>
          <w:rFonts w:ascii="Arial" w:hAnsi="Arial" w:cs="Arial"/>
          <w:color w:val="auto"/>
          <w:sz w:val="24"/>
          <w:szCs w:val="24"/>
        </w:rPr>
      </w:pPr>
    </w:p>
    <w:p w:rsidR="00201045" w:rsidRPr="00201045" w:rsidRDefault="00201045" w:rsidP="00201045"/>
    <w:p w:rsidR="00201045" w:rsidRDefault="00201045" w:rsidP="00046747">
      <w:pPr>
        <w:pStyle w:val="Heading1"/>
        <w:spacing w:before="0" w:line="360" w:lineRule="auto"/>
        <w:jc w:val="center"/>
        <w:rPr>
          <w:rFonts w:ascii="Arial" w:hAnsi="Arial" w:cs="Arial"/>
          <w:color w:val="auto"/>
          <w:sz w:val="24"/>
          <w:szCs w:val="24"/>
        </w:rPr>
        <w:sectPr w:rsidR="00201045">
          <w:footerReference w:type="default" r:id="rId8"/>
          <w:pgSz w:w="12240" w:h="15840"/>
          <w:pgMar w:top="1440" w:right="1440" w:bottom="1440" w:left="1440" w:header="708" w:footer="708" w:gutter="0"/>
          <w:cols w:space="708"/>
          <w:docGrid w:linePitch="360"/>
        </w:sectPr>
      </w:pPr>
    </w:p>
    <w:p w:rsidR="00046747" w:rsidRPr="00046747" w:rsidRDefault="00046747" w:rsidP="00046747">
      <w:pPr>
        <w:pStyle w:val="Heading1"/>
        <w:spacing w:before="0" w:line="360" w:lineRule="auto"/>
        <w:jc w:val="center"/>
        <w:rPr>
          <w:rFonts w:ascii="Arial" w:hAnsi="Arial" w:cs="Arial"/>
          <w:color w:val="auto"/>
          <w:sz w:val="24"/>
          <w:szCs w:val="24"/>
        </w:rPr>
      </w:pPr>
      <w:r w:rsidRPr="00046747">
        <w:rPr>
          <w:rFonts w:ascii="Arial" w:hAnsi="Arial" w:cs="Arial"/>
          <w:color w:val="auto"/>
          <w:sz w:val="24"/>
          <w:szCs w:val="24"/>
        </w:rPr>
        <w:lastRenderedPageBreak/>
        <w:t>Introduction</w:t>
      </w:r>
      <w:bookmarkEnd w:id="0"/>
    </w:p>
    <w:p w:rsidR="00046747" w:rsidRDefault="00046747" w:rsidP="00046747">
      <w:pPr>
        <w:pStyle w:val="Heading1"/>
        <w:spacing w:before="0" w:line="360" w:lineRule="auto"/>
        <w:jc w:val="center"/>
        <w:rPr>
          <w:rFonts w:ascii="Arial" w:hAnsi="Arial" w:cs="Arial"/>
          <w:color w:val="auto"/>
          <w:sz w:val="24"/>
          <w:szCs w:val="24"/>
        </w:rPr>
      </w:pP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The failure of the Post Office crisis in 2022 ranks among the most glaring and calamitous collapses in recent UK corporate or public history. This particular debacle came about when many sub-postmasters were wrongly prosecuted and convicted due to deficiencies within the Horizon IT system— a program that Fujitsu had designed and was supposed to maintain. The scandal did not only lead to terrible personal and financial consequences for those involved but also saw Post Office losing trust from the public (never mind their losses). As mentioned earlier, we critically analyze this crisis by using what's known as the Salience Model. This will help us see who all the key stakeholders were: then we can find out how their interests played out along power lines which eventually brought about such a crisis; let alone being able to identify some possible ways through which these issues might be resolved.</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The Salience Model — pioneered by Mitchell, Agle, and Wood — is a stakeholder prioritization framework based on power, legitimacy, and urgency. In light of the Post Office imbroglio, this model plays a pivotal role in unravelling the players and their reverberations in this crisis drama. The lead actors are clear: the Post Office fighting a battle to salvage its repute and rectify operational ineptitude; sub-postmasters wronged and seeking retribution plus vindication; Fujitsu— puppeteer to the dysfunctional marionette that is the Horizon system; UK government under scrutiny due to oversight myopia and regulatory duty amnesia; and the public at large who have lost faith not only in postal services but also indirectly as taxpayers.</w:t>
      </w:r>
    </w:p>
    <w:p w:rsidR="00157B5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The following text will use the Salience Model to discuss why each stakeholder is involved in the crisis based on their power, legitimacy, and urgency; it will further investigate how these interactions hamper efforts of resolving the crisis. It aims to find out what strategy can be taken towards stakeholder interest in a way that ensures all are given a fair hearing and judgment, bringing balance to a resolution. By looking at stakeholders through this specific lens, it hopes to shed light on ways that we can address this crisis issue— as well as others down the road.</w:t>
      </w:r>
    </w:p>
    <w:p w:rsidR="003F789B" w:rsidRDefault="003F789B" w:rsidP="003F789B">
      <w:pPr>
        <w:spacing w:after="0" w:line="360" w:lineRule="auto"/>
        <w:ind w:firstLine="720"/>
        <w:jc w:val="both"/>
        <w:rPr>
          <w:rFonts w:ascii="Arial" w:hAnsi="Arial" w:cs="Arial"/>
          <w:shd w:val="clear" w:color="auto" w:fill="FFFFFF"/>
        </w:rPr>
      </w:pPr>
    </w:p>
    <w:p w:rsidR="003F789B" w:rsidRDefault="003F789B" w:rsidP="003F789B">
      <w:pPr>
        <w:spacing w:after="0" w:line="360" w:lineRule="auto"/>
        <w:ind w:firstLine="720"/>
        <w:jc w:val="both"/>
        <w:rPr>
          <w:rFonts w:ascii="Arial" w:hAnsi="Arial" w:cs="Arial"/>
          <w:shd w:val="clear" w:color="auto" w:fill="FFFFFF"/>
        </w:rPr>
      </w:pPr>
    </w:p>
    <w:p w:rsidR="003F789B" w:rsidRDefault="003F789B" w:rsidP="003F789B">
      <w:pPr>
        <w:spacing w:after="0" w:line="360" w:lineRule="auto"/>
        <w:ind w:firstLine="720"/>
        <w:jc w:val="both"/>
        <w:rPr>
          <w:rFonts w:ascii="Arial" w:hAnsi="Arial" w:cs="Arial"/>
          <w:shd w:val="clear" w:color="auto" w:fill="FFFFFF"/>
        </w:rPr>
      </w:pPr>
    </w:p>
    <w:p w:rsidR="003F789B" w:rsidRPr="003F789B" w:rsidRDefault="003F789B" w:rsidP="003F789B">
      <w:pPr>
        <w:spacing w:after="0" w:line="360" w:lineRule="auto"/>
        <w:ind w:firstLine="720"/>
        <w:jc w:val="both"/>
      </w:pPr>
    </w:p>
    <w:p w:rsidR="00494451" w:rsidRPr="00046747" w:rsidRDefault="00046747" w:rsidP="00046747">
      <w:pPr>
        <w:pStyle w:val="Heading1"/>
        <w:spacing w:before="0" w:line="360" w:lineRule="auto"/>
        <w:jc w:val="center"/>
        <w:rPr>
          <w:rFonts w:ascii="Arial" w:hAnsi="Arial" w:cs="Arial"/>
          <w:color w:val="auto"/>
          <w:sz w:val="24"/>
          <w:szCs w:val="24"/>
        </w:rPr>
      </w:pPr>
      <w:bookmarkStart w:id="1" w:name="_Toc172506031"/>
      <w:r w:rsidRPr="00046747">
        <w:rPr>
          <w:rFonts w:ascii="Arial" w:hAnsi="Arial" w:cs="Arial"/>
          <w:color w:val="auto"/>
          <w:sz w:val="24"/>
          <w:szCs w:val="24"/>
        </w:rPr>
        <w:lastRenderedPageBreak/>
        <w:t>The Salience Model for stakeholder analysis</w:t>
      </w:r>
      <w:bookmarkEnd w:id="1"/>
    </w:p>
    <w:p w:rsidR="00046747" w:rsidRDefault="00046747" w:rsidP="00046747">
      <w:pPr>
        <w:pStyle w:val="Heading1"/>
        <w:spacing w:before="0" w:line="360" w:lineRule="auto"/>
        <w:jc w:val="center"/>
        <w:rPr>
          <w:rFonts w:ascii="Arial" w:hAnsi="Arial" w:cs="Arial"/>
          <w:color w:val="auto"/>
          <w:sz w:val="24"/>
          <w:szCs w:val="24"/>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The Post Office Horizon IT scandal, better known as the Post Office crisis, is one of the most enormous miscarriages of justice in modern times within the UK. It resulted in the wrongful prosecution of hundreds of sub-postmasters, all on the back of flawed data from the Horizon IT system, which was causing financial discrepancies. By 2022, this crisis had finally spiraled out of control with a wave of overturned convictions and public uproar. Stakeholder analysis, considering the criteria of power, legitimacy, and urgency of such stakeholders, is indispensable in negotiating and overcoming such a crisis using the Salience Model.</w:t>
      </w:r>
    </w:p>
    <w:p w:rsidR="00046747" w:rsidRP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ind w:firstLine="720"/>
        <w:jc w:val="both"/>
        <w:rPr>
          <w:rFonts w:ascii="Arial" w:hAnsi="Arial" w:cs="Arial"/>
          <w:b/>
          <w:i/>
        </w:rPr>
      </w:pPr>
      <w:r w:rsidRPr="00046747">
        <w:rPr>
          <w:rFonts w:ascii="Arial" w:hAnsi="Arial" w:cs="Arial"/>
          <w:b/>
          <w:i/>
        </w:rPr>
        <w:t>The Salience Model Explained</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According to three attributes, which are power, legitimacy, and urgency, the Salience Model classifies stakeholders as follows: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Power: The extent to which a stakeholder has the ability to impact the organization.</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Legitimacy: The degree to which the stakeholder's claim is perceived to be valid or appropriate.</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Urgency: The degree to which the stakeholder's claim imperatively needs attention.</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Using this model, stakeholders are grouped into one of seven types, depending on whether these attributes are either present or not present.</w:t>
      </w:r>
    </w:p>
    <w:p w:rsidR="003F789B" w:rsidRDefault="003F789B"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437F8C" w:rsidP="00046747">
      <w:pPr>
        <w:spacing w:after="0" w:line="360" w:lineRule="auto"/>
        <w:jc w:val="both"/>
        <w:rPr>
          <w:rFonts w:ascii="Arial" w:hAnsi="Arial" w:cs="Arial"/>
        </w:rPr>
      </w:pPr>
    </w:p>
    <w:p w:rsidR="00437F8C" w:rsidRDefault="00D94014" w:rsidP="00046747">
      <w:pPr>
        <w:spacing w:after="0" w:line="360" w:lineRule="auto"/>
        <w:jc w:val="both"/>
        <w:rPr>
          <w:rFonts w:ascii="Arial" w:hAnsi="Arial" w:cs="Arial"/>
        </w:rPr>
      </w:pPr>
      <w:r>
        <w:rPr>
          <w:rFonts w:ascii="Arial" w:hAnsi="Arial" w:cs="Arial"/>
        </w:rPr>
        <w:t>+</w:t>
      </w:r>
    </w:p>
    <w:p w:rsidR="00437F8C" w:rsidRDefault="00437F8C" w:rsidP="00437F8C">
      <w:pPr>
        <w:spacing w:after="0" w:line="360" w:lineRule="auto"/>
        <w:jc w:val="center"/>
        <w:rPr>
          <w:rFonts w:ascii="Arial" w:hAnsi="Arial" w:cs="Arial"/>
        </w:rPr>
      </w:pPr>
      <w:r>
        <w:rPr>
          <w:rFonts w:ascii="Arial" w:hAnsi="Arial" w:cs="Arial"/>
        </w:rPr>
        <w:lastRenderedPageBreak/>
        <w:t>Figure 1 – The Salience Model applied to Post Office Stakeholders Analysis</w:t>
      </w:r>
    </w:p>
    <w:p w:rsidR="00437F8C" w:rsidRDefault="00437F8C" w:rsidP="00437F8C">
      <w:pPr>
        <w:spacing w:after="0" w:line="360" w:lineRule="auto"/>
        <w:jc w:val="center"/>
        <w:rPr>
          <w:rFonts w:ascii="Arial" w:hAnsi="Arial" w:cs="Arial"/>
        </w:rPr>
      </w:pPr>
    </w:p>
    <w:p w:rsidR="00437F8C" w:rsidRDefault="00437F8C" w:rsidP="00437F8C">
      <w:pPr>
        <w:spacing w:after="0" w:line="360" w:lineRule="auto"/>
        <w:jc w:val="center"/>
        <w:rPr>
          <w:rFonts w:ascii="Arial" w:hAnsi="Arial" w:cs="Arial"/>
        </w:rPr>
      </w:pPr>
      <w:r>
        <w:rPr>
          <w:rFonts w:ascii="Arial" w:hAnsi="Arial" w:cs="Arial"/>
          <w:noProof/>
        </w:rPr>
        <w:drawing>
          <wp:inline distT="0" distB="0" distL="0" distR="0">
            <wp:extent cx="4781550" cy="410718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781550" cy="4107180"/>
                    </a:xfrm>
                    <a:prstGeom prst="rect">
                      <a:avLst/>
                    </a:prstGeom>
                    <a:noFill/>
                    <a:ln w="9525">
                      <a:noFill/>
                      <a:miter lim="800000"/>
                      <a:headEnd/>
                      <a:tailEnd/>
                    </a:ln>
                  </pic:spPr>
                </pic:pic>
              </a:graphicData>
            </a:graphic>
          </wp:inline>
        </w:drawing>
      </w:r>
    </w:p>
    <w:p w:rsidR="00046747" w:rsidRPr="00046747" w:rsidRDefault="00046747" w:rsidP="003F789B">
      <w:pPr>
        <w:spacing w:after="0" w:line="360" w:lineRule="auto"/>
        <w:ind w:firstLine="720"/>
        <w:jc w:val="both"/>
        <w:rPr>
          <w:rFonts w:ascii="Arial" w:hAnsi="Arial" w:cs="Arial"/>
        </w:rPr>
      </w:pPr>
      <w:r w:rsidRPr="00046747">
        <w:rPr>
          <w:rFonts w:ascii="Arial" w:hAnsi="Arial" w:cs="Arial"/>
        </w:rPr>
        <w:t>Sub-postmasters and Sub-postmistresses = Definitive Stakeholders</w:t>
      </w:r>
    </w:p>
    <w:p w:rsidR="00046747" w:rsidRPr="00046747" w:rsidRDefault="00046747" w:rsidP="00046747">
      <w:pPr>
        <w:spacing w:after="0" w:line="360" w:lineRule="auto"/>
        <w:jc w:val="both"/>
        <w:rPr>
          <w:rFonts w:ascii="Arial" w:hAnsi="Arial" w:cs="Arial"/>
        </w:rPr>
      </w:pPr>
      <w:r w:rsidRPr="00046747">
        <w:rPr>
          <w:rFonts w:ascii="Arial" w:hAnsi="Arial" w:cs="Arial"/>
        </w:rPr>
        <w:t>Power: They can mobilize public opinion and the verdicts of law through media and legal struggle.</w:t>
      </w:r>
    </w:p>
    <w:p w:rsidR="00046747" w:rsidRPr="00046747" w:rsidRDefault="00046747" w:rsidP="00046747">
      <w:pPr>
        <w:spacing w:after="0" w:line="360" w:lineRule="auto"/>
        <w:jc w:val="both"/>
        <w:rPr>
          <w:rFonts w:ascii="Arial" w:hAnsi="Arial" w:cs="Arial"/>
        </w:rPr>
      </w:pPr>
      <w:r w:rsidRPr="00046747">
        <w:rPr>
          <w:rFonts w:ascii="Arial" w:hAnsi="Arial" w:cs="Arial"/>
        </w:rPr>
        <w:t>Legitimacy: Their claims are legitimate as they have become the victims of wrongful prosecutions.</w:t>
      </w:r>
    </w:p>
    <w:p w:rsidR="00046747" w:rsidRPr="00046747" w:rsidRDefault="00046747" w:rsidP="00046747">
      <w:pPr>
        <w:spacing w:after="0" w:line="360" w:lineRule="auto"/>
        <w:jc w:val="both"/>
        <w:rPr>
          <w:rFonts w:ascii="Arial" w:hAnsi="Arial" w:cs="Arial"/>
        </w:rPr>
      </w:pPr>
      <w:r w:rsidRPr="00046747">
        <w:rPr>
          <w:rFonts w:ascii="Arial" w:hAnsi="Arial" w:cs="Arial"/>
        </w:rPr>
        <w:t>Urgency: The need for justice and compensation is urgent and overnight.</w:t>
      </w:r>
    </w:p>
    <w:p w:rsidR="00046747" w:rsidRPr="00046747" w:rsidRDefault="00046747" w:rsidP="00046747">
      <w:pPr>
        <w:spacing w:after="0" w:line="360" w:lineRule="auto"/>
        <w:jc w:val="both"/>
        <w:rPr>
          <w:rFonts w:ascii="Arial" w:hAnsi="Arial" w:cs="Arial"/>
        </w:rPr>
      </w:pPr>
      <w:r w:rsidRPr="00046747">
        <w:rPr>
          <w:rFonts w:ascii="Arial" w:hAnsi="Arial" w:cs="Arial"/>
        </w:rPr>
        <w:t>Justification: Sub-postmasters are the main casualties; hence, approaching them is very necessary. Their issues can be resolved within no time, and thus their trust can be regained, avoiding future litigations. They can provide an eyewitness account and supply evidence that can be crucial for reviewing the crisis and act as a how-to-avoid-in-future guide.</w:t>
      </w:r>
    </w:p>
    <w:p w:rsidR="00046747" w:rsidRP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jc w:val="both"/>
        <w:rPr>
          <w:rFonts w:ascii="Arial" w:hAnsi="Arial" w:cs="Arial"/>
        </w:rPr>
      </w:pPr>
      <w:r w:rsidRPr="00046747">
        <w:rPr>
          <w:rFonts w:ascii="Arial" w:hAnsi="Arial" w:cs="Arial"/>
        </w:rPr>
        <w:t>The Post Office Limited</w:t>
      </w:r>
      <w:r>
        <w:rPr>
          <w:rFonts w:ascii="Arial" w:hAnsi="Arial" w:cs="Arial"/>
        </w:rPr>
        <w:t xml:space="preserve"> </w:t>
      </w:r>
      <w:r w:rsidRPr="00046747">
        <w:rPr>
          <w:rFonts w:ascii="Arial" w:hAnsi="Arial" w:cs="Arial"/>
        </w:rPr>
        <w:t>(Definitive Stakeholder)</w:t>
      </w:r>
    </w:p>
    <w:p w:rsidR="00046747" w:rsidRPr="00046747" w:rsidRDefault="00046747" w:rsidP="00046747">
      <w:pPr>
        <w:spacing w:after="0" w:line="360" w:lineRule="auto"/>
        <w:jc w:val="both"/>
        <w:rPr>
          <w:rFonts w:ascii="Arial" w:hAnsi="Arial" w:cs="Arial"/>
        </w:rPr>
      </w:pPr>
      <w:r w:rsidRPr="00046747">
        <w:rPr>
          <w:rFonts w:ascii="Arial" w:hAnsi="Arial" w:cs="Arial"/>
        </w:rPr>
        <w:t>Power: High control over operations and policy implications.</w:t>
      </w:r>
    </w:p>
    <w:p w:rsidR="00046747" w:rsidRPr="00046747" w:rsidRDefault="00046747" w:rsidP="00046747">
      <w:pPr>
        <w:spacing w:after="0" w:line="360" w:lineRule="auto"/>
        <w:jc w:val="both"/>
        <w:rPr>
          <w:rFonts w:ascii="Arial" w:hAnsi="Arial" w:cs="Arial"/>
        </w:rPr>
      </w:pPr>
      <w:r w:rsidRPr="00046747">
        <w:rPr>
          <w:rFonts w:ascii="Arial" w:hAnsi="Arial" w:cs="Arial"/>
        </w:rPr>
        <w:t>Legitimacy: It should be addressed since this is the organization responsible for the Horizon system.</w:t>
      </w:r>
    </w:p>
    <w:p w:rsidR="00046747" w:rsidRPr="00046747" w:rsidRDefault="00046747" w:rsidP="00046747">
      <w:pPr>
        <w:spacing w:after="0" w:line="360" w:lineRule="auto"/>
        <w:jc w:val="both"/>
        <w:rPr>
          <w:rFonts w:ascii="Arial" w:hAnsi="Arial" w:cs="Arial"/>
        </w:rPr>
      </w:pPr>
      <w:r w:rsidRPr="00046747">
        <w:rPr>
          <w:rFonts w:ascii="Arial" w:hAnsi="Arial" w:cs="Arial"/>
        </w:rPr>
        <w:lastRenderedPageBreak/>
        <w:t>Urgency: This is a call for immediate action to restore credibility and avoid damage.</w:t>
      </w:r>
    </w:p>
    <w:p w:rsidR="00046747" w:rsidRPr="00046747" w:rsidRDefault="00046747" w:rsidP="00046747">
      <w:pPr>
        <w:spacing w:after="0" w:line="360" w:lineRule="auto"/>
        <w:jc w:val="both"/>
        <w:rPr>
          <w:rFonts w:ascii="Arial" w:hAnsi="Arial" w:cs="Arial"/>
        </w:rPr>
      </w:pPr>
      <w:r w:rsidRPr="00046747">
        <w:rPr>
          <w:rFonts w:ascii="Arial" w:hAnsi="Arial" w:cs="Arial"/>
        </w:rPr>
        <w:t>Justification: The Post Office is liable for the crisis, and therefore it should take the lead in its resolution. That involves compensation of the victims, overhauling of the IT systems, setting up robust mechanisms of oversight, and thus performing a dual role in both resolution and prevention of crises.</w:t>
      </w:r>
    </w:p>
    <w:p w:rsidR="00046747" w:rsidRP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jc w:val="both"/>
        <w:rPr>
          <w:rFonts w:ascii="Arial" w:hAnsi="Arial" w:cs="Arial"/>
        </w:rPr>
      </w:pPr>
      <w:r w:rsidRPr="00046747">
        <w:rPr>
          <w:rFonts w:ascii="Arial" w:hAnsi="Arial" w:cs="Arial"/>
        </w:rPr>
        <w:t>Fujitsu (Dominant Stakeholder)</w:t>
      </w:r>
    </w:p>
    <w:p w:rsidR="00046747" w:rsidRPr="00046747" w:rsidRDefault="00046747" w:rsidP="00046747">
      <w:pPr>
        <w:spacing w:after="0" w:line="360" w:lineRule="auto"/>
        <w:jc w:val="both"/>
        <w:rPr>
          <w:rFonts w:ascii="Arial" w:hAnsi="Arial" w:cs="Arial"/>
        </w:rPr>
      </w:pPr>
      <w:r w:rsidRPr="00046747">
        <w:rPr>
          <w:rFonts w:ascii="Arial" w:hAnsi="Arial" w:cs="Arial"/>
        </w:rPr>
        <w:t>Power: Being the system developer of Horizon IT, Fujitsu has immense power over technical solutions and accountability</w:t>
      </w:r>
    </w:p>
    <w:p w:rsidR="00046747" w:rsidRPr="00046747" w:rsidRDefault="00046747" w:rsidP="00046747">
      <w:pPr>
        <w:spacing w:after="0" w:line="360" w:lineRule="auto"/>
        <w:jc w:val="both"/>
        <w:rPr>
          <w:rFonts w:ascii="Arial" w:hAnsi="Arial" w:cs="Arial"/>
        </w:rPr>
      </w:pPr>
      <w:r w:rsidRPr="00046747">
        <w:rPr>
          <w:rFonts w:ascii="Arial" w:hAnsi="Arial" w:cs="Arial"/>
        </w:rPr>
        <w:t>Legitimacy: The involvement in the development and maintenance of this flawed system makes it a legitimate stakeholder</w:t>
      </w:r>
    </w:p>
    <w:p w:rsidR="00046747" w:rsidRPr="00046747" w:rsidRDefault="00046747" w:rsidP="00046747">
      <w:pPr>
        <w:spacing w:after="0" w:line="360" w:lineRule="auto"/>
        <w:jc w:val="both"/>
        <w:rPr>
          <w:rFonts w:ascii="Arial" w:hAnsi="Arial" w:cs="Arial"/>
        </w:rPr>
      </w:pPr>
      <w:r w:rsidRPr="00046747">
        <w:rPr>
          <w:rFonts w:ascii="Arial" w:hAnsi="Arial" w:cs="Arial"/>
        </w:rPr>
        <w:t>Urgency: Though urgent, its role would be more towards the provision of technical resolutions and information rather than on immediate compensation.</w:t>
      </w:r>
    </w:p>
    <w:p w:rsidR="00046747" w:rsidRPr="00046747" w:rsidRDefault="00046747" w:rsidP="00046747">
      <w:pPr>
        <w:spacing w:after="0" w:line="360" w:lineRule="auto"/>
        <w:jc w:val="both"/>
        <w:rPr>
          <w:rFonts w:ascii="Arial" w:hAnsi="Arial" w:cs="Arial"/>
        </w:rPr>
      </w:pPr>
      <w:r w:rsidRPr="00046747">
        <w:rPr>
          <w:rFonts w:ascii="Arial" w:hAnsi="Arial" w:cs="Arial"/>
        </w:rPr>
        <w:t>Justification: Fujitsu has to be involved in providing technical expertise and transparency regarding Horizon system flaws. Their cooperation on forensic examinations and applying corrective steps is very essential.</w:t>
      </w:r>
    </w:p>
    <w:p w:rsidR="00046747" w:rsidRP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jc w:val="both"/>
        <w:rPr>
          <w:rFonts w:ascii="Arial" w:hAnsi="Arial" w:cs="Arial"/>
        </w:rPr>
      </w:pPr>
      <w:r w:rsidRPr="00046747">
        <w:rPr>
          <w:rFonts w:ascii="Arial" w:hAnsi="Arial" w:cs="Arial"/>
        </w:rPr>
        <w:t>UK Government (Dominant Stakeholder)</w:t>
      </w:r>
    </w:p>
    <w:p w:rsidR="00046747" w:rsidRPr="00046747" w:rsidRDefault="00046747" w:rsidP="00046747">
      <w:pPr>
        <w:spacing w:after="0" w:line="360" w:lineRule="auto"/>
        <w:jc w:val="both"/>
        <w:rPr>
          <w:rFonts w:ascii="Arial" w:hAnsi="Arial" w:cs="Arial"/>
        </w:rPr>
      </w:pPr>
      <w:r w:rsidRPr="00046747">
        <w:rPr>
          <w:rFonts w:ascii="Arial" w:hAnsi="Arial" w:cs="Arial"/>
        </w:rPr>
        <w:t>Power: The government can influence the policy, regulation, and will of needed funds.</w:t>
      </w:r>
    </w:p>
    <w:p w:rsidR="00046747" w:rsidRPr="00046747" w:rsidRDefault="00046747" w:rsidP="00046747">
      <w:pPr>
        <w:spacing w:after="0" w:line="360" w:lineRule="auto"/>
        <w:jc w:val="both"/>
        <w:rPr>
          <w:rFonts w:ascii="Arial" w:hAnsi="Arial" w:cs="Arial"/>
        </w:rPr>
      </w:pPr>
      <w:r w:rsidRPr="00046747">
        <w:rPr>
          <w:rFonts w:ascii="Arial" w:hAnsi="Arial" w:cs="Arial"/>
        </w:rPr>
        <w:t>Legitimacy: As the last word in oversight of public service, it has to deliver justice and provide effective services.</w:t>
      </w:r>
    </w:p>
    <w:p w:rsidR="00046747" w:rsidRPr="00046747" w:rsidRDefault="00046747" w:rsidP="00046747">
      <w:pPr>
        <w:spacing w:after="0" w:line="360" w:lineRule="auto"/>
        <w:jc w:val="both"/>
        <w:rPr>
          <w:rFonts w:ascii="Arial" w:hAnsi="Arial" w:cs="Arial"/>
        </w:rPr>
      </w:pPr>
      <w:r w:rsidRPr="00046747">
        <w:rPr>
          <w:rFonts w:ascii="Arial" w:hAnsi="Arial" w:cs="Arial"/>
        </w:rPr>
        <w:t>Urgency: The situation calls for urgent policy intervention and legislative support.</w:t>
      </w:r>
    </w:p>
    <w:p w:rsidR="00046747" w:rsidRPr="00046747" w:rsidRDefault="00046747" w:rsidP="00046747">
      <w:pPr>
        <w:spacing w:after="0" w:line="360" w:lineRule="auto"/>
        <w:jc w:val="both"/>
        <w:rPr>
          <w:rFonts w:ascii="Arial" w:hAnsi="Arial" w:cs="Arial"/>
        </w:rPr>
      </w:pPr>
      <w:r w:rsidRPr="00046747">
        <w:rPr>
          <w:rFonts w:ascii="Arial" w:hAnsi="Arial" w:cs="Arial"/>
        </w:rPr>
        <w:t>Justification: Facilitation of resolution by the government through legislative changes, compensation schemes, and ensuring accountability. Systemic changes and oversight to avert future incidents have an important role to play at the hands of the government.</w:t>
      </w:r>
    </w:p>
    <w:p w:rsidR="00046747" w:rsidRP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jc w:val="both"/>
        <w:rPr>
          <w:rFonts w:ascii="Arial" w:hAnsi="Arial" w:cs="Arial"/>
        </w:rPr>
      </w:pPr>
      <w:r w:rsidRPr="00046747">
        <w:rPr>
          <w:rFonts w:ascii="Arial" w:hAnsi="Arial" w:cs="Arial"/>
        </w:rPr>
        <w:t>Judiciary and Legal Bodies (Dominant Stakeholder)</w:t>
      </w:r>
    </w:p>
    <w:p w:rsidR="00046747" w:rsidRPr="00046747" w:rsidRDefault="00046747" w:rsidP="00046747">
      <w:pPr>
        <w:spacing w:after="0" w:line="360" w:lineRule="auto"/>
        <w:jc w:val="both"/>
        <w:rPr>
          <w:rFonts w:ascii="Arial" w:hAnsi="Arial" w:cs="Arial"/>
        </w:rPr>
      </w:pPr>
      <w:r w:rsidRPr="00046747">
        <w:rPr>
          <w:rFonts w:ascii="Arial" w:hAnsi="Arial" w:cs="Arial"/>
        </w:rPr>
        <w:t>Power: They have the power to reverse wrongful convictions and ensure legal redress.</w:t>
      </w:r>
    </w:p>
    <w:p w:rsidR="00046747" w:rsidRPr="00046747" w:rsidRDefault="00046747" w:rsidP="00046747">
      <w:pPr>
        <w:spacing w:after="0" w:line="360" w:lineRule="auto"/>
        <w:jc w:val="both"/>
        <w:rPr>
          <w:rFonts w:ascii="Arial" w:hAnsi="Arial" w:cs="Arial"/>
        </w:rPr>
      </w:pPr>
      <w:r w:rsidRPr="00046747">
        <w:rPr>
          <w:rFonts w:ascii="Arial" w:hAnsi="Arial" w:cs="Arial"/>
        </w:rPr>
        <w:t>Legitimacy: Their involvement is necessary for justice and the rule of law.</w:t>
      </w:r>
    </w:p>
    <w:p w:rsidR="00046747" w:rsidRPr="00046747" w:rsidRDefault="00046747" w:rsidP="00046747">
      <w:pPr>
        <w:spacing w:after="0" w:line="360" w:lineRule="auto"/>
        <w:jc w:val="both"/>
        <w:rPr>
          <w:rFonts w:ascii="Arial" w:hAnsi="Arial" w:cs="Arial"/>
        </w:rPr>
      </w:pPr>
      <w:r w:rsidRPr="00046747">
        <w:rPr>
          <w:rFonts w:ascii="Arial" w:hAnsi="Arial" w:cs="Arial"/>
        </w:rPr>
        <w:t>Urgency: Ensuring wrongful convictions are dealt with is urgent, and this includes ensuring that there are fair legal processes.</w:t>
      </w:r>
    </w:p>
    <w:p w:rsidR="00046747" w:rsidRPr="00046747" w:rsidRDefault="00046747" w:rsidP="00046747">
      <w:pPr>
        <w:spacing w:after="0" w:line="360" w:lineRule="auto"/>
        <w:jc w:val="both"/>
        <w:rPr>
          <w:rFonts w:ascii="Arial" w:hAnsi="Arial" w:cs="Arial"/>
        </w:rPr>
      </w:pPr>
      <w:r w:rsidRPr="00046747">
        <w:rPr>
          <w:rFonts w:ascii="Arial" w:hAnsi="Arial" w:cs="Arial"/>
        </w:rPr>
        <w:t>Reason: An individual can liaison with the judiciary to ensure that all wrongful convictions are quashed and that the victims get justice. Legal bodies will also fast track the process involved in compensation claims, hence ensuring the rights of the victims.</w:t>
      </w:r>
    </w:p>
    <w:p w:rsid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jc w:val="both"/>
        <w:rPr>
          <w:rFonts w:ascii="Arial" w:hAnsi="Arial" w:cs="Arial"/>
        </w:rPr>
      </w:pPr>
      <w:r w:rsidRPr="00046747">
        <w:rPr>
          <w:rFonts w:ascii="Arial" w:hAnsi="Arial" w:cs="Arial"/>
        </w:rPr>
        <w:t>Media (Threatening Stakeholder)</w:t>
      </w:r>
    </w:p>
    <w:p w:rsidR="00046747" w:rsidRPr="00046747" w:rsidRDefault="00046747" w:rsidP="00046747">
      <w:pPr>
        <w:spacing w:after="0" w:line="360" w:lineRule="auto"/>
        <w:jc w:val="both"/>
        <w:rPr>
          <w:rFonts w:ascii="Arial" w:hAnsi="Arial" w:cs="Arial"/>
        </w:rPr>
      </w:pPr>
      <w:r w:rsidRPr="00046747">
        <w:rPr>
          <w:rFonts w:ascii="Arial" w:hAnsi="Arial" w:cs="Arial"/>
        </w:rPr>
        <w:t>Power: The media has power in swaying public opinion and may pressure other stakeholders.</w:t>
      </w:r>
    </w:p>
    <w:p w:rsidR="00046747" w:rsidRPr="00046747" w:rsidRDefault="00046747" w:rsidP="00046747">
      <w:pPr>
        <w:spacing w:after="0" w:line="360" w:lineRule="auto"/>
        <w:jc w:val="both"/>
        <w:rPr>
          <w:rFonts w:ascii="Arial" w:hAnsi="Arial" w:cs="Arial"/>
        </w:rPr>
      </w:pPr>
      <w:r w:rsidRPr="00046747">
        <w:rPr>
          <w:rFonts w:ascii="Arial" w:hAnsi="Arial" w:cs="Arial"/>
        </w:rPr>
        <w:t>Urgency: The role of keeping the issue in the public eye by them is very urgent.</w:t>
      </w:r>
    </w:p>
    <w:p w:rsidR="00046747" w:rsidRPr="00046747" w:rsidRDefault="00046747" w:rsidP="00046747">
      <w:pPr>
        <w:spacing w:after="0" w:line="360" w:lineRule="auto"/>
        <w:jc w:val="both"/>
        <w:rPr>
          <w:rFonts w:ascii="Arial" w:hAnsi="Arial" w:cs="Arial"/>
        </w:rPr>
      </w:pPr>
      <w:r w:rsidRPr="00046747">
        <w:rPr>
          <w:rFonts w:ascii="Arial" w:hAnsi="Arial" w:cs="Arial"/>
        </w:rPr>
        <w:t>Legitimacy: They gain their legitimacy from the role of alerting the public and acting as watchdogs over public institutions.</w:t>
      </w:r>
    </w:p>
    <w:p w:rsidR="00046747" w:rsidRPr="00046747" w:rsidRDefault="00046747" w:rsidP="00046747">
      <w:pPr>
        <w:spacing w:after="0" w:line="360" w:lineRule="auto"/>
        <w:jc w:val="both"/>
        <w:rPr>
          <w:rFonts w:ascii="Arial" w:hAnsi="Arial" w:cs="Arial"/>
        </w:rPr>
      </w:pPr>
      <w:r w:rsidRPr="00046747">
        <w:rPr>
          <w:rFonts w:ascii="Arial" w:hAnsi="Arial" w:cs="Arial"/>
        </w:rPr>
        <w:t>Justification: The Media is key to keeping the public at large aware and putting pressure on relevant actors to do something. It can mobilize transparency and guarantee that attention continues during the solution process.</w:t>
      </w:r>
    </w:p>
    <w:p w:rsidR="00046747" w:rsidRP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jc w:val="both"/>
        <w:rPr>
          <w:rFonts w:ascii="Arial" w:hAnsi="Arial" w:cs="Arial"/>
        </w:rPr>
      </w:pPr>
      <w:r w:rsidRPr="00046747">
        <w:rPr>
          <w:rFonts w:ascii="Arial" w:hAnsi="Arial" w:cs="Arial"/>
        </w:rPr>
        <w:t>Employee Unions (Dependent Stakeholder)</w:t>
      </w:r>
    </w:p>
    <w:p w:rsidR="00046747" w:rsidRPr="00046747" w:rsidRDefault="00046747" w:rsidP="00046747">
      <w:pPr>
        <w:spacing w:after="0" w:line="360" w:lineRule="auto"/>
        <w:jc w:val="both"/>
        <w:rPr>
          <w:rFonts w:ascii="Arial" w:hAnsi="Arial" w:cs="Arial"/>
        </w:rPr>
      </w:pPr>
      <w:r w:rsidRPr="00046747">
        <w:rPr>
          <w:rFonts w:ascii="Arial" w:hAnsi="Arial" w:cs="Arial"/>
        </w:rPr>
        <w:t>Legitimacy: It represents workers and interests.</w:t>
      </w:r>
    </w:p>
    <w:p w:rsidR="00046747" w:rsidRPr="00046747" w:rsidRDefault="00046747" w:rsidP="00046747">
      <w:pPr>
        <w:spacing w:after="0" w:line="360" w:lineRule="auto"/>
        <w:jc w:val="both"/>
        <w:rPr>
          <w:rFonts w:ascii="Arial" w:hAnsi="Arial" w:cs="Arial"/>
        </w:rPr>
      </w:pPr>
      <w:r w:rsidRPr="00046747">
        <w:rPr>
          <w:rFonts w:ascii="Arial" w:hAnsi="Arial" w:cs="Arial"/>
        </w:rPr>
        <w:t>Urgency: They must address their members' complaints and ensure protection of their rights.</w:t>
      </w:r>
    </w:p>
    <w:p w:rsidR="00046747" w:rsidRPr="00046747" w:rsidRDefault="00046747" w:rsidP="00046747">
      <w:pPr>
        <w:spacing w:after="0" w:line="360" w:lineRule="auto"/>
        <w:jc w:val="both"/>
        <w:rPr>
          <w:rFonts w:ascii="Arial" w:hAnsi="Arial" w:cs="Arial"/>
        </w:rPr>
      </w:pPr>
      <w:r w:rsidRPr="00046747">
        <w:rPr>
          <w:rFonts w:ascii="Arial" w:hAnsi="Arial" w:cs="Arial"/>
        </w:rPr>
        <w:t>Justification: The unions can seek to have the affected employees treated fairly and negotiate for their own members. Their presence means that the workers are guaranteed to have someone to put their interest across when addressing an issue.</w:t>
      </w:r>
    </w:p>
    <w:p w:rsidR="00046747" w:rsidRP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jc w:val="both"/>
        <w:rPr>
          <w:rFonts w:ascii="Arial" w:hAnsi="Arial" w:cs="Arial"/>
        </w:rPr>
      </w:pPr>
      <w:r w:rsidRPr="00046747">
        <w:rPr>
          <w:rFonts w:ascii="Arial" w:hAnsi="Arial" w:cs="Arial"/>
        </w:rPr>
        <w:t>Customer Advocacy Groups</w:t>
      </w:r>
      <w:r>
        <w:rPr>
          <w:rFonts w:ascii="Arial" w:hAnsi="Arial" w:cs="Arial"/>
        </w:rPr>
        <w:t xml:space="preserve"> </w:t>
      </w:r>
      <w:r w:rsidRPr="00046747">
        <w:rPr>
          <w:rFonts w:ascii="Arial" w:hAnsi="Arial" w:cs="Arial"/>
        </w:rPr>
        <w:t>(Discretionary Stakeholder)</w:t>
      </w:r>
    </w:p>
    <w:p w:rsidR="00046747" w:rsidRPr="00046747" w:rsidRDefault="00046747" w:rsidP="00046747">
      <w:pPr>
        <w:spacing w:after="0" w:line="360" w:lineRule="auto"/>
        <w:jc w:val="both"/>
        <w:rPr>
          <w:rFonts w:ascii="Arial" w:hAnsi="Arial" w:cs="Arial"/>
        </w:rPr>
      </w:pPr>
      <w:r w:rsidRPr="00046747">
        <w:rPr>
          <w:rFonts w:ascii="Arial" w:hAnsi="Arial" w:cs="Arial"/>
        </w:rPr>
        <w:t>Legitimacy: They represent the public and consumers' interests.</w:t>
      </w:r>
    </w:p>
    <w:p w:rsidR="00046747" w:rsidRDefault="00046747" w:rsidP="00046747">
      <w:pPr>
        <w:spacing w:after="0" w:line="360" w:lineRule="auto"/>
        <w:jc w:val="both"/>
        <w:rPr>
          <w:rFonts w:ascii="Arial" w:hAnsi="Arial" w:cs="Arial"/>
        </w:rPr>
      </w:pPr>
      <w:r w:rsidRPr="00046747">
        <w:rPr>
          <w:rFonts w:ascii="Arial" w:hAnsi="Arial" w:cs="Arial"/>
        </w:rPr>
        <w:t>Justification: These groups might further deepen an understanding of how the crisis affects customers and ensure restoration of public trust. Their advocacy can drive customer-focused reforms.</w:t>
      </w:r>
    </w:p>
    <w:p w:rsidR="003F789B" w:rsidRDefault="003F789B" w:rsidP="003F789B">
      <w:pPr>
        <w:spacing w:after="0" w:line="360" w:lineRule="auto"/>
        <w:jc w:val="both"/>
        <w:rPr>
          <w:rFonts w:ascii="Arial" w:hAnsi="Arial" w:cs="Arial"/>
        </w:rPr>
      </w:pP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The Post Office</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Power: The crisis revolving around the post office as the primary figure engrossed in the situation boasts of having substantial power by operational control and legislative authority because it can facilitate necessary changes, and decide compensations— which shapes public opinions. Nevertheless, this power is to some extent compromised by its failure to maintain its trustworthiness from the loss of public trust and litigations that challenge its decisions.</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The legitimacy of the Post Office is brought into question by its involvement in the scandal. The collapse of the Horizon IT system that resulted in false prosecutions throws a shadow over its credibility; such incidents cast doubt on its proper functioning as an organization and effective measures of responsibility to be taken.</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lastRenderedPageBreak/>
        <w:t>The urgency is real, and it is pressing for the Post Office because it needs to act fast with a twofold aim: make things right for the aggrieved sub-postmasters, salvage its reputation and curtail any more impending damage. And this isn't just any urgency; there are elements of law and finance that make it even more crucial.</w:t>
      </w:r>
    </w:p>
    <w:p w:rsidR="003F789B" w:rsidRDefault="003F789B" w:rsidP="003F789B">
      <w:pPr>
        <w:spacing w:after="0" w:line="360" w:lineRule="auto"/>
        <w:ind w:firstLine="720"/>
        <w:jc w:val="both"/>
        <w:rPr>
          <w:rFonts w:ascii="Arial" w:hAnsi="Arial" w:cs="Arial"/>
          <w:shd w:val="clear" w:color="auto" w:fill="FFFFFF"/>
        </w:rPr>
      </w:pP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Affected Sub-Postmasters</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In terms of power, the individual sub-postmasters have little authority — but as a collective group with a strong voice and media attention on their side, they wield considerable sway. Their power to rally support from the public and pursue justice through legal means only serves to magnify their potency</w:t>
      </w:r>
      <w:r>
        <w:rPr>
          <w:rFonts w:ascii="Arial" w:hAnsi="Arial" w:cs="Arial"/>
          <w:shd w:val="clear" w:color="auto" w:fill="FFFFFF"/>
        </w:rPr>
        <w:t>.</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Legitimacy: The legitimacy of the sub-postmasters is strong, given that they are victims of systemic failures. Their claims of wrongful prosecution and financial losses are substantiated by evidence, which enhances their position in the stakeholder landscape.</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Urgency: The urgency for sub-postmasters is critical. Many are seeking immediate redress, compensation, and justice for the wrongs they have suffered. The emotional and financial distress experienced by these individuals elevates the urgency of their claims.</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Fujitsu holds significant power in resolving the technical aspects of the crisis as the IT provider for the Horizon system. Its capability to manage and correct system faults is pivotal; these actions can resolve the larger issues at hand, which underscores their authority over this matter. Fujitsu’s legitimacy takes a hit due to its involvement in the failure of an IT system— it must ensure that all stakeholders perceive it as a credible organization again, which means engaging transparently with investigative processes and playing a constructive role in efforts towards resolution.</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Urgency: Fujitsu encounters medium urgency. It must deal with the technical failures of the Horizon system but this is less immediate compared to the Post Office and sub-postmasters' urgency levels. Nevertheless, it should take action in time to avoid aggravating the situation further.</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The UK Governmen</w:t>
      </w:r>
      <w:r>
        <w:rPr>
          <w:rFonts w:ascii="Arial" w:hAnsi="Arial" w:cs="Arial"/>
          <w:shd w:val="clear" w:color="auto" w:fill="FFFFFF"/>
        </w:rPr>
        <w:t>t</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Authority: A substantial amount of authority lies within the hands of the UK government given its role in regulation and legislation. The ability for the government to impact the resolution of the crisis is through policy adjustments, financial aid and legal boundaries.</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 xml:space="preserve">Legitimacy: The government stands high in terms of legitimacy, for it is supposed to hold fairness and justice, making it highly legitimate while overseeing accountability. Yet, this calls for </w:t>
      </w:r>
      <w:r w:rsidRPr="003F789B">
        <w:rPr>
          <w:rFonts w:ascii="Arial" w:hAnsi="Arial" w:cs="Arial"/>
          <w:shd w:val="clear" w:color="auto" w:fill="FFFFFF"/>
        </w:rPr>
        <w:lastRenderedPageBreak/>
        <w:t>transparency in dealing with the crisis that they oversee and quick action that will keep them credible despite compromising some elements of their authority.</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Speed is of the essence. In this case, we speak of the government's substantial urgency with regard to enacting reforms and guaranteeing fairness in its procedures. The crisis has unveiled deep-rooted systemic issues that cannot be addressed without legislative and policy reforms: these are the changes needed.</w:t>
      </w:r>
    </w:p>
    <w:p w:rsidR="00046747" w:rsidRPr="003F789B" w:rsidRDefault="00046747" w:rsidP="003F789B">
      <w:pPr>
        <w:spacing w:after="0" w:line="360" w:lineRule="auto"/>
        <w:ind w:firstLine="720"/>
        <w:jc w:val="both"/>
        <w:rPr>
          <w:rFonts w:ascii="Arial" w:hAnsi="Arial" w:cs="Arial"/>
          <w:shd w:val="clear" w:color="auto" w:fill="FFFFFF"/>
        </w:rPr>
      </w:pPr>
    </w:p>
    <w:p w:rsidR="00046747" w:rsidRPr="00046747" w:rsidRDefault="00046747" w:rsidP="00046747">
      <w:pPr>
        <w:spacing w:after="0" w:line="360" w:lineRule="auto"/>
        <w:ind w:firstLine="720"/>
        <w:jc w:val="both"/>
        <w:rPr>
          <w:rFonts w:ascii="Arial" w:hAnsi="Arial" w:cs="Arial"/>
          <w:b/>
          <w:i/>
        </w:rPr>
      </w:pPr>
      <w:r w:rsidRPr="00046747">
        <w:rPr>
          <w:rFonts w:ascii="Arial" w:hAnsi="Arial" w:cs="Arial"/>
          <w:b/>
          <w:i/>
        </w:rPr>
        <w:t>Addressing the Crisis</w:t>
      </w:r>
    </w:p>
    <w:p w:rsidR="00046747" w:rsidRPr="00046747" w:rsidRDefault="00046747" w:rsidP="00046747">
      <w:pPr>
        <w:spacing w:after="0" w:line="360" w:lineRule="auto"/>
        <w:ind w:firstLine="720"/>
        <w:jc w:val="both"/>
        <w:rPr>
          <w:rFonts w:ascii="Arial" w:hAnsi="Arial" w:cs="Arial"/>
          <w:b/>
          <w:i/>
        </w:rPr>
      </w:pPr>
      <w:r w:rsidRPr="00046747">
        <w:rPr>
          <w:rFonts w:ascii="Arial" w:hAnsi="Arial" w:cs="Arial"/>
          <w:b/>
          <w:i/>
        </w:rPr>
        <w:t>Short-term Actions</w:t>
      </w:r>
    </w:p>
    <w:p w:rsidR="00046747" w:rsidRPr="00046747" w:rsidRDefault="00046747" w:rsidP="00046747">
      <w:pPr>
        <w:spacing w:after="0" w:line="360" w:lineRule="auto"/>
        <w:jc w:val="both"/>
        <w:rPr>
          <w:rFonts w:ascii="Arial" w:hAnsi="Arial" w:cs="Arial"/>
        </w:rPr>
      </w:pPr>
      <w:r w:rsidRPr="00046747">
        <w:rPr>
          <w:rFonts w:ascii="Arial" w:hAnsi="Arial" w:cs="Arial"/>
        </w:rPr>
        <w:t>Immediate Compensation and Support: Establish a compensation fund for affected sub-postmasters and their families. Provide immediate compensation and psychological support.</w:t>
      </w:r>
    </w:p>
    <w:p w:rsidR="00046747" w:rsidRPr="00046747" w:rsidRDefault="00046747" w:rsidP="00046747">
      <w:pPr>
        <w:spacing w:after="0" w:line="360" w:lineRule="auto"/>
        <w:jc w:val="both"/>
        <w:rPr>
          <w:rFonts w:ascii="Arial" w:hAnsi="Arial" w:cs="Arial"/>
        </w:rPr>
      </w:pPr>
      <w:r w:rsidRPr="00046747">
        <w:rPr>
          <w:rFonts w:ascii="Arial" w:hAnsi="Arial" w:cs="Arial"/>
        </w:rPr>
        <w:t>Legal Redress: Expedite the process for quashing wrongful convictions, clearing records.</w:t>
      </w:r>
    </w:p>
    <w:p w:rsidR="00046747" w:rsidRPr="00046747" w:rsidRDefault="00046747" w:rsidP="00046747">
      <w:pPr>
        <w:spacing w:after="0" w:line="360" w:lineRule="auto"/>
        <w:jc w:val="both"/>
        <w:rPr>
          <w:rFonts w:ascii="Arial" w:hAnsi="Arial" w:cs="Arial"/>
        </w:rPr>
      </w:pPr>
      <w:r w:rsidRPr="00046747">
        <w:rPr>
          <w:rFonts w:ascii="Arial" w:hAnsi="Arial" w:cs="Arial"/>
        </w:rPr>
        <w:t>Public Apology: Public apology by the Post Office and Fujitsu that they failed and that they are committed to putting it right.</w:t>
      </w:r>
    </w:p>
    <w:p w:rsidR="00046747" w:rsidRDefault="00046747" w:rsidP="00046747">
      <w:pPr>
        <w:spacing w:after="0" w:line="360" w:lineRule="auto"/>
        <w:jc w:val="both"/>
        <w:rPr>
          <w:rFonts w:ascii="Arial" w:hAnsi="Arial" w:cs="Arial"/>
        </w:rPr>
      </w:pPr>
    </w:p>
    <w:p w:rsidR="00046747" w:rsidRPr="00046747" w:rsidRDefault="00046747" w:rsidP="00046747">
      <w:pPr>
        <w:spacing w:after="0" w:line="360" w:lineRule="auto"/>
        <w:ind w:firstLine="720"/>
        <w:jc w:val="both"/>
        <w:rPr>
          <w:rFonts w:ascii="Arial" w:hAnsi="Arial" w:cs="Arial"/>
          <w:b/>
          <w:i/>
        </w:rPr>
      </w:pPr>
      <w:r w:rsidRPr="00046747">
        <w:rPr>
          <w:rFonts w:ascii="Arial" w:hAnsi="Arial" w:cs="Arial"/>
          <w:b/>
          <w:i/>
        </w:rPr>
        <w:t>Long-term Actions</w:t>
      </w:r>
    </w:p>
    <w:p w:rsidR="00046747" w:rsidRPr="00046747" w:rsidRDefault="00046747" w:rsidP="00046747">
      <w:pPr>
        <w:spacing w:after="0" w:line="360" w:lineRule="auto"/>
        <w:jc w:val="both"/>
        <w:rPr>
          <w:rFonts w:ascii="Arial" w:hAnsi="Arial" w:cs="Arial"/>
        </w:rPr>
      </w:pPr>
      <w:r w:rsidRPr="00046747">
        <w:rPr>
          <w:rFonts w:ascii="Arial" w:hAnsi="Arial" w:cs="Arial"/>
        </w:rPr>
        <w:t>System Overhaul: Thorough review and upgrade of the Horizon IT system to prevent repetition in the future.</w:t>
      </w:r>
    </w:p>
    <w:p w:rsidR="00046747" w:rsidRPr="00046747" w:rsidRDefault="00046747" w:rsidP="00046747">
      <w:pPr>
        <w:spacing w:after="0" w:line="360" w:lineRule="auto"/>
        <w:jc w:val="both"/>
        <w:rPr>
          <w:rFonts w:ascii="Arial" w:hAnsi="Arial" w:cs="Arial"/>
        </w:rPr>
      </w:pPr>
      <w:r w:rsidRPr="00046747">
        <w:rPr>
          <w:rFonts w:ascii="Arial" w:hAnsi="Arial" w:cs="Arial"/>
        </w:rPr>
        <w:t>Policy and Oversight: Tightening mechanisms of oversight and regulatory policy over IT systems to monitor that it is not 'abused' with resultant misuse of public data.</w:t>
      </w:r>
    </w:p>
    <w:p w:rsidR="00046747" w:rsidRPr="00046747" w:rsidRDefault="00046747" w:rsidP="00046747">
      <w:pPr>
        <w:spacing w:after="0" w:line="360" w:lineRule="auto"/>
        <w:jc w:val="both"/>
        <w:rPr>
          <w:rFonts w:ascii="Arial" w:hAnsi="Arial" w:cs="Arial"/>
        </w:rPr>
      </w:pPr>
      <w:r w:rsidRPr="00046747">
        <w:rPr>
          <w:rFonts w:ascii="Arial" w:hAnsi="Arial" w:cs="Arial"/>
        </w:rPr>
        <w:t>Training and Development: Ensure adequate training of sub-postmasters regarding new systems and legal procedures so that they can perform their duties efficiently.</w:t>
      </w:r>
    </w:p>
    <w:p w:rsidR="00046747" w:rsidRDefault="00046747" w:rsidP="00046747">
      <w:pPr>
        <w:spacing w:after="0" w:line="360" w:lineRule="auto"/>
        <w:jc w:val="both"/>
        <w:rPr>
          <w:rFonts w:ascii="Arial" w:hAnsi="Arial" w:cs="Arial"/>
        </w:rPr>
      </w:pPr>
      <w:r w:rsidRPr="00046747">
        <w:rPr>
          <w:rFonts w:ascii="Arial" w:hAnsi="Arial" w:cs="Arial"/>
        </w:rPr>
        <w:t>The Post Office crisis establishes that effective stakeholder engagement and accountability are much-needed elements. Quite plainly, the Salience Model identifies a multi-stakeholder approach amongst sub-postmasters, the Post Office, Fujitsu, the government, judiciary, media, unions and customer advocacy groups. Hence, participation for each stakeholder is accordingly justified by their power, legitimacy, and urgency toward the resolution of the crisis. Using a more balanced and inclusive approach not only can guarantee the mitigation of immediate impacts, but also prevention of similar issues in the future and restoration of lost trust and integrity in the system.</w:t>
      </w:r>
    </w:p>
    <w:p w:rsidR="00157B5B" w:rsidRDefault="00157B5B" w:rsidP="00046747">
      <w:pPr>
        <w:spacing w:after="0" w:line="360" w:lineRule="auto"/>
        <w:jc w:val="both"/>
        <w:rPr>
          <w:rFonts w:ascii="Arial" w:hAnsi="Arial" w:cs="Arial"/>
        </w:rPr>
      </w:pPr>
    </w:p>
    <w:p w:rsidR="00157B5B" w:rsidRPr="00046747" w:rsidRDefault="00157B5B" w:rsidP="00046747">
      <w:pPr>
        <w:spacing w:after="0" w:line="360" w:lineRule="auto"/>
        <w:jc w:val="both"/>
        <w:rPr>
          <w:rFonts w:ascii="Arial" w:hAnsi="Arial" w:cs="Arial"/>
        </w:rPr>
      </w:pPr>
    </w:p>
    <w:p w:rsidR="00046747" w:rsidRPr="00046747" w:rsidRDefault="00046747" w:rsidP="00046747">
      <w:pPr>
        <w:pStyle w:val="Heading1"/>
        <w:spacing w:before="0" w:line="360" w:lineRule="auto"/>
        <w:jc w:val="center"/>
        <w:rPr>
          <w:rFonts w:ascii="Arial" w:hAnsi="Arial" w:cs="Arial"/>
          <w:color w:val="auto"/>
          <w:sz w:val="24"/>
          <w:szCs w:val="24"/>
        </w:rPr>
      </w:pPr>
      <w:bookmarkStart w:id="2" w:name="_Toc172506032"/>
      <w:r w:rsidRPr="00046747">
        <w:rPr>
          <w:rFonts w:ascii="Arial" w:hAnsi="Arial" w:cs="Arial"/>
          <w:color w:val="auto"/>
          <w:sz w:val="24"/>
          <w:szCs w:val="24"/>
        </w:rPr>
        <w:lastRenderedPageBreak/>
        <w:t>Discussion of the conflict resolution styles and recommendation for the appropriate style for the case</w:t>
      </w:r>
      <w:bookmarkEnd w:id="2"/>
    </w:p>
    <w:p w:rsidR="00046747" w:rsidRDefault="00046747" w:rsidP="00046747">
      <w:pPr>
        <w:pStyle w:val="Heading1"/>
        <w:spacing w:before="0" w:line="360" w:lineRule="auto"/>
        <w:jc w:val="center"/>
        <w:rPr>
          <w:rFonts w:ascii="Arial" w:hAnsi="Arial" w:cs="Arial"/>
          <w:color w:val="auto"/>
          <w:sz w:val="24"/>
          <w:szCs w:val="24"/>
        </w:rPr>
      </w:pPr>
    </w:p>
    <w:p w:rsidR="00157B5B" w:rsidRDefault="00157B5B"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Background of the Crisis at the Post Office</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The Horizon scandal began in the early 2000s when the Post Office introduced the Horizon computer system, which would conduct its accounting operations. Riddled with defects, its errors were often interpreted as evidence of financial misconduct by sub-postmasters. Hundreds of prosecutions resulted in wrongful convictions, imprisonment, financial ruin, and acute personal distress for those affected.</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By 2022, the enormity of the injustice had come to light through the overturning of many convictions and the government launching inquiries into the failures of the Horizon system and how it handled the consequences. One of the things that came from the crisis was that there were calls for major reforms in the Post Office's operations, legal accountability, and the plight of victims.</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Conflict Resolution Styles</w:t>
      </w:r>
    </w:p>
    <w:p w:rsidR="00046747" w:rsidRDefault="00046747" w:rsidP="00046747">
      <w:pPr>
        <w:spacing w:after="0" w:line="360" w:lineRule="auto"/>
        <w:ind w:firstLine="720"/>
        <w:jc w:val="both"/>
        <w:rPr>
          <w:rFonts w:ascii="Arial" w:hAnsi="Arial" w:cs="Arial"/>
        </w:rPr>
      </w:pPr>
      <w:r w:rsidRPr="00046747">
        <w:rPr>
          <w:rFonts w:ascii="Arial" w:hAnsi="Arial" w:cs="Arial"/>
        </w:rPr>
        <w:t>Conflict resolution is when two or more parties resolve a disagreement without any form of violence. There are several styles of conflict resolution, and all these styles have their advantages and associated disadvantages. These styles include:</w:t>
      </w:r>
      <w:r>
        <w:rPr>
          <w:rFonts w:ascii="Arial" w:hAnsi="Arial" w:cs="Arial"/>
        </w:rPr>
        <w:t xml:space="preserve"> c</w:t>
      </w:r>
      <w:r w:rsidRPr="00046747">
        <w:rPr>
          <w:rFonts w:ascii="Arial" w:hAnsi="Arial" w:cs="Arial"/>
        </w:rPr>
        <w:t>ompeting</w:t>
      </w:r>
      <w:r>
        <w:rPr>
          <w:rFonts w:ascii="Arial" w:hAnsi="Arial" w:cs="Arial"/>
        </w:rPr>
        <w:t>, c</w:t>
      </w:r>
      <w:r w:rsidRPr="00046747">
        <w:rPr>
          <w:rFonts w:ascii="Arial" w:hAnsi="Arial" w:cs="Arial"/>
        </w:rPr>
        <w:t>ollaborating</w:t>
      </w:r>
      <w:r>
        <w:rPr>
          <w:rFonts w:ascii="Arial" w:hAnsi="Arial" w:cs="Arial"/>
        </w:rPr>
        <w:t>, c</w:t>
      </w:r>
      <w:r w:rsidRPr="00046747">
        <w:rPr>
          <w:rFonts w:ascii="Arial" w:hAnsi="Arial" w:cs="Arial"/>
        </w:rPr>
        <w:t>ompromising</w:t>
      </w:r>
      <w:r>
        <w:rPr>
          <w:rFonts w:ascii="Arial" w:hAnsi="Arial" w:cs="Arial"/>
        </w:rPr>
        <w:t>, a</w:t>
      </w:r>
      <w:r w:rsidRPr="00046747">
        <w:rPr>
          <w:rFonts w:ascii="Arial" w:hAnsi="Arial" w:cs="Arial"/>
        </w:rPr>
        <w:t>voiding</w:t>
      </w:r>
      <w:r>
        <w:rPr>
          <w:rFonts w:ascii="Arial" w:hAnsi="Arial" w:cs="Arial"/>
        </w:rPr>
        <w:t>, a</w:t>
      </w:r>
      <w:r w:rsidRPr="00046747">
        <w:rPr>
          <w:rFonts w:ascii="Arial" w:hAnsi="Arial" w:cs="Arial"/>
        </w:rPr>
        <w:t>ccommodating</w:t>
      </w:r>
      <w:r>
        <w:rPr>
          <w:rFonts w:ascii="Arial" w:hAnsi="Arial" w:cs="Arial"/>
        </w:rPr>
        <w:t>.</w:t>
      </w:r>
    </w:p>
    <w:p w:rsid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Competing</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The competing style is when one is assertive and fights to satisfy their own needs at others' expenses. This style works when quick action is required and important issues are involved that need firm control.</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Speedy decision.</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It expresses leadership and assertiveness.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Disadvantages: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It leads to resentment.</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It may ignore others' needs and concerns.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In the context of the crisis at the Post Office, a competing style could involve the Post Office firmly putting forward its position and defending past actions with little regard for the sub-</w:t>
      </w:r>
      <w:r w:rsidRPr="00046747">
        <w:rPr>
          <w:rFonts w:ascii="Arial" w:hAnsi="Arial" w:cs="Arial"/>
        </w:rPr>
        <w:lastRenderedPageBreak/>
        <w:t>postmasters' and other stakeholders' perspectives and needs. This would raise tensions and prevent fairness in the resolution.</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Collaborating</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The collaborating style is about working together towards a solution that suits everybody. It calls for open communication, respect, and the ability to venture into alternative solutions.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Produces win-win solutions.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Enhances relationship; builds trust.</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Disadvantages: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It consumes time.</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It requires a great deal of cooperation and commitment from all those involved.</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For the crisis at the Post Office, collaboration would involve taking time to discuss the development of comprehensive solutions that deal with the root causes and impacts of the crisis with sub-postmasters, the Post Office, Fujitsu, the government, and other stakeholders.</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Compromising</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The compromising style involves finding a middle ground where each party gives up something to reach a mutually acceptable solution. This approach is practical when both sides have equally important interests.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Faster resolution than the collaborating approach</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Satisfies all parties in a relatively fair manner</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Disadvantages: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Satisfies no one completely.</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The solution may not be optimal as key issues may be sacrificed</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Implementing a compromising style to the Post Office crisis would mean a negotiated settlement where both the victims and the Post Office reach a point of conceding ground. This may speed up the resolution process but not get to the bottom of injustices that the sub-postmasters have incurred.</w:t>
      </w:r>
    </w:p>
    <w:p w:rsidR="00157B5B" w:rsidRDefault="00157B5B"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Avoiding</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lastRenderedPageBreak/>
        <w:t>The avoiding style refers to sidestepping the conflict either by withdrawing or putting off the issue. This approach is useful in cases when the conflict is too trivial or there is absolutely no chance of getting an outcome in one's favor.</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 xml:space="preserve"> It reduces immediate stress.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It gives time to gather more information or wait until emotions cool down.</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Disadvantages: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 xml:space="preserve"> The conflict does not get resolved.</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Frustration and escalation may develop over time.</w:t>
      </w:r>
    </w:p>
    <w:p w:rsidR="00046747" w:rsidRDefault="00046747" w:rsidP="00046747">
      <w:pPr>
        <w:spacing w:after="0" w:line="360" w:lineRule="auto"/>
        <w:ind w:firstLine="720"/>
        <w:jc w:val="both"/>
        <w:rPr>
          <w:rFonts w:ascii="Arial" w:hAnsi="Arial" w:cs="Arial"/>
        </w:rPr>
      </w:pPr>
      <w:r w:rsidRPr="00046747">
        <w:rPr>
          <w:rFonts w:ascii="Arial" w:hAnsi="Arial" w:cs="Arial"/>
        </w:rPr>
        <w:t>Avoidance in the crisis of the Post Office would mean delaying actions or decisions, which would probably increase feelings of frustration among the parties involved and the public, thus worsening the situation over time.</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Accommodating</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In this style, one party yields to the satisfying demands of the other. This approach is effective when the relationship is more important than the issue.</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Preserves relationships.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Quick resolution when the issue is not critical.</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Disadvantages: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One party's needs are unmet.</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Can lead to feelings of resentment or exploitation.</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In this case, accommodation might involve the Post Office fully accepting the sub-postmasters' demands without minding its own operational needs or the complexities of the crisis. This may alleviate the immediate pain of the victims but would not fix the situation systemically.</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Recommended Conflict Resolution Style: Collaborating</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Of all the approaches, the collaborating style seems to be the most appropriate for the Post Office crisis, which is very complex and sensitive. This style emphasizes mutual respect, open communication, and comprehensive problem-solving, which agrees well with the need to address deep-rooted issues and varied stakeholder interests involved in the crisis.</w:t>
      </w:r>
    </w:p>
    <w:p w:rsidR="00046747" w:rsidRDefault="00046747" w:rsidP="00046747">
      <w:pPr>
        <w:spacing w:after="0" w:line="360" w:lineRule="auto"/>
        <w:ind w:firstLine="720"/>
        <w:jc w:val="both"/>
        <w:rPr>
          <w:rFonts w:ascii="Arial" w:hAnsi="Arial" w:cs="Arial"/>
        </w:rPr>
      </w:pPr>
    </w:p>
    <w:p w:rsidR="003F789B" w:rsidRPr="00046747" w:rsidRDefault="003F789B"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lastRenderedPageBreak/>
        <w:t>The collaboration that justifies this approach:</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Comprehensive Solutions: The cause of the crisis can only be solved by collaboration. Discussions with all stakeholders—the sub-postmasters, the Post Office, Fujitsu, the government, and the legal bodies—will enable a deeper understanding of the problems and their effects. Such an approach ensures that solutions developed are not merely superficial but get to the very system issues that have led to the crisis.</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Rebuilding Confidence: If there is any issue that the Horizon scandal raised for the Post Office, it is one of a lack of trust. Working with the stakeholders, especially the victims, might offer a path to restore this. Open communication and collaborative problem-solving are thus indicative of openness toward transparency and accountability—that is to say, a first step toward rebuilding confidence in the institution.</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Legal and Ethical Accountability: The collaborative approach will ensure that the legal redress procedure is all-inclusive and fair. Collaborative engagement with legal bodies and the judiciary can ensure that justice is done; the rights of the victims must be safeguarded. This approach agrees with ethical standards and foments a just resolution.</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Long-term Sustainability: Solutions designed collaboratively are more likely to be long-term. By taking into account the various views and perspectives of all stakeholders, policies and reforms that come out of this will be stronger and more effective. This minimizes the chance of crisis in the future and leads to the sustenance of a healthier culture within the organization.</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How to Apply the Collaborative Approach</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In applying this collaborative approach, the following steps need to be taken:</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Stakeholder Identification and Engagement: Identify all relevant stakeholders, including sub-postmasters, the Post Office, Fujitsu, government representatives, legal bodies, media, and customer advocacy groups. Engage with them through forums, meetings, and consultations to understand their perspective and concerns.</w:t>
      </w:r>
    </w:p>
    <w:p w:rsidR="00157B5B" w:rsidRDefault="00046747" w:rsidP="00157B5B">
      <w:pPr>
        <w:spacing w:after="0" w:line="360" w:lineRule="auto"/>
        <w:ind w:firstLine="720"/>
        <w:jc w:val="both"/>
        <w:rPr>
          <w:rFonts w:ascii="Arial" w:hAnsi="Arial" w:cs="Arial"/>
        </w:rPr>
      </w:pPr>
      <w:r w:rsidRPr="00046747">
        <w:rPr>
          <w:rFonts w:ascii="Arial" w:hAnsi="Arial" w:cs="Arial"/>
        </w:rPr>
        <w:t>Establish a Collaborative Structure: Design a structured format through which to collaborate, such as a task force or working group of representatives from all stakeholder groups. This body shall be charged with decision-making and implementation of solutions.</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Allow for Open Communication: Maintain open and clear channels of communication. Allow regular meetings, updates to be communicated, and a feedback mechanism to ensure that all stakeholders are kept adequately informed and involved in organizational operations. Encourage open dialogue and the sharing of ideas and concerns.</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lastRenderedPageBreak/>
        <w:t>Develop Joint Solutions: Enterprises should work jointly to come up with solutions that best meet the needs and interests of both parties. These could range from compensation schemes, legal redress, and systemic overhauls to policy reforms. Assure that the solution is evidence-based and informed by the experiences and expertise of all stakeholders.</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Implement and Monitor: Implement the agreed solutions; mechanisms for monitoring progress are established. On a regular basis, review and evaluate how effective the solutions have been to address the crisis, refining them if need be. Ensure that stakeholders are still involved in the process of implementation.</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Culture of Collaboration: Instill collaborative culture in the Post Office and with the stakeholders in collaboration. Encourage further cooperation and continuing dialogue toward further improving relations to meet new challenges and avert another crisis in the future.</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Benefits of the Collaborative Approach</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Greater Understanding: Working together, there is a better understanding of the issues and their effects, hence finding proper and more targeted solutions.</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Better Relationships: This kind of collaborative effort may forge stronger relationships among stakeholders in terms of trust and cooperation with one another.</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Greater Buy-in: Solutions developed jointly are more likely to be accepted and supported by all parties, hence the implementation of the same being smoother.</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Innovative Solutions: With the varying viewpoints and stakeholder expertise, there can be innovative solutions that may emerge and may have otherwise gone unrealized.</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Ethical Resolution: It ensures that the resolution process is ethical and just, and does not infringe on the rights and dignity of all stakeholders.</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Challenges of the Collaborative Approach</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While there are so many benefits that come with the collaborative approach, it is not free from challenges, which include:</w:t>
      </w: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t>Time-Consuming: It consumes a lot of time to help in coordination and facilitate discussions and negotiations.</w:t>
      </w:r>
    </w:p>
    <w:p w:rsidR="00046747" w:rsidRPr="00046747" w:rsidRDefault="00046747" w:rsidP="00046747">
      <w:pPr>
        <w:spacing w:after="0" w:line="360" w:lineRule="auto"/>
        <w:ind w:firstLine="720"/>
        <w:jc w:val="both"/>
        <w:rPr>
          <w:rFonts w:ascii="Arial" w:hAnsi="Arial" w:cs="Arial"/>
        </w:rPr>
      </w:pPr>
      <w:r w:rsidRPr="00046747">
        <w:rPr>
          <w:rFonts w:ascii="Arial" w:hAnsi="Arial" w:cs="Arial"/>
        </w:rPr>
        <w:t>Complexity: Managing the interest and perception of the different stakeholders is difficult and not easy.</w:t>
      </w:r>
    </w:p>
    <w:p w:rsidR="00046747" w:rsidRPr="00046747" w:rsidRDefault="00046747" w:rsidP="00046747">
      <w:pPr>
        <w:spacing w:after="0" w:line="360" w:lineRule="auto"/>
        <w:ind w:firstLine="720"/>
        <w:jc w:val="both"/>
        <w:rPr>
          <w:rFonts w:ascii="Arial" w:hAnsi="Arial" w:cs="Arial"/>
        </w:rPr>
      </w:pPr>
    </w:p>
    <w:p w:rsidR="00046747" w:rsidRPr="00046747" w:rsidRDefault="00046747" w:rsidP="00157B5B">
      <w:pPr>
        <w:spacing w:after="0" w:line="360" w:lineRule="auto"/>
        <w:ind w:firstLine="720"/>
        <w:jc w:val="both"/>
        <w:rPr>
          <w:rFonts w:ascii="Arial" w:hAnsi="Arial" w:cs="Arial"/>
        </w:rPr>
      </w:pPr>
      <w:r w:rsidRPr="00046747">
        <w:rPr>
          <w:rFonts w:ascii="Arial" w:hAnsi="Arial" w:cs="Arial"/>
        </w:rPr>
        <w:lastRenderedPageBreak/>
        <w:t>Potential Conflicts: There are chances that various opinions and interests could lead to conflicts within the process of collaboration. The collaboration needs some effective strategies for conflict management in order to wi</w:t>
      </w:r>
      <w:r w:rsidR="00157B5B">
        <w:rPr>
          <w:rFonts w:ascii="Arial" w:hAnsi="Arial" w:cs="Arial"/>
        </w:rPr>
        <w:t>n over such potential barriers.</w:t>
      </w:r>
    </w:p>
    <w:p w:rsidR="00157B5B" w:rsidRDefault="00046747" w:rsidP="00157B5B">
      <w:pPr>
        <w:spacing w:after="0" w:line="360" w:lineRule="auto"/>
        <w:ind w:firstLine="720"/>
        <w:jc w:val="both"/>
        <w:rPr>
          <w:rFonts w:ascii="Arial" w:hAnsi="Arial" w:cs="Arial"/>
        </w:rPr>
      </w:pPr>
      <w:r w:rsidRPr="00046747">
        <w:rPr>
          <w:rFonts w:ascii="Arial" w:hAnsi="Arial" w:cs="Arial"/>
        </w:rPr>
        <w:t>Resource Intensive: Collaboration might demand some additional resources, such as facilitation, communication tools, and administrative support.</w:t>
      </w:r>
    </w:p>
    <w:p w:rsidR="003F789B" w:rsidRPr="00046747" w:rsidRDefault="003F789B" w:rsidP="00157B5B">
      <w:pPr>
        <w:spacing w:after="0" w:line="360" w:lineRule="auto"/>
        <w:ind w:firstLine="720"/>
        <w:jc w:val="both"/>
        <w:rPr>
          <w:rFonts w:ascii="Arial" w:hAnsi="Arial" w:cs="Arial"/>
        </w:rPr>
      </w:pPr>
    </w:p>
    <w:p w:rsidR="00046747" w:rsidRPr="00046747" w:rsidRDefault="00046747" w:rsidP="00046747">
      <w:pPr>
        <w:pStyle w:val="Heading1"/>
        <w:spacing w:before="0" w:line="360" w:lineRule="auto"/>
        <w:jc w:val="center"/>
        <w:rPr>
          <w:rFonts w:ascii="Arial" w:hAnsi="Arial" w:cs="Arial"/>
          <w:color w:val="auto"/>
          <w:sz w:val="24"/>
          <w:szCs w:val="24"/>
        </w:rPr>
      </w:pPr>
      <w:bookmarkStart w:id="3" w:name="_Toc172506033"/>
      <w:r w:rsidRPr="00046747">
        <w:rPr>
          <w:rFonts w:ascii="Arial" w:hAnsi="Arial" w:cs="Arial"/>
          <w:color w:val="auto"/>
          <w:sz w:val="24"/>
          <w:szCs w:val="24"/>
        </w:rPr>
        <w:t>Ways to reach a ‘win-win’ solution among the stakeholders</w:t>
      </w:r>
      <w:bookmarkEnd w:id="3"/>
    </w:p>
    <w:p w:rsidR="00157B5B" w:rsidRPr="00157B5B" w:rsidRDefault="00157B5B" w:rsidP="00157B5B">
      <w:pPr>
        <w:spacing w:after="0" w:line="360" w:lineRule="auto"/>
        <w:jc w:val="both"/>
        <w:rPr>
          <w:rFonts w:ascii="Arial" w:hAnsi="Arial" w:cs="Arial"/>
        </w:rPr>
      </w:pP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Stakeholder Analysis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The Post Office: Having been the central institution during the crisis, it had to regain its reputation and control over the operational and legal fallout that ensued from the scandal.</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Sub-Postmasters: Wrongly accused and convicted by the Horizon system, the sub-postmasters are core in the crisis resolution. They want justice, compensation, and recognition of damage they have gone through.</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Fujitsu: The IT supplier responsible for implementing the Horizon system should accept responsibility for its role in the failure and make a constructive contribution to the solution.</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The Government: As the 'enabler', the government should facilitate resolution, ensure justice is provided, and effect systemic reforms.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The Public: How the public perceives the crisis impacts on trust in public institutions and in the Post Office. Addressing the crisis transparently helps rebuild trust.</w:t>
      </w:r>
    </w:p>
    <w:p w:rsidR="00157B5B" w:rsidRPr="00157B5B" w:rsidRDefault="00157B5B" w:rsidP="00157B5B">
      <w:pPr>
        <w:spacing w:after="0" w:line="360" w:lineRule="auto"/>
        <w:ind w:firstLine="720"/>
        <w:jc w:val="both"/>
        <w:rPr>
          <w:rFonts w:ascii="Arial" w:hAnsi="Arial" w:cs="Arial"/>
        </w:rPr>
      </w:pP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Strategies to Reach a 'Win-Win' Solution</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1. Inclusive Dialogue and Negotiation</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Opening up of a platform which would allow an inclusive dialogue between all the stakeholders is a very important step toward a win-win solution. It is bound to make sure that no particular view is left unheeded in the process of resolution.</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Establish a Task Force: Create a task force comprising representatives from the Post Office, affected sub-postmasters, Fujitsu, government officials, and legal experts. This task force should be tasked with facilitating the holding of discussions, collection of input, and developing solutions.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Regular Meetings: Hold regular meetings for updating, addressing concerns, and negotiating solutions. Equal opportunity has to be given to all stakeholders to make their contributions to the discussion.</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lastRenderedPageBreak/>
        <w:t>Use Mediation and Facilitation: Avail the services of professional mediators or facilitators who can assist in controlling the conflicts and setting up effective deliberations. This might prevent the further deterioration of a dispute and hence keep the parties focused on finding common ground.</w:t>
      </w:r>
    </w:p>
    <w:p w:rsidR="003F789B" w:rsidRPr="00157B5B" w:rsidRDefault="003F789B" w:rsidP="00157B5B">
      <w:pPr>
        <w:spacing w:after="0" w:line="360" w:lineRule="auto"/>
        <w:ind w:firstLine="720"/>
        <w:jc w:val="both"/>
        <w:rPr>
          <w:rFonts w:ascii="Arial" w:hAnsi="Arial" w:cs="Arial"/>
        </w:rPr>
      </w:pP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2. Fair Compensation and Redress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The issues of compensation and redress become very significant in light of mitigation of damages incurred by the affected sub-postmasters. The groundwork for some mutually acceptable solution has to be rooted in a fair compensatory scheme.</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Design a compensation framework that is based both on the losses incurred on goods and on the non-monetary damages, such as emotional distress. This framework needs to have explicit criteria for use and must be designed in a very transparent manner.</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Provide immediate support to people by offering urgent financial support to those in dire need while the full compensation framework is being developed. This will paint commitment to the immediate impacts of the crisis.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Apologize and Acknowledge: Offer an official apology and acknowledgement of the mistakes committed; it will help restore trust and demonstrate respect for the person/s affected.</w:t>
      </w:r>
    </w:p>
    <w:p w:rsidR="00157B5B" w:rsidRPr="00157B5B" w:rsidRDefault="00157B5B" w:rsidP="00157B5B">
      <w:pPr>
        <w:spacing w:after="0" w:line="360" w:lineRule="auto"/>
        <w:ind w:firstLine="720"/>
        <w:jc w:val="both"/>
        <w:rPr>
          <w:rFonts w:ascii="Arial" w:hAnsi="Arial" w:cs="Arial"/>
        </w:rPr>
      </w:pP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3. Systemic Reforms and Improvements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Getting to the root of the problem of the crisis averts further occurrence and solves it once and for all.</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Overhaul of IT System: Engage Fujitsu and IT experts in reviewing and overhauling the Horizon system to be more reliable, transparent, and produce financial transactions that are accurate.</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Establish Robust Oversight Mechanism: Set up oversight mechanisms that will check on the operations of the Post Office, including how its IT systems are working. This could involve periodic auditing, independent reviews, and more comprehensive reporting requirements.</w:t>
      </w:r>
    </w:p>
    <w:p w:rsidR="00157B5B" w:rsidRDefault="00157B5B" w:rsidP="003F789B">
      <w:pPr>
        <w:spacing w:after="0" w:line="360" w:lineRule="auto"/>
        <w:ind w:firstLine="720"/>
        <w:jc w:val="both"/>
        <w:rPr>
          <w:rFonts w:ascii="Arial" w:hAnsi="Arial" w:cs="Arial"/>
        </w:rPr>
      </w:pPr>
      <w:r w:rsidRPr="00157B5B">
        <w:rPr>
          <w:rFonts w:ascii="Arial" w:hAnsi="Arial" w:cs="Arial"/>
        </w:rPr>
        <w:t>Introduce legislative and policy reforms: Advocate for reform in laws and policies to regularize the use of information technology systems within public institutions, with added measures to protect the employees.</w:t>
      </w:r>
    </w:p>
    <w:p w:rsidR="003F789B" w:rsidRDefault="003F789B" w:rsidP="00157B5B">
      <w:pPr>
        <w:spacing w:after="0" w:line="360" w:lineRule="auto"/>
        <w:ind w:firstLine="720"/>
        <w:jc w:val="both"/>
        <w:rPr>
          <w:rFonts w:ascii="Arial" w:hAnsi="Arial" w:cs="Arial"/>
        </w:rPr>
      </w:pPr>
    </w:p>
    <w:p w:rsidR="003F789B" w:rsidRDefault="003F789B" w:rsidP="00157B5B">
      <w:pPr>
        <w:spacing w:after="0" w:line="360" w:lineRule="auto"/>
        <w:ind w:firstLine="720"/>
        <w:jc w:val="both"/>
        <w:rPr>
          <w:rFonts w:ascii="Arial" w:hAnsi="Arial" w:cs="Arial"/>
        </w:rPr>
      </w:pPr>
    </w:p>
    <w:p w:rsidR="003F789B" w:rsidRDefault="003F789B" w:rsidP="00157B5B">
      <w:pPr>
        <w:spacing w:after="0" w:line="360" w:lineRule="auto"/>
        <w:ind w:firstLine="720"/>
        <w:jc w:val="both"/>
        <w:rPr>
          <w:rFonts w:ascii="Arial" w:hAnsi="Arial" w:cs="Arial"/>
        </w:rPr>
      </w:pPr>
    </w:p>
    <w:p w:rsidR="003F789B" w:rsidRPr="00157B5B" w:rsidRDefault="003F789B" w:rsidP="00157B5B">
      <w:pPr>
        <w:spacing w:after="0" w:line="360" w:lineRule="auto"/>
        <w:ind w:firstLine="720"/>
        <w:jc w:val="both"/>
        <w:rPr>
          <w:rFonts w:ascii="Arial" w:hAnsi="Arial" w:cs="Arial"/>
        </w:rPr>
      </w:pP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lastRenderedPageBreak/>
        <w:t>4. Building Trust and Transparency</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Restoring trust among the stakeholders is a pre-requisite for the successful resolution of dispute. Transparence and honest communication will play an important role in rebuilding confidence.</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Public Communication Strategy: Design and implement a public communication strategy that will give periodic updates on the process of resolution, compensation, and systemic reforms. Transparency manages public perceptions and rebuilds trust.</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Engage with Media: Engage proactively with the media so that reports on the progress of the resolution efforts come out accurately. Give out correct information against any misinformation or wrong impressions.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Encourage a culture of accountability at the Post Office and among the different stakeholders in terms of recognizing and admitting to mistakes, being responsible, and committing to constant improvement.</w:t>
      </w:r>
    </w:p>
    <w:p w:rsidR="00157B5B" w:rsidRPr="00157B5B" w:rsidRDefault="00157B5B" w:rsidP="00157B5B">
      <w:pPr>
        <w:spacing w:after="0" w:line="360" w:lineRule="auto"/>
        <w:ind w:firstLine="720"/>
        <w:jc w:val="both"/>
        <w:rPr>
          <w:rFonts w:ascii="Arial" w:hAnsi="Arial" w:cs="Arial"/>
        </w:rPr>
      </w:pP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5. Encourage Mutual Benefits and Collaboration</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The win-win solution recognizes areas where there is common interest to all stakeholders and encourages collaborative efforts towards common goals.</w:t>
      </w:r>
    </w:p>
    <w:p w:rsidR="00157B5B" w:rsidRPr="00157B5B" w:rsidRDefault="00157B5B" w:rsidP="003F789B">
      <w:pPr>
        <w:spacing w:after="0" w:line="360" w:lineRule="auto"/>
        <w:ind w:firstLine="720"/>
        <w:jc w:val="both"/>
        <w:rPr>
          <w:rFonts w:ascii="Arial" w:hAnsi="Arial" w:cs="Arial"/>
        </w:rPr>
      </w:pPr>
      <w:r w:rsidRPr="00157B5B">
        <w:rPr>
          <w:rFonts w:ascii="Arial" w:hAnsi="Arial" w:cs="Arial"/>
        </w:rPr>
        <w:t>Shared Goals: This would involve emphasizing what type of goals and interests exist among stakeholders—rebuilding public trust, seeking justice, ensuring improvement in operations—and, hence, could support collaboration and consensus-seeking toward the achievement of them.</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Shared Undertakings: Call for shared undertakings, like community outreach, educational programs, and joint research on issues of wider relevance to the crisis, to provide a base for closer relations between the stakeholders.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Share the Benefits and Resources: Make sure that the benefits and resources that emanate from the resolution are equitably shared with the stakeholders. These may include financial benefits, reputational gains, and opportunities of future collaboration.</w:t>
      </w:r>
    </w:p>
    <w:p w:rsidR="00157B5B" w:rsidRPr="00157B5B" w:rsidRDefault="00157B5B" w:rsidP="00157B5B">
      <w:pPr>
        <w:spacing w:after="0" w:line="360" w:lineRule="auto"/>
        <w:ind w:firstLine="720"/>
        <w:jc w:val="both"/>
        <w:rPr>
          <w:rFonts w:ascii="Arial" w:hAnsi="Arial" w:cs="Arial"/>
        </w:rPr>
      </w:pP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Case Study: How to Apply the Strategies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To illustrate how these strategies might be applied, let us take a hypothetical case where the Post Office has satisfied the following measures in the following manner:</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 xml:space="preserve">Task Force Formation: Establish a task force consisting of representatives from all the key stakeholders involved—that will include sub-postmasters, the Post Office, Fujitsu, officials </w:t>
      </w:r>
      <w:r w:rsidRPr="00157B5B">
        <w:rPr>
          <w:rFonts w:ascii="Arial" w:hAnsi="Arial" w:cs="Arial"/>
        </w:rPr>
        <w:lastRenderedPageBreak/>
        <w:t>from the government, and experts in law. The progress of this task force and negotiations of solutions shall be arranged for periodic meetings.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Compensation Framework: The full compensation scheme provides for financial and non-financial compensation for the affected sub-postmasters; it also includes the setting up of an urgent support scheme to deal with all pressing needs.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Systemic Reforms: The IT system, Horizon, is fully reviewed and overhauled, complete with new mechanisms of oversight. Legislative and policy reforms ensure better regulation for the protection of workers.</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Public Communication: A public communication strategy is rolled out, with regular updates provided, and the misinformation addressed. Engagement with the media assures that there is proper reporting and that public perception is managed.</w:t>
      </w:r>
    </w:p>
    <w:p w:rsidR="00157B5B" w:rsidRPr="00157B5B" w:rsidRDefault="00157B5B" w:rsidP="00157B5B">
      <w:pPr>
        <w:spacing w:after="0" w:line="360" w:lineRule="auto"/>
        <w:ind w:firstLine="720"/>
        <w:jc w:val="both"/>
        <w:rPr>
          <w:rFonts w:ascii="Arial" w:hAnsi="Arial" w:cs="Arial"/>
        </w:rPr>
      </w:pPr>
      <w:r w:rsidRPr="00157B5B">
        <w:rPr>
          <w:rFonts w:ascii="Arial" w:hAnsi="Arial" w:cs="Arial"/>
        </w:rPr>
        <w:t>Collaboration: This model fosters joint initiatives of partners toward goals such as rebuilding trust and redress, with benefits and resources from the resolution being shared fairly among the stakeholders.</w:t>
      </w:r>
    </w:p>
    <w:p w:rsidR="00157B5B" w:rsidRPr="00157B5B" w:rsidRDefault="00157B5B" w:rsidP="00157B5B">
      <w:pPr>
        <w:spacing w:after="0" w:line="360" w:lineRule="auto"/>
        <w:ind w:firstLine="720"/>
        <w:jc w:val="both"/>
        <w:rPr>
          <w:rFonts w:ascii="Arial" w:hAnsi="Arial" w:cs="Arial"/>
        </w:rPr>
      </w:pPr>
    </w:p>
    <w:p w:rsidR="00046747" w:rsidRPr="00046747" w:rsidRDefault="00046747" w:rsidP="00046747">
      <w:pPr>
        <w:pStyle w:val="Heading1"/>
        <w:spacing w:before="0" w:line="360" w:lineRule="auto"/>
        <w:jc w:val="center"/>
        <w:rPr>
          <w:rFonts w:ascii="Arial" w:hAnsi="Arial" w:cs="Arial"/>
          <w:color w:val="auto"/>
          <w:sz w:val="24"/>
          <w:szCs w:val="24"/>
        </w:rPr>
      </w:pPr>
      <w:bookmarkStart w:id="4" w:name="_Toc172506034"/>
      <w:r w:rsidRPr="00046747">
        <w:rPr>
          <w:rFonts w:ascii="Arial" w:hAnsi="Arial" w:cs="Arial"/>
          <w:color w:val="auto"/>
          <w:sz w:val="24"/>
          <w:szCs w:val="24"/>
        </w:rPr>
        <w:t>Reflection</w:t>
      </w:r>
      <w:bookmarkEnd w:id="4"/>
    </w:p>
    <w:p w:rsidR="00046747" w:rsidRDefault="00046747" w:rsidP="00046747">
      <w:pPr>
        <w:pStyle w:val="Heading1"/>
        <w:spacing w:before="0" w:line="360" w:lineRule="auto"/>
        <w:jc w:val="center"/>
        <w:rPr>
          <w:rFonts w:ascii="Arial" w:hAnsi="Arial" w:cs="Arial"/>
          <w:color w:val="auto"/>
          <w:sz w:val="24"/>
          <w:szCs w:val="24"/>
        </w:rPr>
      </w:pP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During this module, I have come to understand conflict resolution and stakeholder theory. These two areas have significantly contributed in guiding my approach towards addressing complexities within a professional setup. It is through delving into these concepts that I find not only an expansion in my theoretical scope but also the acquisition of hands-on skills that would see me through the labyrinth of challenges typical in work stations.</w:t>
      </w:r>
    </w:p>
    <w:p w:rsidR="00157B5B" w:rsidRDefault="00157B5B" w:rsidP="00157B5B">
      <w:pPr>
        <w:spacing w:after="0" w:line="360" w:lineRule="auto"/>
        <w:ind w:firstLine="720"/>
        <w:jc w:val="both"/>
        <w:rPr>
          <w:rFonts w:ascii="Arial" w:hAnsi="Arial" w:cs="Arial"/>
          <w:shd w:val="clear" w:color="auto" w:fill="FFFFFF"/>
        </w:rPr>
      </w:pP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Conflict Resolution</w:t>
      </w: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The module's topic of conflict resolution was my first introduction to different strategies and ways in dealing with the conflicting situations — trying to take the dispute into more constructive ending. The knowledge on various conflict resolution styles like collaborative, competitive, and accommodating has made me see the finer details involved when conflicts are being resolved. Let me take an example: the collaborative approach which emphasizes joint problem-solving and mutual benefit; it has helped me learn that all parties should be involved in finding a solution that meets their needs on different levels as well as their interests. This method resonates with my personal values of cooperation and empathy— traits I now see as essential if we want to arrive at sustainable resolutions.</w:t>
      </w: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lastRenderedPageBreak/>
        <w:t>The stakeholder theory was taught to me through real-life situation demonstrations and make-believe enactments. I got a hands-on experience which helped me hone my negotiation, mediation and facilitation skills. It became clear that active listening, empathy and communication are key components in conflict resolution from these scenarios. For instance, during a mock negotiation session I tried out striking a balance between assertiveness and empathy— which led me to see how the concerns of multiple stakeholders could be met suitably. Such practical learning is sure to help me deal with conflicts at work more confidently and effectively; after all, practice makes perfect.</w:t>
      </w: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A stakeholder theory is a good, comprehensive framework to see what all the people want when there is some problem in an organization and what forces play into it. The module highlighted that recognizing and involving stakeholders would lead to a better inclusion of their needs in decisions taken at the organization. My appreciation of this concept has given me the capacity to evaluate stakeholder concerns in such a way that I can develop strategies which will meet their issues and yet be supportive of what the organization wants.</w:t>
      </w: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A critical lesson derived from the exploration of stakeholder theory is acknowledging the varied views and divergent concerns of stakeholders. Take a project scenario, for instance — stakeholders can range from employees to customers, suppliers, investors, and the local community. Every faction bears distinct interests and expectations; juggling these judiciously calls for an artful tack. I acquired the skill to chart stakeholder dynamics, sift through their needs hierarchically, and engineer communication blueprints designed not just to elicit but also to nurture a constructive reciprocity: an engagement worth its name. The partnerships with these diverse groups are based on positive collaboration.</w:t>
      </w:r>
    </w:p>
    <w:p w:rsidR="00157B5B" w:rsidRDefault="00157B5B" w:rsidP="00157B5B">
      <w:pPr>
        <w:spacing w:after="0" w:line="360" w:lineRule="auto"/>
        <w:ind w:firstLine="720"/>
        <w:jc w:val="both"/>
        <w:rPr>
          <w:rFonts w:ascii="Arial" w:hAnsi="Arial" w:cs="Arial"/>
          <w:shd w:val="clear" w:color="auto" w:fill="FFFFFF"/>
        </w:rPr>
      </w:pP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Workplace Implementation</w:t>
      </w: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The knowledge that this module imparts is directly usable in various real-life scenarios at work. For example, if I happen to be working as a project manager, I can use specific conflict resolution methods to take care of disagreements between the members of my team or those with external partners towards the organization. Through cooperation strategies and addressing mutual interests with a constructive approach, we will resolve conflict such that it does not only end the issue but also improves our future relationship and promotes our common success.</w:t>
      </w:r>
    </w:p>
    <w:p w:rsidR="00157B5B" w:rsidRDefault="00157B5B" w:rsidP="00157B5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 xml:space="preserve">Just as stakeholder theory will assist me in taking care of the relationships of the stakeholders and their interest which is the major priority in making decisions. Being able to read stakeholder dynamics will enable me preempt possible complications; come up with </w:t>
      </w:r>
      <w:r w:rsidRPr="00157B5B">
        <w:rPr>
          <w:rFonts w:ascii="Arial" w:hAnsi="Arial" w:cs="Arial"/>
          <w:shd w:val="clear" w:color="auto" w:fill="FFFFFF"/>
        </w:rPr>
        <w:lastRenderedPageBreak/>
        <w:t>strategies to address these issues, whilst ensuring effective communication among all parties without compromise.</w:t>
      </w:r>
    </w:p>
    <w:p w:rsidR="003F789B" w:rsidRPr="003F789B" w:rsidRDefault="00157B5B" w:rsidP="003F789B">
      <w:pPr>
        <w:spacing w:after="0" w:line="360" w:lineRule="auto"/>
        <w:ind w:firstLine="720"/>
        <w:jc w:val="both"/>
        <w:rPr>
          <w:rFonts w:ascii="Arial" w:hAnsi="Arial" w:cs="Arial"/>
          <w:shd w:val="clear" w:color="auto" w:fill="FFFFFF"/>
        </w:rPr>
      </w:pPr>
      <w:r w:rsidRPr="00157B5B">
        <w:rPr>
          <w:rFonts w:ascii="Arial" w:hAnsi="Arial" w:cs="Arial"/>
          <w:shd w:val="clear" w:color="auto" w:fill="FFFFFF"/>
        </w:rPr>
        <w:t>In brief, the completion of this unit has substantially broadened my knowledge of conflict resolution and stakeholder theory. This has given me practical skills and invaluable insights for use in a work setup. I anticipate that using these concepts in practice will allow me to wade through intricate issues as well as cultivate positive relationships, and play a role in the success of the organization. Looking ahead in my professional journey, I have every reason to believe that what I take from this unit will be pivotal in how I address challenges faced along the way toward realizing impact-based, sustainable solutions.</w:t>
      </w:r>
    </w:p>
    <w:p w:rsidR="003F789B" w:rsidRDefault="003F789B" w:rsidP="00046747">
      <w:pPr>
        <w:pStyle w:val="Heading1"/>
        <w:spacing w:before="0" w:line="360" w:lineRule="auto"/>
        <w:jc w:val="center"/>
        <w:rPr>
          <w:rFonts w:ascii="Arial" w:hAnsi="Arial" w:cs="Arial"/>
          <w:color w:val="auto"/>
          <w:sz w:val="24"/>
          <w:szCs w:val="24"/>
        </w:rPr>
      </w:pPr>
    </w:p>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Default="003F789B" w:rsidP="003F789B"/>
    <w:p w:rsidR="003F789B" w:rsidRPr="003F789B" w:rsidRDefault="003F789B" w:rsidP="003F789B"/>
    <w:p w:rsidR="00046747" w:rsidRPr="00046747" w:rsidRDefault="00046747" w:rsidP="00046747">
      <w:pPr>
        <w:pStyle w:val="Heading1"/>
        <w:spacing w:before="0" w:line="360" w:lineRule="auto"/>
        <w:jc w:val="center"/>
        <w:rPr>
          <w:rFonts w:ascii="Arial" w:hAnsi="Arial" w:cs="Arial"/>
          <w:color w:val="auto"/>
          <w:sz w:val="24"/>
          <w:szCs w:val="24"/>
        </w:rPr>
      </w:pPr>
      <w:bookmarkStart w:id="5" w:name="_Toc172506035"/>
      <w:r w:rsidRPr="00046747">
        <w:rPr>
          <w:rFonts w:ascii="Arial" w:hAnsi="Arial" w:cs="Arial"/>
          <w:color w:val="auto"/>
          <w:sz w:val="24"/>
          <w:szCs w:val="24"/>
        </w:rPr>
        <w:lastRenderedPageBreak/>
        <w:t>Conclusion</w:t>
      </w:r>
      <w:bookmarkEnd w:id="5"/>
    </w:p>
    <w:p w:rsidR="00046747" w:rsidRDefault="00046747" w:rsidP="00046747">
      <w:pPr>
        <w:pStyle w:val="Heading1"/>
        <w:spacing w:before="0" w:line="360" w:lineRule="auto"/>
        <w:jc w:val="center"/>
        <w:rPr>
          <w:rFonts w:ascii="Arial" w:hAnsi="Arial" w:cs="Arial"/>
          <w:color w:val="auto"/>
          <w:sz w:val="24"/>
          <w:szCs w:val="24"/>
        </w:rPr>
      </w:pP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The failure of corporate governance and technological management is nothing less than an abyssal plunge into the bowels of catastrophe, which engulfs all those associated with it in its unforgiving maw— the Post Office crisis of 2022. Through stakeholder analysis using the Salience Model, this essay delves deep into the crisis, unveiling not just the power play at work but also bringing to light issues that concern legitimacy as well as urgency. It has been revealed that by understanding the key stakeholders— be it Post Office itself, or the sub-postmasters writhing under its mismanagement, Fujitsu and its role in exacerbating the situation, or even the UK government and public whose interests are at stake— we come one step closer to unraveling a Gordian knot like crisis where every group’s interest and influence was intricately interwoven into both cause and resolution.</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The Salience Model has brought to light the importance of a comprehensive and equitable stakeholder management approach. The Post Office must juggle two balls: the immediate needs of the sub-postmasters, but they also need to deal with systems level changes to get public trust back and ensure operational integrity. For Fujitsu — as the IT provider — open dialogue on technical challenges that led to redress issues should be discussed. Also, implicated through oversight of reforms and facilitation of justice plus changes in regulations is the UK government. On one hand, watchful eyes are needed from preventing such future crises; trust from members of the public will require transparency plus effective communication on the other end.</w:t>
      </w:r>
    </w:p>
    <w:p w:rsidR="003F789B" w:rsidRDefault="003F789B" w:rsidP="003F789B">
      <w:pPr>
        <w:spacing w:after="0" w:line="360" w:lineRule="auto"/>
        <w:ind w:firstLine="720"/>
        <w:jc w:val="both"/>
        <w:rPr>
          <w:rFonts w:ascii="Arial" w:hAnsi="Arial" w:cs="Arial"/>
          <w:shd w:val="clear" w:color="auto" w:fill="FFFFFF"/>
        </w:rPr>
      </w:pPr>
      <w:r w:rsidRPr="003F789B">
        <w:rPr>
          <w:rFonts w:ascii="Arial" w:hAnsi="Arial" w:cs="Arial"/>
          <w:shd w:val="clear" w:color="auto" w:fill="FFFFFF"/>
        </w:rPr>
        <w:t>In the end, to fix the Post Office problem, it demands a well-rounded and combined deal. One that tackles the worries of all parties involved in the situation. By using stakeholder analysis as a tool for understanding these multifaceted concerns surrounding the crisis, Post Office would be able to find its way through this labyrinth, find proper answers and be capable of reestablishing its name. The takeaways from such a crisis highlight that we should value stakeholder engagement— make it robust and always honest in our communication; and hold systemic organizations' accountable so that they ensure such significant failures are resolved when they come up with others later.</w:t>
      </w:r>
    </w:p>
    <w:p w:rsidR="003F789B" w:rsidRDefault="003F789B" w:rsidP="003F789B">
      <w:pPr>
        <w:spacing w:after="0" w:line="360" w:lineRule="auto"/>
        <w:ind w:firstLine="720"/>
        <w:jc w:val="both"/>
        <w:rPr>
          <w:rFonts w:ascii="Arial" w:hAnsi="Arial" w:cs="Arial"/>
          <w:shd w:val="clear" w:color="auto" w:fill="FFFFFF"/>
        </w:rPr>
      </w:pPr>
    </w:p>
    <w:p w:rsidR="003F789B" w:rsidRDefault="003F789B" w:rsidP="003F789B">
      <w:pPr>
        <w:spacing w:after="0" w:line="360" w:lineRule="auto"/>
        <w:ind w:firstLine="720"/>
        <w:jc w:val="both"/>
        <w:rPr>
          <w:rFonts w:ascii="Arial" w:hAnsi="Arial" w:cs="Arial"/>
          <w:shd w:val="clear" w:color="auto" w:fill="FFFFFF"/>
        </w:rPr>
      </w:pPr>
    </w:p>
    <w:p w:rsidR="003F789B" w:rsidRDefault="003F789B" w:rsidP="003F789B">
      <w:pPr>
        <w:spacing w:after="0" w:line="360" w:lineRule="auto"/>
        <w:ind w:firstLine="720"/>
        <w:jc w:val="both"/>
        <w:rPr>
          <w:rFonts w:ascii="Arial" w:hAnsi="Arial" w:cs="Arial"/>
          <w:shd w:val="clear" w:color="auto" w:fill="FFFFFF"/>
        </w:rPr>
      </w:pPr>
    </w:p>
    <w:p w:rsidR="003F789B" w:rsidRPr="003F789B" w:rsidRDefault="003F789B" w:rsidP="003F789B">
      <w:pPr>
        <w:spacing w:after="0" w:line="360" w:lineRule="auto"/>
        <w:ind w:firstLine="720"/>
        <w:jc w:val="both"/>
      </w:pPr>
    </w:p>
    <w:p w:rsidR="00046747" w:rsidRPr="00046747" w:rsidRDefault="00046747" w:rsidP="00046747">
      <w:pPr>
        <w:pStyle w:val="Heading1"/>
        <w:spacing w:before="0" w:line="360" w:lineRule="auto"/>
        <w:jc w:val="center"/>
        <w:rPr>
          <w:rFonts w:ascii="Arial" w:hAnsi="Arial" w:cs="Arial"/>
          <w:color w:val="auto"/>
          <w:sz w:val="24"/>
          <w:szCs w:val="24"/>
        </w:rPr>
      </w:pPr>
      <w:bookmarkStart w:id="6" w:name="_Toc172506036"/>
      <w:r w:rsidRPr="00046747">
        <w:rPr>
          <w:rFonts w:ascii="Arial" w:hAnsi="Arial" w:cs="Arial"/>
          <w:color w:val="auto"/>
          <w:sz w:val="24"/>
          <w:szCs w:val="24"/>
        </w:rPr>
        <w:lastRenderedPageBreak/>
        <w:t>References</w:t>
      </w:r>
      <w:bookmarkEnd w:id="6"/>
    </w:p>
    <w:p w:rsidR="00046747" w:rsidRDefault="00046747" w:rsidP="00046747">
      <w:pPr>
        <w:spacing w:after="0" w:line="360" w:lineRule="auto"/>
        <w:jc w:val="center"/>
        <w:rPr>
          <w:rFonts w:ascii="Arial" w:hAnsi="Arial" w:cs="Arial"/>
          <w:b/>
          <w:sz w:val="24"/>
          <w:szCs w:val="24"/>
        </w:rPr>
      </w:pPr>
    </w:p>
    <w:p w:rsidR="00D94014" w:rsidRPr="00914DC8" w:rsidRDefault="00D94014" w:rsidP="00D94014">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Ackerman, F. &amp; Eden, C. (2011). Strategic Management of Stakeholders: Theory and Practice. Long Range Planning 44 (2011) 179-196</w:t>
      </w:r>
    </w:p>
    <w:p w:rsidR="00D94014" w:rsidRPr="00914DC8" w:rsidRDefault="00D94014" w:rsidP="00D94014">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Amaeshi, K. M. &amp; Crane, A. (2006). Stakeholder engagement: a mechanism for sustainable aviation. Corp Soc Responsib Environ Manag 13(5):245–260</w:t>
      </w:r>
    </w:p>
    <w:p w:rsidR="00D94014" w:rsidRPr="00914DC8" w:rsidRDefault="00D94014" w:rsidP="00D94014">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Ashworth, R. &amp; Skelcher, C. (2005) Meta-evaluation of the local government modernisation agenda: progress report on stakeholder engagement with local government. ODPM Publications, London</w:t>
      </w:r>
    </w:p>
    <w:p w:rsidR="00D94014" w:rsidRPr="00914DC8" w:rsidRDefault="00D94014" w:rsidP="00D94014">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Barraquier, A. (2013). A group  identity</w:t>
      </w:r>
      <w:r w:rsidR="004177A0" w:rsidRPr="00914DC8">
        <w:rPr>
          <w:rFonts w:ascii="Arial" w:hAnsi="Arial" w:cs="Arial"/>
          <w:shd w:val="clear" w:color="auto" w:fill="FFFFFF"/>
        </w:rPr>
        <w:t xml:space="preserve"> analysis of organisations and their stakeholders: porosity of identity and mobility of attributes. </w:t>
      </w:r>
      <w:r w:rsidR="004177A0" w:rsidRPr="00914DC8">
        <w:rPr>
          <w:rFonts w:ascii="Arial" w:hAnsi="Arial" w:cs="Arial"/>
          <w:i/>
          <w:shd w:val="clear" w:color="auto" w:fill="FFFFFF"/>
        </w:rPr>
        <w:t>Journal of Business Ethics, 115</w:t>
      </w:r>
      <w:r w:rsidR="004177A0" w:rsidRPr="00914DC8">
        <w:rPr>
          <w:rFonts w:ascii="Arial" w:hAnsi="Arial" w:cs="Arial"/>
          <w:shd w:val="clear" w:color="auto" w:fill="FFFFFF"/>
        </w:rPr>
        <w:t>, 45-62</w:t>
      </w:r>
    </w:p>
    <w:p w:rsidR="004177A0" w:rsidRPr="00914DC8" w:rsidRDefault="004177A0" w:rsidP="00D94014">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Blokdyk, G. (2018). Stakeholder Analysis Complete Self-Assessment Guide. CreateSpace Independent Publishing Platform</w:t>
      </w:r>
    </w:p>
    <w:p w:rsidR="004177A0" w:rsidRPr="00914DC8" w:rsidRDefault="004177A0" w:rsidP="00D94014">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Blokdijk, G.</w:t>
      </w:r>
      <w:r w:rsidRPr="00914DC8">
        <w:rPr>
          <w:rFonts w:ascii="Arial" w:hAnsi="Arial" w:cs="Arial"/>
        </w:rPr>
        <w:t xml:space="preserve"> (2015). Stakeholder Analysis - Simple Steps to Win, Insights and Opportunities for Maxing Out Success. Complete Publishing</w:t>
      </w:r>
    </w:p>
    <w:p w:rsidR="00D94014" w:rsidRPr="00914DC8" w:rsidRDefault="00D94014" w:rsidP="00D94014">
      <w:pPr>
        <w:pStyle w:val="ListParagraph"/>
        <w:numPr>
          <w:ilvl w:val="0"/>
          <w:numId w:val="1"/>
        </w:numPr>
        <w:spacing w:after="0" w:line="360" w:lineRule="auto"/>
        <w:jc w:val="both"/>
        <w:rPr>
          <w:rFonts w:ascii="Arial" w:hAnsi="Arial" w:cs="Arial"/>
        </w:rPr>
      </w:pPr>
      <w:r w:rsidRPr="00914DC8">
        <w:rPr>
          <w:rFonts w:ascii="Arial" w:hAnsi="Arial" w:cs="Arial"/>
        </w:rPr>
        <w:t>Bourne, L., &amp; Walker, D. H. (2005). Visualising and mapping stakeholder influence. Management Decision, 43(5), 649-660</w:t>
      </w:r>
    </w:p>
    <w:p w:rsidR="00D94014" w:rsidRPr="00914DC8" w:rsidRDefault="00D94014" w:rsidP="00D94014">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Bryson, J. M. &amp; Patton, M. Q. &amp; Bowman, R. (2011). Working with evaluation stakeholders: a rationale, step-wise approach and toolkit. Eval Program Plann 34:1–12</w:t>
      </w:r>
    </w:p>
    <w:p w:rsidR="00914DC8" w:rsidRPr="00914DC8" w:rsidRDefault="00914DC8" w:rsidP="00D94014">
      <w:pPr>
        <w:pStyle w:val="ListParagraph"/>
        <w:numPr>
          <w:ilvl w:val="0"/>
          <w:numId w:val="1"/>
        </w:numPr>
        <w:spacing w:after="0" w:line="360" w:lineRule="auto"/>
        <w:jc w:val="both"/>
        <w:rPr>
          <w:rFonts w:ascii="Arial" w:hAnsi="Arial" w:cs="Arial"/>
        </w:rPr>
      </w:pPr>
      <w:r w:rsidRPr="00914DC8">
        <w:rPr>
          <w:rStyle w:val="Strong"/>
          <w:rFonts w:ascii="Arial" w:hAnsi="Arial" w:cs="Arial"/>
          <w:b w:val="0"/>
        </w:rPr>
        <w:t>Carroll, A.B. and Buchholtz, A.K., (2021).</w:t>
      </w:r>
      <w:r w:rsidRPr="00914DC8">
        <w:rPr>
          <w:rFonts w:ascii="Arial" w:hAnsi="Arial" w:cs="Arial"/>
        </w:rPr>
        <w:t xml:space="preserve"> Business and Society: Ethics, Sustainability, and Stakeholder Management. 10th ed. Boston: Cengage Learning</w:t>
      </w:r>
    </w:p>
    <w:p w:rsidR="00914DC8" w:rsidRPr="00914DC8" w:rsidRDefault="00914DC8" w:rsidP="00D94014">
      <w:pPr>
        <w:pStyle w:val="ListParagraph"/>
        <w:numPr>
          <w:ilvl w:val="0"/>
          <w:numId w:val="1"/>
        </w:numPr>
        <w:spacing w:after="0" w:line="360" w:lineRule="auto"/>
        <w:jc w:val="both"/>
        <w:rPr>
          <w:rFonts w:ascii="Arial" w:hAnsi="Arial" w:cs="Arial"/>
        </w:rPr>
      </w:pPr>
      <w:r w:rsidRPr="00914DC8">
        <w:rPr>
          <w:rStyle w:val="Strong"/>
          <w:rFonts w:ascii="Arial" w:hAnsi="Arial" w:cs="Arial"/>
          <w:b w:val="0"/>
        </w:rPr>
        <w:t>Eskerod, P. and Jepsen, A.L., (2018).</w:t>
      </w:r>
      <w:r w:rsidRPr="00914DC8">
        <w:rPr>
          <w:rFonts w:ascii="Arial" w:hAnsi="Arial" w:cs="Arial"/>
        </w:rPr>
        <w:t xml:space="preserve"> Project Stakeholder Management. 2nd ed. Farnham: Gower</w:t>
      </w:r>
    </w:p>
    <w:p w:rsidR="00914DC8" w:rsidRPr="00914DC8" w:rsidRDefault="00914DC8" w:rsidP="00D94014">
      <w:pPr>
        <w:pStyle w:val="ListParagraph"/>
        <w:numPr>
          <w:ilvl w:val="0"/>
          <w:numId w:val="1"/>
        </w:numPr>
        <w:spacing w:after="0" w:line="360" w:lineRule="auto"/>
        <w:jc w:val="both"/>
        <w:rPr>
          <w:rFonts w:ascii="Arial" w:hAnsi="Arial" w:cs="Arial"/>
        </w:rPr>
      </w:pPr>
      <w:r w:rsidRPr="00914DC8">
        <w:rPr>
          <w:rStyle w:val="Strong"/>
          <w:rFonts w:ascii="Arial" w:hAnsi="Arial" w:cs="Arial"/>
          <w:b w:val="0"/>
        </w:rPr>
        <w:t>Freeman, R.E., (2020).</w:t>
      </w:r>
      <w:r w:rsidRPr="00914DC8">
        <w:rPr>
          <w:rFonts w:ascii="Arial" w:hAnsi="Arial" w:cs="Arial"/>
        </w:rPr>
        <w:t xml:space="preserve"> Strategic Management: A Stakeholder Approach. 2nd ed. Cambridge: Cambridge University Press</w:t>
      </w:r>
    </w:p>
    <w:p w:rsidR="001A1F3E" w:rsidRPr="00914DC8" w:rsidRDefault="001A1F3E" w:rsidP="00D94014">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Friedman, A. L. &amp; Miles, S. (2006). Stakeholders: theory and practice. Oxford University Press</w:t>
      </w:r>
    </w:p>
    <w:p w:rsidR="00D94014" w:rsidRPr="00914DC8" w:rsidRDefault="00D94014" w:rsidP="00D94014">
      <w:pPr>
        <w:pStyle w:val="ListParagraph"/>
        <w:numPr>
          <w:ilvl w:val="0"/>
          <w:numId w:val="1"/>
        </w:numPr>
        <w:spacing w:after="0" w:line="360" w:lineRule="auto"/>
        <w:jc w:val="both"/>
        <w:rPr>
          <w:rFonts w:ascii="Arial" w:hAnsi="Arial" w:cs="Arial"/>
          <w:shd w:val="clear" w:color="auto" w:fill="FFFFFF"/>
        </w:rPr>
      </w:pPr>
      <w:r w:rsidRPr="00914DC8">
        <w:rPr>
          <w:rFonts w:ascii="Arial" w:hAnsi="Arial" w:cs="Arial"/>
          <w:shd w:val="clear" w:color="auto" w:fill="FFFFFF"/>
        </w:rPr>
        <w:t>Greenwood, M. (2007). Stakeholder engagement: beyond the myth of corporate responsibility. J Bus Ethics 74(4):315–327</w:t>
      </w:r>
    </w:p>
    <w:p w:rsidR="00D94014" w:rsidRPr="00914DC8" w:rsidRDefault="00D94014" w:rsidP="00D94014">
      <w:pPr>
        <w:pStyle w:val="ListParagraph"/>
        <w:numPr>
          <w:ilvl w:val="0"/>
          <w:numId w:val="1"/>
        </w:numPr>
        <w:spacing w:after="0" w:line="360" w:lineRule="auto"/>
        <w:jc w:val="both"/>
        <w:rPr>
          <w:rFonts w:ascii="Arial" w:hAnsi="Arial" w:cs="Arial"/>
          <w:shd w:val="clear" w:color="auto" w:fill="FFFFFF"/>
        </w:rPr>
      </w:pPr>
      <w:r w:rsidRPr="00914DC8">
        <w:rPr>
          <w:rFonts w:ascii="Arial" w:hAnsi="Arial" w:cs="Arial"/>
          <w:shd w:val="clear" w:color="auto" w:fill="FFFFFF"/>
        </w:rPr>
        <w:t>Hare, M. &amp; Pahl-Wostl, C. (2002). Stakeholder categorization in participatory integrated assessment processes. Integr Assess 3(1):50–62</w:t>
      </w:r>
    </w:p>
    <w:p w:rsidR="001A1F3E" w:rsidRPr="00914DC8" w:rsidRDefault="001A1F3E" w:rsidP="00D94014">
      <w:pPr>
        <w:pStyle w:val="ListParagraph"/>
        <w:numPr>
          <w:ilvl w:val="0"/>
          <w:numId w:val="1"/>
        </w:numPr>
        <w:spacing w:after="0" w:line="360" w:lineRule="auto"/>
        <w:jc w:val="both"/>
        <w:rPr>
          <w:rFonts w:ascii="Arial" w:hAnsi="Arial" w:cs="Arial"/>
          <w:shd w:val="clear" w:color="auto" w:fill="FFFFFF"/>
        </w:rPr>
      </w:pPr>
      <w:r w:rsidRPr="00914DC8">
        <w:rPr>
          <w:rFonts w:ascii="Arial" w:hAnsi="Arial" w:cs="Arial"/>
          <w:shd w:val="clear" w:color="auto" w:fill="FFFFFF"/>
        </w:rPr>
        <w:t>Miles, S. (2011). Stakeholder definitions: profusion and confusion. EIASM 1</w:t>
      </w:r>
      <w:r w:rsidRPr="00914DC8">
        <w:rPr>
          <w:rFonts w:ascii="Arial" w:hAnsi="Arial" w:cs="Arial"/>
          <w:shd w:val="clear" w:color="auto" w:fill="FFFFFF"/>
          <w:vertAlign w:val="superscript"/>
        </w:rPr>
        <w:t>st</w:t>
      </w:r>
      <w:r w:rsidRPr="00914DC8">
        <w:rPr>
          <w:rFonts w:ascii="Arial" w:hAnsi="Arial" w:cs="Arial"/>
          <w:shd w:val="clear" w:color="auto" w:fill="FFFFFF"/>
        </w:rPr>
        <w:t xml:space="preserve"> interdisciplinary conference on stakeholders, resources and values creation, IESE Business School, University of Navarra, Barcelona</w:t>
      </w:r>
    </w:p>
    <w:p w:rsidR="00914DC8" w:rsidRPr="00914DC8" w:rsidRDefault="00914DC8" w:rsidP="00D94014">
      <w:pPr>
        <w:pStyle w:val="ListParagraph"/>
        <w:numPr>
          <w:ilvl w:val="0"/>
          <w:numId w:val="1"/>
        </w:numPr>
        <w:spacing w:after="0" w:line="360" w:lineRule="auto"/>
        <w:jc w:val="both"/>
        <w:rPr>
          <w:rFonts w:ascii="Arial" w:hAnsi="Arial" w:cs="Arial"/>
          <w:shd w:val="clear" w:color="auto" w:fill="FFFFFF"/>
        </w:rPr>
      </w:pPr>
      <w:r w:rsidRPr="00914DC8">
        <w:rPr>
          <w:rStyle w:val="Strong"/>
          <w:rFonts w:ascii="Arial" w:hAnsi="Arial" w:cs="Arial"/>
          <w:b w:val="0"/>
        </w:rPr>
        <w:lastRenderedPageBreak/>
        <w:t>Mitchell, R.K., Agle, B.R. and Wood, D.J., (1997).</w:t>
      </w:r>
      <w:r w:rsidRPr="00914DC8">
        <w:rPr>
          <w:rFonts w:ascii="Arial" w:hAnsi="Arial" w:cs="Arial"/>
        </w:rPr>
        <w:t xml:space="preserve"> Toward a Theory of Stakeholder Identification and Salience: Defining the Principle of Who and What Really Counts. 3rd ed. New York: Oxford University Press</w:t>
      </w:r>
    </w:p>
    <w:p w:rsidR="00914DC8" w:rsidRPr="00914DC8" w:rsidRDefault="00914DC8" w:rsidP="00D94014">
      <w:pPr>
        <w:pStyle w:val="ListParagraph"/>
        <w:numPr>
          <w:ilvl w:val="0"/>
          <w:numId w:val="1"/>
        </w:numPr>
        <w:spacing w:after="0" w:line="360" w:lineRule="auto"/>
        <w:jc w:val="both"/>
        <w:rPr>
          <w:rFonts w:ascii="Arial" w:hAnsi="Arial" w:cs="Arial"/>
          <w:shd w:val="clear" w:color="auto" w:fill="FFFFFF"/>
        </w:rPr>
      </w:pPr>
      <w:r w:rsidRPr="00914DC8">
        <w:rPr>
          <w:rStyle w:val="Strong"/>
          <w:rFonts w:ascii="Arial" w:hAnsi="Arial" w:cs="Arial"/>
          <w:b w:val="0"/>
        </w:rPr>
        <w:t>Phillips, R.A., (2018).</w:t>
      </w:r>
      <w:r w:rsidRPr="00914DC8">
        <w:rPr>
          <w:rFonts w:ascii="Arial" w:hAnsi="Arial" w:cs="Arial"/>
        </w:rPr>
        <w:t xml:space="preserve"> Stakeholder Theory: Impact and Prospects. Cheltenham: Edward Elgar Publishing.</w:t>
      </w:r>
    </w:p>
    <w:p w:rsidR="00D94014" w:rsidRPr="00914DC8" w:rsidRDefault="00D94014" w:rsidP="00D94014">
      <w:pPr>
        <w:pStyle w:val="ListParagraph"/>
        <w:numPr>
          <w:ilvl w:val="0"/>
          <w:numId w:val="1"/>
        </w:numPr>
        <w:spacing w:after="0" w:line="360" w:lineRule="auto"/>
        <w:jc w:val="both"/>
        <w:rPr>
          <w:rFonts w:ascii="Arial" w:hAnsi="Arial" w:cs="Arial"/>
          <w:shd w:val="clear" w:color="auto" w:fill="FFFFFF"/>
        </w:rPr>
      </w:pPr>
      <w:r w:rsidRPr="00914DC8">
        <w:rPr>
          <w:rFonts w:ascii="Arial" w:hAnsi="Arial" w:cs="Arial"/>
        </w:rPr>
        <w:t>Rodriguez-Melo, A., &amp; Mansouri, S. A. (2011). Stakeholder engagement: Defining strategic advantage for sustainable construction. Business Strategy and the Environment, 20(8), 539-552</w:t>
      </w:r>
    </w:p>
    <w:p w:rsidR="00D94014" w:rsidRPr="00914DC8" w:rsidRDefault="00D94014" w:rsidP="00D94014">
      <w:pPr>
        <w:pStyle w:val="ListParagraph"/>
        <w:numPr>
          <w:ilvl w:val="0"/>
          <w:numId w:val="1"/>
        </w:numPr>
        <w:spacing w:after="0" w:line="360" w:lineRule="auto"/>
        <w:jc w:val="both"/>
        <w:rPr>
          <w:rFonts w:ascii="Arial" w:hAnsi="Arial" w:cs="Arial"/>
          <w:shd w:val="clear" w:color="auto" w:fill="FFFFFF"/>
        </w:rPr>
      </w:pPr>
      <w:r w:rsidRPr="00914DC8">
        <w:rPr>
          <w:rFonts w:ascii="Arial" w:hAnsi="Arial" w:cs="Arial"/>
        </w:rPr>
        <w:t>von Meding, J., McAllister, K., Oyedele, L., &amp; Kelly, K. (2013). A framework for stakeholder management and corporate culture. Built Environment Project and Asset Management, 3(1), 24-41</w:t>
      </w:r>
    </w:p>
    <w:p w:rsidR="004177A0" w:rsidRPr="00914DC8" w:rsidRDefault="004177A0" w:rsidP="00D94014">
      <w:pPr>
        <w:pStyle w:val="ListParagraph"/>
        <w:numPr>
          <w:ilvl w:val="0"/>
          <w:numId w:val="1"/>
        </w:numPr>
        <w:spacing w:after="0" w:line="360" w:lineRule="auto"/>
        <w:jc w:val="both"/>
        <w:rPr>
          <w:rFonts w:ascii="Arial" w:hAnsi="Arial" w:cs="Arial"/>
          <w:shd w:val="clear" w:color="auto" w:fill="FFFFFF"/>
        </w:rPr>
      </w:pPr>
      <w:r w:rsidRPr="00914DC8">
        <w:rPr>
          <w:rFonts w:ascii="Arial" w:hAnsi="Arial" w:cs="Arial"/>
        </w:rPr>
        <w:t>Wesonga, A. (2018). Strategic-Purpose: Stakeholder-Mapping. GRIN Verlag</w:t>
      </w:r>
    </w:p>
    <w:p w:rsidR="004177A0" w:rsidRPr="00D94014" w:rsidRDefault="004177A0" w:rsidP="00914DC8">
      <w:pPr>
        <w:pStyle w:val="ListParagraph"/>
        <w:spacing w:after="0" w:line="360" w:lineRule="auto"/>
        <w:jc w:val="both"/>
        <w:rPr>
          <w:color w:val="222222"/>
          <w:shd w:val="clear" w:color="auto" w:fill="FFFFFF"/>
        </w:rPr>
      </w:pPr>
    </w:p>
    <w:p w:rsidR="00046747" w:rsidRDefault="00046747" w:rsidP="00046747">
      <w:pPr>
        <w:spacing w:after="0" w:line="360" w:lineRule="auto"/>
        <w:jc w:val="center"/>
        <w:rPr>
          <w:rFonts w:ascii="Arial" w:hAnsi="Arial" w:cs="Arial"/>
          <w:b/>
          <w:sz w:val="24"/>
          <w:szCs w:val="24"/>
        </w:rPr>
      </w:pPr>
    </w:p>
    <w:p w:rsidR="00046747" w:rsidRPr="00046747" w:rsidRDefault="00046747" w:rsidP="00046747">
      <w:pPr>
        <w:spacing w:after="0" w:line="360" w:lineRule="auto"/>
        <w:jc w:val="center"/>
        <w:rPr>
          <w:rFonts w:ascii="Arial" w:hAnsi="Arial" w:cs="Arial"/>
          <w:b/>
          <w:sz w:val="24"/>
          <w:szCs w:val="24"/>
        </w:rPr>
      </w:pPr>
    </w:p>
    <w:p w:rsidR="001A1F3E" w:rsidRDefault="001A1F3E"/>
    <w:sectPr w:rsidR="001A1F3E" w:rsidSect="00201045">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793" w:rsidRDefault="00793793" w:rsidP="00201045">
      <w:pPr>
        <w:spacing w:after="0" w:line="240" w:lineRule="auto"/>
      </w:pPr>
      <w:r>
        <w:separator/>
      </w:r>
    </w:p>
  </w:endnote>
  <w:endnote w:type="continuationSeparator" w:id="1">
    <w:p w:rsidR="00793793" w:rsidRDefault="00793793" w:rsidP="002010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F3E" w:rsidRDefault="001A1F3E">
    <w:pPr>
      <w:pStyle w:val="Footer"/>
      <w:jc w:val="center"/>
    </w:pPr>
  </w:p>
  <w:p w:rsidR="001A1F3E" w:rsidRDefault="001A1F3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104445"/>
      <w:docPartObj>
        <w:docPartGallery w:val="Page Numbers (Bottom of Page)"/>
        <w:docPartUnique/>
      </w:docPartObj>
    </w:sdtPr>
    <w:sdtContent>
      <w:p w:rsidR="001A1F3E" w:rsidRDefault="001A1F3E">
        <w:pPr>
          <w:pStyle w:val="Footer"/>
          <w:jc w:val="center"/>
        </w:pPr>
        <w:fldSimple w:instr=" PAGE   \* MERGEFORMAT ">
          <w:r w:rsidR="00914DC8">
            <w:rPr>
              <w:noProof/>
            </w:rPr>
            <w:t>21</w:t>
          </w:r>
        </w:fldSimple>
      </w:p>
    </w:sdtContent>
  </w:sdt>
  <w:p w:rsidR="001A1F3E" w:rsidRDefault="001A1F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793" w:rsidRDefault="00793793" w:rsidP="00201045">
      <w:pPr>
        <w:spacing w:after="0" w:line="240" w:lineRule="auto"/>
      </w:pPr>
      <w:r>
        <w:separator/>
      </w:r>
    </w:p>
  </w:footnote>
  <w:footnote w:type="continuationSeparator" w:id="1">
    <w:p w:rsidR="00793793" w:rsidRDefault="00793793" w:rsidP="002010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0C0FFC"/>
    <w:multiLevelType w:val="hybridMultilevel"/>
    <w:tmpl w:val="8676D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94451"/>
    <w:rsid w:val="00046747"/>
    <w:rsid w:val="00157B5B"/>
    <w:rsid w:val="001A1F3E"/>
    <w:rsid w:val="00201045"/>
    <w:rsid w:val="003F789B"/>
    <w:rsid w:val="004177A0"/>
    <w:rsid w:val="00437F8C"/>
    <w:rsid w:val="00494451"/>
    <w:rsid w:val="00793793"/>
    <w:rsid w:val="00862755"/>
    <w:rsid w:val="00914DC8"/>
    <w:rsid w:val="00D940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67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74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01045"/>
    <w:pPr>
      <w:outlineLvl w:val="9"/>
    </w:pPr>
  </w:style>
  <w:style w:type="paragraph" w:styleId="TOC1">
    <w:name w:val="toc 1"/>
    <w:basedOn w:val="Normal"/>
    <w:next w:val="Normal"/>
    <w:autoRedefine/>
    <w:uiPriority w:val="39"/>
    <w:unhideWhenUsed/>
    <w:rsid w:val="00201045"/>
    <w:pPr>
      <w:spacing w:after="100"/>
    </w:pPr>
  </w:style>
  <w:style w:type="character" w:styleId="Hyperlink">
    <w:name w:val="Hyperlink"/>
    <w:basedOn w:val="DefaultParagraphFont"/>
    <w:uiPriority w:val="99"/>
    <w:unhideWhenUsed/>
    <w:rsid w:val="00201045"/>
    <w:rPr>
      <w:color w:val="0000FF" w:themeColor="hyperlink"/>
      <w:u w:val="single"/>
    </w:rPr>
  </w:style>
  <w:style w:type="paragraph" w:styleId="BalloonText">
    <w:name w:val="Balloon Text"/>
    <w:basedOn w:val="Normal"/>
    <w:link w:val="BalloonTextChar"/>
    <w:uiPriority w:val="99"/>
    <w:semiHidden/>
    <w:unhideWhenUsed/>
    <w:rsid w:val="002010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045"/>
    <w:rPr>
      <w:rFonts w:ascii="Tahoma" w:hAnsi="Tahoma" w:cs="Tahoma"/>
      <w:sz w:val="16"/>
      <w:szCs w:val="16"/>
    </w:rPr>
  </w:style>
  <w:style w:type="paragraph" w:styleId="Header">
    <w:name w:val="header"/>
    <w:basedOn w:val="Normal"/>
    <w:link w:val="HeaderChar"/>
    <w:uiPriority w:val="99"/>
    <w:semiHidden/>
    <w:unhideWhenUsed/>
    <w:rsid w:val="0020104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1045"/>
  </w:style>
  <w:style w:type="paragraph" w:styleId="Footer">
    <w:name w:val="footer"/>
    <w:basedOn w:val="Normal"/>
    <w:link w:val="FooterChar"/>
    <w:uiPriority w:val="99"/>
    <w:unhideWhenUsed/>
    <w:rsid w:val="00201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045"/>
  </w:style>
  <w:style w:type="paragraph" w:styleId="ListParagraph">
    <w:name w:val="List Paragraph"/>
    <w:basedOn w:val="Normal"/>
    <w:uiPriority w:val="34"/>
    <w:qFormat/>
    <w:rsid w:val="00D94014"/>
    <w:pPr>
      <w:ind w:left="720"/>
      <w:contextualSpacing/>
    </w:pPr>
  </w:style>
  <w:style w:type="character" w:styleId="Strong">
    <w:name w:val="Strong"/>
    <w:basedOn w:val="DefaultParagraphFont"/>
    <w:uiPriority w:val="22"/>
    <w:qFormat/>
    <w:rsid w:val="00914DC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579A6-6A62-486F-98C6-50AA50CB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23</Pages>
  <Words>6232</Words>
  <Characters>35528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Frida Izabella Tac</dc:creator>
  <cp:keywords/>
  <dc:description/>
  <cp:lastModifiedBy>Frida Izabella Tac</cp:lastModifiedBy>
  <cp:revision>6</cp:revision>
  <dcterms:created xsi:type="dcterms:W3CDTF">2024-07-21T22:12:00Z</dcterms:created>
  <dcterms:modified xsi:type="dcterms:W3CDTF">2024-07-22T00:03:00Z</dcterms:modified>
</cp:coreProperties>
</file>