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86620" w14:textId="6255943D" w:rsidR="00304510" w:rsidRPr="00BA67EE" w:rsidRDefault="00304510" w:rsidP="001A3455">
      <w:pPr>
        <w:jc w:val="both"/>
        <w:rPr>
          <w:rFonts w:asciiTheme="majorBidi" w:hAnsiTheme="majorBidi" w:cstheme="majorBidi"/>
        </w:rPr>
      </w:pPr>
    </w:p>
    <w:p w14:paraId="7793D122" w14:textId="77777777" w:rsidR="00304510" w:rsidRPr="00BA67EE" w:rsidRDefault="00304510" w:rsidP="001A3455">
      <w:pPr>
        <w:jc w:val="both"/>
        <w:rPr>
          <w:rFonts w:asciiTheme="majorBidi" w:hAnsiTheme="majorBidi" w:cstheme="majorBidi"/>
        </w:rPr>
      </w:pPr>
      <w:r w:rsidRPr="00BA67EE">
        <w:rPr>
          <w:rFonts w:asciiTheme="majorBidi" w:hAnsiTheme="majorBidi" w:cstheme="majorBidi"/>
        </w:rPr>
        <w:t>Assessment Component 3 – Policy Analysis Report</w:t>
      </w:r>
    </w:p>
    <w:p w14:paraId="7CCAF90A" w14:textId="77777777" w:rsidR="00304510" w:rsidRPr="00BA67EE" w:rsidRDefault="00304510" w:rsidP="001A3455">
      <w:pPr>
        <w:jc w:val="both"/>
        <w:rPr>
          <w:rFonts w:asciiTheme="majorBidi" w:hAnsiTheme="majorBidi" w:cstheme="majorBidi"/>
        </w:rPr>
      </w:pPr>
      <w:r w:rsidRPr="00BA67EE">
        <w:rPr>
          <w:rFonts w:asciiTheme="majorBidi" w:hAnsiTheme="majorBidi" w:cstheme="majorBidi"/>
        </w:rPr>
        <w:t>Title</w:t>
      </w:r>
    </w:p>
    <w:p w14:paraId="6CEF93E9" w14:textId="77777777" w:rsidR="00094DE3" w:rsidRPr="00094955" w:rsidRDefault="00304510" w:rsidP="001A3455">
      <w:pPr>
        <w:jc w:val="both"/>
        <w:rPr>
          <w:rFonts w:asciiTheme="majorBidi" w:hAnsiTheme="majorBidi" w:cstheme="majorBidi"/>
          <w:b/>
          <w:bCs/>
          <w:rtl/>
        </w:rPr>
      </w:pPr>
      <w:r w:rsidRPr="00094955">
        <w:rPr>
          <w:rFonts w:asciiTheme="majorBidi" w:hAnsiTheme="majorBidi" w:cstheme="majorBidi"/>
          <w:b/>
          <w:bCs/>
        </w:rPr>
        <w:t>Policy Fragmentation in AI-Based English Admission Testing:</w:t>
      </w:r>
    </w:p>
    <w:p w14:paraId="11C0DFDC" w14:textId="3E0A4CE7" w:rsidR="00304510" w:rsidRPr="00094955" w:rsidRDefault="00304510" w:rsidP="001A3455">
      <w:pPr>
        <w:jc w:val="both"/>
        <w:rPr>
          <w:rFonts w:asciiTheme="majorBidi" w:hAnsiTheme="majorBidi" w:cstheme="majorBidi"/>
          <w:b/>
          <w:bCs/>
        </w:rPr>
      </w:pPr>
      <w:r w:rsidRPr="00094955">
        <w:rPr>
          <w:rFonts w:asciiTheme="majorBidi" w:hAnsiTheme="majorBidi" w:cstheme="majorBidi"/>
          <w:b/>
          <w:bCs/>
        </w:rPr>
        <w:t>A Welsh Policy Analysis of the Duolingo English Test (DET) and UKVI Compliance</w:t>
      </w:r>
    </w:p>
    <w:p w14:paraId="2F58ABB4" w14:textId="5FF0E645" w:rsidR="00304510" w:rsidRPr="00BA67EE" w:rsidRDefault="00304510" w:rsidP="001A3455">
      <w:pPr>
        <w:jc w:val="both"/>
        <w:rPr>
          <w:rFonts w:asciiTheme="majorBidi" w:hAnsiTheme="majorBidi" w:cstheme="majorBidi"/>
        </w:rPr>
      </w:pPr>
    </w:p>
    <w:p w14:paraId="77BFD561" w14:textId="77777777" w:rsidR="00304510" w:rsidRPr="00BA67EE" w:rsidRDefault="00304510" w:rsidP="001A3455">
      <w:pPr>
        <w:jc w:val="both"/>
        <w:rPr>
          <w:rFonts w:asciiTheme="majorBidi" w:hAnsiTheme="majorBidi" w:cstheme="majorBidi"/>
        </w:rPr>
      </w:pPr>
      <w:r w:rsidRPr="00BA67EE">
        <w:rPr>
          <w:rFonts w:asciiTheme="majorBidi" w:hAnsiTheme="majorBidi" w:cstheme="majorBidi"/>
        </w:rPr>
        <w:t>1. Defining the Policy Problem</w:t>
      </w:r>
    </w:p>
    <w:p w14:paraId="1569E4E6" w14:textId="77777777" w:rsidR="00304510" w:rsidRPr="00BA67EE" w:rsidRDefault="00304510" w:rsidP="001A3455">
      <w:pPr>
        <w:jc w:val="both"/>
        <w:rPr>
          <w:rFonts w:asciiTheme="majorBidi" w:hAnsiTheme="majorBidi" w:cstheme="majorBidi"/>
        </w:rPr>
      </w:pPr>
      <w:r w:rsidRPr="00BA67EE">
        <w:rPr>
          <w:rFonts w:asciiTheme="majorBidi" w:hAnsiTheme="majorBidi" w:cstheme="majorBidi"/>
          <w:i/>
          <w:iCs/>
        </w:rPr>
        <w:t>(Bardach Step 1: Define the Problem)</w:t>
      </w:r>
    </w:p>
    <w:p w14:paraId="7E92D2C2" w14:textId="3B2439B5" w:rsidR="002C779D" w:rsidRPr="00BA67EE" w:rsidRDefault="002C779D" w:rsidP="002C779D">
      <w:pPr>
        <w:jc w:val="both"/>
        <w:rPr>
          <w:rFonts w:asciiTheme="majorBidi" w:hAnsiTheme="majorBidi" w:cstheme="majorBidi"/>
          <w:lang w:val="en-US"/>
        </w:rPr>
      </w:pPr>
      <w:r w:rsidRPr="00BA67EE">
        <w:rPr>
          <w:rFonts w:asciiTheme="majorBidi" w:hAnsiTheme="majorBidi" w:cstheme="majorBidi"/>
          <w:lang w:val="en-US"/>
        </w:rPr>
        <w:t xml:space="preserve">Over the past decade, the Duolingo English Test (DET) has become a widely used AI-enabled, fully online English language assessment in higher education admissions. Unlike traditional </w:t>
      </w:r>
      <w:r w:rsidR="00094DE3" w:rsidRPr="00BA67EE">
        <w:rPr>
          <w:rFonts w:asciiTheme="majorBidi" w:hAnsiTheme="majorBidi" w:cstheme="majorBidi"/>
          <w:lang w:val="en-US"/>
        </w:rPr>
        <w:t>center</w:t>
      </w:r>
      <w:r w:rsidRPr="00BA67EE">
        <w:rPr>
          <w:rFonts w:asciiTheme="majorBidi" w:hAnsiTheme="majorBidi" w:cstheme="majorBidi"/>
          <w:lang w:val="en-US"/>
        </w:rPr>
        <w:t xml:space="preserve">-based tests such as IELTS and TOEFL, DET employs computer-adaptive testing and remote proctoring to generate rapid, </w:t>
      </w:r>
      <w:r w:rsidR="00094DE3" w:rsidRPr="00BA67EE">
        <w:rPr>
          <w:rFonts w:asciiTheme="majorBidi" w:hAnsiTheme="majorBidi" w:cstheme="majorBidi"/>
          <w:lang w:val="en-US"/>
        </w:rPr>
        <w:t>standardized</w:t>
      </w:r>
      <w:r w:rsidRPr="00BA67EE">
        <w:rPr>
          <w:rFonts w:asciiTheme="majorBidi" w:hAnsiTheme="majorBidi" w:cstheme="majorBidi"/>
          <w:lang w:val="en-US"/>
        </w:rPr>
        <w:t xml:space="preserve"> scores (Isaacs et al., 2023; Park, 2024). These features have expanded access for international applicants facing financial, geographical, or mobility-related constraints, a trend that accelerated during and after the COVID-19 pandemic.</w:t>
      </w:r>
    </w:p>
    <w:p w14:paraId="61AC58DB" w14:textId="1C1F0F27" w:rsidR="002C779D" w:rsidRPr="00BA67EE" w:rsidRDefault="002C779D" w:rsidP="002C779D">
      <w:pPr>
        <w:jc w:val="both"/>
        <w:rPr>
          <w:rFonts w:asciiTheme="majorBidi" w:hAnsiTheme="majorBidi" w:cstheme="majorBidi"/>
          <w:lang w:val="en-US"/>
        </w:rPr>
      </w:pPr>
      <w:r w:rsidRPr="00BA67EE">
        <w:rPr>
          <w:rFonts w:asciiTheme="majorBidi" w:hAnsiTheme="majorBidi" w:cstheme="majorBidi"/>
          <w:lang w:val="en-US"/>
        </w:rPr>
        <w:t xml:space="preserve">From an educational perspective, English language testing in admissions functions as a high-stakes gatekeeping mechanism. Language proficiency requirements operate as proxies for academic preparedness, shaping judgements about applicants’ ability to engage with academic texts, assessment practices, and disciplinary discourse. When such proxies are weakly aligned with the actual linguistic demands of academic study, admissions decisions risk admitting students who may face avoidable challenges in progression and assessment, shifting institutional responsibility from selection to remediation. Decisions about which tests are </w:t>
      </w:r>
      <w:r w:rsidR="00094DE3" w:rsidRPr="00BA67EE">
        <w:rPr>
          <w:rFonts w:asciiTheme="majorBidi" w:hAnsiTheme="majorBidi" w:cstheme="majorBidi"/>
          <w:lang w:val="en-US"/>
        </w:rPr>
        <w:t>recognized</w:t>
      </w:r>
      <w:r w:rsidRPr="00BA67EE">
        <w:rPr>
          <w:rFonts w:asciiTheme="majorBidi" w:hAnsiTheme="majorBidi" w:cstheme="majorBidi"/>
          <w:lang w:val="en-US"/>
        </w:rPr>
        <w:t xml:space="preserve"> are therefore educational judgements rather than neutral administrative choices, with direct implications for access, fairness, and academic outcomes.</w:t>
      </w:r>
    </w:p>
    <w:p w14:paraId="2BD9B77B" w14:textId="1196AE70" w:rsidR="002C779D" w:rsidRPr="00BA67EE" w:rsidRDefault="002C779D" w:rsidP="002C779D">
      <w:pPr>
        <w:jc w:val="both"/>
        <w:rPr>
          <w:rFonts w:asciiTheme="majorBidi" w:hAnsiTheme="majorBidi" w:cstheme="majorBidi"/>
          <w:lang w:val="en-US"/>
        </w:rPr>
      </w:pPr>
      <w:r w:rsidRPr="00BA67EE">
        <w:rPr>
          <w:rFonts w:asciiTheme="majorBidi" w:hAnsiTheme="majorBidi" w:cstheme="majorBidi"/>
          <w:lang w:val="en-US"/>
        </w:rPr>
        <w:t xml:space="preserve">Within the UK, many higher education institutions now accept DET for academic admission. In Wales, however, this practice has exposed a significant policy problem arising from misalignment between institutional admissions decisions and UK Visas and Immigration (UKVI) regulations. UKVI </w:t>
      </w:r>
      <w:r w:rsidR="00094DE3" w:rsidRPr="00BA67EE">
        <w:rPr>
          <w:rFonts w:asciiTheme="majorBidi" w:hAnsiTheme="majorBidi" w:cstheme="majorBidi"/>
          <w:lang w:val="en-US"/>
        </w:rPr>
        <w:t>recognizes</w:t>
      </w:r>
      <w:r w:rsidRPr="00BA67EE">
        <w:rPr>
          <w:rFonts w:asciiTheme="majorBidi" w:hAnsiTheme="majorBidi" w:cstheme="majorBidi"/>
          <w:lang w:val="en-US"/>
        </w:rPr>
        <w:t xml:space="preserve"> only Secure English Language Tests (SELTs) for the Student Route visa, excluding DET from this framework. This regulatory position reflects an immigration policy logic that </w:t>
      </w:r>
      <w:r w:rsidR="00094DE3" w:rsidRPr="00BA67EE">
        <w:rPr>
          <w:rFonts w:asciiTheme="majorBidi" w:hAnsiTheme="majorBidi" w:cstheme="majorBidi"/>
          <w:lang w:val="en-US"/>
        </w:rPr>
        <w:t>prioritizes</w:t>
      </w:r>
      <w:r w:rsidRPr="00BA67EE">
        <w:rPr>
          <w:rFonts w:asciiTheme="majorBidi" w:hAnsiTheme="majorBidi" w:cstheme="majorBidi"/>
          <w:lang w:val="en-US"/>
        </w:rPr>
        <w:t xml:space="preserve"> </w:t>
      </w:r>
      <w:r w:rsidR="00094DE3" w:rsidRPr="00BA67EE">
        <w:rPr>
          <w:rFonts w:asciiTheme="majorBidi" w:hAnsiTheme="majorBidi" w:cstheme="majorBidi"/>
          <w:lang w:val="en-US"/>
        </w:rPr>
        <w:t>standardization</w:t>
      </w:r>
      <w:r w:rsidRPr="00BA67EE">
        <w:rPr>
          <w:rFonts w:asciiTheme="majorBidi" w:hAnsiTheme="majorBidi" w:cstheme="majorBidi"/>
          <w:lang w:val="en-US"/>
        </w:rPr>
        <w:t xml:space="preserve"> and risk control over pedagogical innovation. As a result, applicants may receive academic offers based on DET scores yet later discover that these do not satisfy visa requirements, generating financial loss, emotional distress, and disrupted enrolment, while exposing institutions to reputational and regulatory risk.</w:t>
      </w:r>
    </w:p>
    <w:p w14:paraId="5A60AF11" w14:textId="3568C1C2" w:rsidR="002C779D" w:rsidRPr="00BA67EE" w:rsidRDefault="002C779D" w:rsidP="002C779D">
      <w:pPr>
        <w:jc w:val="both"/>
        <w:rPr>
          <w:rFonts w:asciiTheme="majorBidi" w:hAnsiTheme="majorBidi" w:cstheme="majorBidi"/>
          <w:lang w:val="en-US"/>
        </w:rPr>
      </w:pPr>
      <w:r w:rsidRPr="00BA67EE">
        <w:rPr>
          <w:rFonts w:asciiTheme="majorBidi" w:hAnsiTheme="majorBidi" w:cstheme="majorBidi"/>
          <w:lang w:val="en-US"/>
        </w:rPr>
        <w:t xml:space="preserve">This problem cannot be reduced to questions of test validity or isolated institutional discretion. Rather, it reflects a multi-level governance gap in which universities retain autonomy over educational admissions criteria while immigration compliance is regulated centrally. In the absence of coordinated Welsh or UK-wide guidance on the educational and regulatory status of AI-based, non-SELT assessments, universities have developed divergent and often opaque </w:t>
      </w:r>
      <w:r w:rsidRPr="00BA67EE">
        <w:rPr>
          <w:rFonts w:asciiTheme="majorBidi" w:hAnsiTheme="majorBidi" w:cstheme="majorBidi"/>
          <w:lang w:val="en-US"/>
        </w:rPr>
        <w:lastRenderedPageBreak/>
        <w:t xml:space="preserve">public-facing policies. Inconsistent messaging, unclear distinctions between academic and immigration requirements, and variable transparency have produced a fragmented admissions landscape </w:t>
      </w:r>
      <w:r w:rsidR="00094DE3" w:rsidRPr="00BA67EE">
        <w:rPr>
          <w:rFonts w:asciiTheme="majorBidi" w:hAnsiTheme="majorBidi" w:cstheme="majorBidi"/>
          <w:lang w:val="en-US"/>
        </w:rPr>
        <w:t>characterized</w:t>
      </w:r>
      <w:r w:rsidRPr="00BA67EE">
        <w:rPr>
          <w:rFonts w:asciiTheme="majorBidi" w:hAnsiTheme="majorBidi" w:cstheme="majorBidi"/>
          <w:lang w:val="en-US"/>
        </w:rPr>
        <w:t xml:space="preserve"> by information asymmetry and uncertainty.</w:t>
      </w:r>
    </w:p>
    <w:p w14:paraId="4A2900A8" w14:textId="75520E87" w:rsidR="002C779D" w:rsidRPr="00BA67EE" w:rsidRDefault="002C779D" w:rsidP="002C779D">
      <w:pPr>
        <w:jc w:val="both"/>
        <w:rPr>
          <w:rFonts w:asciiTheme="majorBidi" w:hAnsiTheme="majorBidi" w:cstheme="majorBidi"/>
          <w:lang w:val="en-US"/>
        </w:rPr>
      </w:pPr>
      <w:r w:rsidRPr="00BA67EE">
        <w:rPr>
          <w:rFonts w:asciiTheme="majorBidi" w:hAnsiTheme="majorBidi" w:cstheme="majorBidi"/>
          <w:lang w:val="en-US"/>
        </w:rPr>
        <w:t xml:space="preserve">The consequences of this fragmentation extend beyond administrative inefficiency. As highlighted in the literature on digital assessment and admissions governance, they include heightened equity risks for financially disadvantaged applicants, increased regulatory exposure for institutions, and educational opacity whereby innovation in assessment practices outpaces the development of defensible admissions policy. The core policy problem, therefore, is not whether DET is an effective language test, but how Welsh universities interpret and </w:t>
      </w:r>
      <w:r w:rsidR="00094DE3" w:rsidRPr="00BA67EE">
        <w:rPr>
          <w:rFonts w:asciiTheme="majorBidi" w:hAnsiTheme="majorBidi" w:cstheme="majorBidi"/>
          <w:lang w:val="en-US"/>
        </w:rPr>
        <w:t>operationalize</w:t>
      </w:r>
      <w:r w:rsidRPr="00BA67EE">
        <w:rPr>
          <w:rFonts w:asciiTheme="majorBidi" w:hAnsiTheme="majorBidi" w:cstheme="majorBidi"/>
          <w:lang w:val="en-US"/>
        </w:rPr>
        <w:t xml:space="preserve"> English language proficiency as an educational admissions criterion within a regulatory environment that separates academic judgement from immigration compliance. DET thus functions as a stress test for policy coherence in Welsh higher education, revealing how misalignment between assessment practices and immigration regulation generates risk, inequity, and policy fragmentation.</w:t>
      </w:r>
    </w:p>
    <w:p w14:paraId="1B747BEA" w14:textId="3C964116" w:rsidR="00304510" w:rsidRPr="00BA67EE" w:rsidRDefault="00304510" w:rsidP="001A3455">
      <w:pPr>
        <w:jc w:val="both"/>
        <w:rPr>
          <w:rFonts w:asciiTheme="majorBidi" w:hAnsiTheme="majorBidi" w:cstheme="majorBidi"/>
        </w:rPr>
      </w:pPr>
    </w:p>
    <w:p w14:paraId="4C3D217F" w14:textId="77777777" w:rsidR="00D2066E" w:rsidRPr="00BA67EE" w:rsidRDefault="00D2066E" w:rsidP="001A3455">
      <w:pPr>
        <w:pStyle w:val="NormalWeb"/>
        <w:jc w:val="both"/>
        <w:rPr>
          <w:rFonts w:asciiTheme="majorBidi" w:hAnsiTheme="majorBidi" w:cstheme="majorBidi"/>
        </w:rPr>
      </w:pPr>
      <w:r w:rsidRPr="00BA67EE">
        <w:rPr>
          <w:rFonts w:asciiTheme="majorBidi" w:hAnsiTheme="majorBidi" w:cstheme="majorBidi"/>
        </w:rPr>
        <w:t>2. Evidence Base and Context</w:t>
      </w:r>
    </w:p>
    <w:p w14:paraId="603AE857" w14:textId="77777777" w:rsidR="00D2066E" w:rsidRPr="00BA67EE" w:rsidRDefault="00D2066E" w:rsidP="001A3455">
      <w:pPr>
        <w:pStyle w:val="NormalWeb"/>
        <w:jc w:val="both"/>
        <w:rPr>
          <w:rFonts w:asciiTheme="majorBidi" w:hAnsiTheme="majorBidi" w:cstheme="majorBidi"/>
        </w:rPr>
      </w:pPr>
      <w:r w:rsidRPr="00BA67EE">
        <w:rPr>
          <w:rFonts w:asciiTheme="majorBidi" w:eastAsiaTheme="majorEastAsia" w:hAnsiTheme="majorBidi" w:cstheme="majorBidi"/>
          <w:i/>
          <w:iCs/>
        </w:rPr>
        <w:t>(Bardach Step 2: Assemble the Evidence)</w:t>
      </w:r>
    </w:p>
    <w:p w14:paraId="2124EED4" w14:textId="77777777" w:rsidR="00AE2E48" w:rsidRPr="00AE2E48" w:rsidRDefault="00AE2E48" w:rsidP="00AE2E48">
      <w:pPr>
        <w:pStyle w:val="NormalWeb"/>
        <w:jc w:val="both"/>
        <w:rPr>
          <w:rFonts w:asciiTheme="majorBidi" w:hAnsiTheme="majorBidi" w:cstheme="majorBidi"/>
          <w:rtl/>
        </w:rPr>
      </w:pPr>
      <w:r w:rsidRPr="00AE2E48">
        <w:rPr>
          <w:rFonts w:asciiTheme="majorBidi" w:hAnsiTheme="majorBidi" w:cstheme="majorBidi"/>
        </w:rPr>
        <w:t>This report does not seek to evaluate DET psychometrically or to generate new empirical data. Instead, it adopts a policy analysis approach to examine how existing admissions policies and regulatory frameworks interact, and with what consequences for governance, equity and institutional risk.</w:t>
      </w:r>
    </w:p>
    <w:p w14:paraId="4582217B" w14:textId="2842AE49" w:rsidR="00515BB9" w:rsidRPr="00AE2E48" w:rsidRDefault="00D2066E" w:rsidP="00AE2E48">
      <w:pPr>
        <w:pStyle w:val="NormalWeb"/>
        <w:jc w:val="both"/>
        <w:rPr>
          <w:rFonts w:asciiTheme="majorBidi" w:hAnsiTheme="majorBidi" w:cstheme="majorBidi"/>
          <w:lang w:val="en-GB"/>
        </w:rPr>
      </w:pPr>
      <w:r w:rsidRPr="00BA67EE">
        <w:rPr>
          <w:rFonts w:asciiTheme="majorBidi" w:hAnsiTheme="majorBidi" w:cstheme="majorBidi"/>
        </w:rPr>
        <w:t>T</w:t>
      </w:r>
      <w:r w:rsidR="00515BB9" w:rsidRPr="00BA67EE">
        <w:rPr>
          <w:rFonts w:asciiTheme="majorBidi" w:hAnsiTheme="majorBidi" w:cstheme="majorBidi"/>
        </w:rPr>
        <w:t>he evidence informing this policy analysis is drawn from a structured and critical review of educational, regulatory, and media sources, reflecting the multi-dimensional nature of English language testing in higher education admissions. Rather than treating policy documents as neutral statements, the analysis examines how language proficiency requirements are constructed, communicated, and interpreted within institutional and regulatory contexts.</w:t>
      </w:r>
    </w:p>
    <w:p w14:paraId="2C4B47FF" w14:textId="54F92FAA" w:rsidR="00515BB9" w:rsidRPr="00BA67EE" w:rsidRDefault="00515BB9" w:rsidP="002D65BD">
      <w:pPr>
        <w:pStyle w:val="NormalWeb"/>
        <w:jc w:val="both"/>
        <w:rPr>
          <w:rFonts w:asciiTheme="majorBidi" w:hAnsiTheme="majorBidi" w:cstheme="majorBidi"/>
        </w:rPr>
      </w:pPr>
      <w:r w:rsidRPr="00BA67EE">
        <w:rPr>
          <w:rFonts w:asciiTheme="majorBidi" w:hAnsiTheme="majorBidi" w:cstheme="majorBidi"/>
        </w:rPr>
        <w:t xml:space="preserve">First, the analysis draws on publicly available institutional and regulatory documentation, including university-level English language entry requirement webpages, </w:t>
      </w:r>
      <w:proofErr w:type="spellStart"/>
      <w:r w:rsidR="00094DE3" w:rsidRPr="00BA67EE">
        <w:rPr>
          <w:rFonts w:asciiTheme="majorBidi" w:hAnsiTheme="majorBidi" w:cstheme="majorBidi"/>
        </w:rPr>
        <w:t>programme</w:t>
      </w:r>
      <w:proofErr w:type="spellEnd"/>
      <w:r w:rsidRPr="00BA67EE">
        <w:rPr>
          <w:rFonts w:asciiTheme="majorBidi" w:hAnsiTheme="majorBidi" w:cstheme="majorBidi"/>
        </w:rPr>
        <w:t>-specific admissions guidance, pre-sessional course information, UK Visas and Immigration (UKVI) Secure English Language Test (SELT) regulations, and UCAS Fair Admissions principles. These materials function as policy texts that actively shape applicant understanding by framing the relationship between academic judgement and immigration compliance. Their content—and, critically, their silences—provide evidence of how institutions differentiate, conflate, or obscure these requirements in practice.</w:t>
      </w:r>
      <w:r w:rsidR="002D65BD" w:rsidRPr="00BA67EE">
        <w:rPr>
          <w:rFonts w:asciiTheme="majorBidi" w:hAnsiTheme="majorBidi" w:cstheme="majorBidi"/>
        </w:rPr>
        <w:t xml:space="preserve"> “UKVI guidance indicates that, at degree level, Student sponsors may assess English and record the basis of assessment on the CAS; whether a SELT is required is therefore contingent on sponsor decisions and CAS coding, which increases the importance of transparent institutional communication.”</w:t>
      </w:r>
    </w:p>
    <w:p w14:paraId="5F15D315" w14:textId="6B7DED70" w:rsidR="00515BB9" w:rsidRPr="00BA67EE" w:rsidRDefault="00515BB9" w:rsidP="00515BB9">
      <w:pPr>
        <w:pStyle w:val="NormalWeb"/>
        <w:jc w:val="both"/>
        <w:rPr>
          <w:rFonts w:asciiTheme="majorBidi" w:hAnsiTheme="majorBidi" w:cstheme="majorBidi"/>
        </w:rPr>
      </w:pPr>
      <w:r w:rsidRPr="00BA67EE">
        <w:rPr>
          <w:rFonts w:asciiTheme="majorBidi" w:hAnsiTheme="majorBidi" w:cstheme="majorBidi"/>
        </w:rPr>
        <w:t xml:space="preserve">Second, peer-reviewed educational research on AI-mediated language assessment situates the Duolingo English Test (DET) within broader debates on validity, fairness, and the consequences of high-stakes testing. Isaacs et al. (2023) report moderate predictive validity </w:t>
      </w:r>
      <w:r w:rsidRPr="00BA67EE">
        <w:rPr>
          <w:rFonts w:asciiTheme="majorBidi" w:hAnsiTheme="majorBidi" w:cstheme="majorBidi"/>
        </w:rPr>
        <w:lastRenderedPageBreak/>
        <w:t xml:space="preserve">between DET scores and subsequent academic performance, indicating potential educational utility while also highlighting limitations relative to more established assessments. Park (2024) identifies methodological challenges associated with remote, AI-based testing environments, including issues of construct representation, test security, and score interpretation. From an educational perspective, this literature demonstrates that the value of DET in admissions is contingent not only on its technical design but on how test scores are interpreted and </w:t>
      </w:r>
      <w:r w:rsidR="00094DE3" w:rsidRPr="00BA67EE">
        <w:rPr>
          <w:rFonts w:asciiTheme="majorBidi" w:hAnsiTheme="majorBidi" w:cstheme="majorBidi"/>
        </w:rPr>
        <w:t>operationalized</w:t>
      </w:r>
      <w:r w:rsidRPr="00BA67EE">
        <w:rPr>
          <w:rFonts w:asciiTheme="majorBidi" w:hAnsiTheme="majorBidi" w:cstheme="majorBidi"/>
        </w:rPr>
        <w:t xml:space="preserve"> within institutional decision-making.</w:t>
      </w:r>
    </w:p>
    <w:p w14:paraId="634FB77A" w14:textId="77777777" w:rsidR="00515BB9" w:rsidRPr="00BA67EE" w:rsidRDefault="00515BB9" w:rsidP="00515BB9">
      <w:pPr>
        <w:pStyle w:val="NormalWeb"/>
        <w:jc w:val="both"/>
        <w:rPr>
          <w:rFonts w:asciiTheme="majorBidi" w:hAnsiTheme="majorBidi" w:cstheme="majorBidi"/>
        </w:rPr>
      </w:pPr>
      <w:r w:rsidRPr="00BA67EE">
        <w:rPr>
          <w:rFonts w:asciiTheme="majorBidi" w:hAnsiTheme="majorBidi" w:cstheme="majorBidi"/>
        </w:rPr>
        <w:t>Third, scholarship on fairness and equity in digital language assessment provides evidence of the differentiated impact of remote testing on diverse applicant groups. Research on test-taker perceptions and access (Yao, 2023; Knoch and McNamara, 2019) highlights how technology-dependent assessments may advantage candidates with greater digital literacy, test familiarity, or stable technological access, while disadvantaging others. In admissions contexts, where language testing functions as a gatekeeping mechanism, such disparities have long-term implications for educational access and progression.</w:t>
      </w:r>
    </w:p>
    <w:p w14:paraId="043E9DEA" w14:textId="7E4A0185" w:rsidR="00515BB9" w:rsidRPr="00BA67EE" w:rsidRDefault="00515BB9" w:rsidP="00515BB9">
      <w:pPr>
        <w:pStyle w:val="NormalWeb"/>
        <w:jc w:val="both"/>
        <w:rPr>
          <w:rFonts w:asciiTheme="majorBidi" w:hAnsiTheme="majorBidi" w:cstheme="majorBidi"/>
        </w:rPr>
      </w:pPr>
      <w:r w:rsidRPr="00BA67EE">
        <w:rPr>
          <w:rFonts w:asciiTheme="majorBidi" w:hAnsiTheme="majorBidi" w:cstheme="majorBidi"/>
        </w:rPr>
        <w:t xml:space="preserve">Media reporting constitutes a fourth strand of evidence, illuminating public and sectoral discourses surrounding DET. Higher education sector press has frequently portrayed DET as an innovative and </w:t>
      </w:r>
      <w:r w:rsidR="00094DE3" w:rsidRPr="00BA67EE">
        <w:rPr>
          <w:rFonts w:asciiTheme="majorBidi" w:hAnsiTheme="majorBidi" w:cstheme="majorBidi"/>
        </w:rPr>
        <w:t>democratizing</w:t>
      </w:r>
      <w:r w:rsidRPr="00BA67EE">
        <w:rPr>
          <w:rFonts w:asciiTheme="majorBidi" w:hAnsiTheme="majorBidi" w:cstheme="majorBidi"/>
        </w:rPr>
        <w:t xml:space="preserve"> response to access barriers intensified during the COVID-19 pandemic, </w:t>
      </w:r>
      <w:r w:rsidR="00094DE3" w:rsidRPr="00BA67EE">
        <w:rPr>
          <w:rFonts w:asciiTheme="majorBidi" w:hAnsiTheme="majorBidi" w:cstheme="majorBidi"/>
        </w:rPr>
        <w:t>emphasizing</w:t>
      </w:r>
      <w:r w:rsidRPr="00BA67EE">
        <w:rPr>
          <w:rFonts w:asciiTheme="majorBidi" w:hAnsiTheme="majorBidi" w:cstheme="majorBidi"/>
        </w:rPr>
        <w:t xml:space="preserve"> affordability and rapid score turnaround. In contrast, mainstream media coverage has foregrounded concerns regarding remote proctoring, test security, and the lack of regulatory recognition for visa purposes. This dual framing positions DET simultaneously as an access-enhancing innovation and a source of regulatory risk, shaping applicant expectations and institutional reputational considerations.</w:t>
      </w:r>
    </w:p>
    <w:p w14:paraId="713CBE45" w14:textId="6470D168" w:rsidR="00515BB9" w:rsidRPr="00BA67EE" w:rsidRDefault="00515BB9" w:rsidP="00515BB9">
      <w:pPr>
        <w:pStyle w:val="NormalWeb"/>
        <w:jc w:val="both"/>
        <w:rPr>
          <w:rFonts w:asciiTheme="majorBidi" w:hAnsiTheme="majorBidi" w:cstheme="majorBidi"/>
        </w:rPr>
      </w:pPr>
      <w:r w:rsidRPr="00BA67EE">
        <w:rPr>
          <w:rFonts w:asciiTheme="majorBidi" w:hAnsiTheme="majorBidi" w:cstheme="majorBidi"/>
        </w:rPr>
        <w:t xml:space="preserve">In line with the aims of a policy analysis report, no primary data collection was undertaken. The analysis relies on secondary sources to examine how policies and practices are articulated and interpreted. This approach introduces </w:t>
      </w:r>
      <w:r w:rsidR="00094DE3" w:rsidRPr="00BA67EE">
        <w:rPr>
          <w:rFonts w:asciiTheme="majorBidi" w:hAnsiTheme="majorBidi" w:cstheme="majorBidi"/>
        </w:rPr>
        <w:t>recognized</w:t>
      </w:r>
      <w:r w:rsidRPr="00BA67EE">
        <w:rPr>
          <w:rFonts w:asciiTheme="majorBidi" w:hAnsiTheme="majorBidi" w:cstheme="majorBidi"/>
        </w:rPr>
        <w:t xml:space="preserve"> limitations: publicly available institutional documentation may be incomplete, inconsistently updated, or strategically ambiguous. However, this limitation is analytically significant rather than incidental. Inconsistent and opaque documentation is itself a core feature of the policy problem, contributing directly to information asymmetry and fragmented applicant experiences.</w:t>
      </w:r>
    </w:p>
    <w:p w14:paraId="425C59F9" w14:textId="46EA625C" w:rsidR="00515BB9" w:rsidRPr="00BA67EE" w:rsidRDefault="00515BB9" w:rsidP="00515BB9">
      <w:pPr>
        <w:pStyle w:val="NormalWeb"/>
        <w:jc w:val="both"/>
        <w:rPr>
          <w:rFonts w:asciiTheme="majorBidi" w:hAnsiTheme="majorBidi" w:cstheme="majorBidi"/>
        </w:rPr>
      </w:pPr>
      <w:r w:rsidRPr="00BA67EE">
        <w:rPr>
          <w:rFonts w:asciiTheme="majorBidi" w:hAnsiTheme="majorBidi" w:cstheme="majorBidi"/>
        </w:rPr>
        <w:t xml:space="preserve">Taken together, the assembled evidence reveals a context in which educational assessment principles, institutional autonomy, technological innovation, immigration regulation, and public discourse intersect. This complexity reinforces the need for a theory-informed policy analysis that moves beyond narrow questions of test validity to examine how language proficiency evidence is </w:t>
      </w:r>
      <w:r w:rsidR="00094DE3" w:rsidRPr="00BA67EE">
        <w:rPr>
          <w:rFonts w:asciiTheme="majorBidi" w:hAnsiTheme="majorBidi" w:cstheme="majorBidi"/>
        </w:rPr>
        <w:t>mobilized</w:t>
      </w:r>
      <w:r w:rsidRPr="00BA67EE">
        <w:rPr>
          <w:rFonts w:asciiTheme="majorBidi" w:hAnsiTheme="majorBidi" w:cstheme="majorBidi"/>
        </w:rPr>
        <w:t>, communicated, and governed within Welsh higher education admissions.</w:t>
      </w:r>
    </w:p>
    <w:p w14:paraId="143E6263" w14:textId="057DC884" w:rsidR="0087435C" w:rsidRPr="00BA67EE" w:rsidRDefault="0087435C" w:rsidP="00515BB9">
      <w:pPr>
        <w:pStyle w:val="NormalWeb"/>
        <w:jc w:val="both"/>
        <w:rPr>
          <w:rFonts w:asciiTheme="majorBidi" w:hAnsiTheme="majorBidi" w:cstheme="majorBidi"/>
        </w:rPr>
      </w:pPr>
    </w:p>
    <w:p w14:paraId="50259DFA" w14:textId="35614382" w:rsidR="00D2066E" w:rsidRPr="00BA67EE" w:rsidRDefault="00D2066E" w:rsidP="001A3455">
      <w:pPr>
        <w:jc w:val="both"/>
        <w:rPr>
          <w:rFonts w:asciiTheme="majorBidi" w:hAnsiTheme="majorBidi" w:cstheme="majorBidi"/>
          <w:lang w:val="en-US"/>
        </w:rPr>
      </w:pPr>
      <w:r w:rsidRPr="00BA67EE">
        <w:rPr>
          <w:rFonts w:asciiTheme="majorBidi" w:hAnsiTheme="majorBidi" w:cstheme="majorBidi"/>
          <w:lang w:val="en-US"/>
        </w:rPr>
        <w:t>2.</w:t>
      </w:r>
      <w:r w:rsidRPr="00BA67EE">
        <w:rPr>
          <w:rFonts w:asciiTheme="majorBidi" w:hAnsiTheme="majorBidi" w:cstheme="majorBidi"/>
          <w:rtl/>
          <w:lang w:val="en-US"/>
        </w:rPr>
        <w:t>1</w:t>
      </w:r>
      <w:r w:rsidRPr="00BA67EE">
        <w:rPr>
          <w:rFonts w:asciiTheme="majorBidi" w:hAnsiTheme="majorBidi" w:cstheme="majorBidi"/>
          <w:lang w:val="en-US"/>
        </w:rPr>
        <w:t xml:space="preserve"> Conceptual Clarifications: Language Assessment in Higher Education Admissions</w:t>
      </w:r>
    </w:p>
    <w:p w14:paraId="7F7631EB" w14:textId="776DC722" w:rsidR="002D65BD" w:rsidRPr="00BA67EE" w:rsidRDefault="00371DEE" w:rsidP="002D65BD">
      <w:pPr>
        <w:jc w:val="both"/>
        <w:rPr>
          <w:rFonts w:asciiTheme="majorBidi" w:hAnsiTheme="majorBidi" w:cstheme="majorBidi"/>
          <w:lang w:val="en-US"/>
        </w:rPr>
      </w:pPr>
      <w:r w:rsidRPr="00BA67EE">
        <w:rPr>
          <w:rFonts w:asciiTheme="majorBidi" w:hAnsiTheme="majorBidi" w:cstheme="majorBidi"/>
          <w:lang w:val="en-US"/>
        </w:rPr>
        <w:t>T</w:t>
      </w:r>
      <w:r w:rsidR="002D65BD" w:rsidRPr="00BA67EE">
        <w:rPr>
          <w:rFonts w:asciiTheme="majorBidi" w:hAnsiTheme="majorBidi" w:cstheme="majorBidi"/>
          <w:lang w:val="en-US"/>
        </w:rPr>
        <w:t xml:space="preserve">o evaluate the role of the Duolingo English Test (DET) in higher education admissions, it is necessary to clarify key educational concepts underpinning language assessment practices. </w:t>
      </w:r>
      <w:r w:rsidR="002D65BD" w:rsidRPr="00BA67EE">
        <w:rPr>
          <w:rFonts w:asciiTheme="majorBidi" w:hAnsiTheme="majorBidi" w:cstheme="majorBidi"/>
          <w:i/>
          <w:iCs/>
          <w:lang w:val="en-US"/>
        </w:rPr>
        <w:t>Academic language proficiency</w:t>
      </w:r>
      <w:r w:rsidR="002D65BD" w:rsidRPr="00BA67EE">
        <w:rPr>
          <w:rFonts w:asciiTheme="majorBidi" w:hAnsiTheme="majorBidi" w:cstheme="majorBidi"/>
          <w:lang w:val="en-US"/>
        </w:rPr>
        <w:t xml:space="preserve"> refers not simply to general communicative ability, but to the capacity to meet the linguistic demands of academic study, including engagement with discipline-specific texts, extended academic writing, participation in academic discourse, and </w:t>
      </w:r>
      <w:r w:rsidR="002D65BD" w:rsidRPr="00BA67EE">
        <w:rPr>
          <w:rFonts w:asciiTheme="majorBidi" w:hAnsiTheme="majorBidi" w:cstheme="majorBidi"/>
          <w:lang w:val="en-US"/>
        </w:rPr>
        <w:lastRenderedPageBreak/>
        <w:t>response to assessment tasks in higher education contexts (McNamara and Roever, 2006). Language proficiency requirements therefore function as proxies for academic preparedness rather than neutral indicators of language ability.</w:t>
      </w:r>
    </w:p>
    <w:p w14:paraId="7465F62F" w14:textId="3DB04C83" w:rsidR="002D65BD" w:rsidRPr="00BA67EE" w:rsidRDefault="002D65BD" w:rsidP="002D65BD">
      <w:pPr>
        <w:jc w:val="both"/>
        <w:rPr>
          <w:rFonts w:asciiTheme="majorBidi" w:hAnsiTheme="majorBidi" w:cstheme="majorBidi"/>
          <w:lang w:val="en-US"/>
        </w:rPr>
      </w:pPr>
      <w:r w:rsidRPr="00BA67EE">
        <w:rPr>
          <w:rFonts w:asciiTheme="majorBidi" w:hAnsiTheme="majorBidi" w:cstheme="majorBidi"/>
          <w:lang w:val="en-US"/>
        </w:rPr>
        <w:t xml:space="preserve">A distinction must also be made between </w:t>
      </w:r>
      <w:r w:rsidRPr="00BA67EE">
        <w:rPr>
          <w:rFonts w:asciiTheme="majorBidi" w:hAnsiTheme="majorBidi" w:cstheme="majorBidi"/>
          <w:i/>
          <w:iCs/>
          <w:lang w:val="en-US"/>
        </w:rPr>
        <w:t>testing</w:t>
      </w:r>
      <w:r w:rsidRPr="00BA67EE">
        <w:rPr>
          <w:rFonts w:asciiTheme="majorBidi" w:hAnsiTheme="majorBidi" w:cstheme="majorBidi"/>
          <w:lang w:val="en-US"/>
        </w:rPr>
        <w:t xml:space="preserve"> and </w:t>
      </w:r>
      <w:r w:rsidRPr="00BA67EE">
        <w:rPr>
          <w:rFonts w:asciiTheme="majorBidi" w:hAnsiTheme="majorBidi" w:cstheme="majorBidi"/>
          <w:i/>
          <w:iCs/>
          <w:lang w:val="en-US"/>
        </w:rPr>
        <w:t>assessment</w:t>
      </w:r>
      <w:r w:rsidRPr="00BA67EE">
        <w:rPr>
          <w:rFonts w:asciiTheme="majorBidi" w:hAnsiTheme="majorBidi" w:cstheme="majorBidi"/>
          <w:lang w:val="en-US"/>
        </w:rPr>
        <w:t xml:space="preserve">. Testing involves the administration of </w:t>
      </w:r>
      <w:r w:rsidR="00094DE3" w:rsidRPr="00BA67EE">
        <w:rPr>
          <w:rFonts w:asciiTheme="majorBidi" w:hAnsiTheme="majorBidi" w:cstheme="majorBidi"/>
          <w:lang w:val="en-US"/>
        </w:rPr>
        <w:t>standardized</w:t>
      </w:r>
      <w:r w:rsidRPr="00BA67EE">
        <w:rPr>
          <w:rFonts w:asciiTheme="majorBidi" w:hAnsiTheme="majorBidi" w:cstheme="majorBidi"/>
          <w:lang w:val="en-US"/>
        </w:rPr>
        <w:t xml:space="preserve"> instruments to generate comparable scores, whereas assessment encompasses the broader interpretive process through which evidence is evaluated and used to inform educational judgements (Bachman and Palmer, 2010). In admissions contexts, language tests are not ends in themselves; their scores acquire meaning only through institutional interpretation and decision-making.</w:t>
      </w:r>
    </w:p>
    <w:p w14:paraId="06A265FC" w14:textId="77777777" w:rsidR="002D65BD" w:rsidRPr="00BA67EE" w:rsidRDefault="002D65BD" w:rsidP="002D65BD">
      <w:pPr>
        <w:jc w:val="both"/>
        <w:rPr>
          <w:rFonts w:asciiTheme="majorBidi" w:hAnsiTheme="majorBidi" w:cstheme="majorBidi"/>
          <w:lang w:val="en-US"/>
        </w:rPr>
      </w:pPr>
      <w:r w:rsidRPr="00BA67EE">
        <w:rPr>
          <w:rFonts w:asciiTheme="majorBidi" w:hAnsiTheme="majorBidi" w:cstheme="majorBidi"/>
          <w:lang w:val="en-US"/>
        </w:rPr>
        <w:t>AI-mediated language assessments such as DET occupy a contested position within educational assessment literature. While offering efficiencies in scale, cost, and accessibility, they raise concerns regarding construct representation, algorithmic decision-making, and fairness, particularly in high-stakes admissions settings (Knoch and McNamara, 2019). Clarifying these conceptual foundations ensures that the subsequent policy analysis is grounded in an educational understanding of language assessment rather than treating DET solely as a regulatory or administrative instrument.</w:t>
      </w:r>
    </w:p>
    <w:p w14:paraId="17BDA9F4" w14:textId="77777777" w:rsidR="00A54451" w:rsidRPr="00BA67EE" w:rsidRDefault="00A54451" w:rsidP="001A3455">
      <w:pPr>
        <w:jc w:val="both"/>
        <w:rPr>
          <w:rFonts w:asciiTheme="majorBidi" w:hAnsiTheme="majorBidi" w:cstheme="majorBidi"/>
          <w:lang w:val="en-US"/>
        </w:rPr>
      </w:pPr>
    </w:p>
    <w:p w14:paraId="471D51A4" w14:textId="77777777" w:rsidR="00304510" w:rsidRPr="00BA67EE" w:rsidRDefault="00304510" w:rsidP="001A3455">
      <w:pPr>
        <w:jc w:val="both"/>
        <w:rPr>
          <w:rFonts w:asciiTheme="majorBidi" w:hAnsiTheme="majorBidi" w:cstheme="majorBidi"/>
        </w:rPr>
      </w:pPr>
      <w:r w:rsidRPr="00BA67EE">
        <w:rPr>
          <w:rFonts w:asciiTheme="majorBidi" w:hAnsiTheme="majorBidi" w:cstheme="majorBidi"/>
        </w:rPr>
        <w:t>3. Analytical Framework</w:t>
      </w:r>
    </w:p>
    <w:p w14:paraId="5B8F16DA" w14:textId="70FB9C68" w:rsidR="005E5BF5" w:rsidRPr="00BA67EE" w:rsidRDefault="005E5BF5" w:rsidP="005E5BF5">
      <w:pPr>
        <w:jc w:val="both"/>
        <w:rPr>
          <w:rFonts w:asciiTheme="majorBidi" w:hAnsiTheme="majorBidi" w:cstheme="majorBidi"/>
          <w:i/>
          <w:iCs/>
          <w:lang w:val="en-US"/>
        </w:rPr>
      </w:pPr>
      <w:r w:rsidRPr="00BA67EE">
        <w:rPr>
          <w:rFonts w:asciiTheme="majorBidi" w:hAnsiTheme="majorBidi" w:cstheme="majorBidi"/>
          <w:i/>
          <w:iCs/>
          <w:lang w:val="en-US"/>
        </w:rPr>
        <w:t xml:space="preserve">This report follows the ECDE 7017 assessment structure, using Bardach’s Eightfold Path as a selective </w:t>
      </w:r>
      <w:r w:rsidR="00DE2A3C" w:rsidRPr="00BA67EE">
        <w:rPr>
          <w:rFonts w:asciiTheme="majorBidi" w:hAnsiTheme="majorBidi" w:cstheme="majorBidi"/>
          <w:i/>
          <w:iCs/>
          <w:lang w:val="en-US"/>
        </w:rPr>
        <w:t>organizing</w:t>
      </w:r>
      <w:r w:rsidRPr="00BA67EE">
        <w:rPr>
          <w:rFonts w:asciiTheme="majorBidi" w:hAnsiTheme="majorBidi" w:cstheme="majorBidi"/>
          <w:i/>
          <w:iCs/>
          <w:lang w:val="en-US"/>
        </w:rPr>
        <w:t xml:space="preserve"> tool rather than as the driver of the analysis. The policy issue—the fragmented use of the Duolingo English Test (DET) in Welsh higher education admissions under UKVI regulatory constraints—extends beyond a narrow technical choice problem, raising questions of educational judgement, institutional responsibility, equity, and implementation across governance levels.</w:t>
      </w:r>
    </w:p>
    <w:p w14:paraId="1B6C8489" w14:textId="77FA9858" w:rsidR="005E5BF5" w:rsidRPr="00BA67EE" w:rsidRDefault="005E5BF5" w:rsidP="005E5BF5">
      <w:pPr>
        <w:jc w:val="both"/>
        <w:rPr>
          <w:rFonts w:asciiTheme="majorBidi" w:hAnsiTheme="majorBidi" w:cstheme="majorBidi"/>
          <w:i/>
          <w:iCs/>
          <w:lang w:val="en-US"/>
        </w:rPr>
      </w:pPr>
      <w:r w:rsidRPr="00BA67EE">
        <w:rPr>
          <w:rFonts w:asciiTheme="majorBidi" w:hAnsiTheme="majorBidi" w:cstheme="majorBidi"/>
          <w:i/>
          <w:iCs/>
          <w:lang w:val="en-US"/>
        </w:rPr>
        <w:t xml:space="preserve">Bardach’s framework is used because it supports systematic comparison of policy options, requires explicit evaluative criteria, and enables transparent justification of recommendations by linking them to evidence rather than to experience-based judgement (Bardach and </w:t>
      </w:r>
      <w:r w:rsidR="00DE2A3C" w:rsidRPr="00BA67EE">
        <w:rPr>
          <w:rFonts w:asciiTheme="majorBidi" w:hAnsiTheme="majorBidi" w:cstheme="majorBidi"/>
          <w:i/>
          <w:iCs/>
          <w:lang w:val="en-US"/>
        </w:rPr>
        <w:t>Palatnik</w:t>
      </w:r>
      <w:r w:rsidRPr="00BA67EE">
        <w:rPr>
          <w:rFonts w:asciiTheme="majorBidi" w:hAnsiTheme="majorBidi" w:cstheme="majorBidi"/>
          <w:i/>
          <w:iCs/>
          <w:lang w:val="en-US"/>
        </w:rPr>
        <w:t xml:space="preserve">, 2020). However, a purely rational-choice approach risks underplaying the discursive and institutional dimensions through which admissions policies are interpreted and enacted in practice. In line with module concepts, institutional admissions webpages, UKVI guidance, and sector media are therefore treated as policy texts that both reflect and shape decision-making, particularly under conditions of ambiguity and </w:t>
      </w:r>
      <w:r w:rsidR="00DE2A3C" w:rsidRPr="00BA67EE">
        <w:rPr>
          <w:rFonts w:asciiTheme="majorBidi" w:hAnsiTheme="majorBidi" w:cstheme="majorBidi"/>
          <w:i/>
          <w:iCs/>
          <w:lang w:val="en-US"/>
        </w:rPr>
        <w:t>decentralized</w:t>
      </w:r>
      <w:r w:rsidRPr="00BA67EE">
        <w:rPr>
          <w:rFonts w:asciiTheme="majorBidi" w:hAnsiTheme="majorBidi" w:cstheme="majorBidi"/>
          <w:i/>
          <w:iCs/>
          <w:lang w:val="en-US"/>
        </w:rPr>
        <w:t xml:space="preserve"> implementation (Ball, 1993; Ozga, 2000).</w:t>
      </w:r>
    </w:p>
    <w:p w14:paraId="2D253F5B" w14:textId="77777777" w:rsidR="005E5BF5" w:rsidRPr="00BA67EE" w:rsidRDefault="005E5BF5" w:rsidP="005E5BF5">
      <w:pPr>
        <w:jc w:val="both"/>
        <w:rPr>
          <w:rFonts w:asciiTheme="majorBidi" w:hAnsiTheme="majorBidi" w:cstheme="majorBidi"/>
          <w:i/>
          <w:iCs/>
          <w:lang w:val="en-US"/>
        </w:rPr>
      </w:pPr>
      <w:r w:rsidRPr="00BA67EE">
        <w:rPr>
          <w:rFonts w:asciiTheme="majorBidi" w:hAnsiTheme="majorBidi" w:cstheme="majorBidi"/>
          <w:i/>
          <w:iCs/>
          <w:lang w:val="en-US"/>
        </w:rPr>
        <w:t>Policy options are developed and evaluated against four criteria:</w:t>
      </w:r>
    </w:p>
    <w:p w14:paraId="08FC59C2" w14:textId="77777777" w:rsidR="005E5BF5" w:rsidRPr="00BA67EE" w:rsidRDefault="005E5BF5" w:rsidP="005E5BF5">
      <w:pPr>
        <w:numPr>
          <w:ilvl w:val="0"/>
          <w:numId w:val="27"/>
        </w:numPr>
        <w:jc w:val="both"/>
        <w:rPr>
          <w:rFonts w:asciiTheme="majorBidi" w:hAnsiTheme="majorBidi" w:cstheme="majorBidi"/>
          <w:i/>
          <w:iCs/>
          <w:lang w:val="en-US"/>
        </w:rPr>
      </w:pPr>
      <w:r w:rsidRPr="00BA67EE">
        <w:rPr>
          <w:rFonts w:asciiTheme="majorBidi" w:hAnsiTheme="majorBidi" w:cstheme="majorBidi"/>
          <w:i/>
          <w:iCs/>
          <w:lang w:val="en-US"/>
        </w:rPr>
        <w:t>Regulatory compliance (UKVI/SELT alignment): assessed as a spectrum of risk, including clarity of alignment with UKVI rules, likelihood of adverse visa outcomes, and the extent to which institutional practices protect applicants from avoidable harm.</w:t>
      </w:r>
    </w:p>
    <w:p w14:paraId="540C16D5" w14:textId="59E6A0D1" w:rsidR="005E5BF5" w:rsidRPr="00BA67EE" w:rsidRDefault="005E5BF5" w:rsidP="005E5BF5">
      <w:pPr>
        <w:numPr>
          <w:ilvl w:val="0"/>
          <w:numId w:val="27"/>
        </w:numPr>
        <w:jc w:val="both"/>
        <w:rPr>
          <w:rFonts w:asciiTheme="majorBidi" w:hAnsiTheme="majorBidi" w:cstheme="majorBidi"/>
          <w:i/>
          <w:iCs/>
          <w:lang w:val="en-US"/>
        </w:rPr>
      </w:pPr>
      <w:r w:rsidRPr="00BA67EE">
        <w:rPr>
          <w:rFonts w:asciiTheme="majorBidi" w:hAnsiTheme="majorBidi" w:cstheme="majorBidi"/>
          <w:i/>
          <w:iCs/>
          <w:lang w:val="en-US"/>
        </w:rPr>
        <w:lastRenderedPageBreak/>
        <w:t xml:space="preserve">Transparency and public communication: assessed through the clarity and consistency of admissions messaging, including whether academic requirements are distinguished from immigration requirements and whether information asymmetry is </w:t>
      </w:r>
      <w:r w:rsidR="00DE2A3C" w:rsidRPr="00BA67EE">
        <w:rPr>
          <w:rFonts w:asciiTheme="majorBidi" w:hAnsiTheme="majorBidi" w:cstheme="majorBidi"/>
          <w:i/>
          <w:iCs/>
          <w:lang w:val="en-US"/>
        </w:rPr>
        <w:t>minimized</w:t>
      </w:r>
      <w:r w:rsidRPr="00BA67EE">
        <w:rPr>
          <w:rFonts w:asciiTheme="majorBidi" w:hAnsiTheme="majorBidi" w:cstheme="majorBidi"/>
          <w:i/>
          <w:iCs/>
          <w:lang w:val="en-US"/>
        </w:rPr>
        <w:t>.</w:t>
      </w:r>
    </w:p>
    <w:p w14:paraId="6ED4BB6C" w14:textId="334A6D9B" w:rsidR="005E5BF5" w:rsidRPr="00BA67EE" w:rsidRDefault="005E5BF5" w:rsidP="005E5BF5">
      <w:pPr>
        <w:numPr>
          <w:ilvl w:val="0"/>
          <w:numId w:val="27"/>
        </w:numPr>
        <w:jc w:val="both"/>
        <w:rPr>
          <w:rFonts w:asciiTheme="majorBidi" w:hAnsiTheme="majorBidi" w:cstheme="majorBidi"/>
          <w:i/>
          <w:iCs/>
          <w:lang w:val="en-US"/>
        </w:rPr>
      </w:pPr>
      <w:r w:rsidRPr="00BA67EE">
        <w:rPr>
          <w:rFonts w:asciiTheme="majorBidi" w:hAnsiTheme="majorBidi" w:cstheme="majorBidi"/>
          <w:i/>
          <w:iCs/>
          <w:lang w:val="en-US"/>
        </w:rPr>
        <w:t xml:space="preserve">Institutional feasibility and risk management: assessed in terms of </w:t>
      </w:r>
      <w:r w:rsidR="00DE2A3C" w:rsidRPr="00BA67EE">
        <w:rPr>
          <w:rFonts w:asciiTheme="majorBidi" w:hAnsiTheme="majorBidi" w:cstheme="majorBidi"/>
          <w:i/>
          <w:iCs/>
          <w:lang w:val="en-US"/>
        </w:rPr>
        <w:t>implement ability</w:t>
      </w:r>
      <w:r w:rsidRPr="00BA67EE">
        <w:rPr>
          <w:rFonts w:asciiTheme="majorBidi" w:hAnsiTheme="majorBidi" w:cstheme="majorBidi"/>
          <w:i/>
          <w:iCs/>
          <w:lang w:val="en-US"/>
        </w:rPr>
        <w:t xml:space="preserve"> within existing admissions capacity, staff capability, digital infrastructure, and reputational exposure.</w:t>
      </w:r>
    </w:p>
    <w:p w14:paraId="72271A76" w14:textId="77777777" w:rsidR="005E5BF5" w:rsidRPr="00BA67EE" w:rsidRDefault="005E5BF5" w:rsidP="005E5BF5">
      <w:pPr>
        <w:numPr>
          <w:ilvl w:val="0"/>
          <w:numId w:val="27"/>
        </w:numPr>
        <w:jc w:val="both"/>
        <w:rPr>
          <w:rFonts w:asciiTheme="majorBidi" w:hAnsiTheme="majorBidi" w:cstheme="majorBidi"/>
          <w:i/>
          <w:iCs/>
          <w:lang w:val="en-US"/>
        </w:rPr>
      </w:pPr>
      <w:r w:rsidRPr="00BA67EE">
        <w:rPr>
          <w:rFonts w:asciiTheme="majorBidi" w:hAnsiTheme="majorBidi" w:cstheme="majorBidi"/>
          <w:i/>
          <w:iCs/>
          <w:lang w:val="en-US"/>
        </w:rPr>
        <w:t>Equity and student protection: assessed through how risks and benefits are distributed across applicant groups, with attention to financial constraints, digital access, and familiarity with AI-mediated assessment.</w:t>
      </w:r>
    </w:p>
    <w:p w14:paraId="03DD3C1D" w14:textId="3968DC8E" w:rsidR="007E464E" w:rsidRPr="00BA67EE" w:rsidRDefault="005E5BF5" w:rsidP="007E464E">
      <w:pPr>
        <w:jc w:val="both"/>
        <w:rPr>
          <w:rFonts w:asciiTheme="majorBidi" w:eastAsia="Times New Roman" w:hAnsiTheme="majorBidi" w:cstheme="majorBidi"/>
          <w:kern w:val="0"/>
          <w:sz w:val="36"/>
          <w:szCs w:val="36"/>
          <w:rtl/>
          <w:lang w:val="en-US"/>
          <w14:ligatures w14:val="none"/>
        </w:rPr>
      </w:pPr>
      <w:r w:rsidRPr="00BA67EE">
        <w:rPr>
          <w:rFonts w:asciiTheme="majorBidi" w:hAnsiTheme="majorBidi" w:cstheme="majorBidi"/>
          <w:i/>
          <w:iCs/>
          <w:lang w:val="en-US"/>
        </w:rPr>
        <w:t xml:space="preserve">These criteria are treated as explicit normative choices rather than neutral technical measures, </w:t>
      </w:r>
      <w:r w:rsidR="00DE2A3C" w:rsidRPr="00BA67EE">
        <w:rPr>
          <w:rFonts w:asciiTheme="majorBidi" w:hAnsiTheme="majorBidi" w:cstheme="majorBidi"/>
          <w:i/>
          <w:iCs/>
          <w:lang w:val="en-US"/>
        </w:rPr>
        <w:t>prioritizing</w:t>
      </w:r>
      <w:r w:rsidRPr="00BA67EE">
        <w:rPr>
          <w:rFonts w:asciiTheme="majorBidi" w:hAnsiTheme="majorBidi" w:cstheme="majorBidi"/>
          <w:i/>
          <w:iCs/>
          <w:lang w:val="en-US"/>
        </w:rPr>
        <w:t xml:space="preserve"> legal compliance, communicative responsibility, </w:t>
      </w:r>
      <w:r w:rsidR="00DE2A3C" w:rsidRPr="00BA67EE">
        <w:rPr>
          <w:rFonts w:asciiTheme="majorBidi" w:hAnsiTheme="majorBidi" w:cstheme="majorBidi"/>
          <w:i/>
          <w:iCs/>
          <w:lang w:val="en-US"/>
        </w:rPr>
        <w:t>organizational</w:t>
      </w:r>
      <w:r w:rsidRPr="00BA67EE">
        <w:rPr>
          <w:rFonts w:asciiTheme="majorBidi" w:hAnsiTheme="majorBidi" w:cstheme="majorBidi"/>
          <w:i/>
          <w:iCs/>
          <w:lang w:val="en-US"/>
        </w:rPr>
        <w:t xml:space="preserve"> realism, and social justice. Making these value judgements visible supports Level 7 expectations for critical evaluation and provides a defensible basis for the recommendations that follow.</w:t>
      </w:r>
      <w:r w:rsidR="007E464E" w:rsidRPr="00BA67EE">
        <w:rPr>
          <w:rFonts w:asciiTheme="majorBidi" w:eastAsia="Times New Roman" w:hAnsiTheme="majorBidi" w:cstheme="majorBidi"/>
          <w:kern w:val="0"/>
          <w:sz w:val="36"/>
          <w:szCs w:val="36"/>
          <w:lang w:val="en-US"/>
          <w14:ligatures w14:val="none"/>
        </w:rPr>
        <w:t xml:space="preserve"> </w:t>
      </w:r>
    </w:p>
    <w:p w14:paraId="67C5FCEE" w14:textId="5B924BD4" w:rsidR="007E464E" w:rsidRPr="00BA67EE" w:rsidRDefault="007E464E" w:rsidP="007E464E">
      <w:pPr>
        <w:jc w:val="both"/>
        <w:rPr>
          <w:rFonts w:asciiTheme="majorBidi" w:hAnsiTheme="majorBidi" w:cstheme="majorBidi"/>
          <w:rtl/>
          <w:lang w:val="en-US"/>
        </w:rPr>
      </w:pPr>
      <w:r w:rsidRPr="00BA67EE">
        <w:rPr>
          <w:rFonts w:asciiTheme="majorBidi" w:hAnsiTheme="majorBidi" w:cstheme="majorBidi"/>
          <w:lang w:val="en-US"/>
        </w:rPr>
        <w:t>4. Institutional Policy Mapping: Welsh Universities</w:t>
      </w:r>
    </w:p>
    <w:p w14:paraId="1099BA14" w14:textId="66AC1223"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 xml:space="preserve">This section examines how Welsh universities articulate—or fail to articulate—their position on the Duolingo English Test (DET) through publicly accessible admissions documentation. The aim is not merely descriptive listing but to </w:t>
      </w:r>
      <w:r w:rsidR="00DE2A3C" w:rsidRPr="00BA67EE">
        <w:rPr>
          <w:rFonts w:asciiTheme="majorBidi" w:hAnsiTheme="majorBidi" w:cstheme="majorBidi"/>
          <w:lang w:val="en-US"/>
        </w:rPr>
        <w:t>analyses</w:t>
      </w:r>
      <w:r w:rsidRPr="00BA67EE">
        <w:rPr>
          <w:rFonts w:asciiTheme="majorBidi" w:hAnsiTheme="majorBidi" w:cstheme="majorBidi"/>
          <w:lang w:val="en-US"/>
        </w:rPr>
        <w:t xml:space="preserve"> how policy ambiguity, </w:t>
      </w:r>
      <w:r w:rsidR="00DE2A3C" w:rsidRPr="00BA67EE">
        <w:rPr>
          <w:rFonts w:asciiTheme="majorBidi" w:hAnsiTheme="majorBidi" w:cstheme="majorBidi"/>
          <w:lang w:val="en-US"/>
        </w:rPr>
        <w:t>decentralized</w:t>
      </w:r>
      <w:r w:rsidRPr="00BA67EE">
        <w:rPr>
          <w:rFonts w:asciiTheme="majorBidi" w:hAnsiTheme="majorBidi" w:cstheme="majorBidi"/>
          <w:lang w:val="en-US"/>
        </w:rPr>
        <w:t xml:space="preserve"> interpretation, and communicative silence shape admissions practices and applicant experience.</w:t>
      </w:r>
    </w:p>
    <w:p w14:paraId="74845838"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To establish the evidential basis, the mapping draws on English language entry requirement webpages, international admissions guidance, and test acceptance information from institutional sources. These policy texts are treated as active governance artefacts rather than neutral information sources, revealing how universities mediate the roles of academic judgement and regulatory compliance in practice.</w:t>
      </w:r>
    </w:p>
    <w:p w14:paraId="14395D13"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4.1 Bangor University</w:t>
      </w:r>
    </w:p>
    <w:p w14:paraId="77B457C6" w14:textId="14F59A27" w:rsidR="007E464E" w:rsidRPr="00BA67EE" w:rsidRDefault="007E464E" w:rsidP="006508B3">
      <w:pPr>
        <w:jc w:val="both"/>
        <w:rPr>
          <w:rFonts w:asciiTheme="majorBidi" w:hAnsiTheme="majorBidi" w:cstheme="majorBidi"/>
          <w:lang w:val="en-US"/>
        </w:rPr>
      </w:pPr>
      <w:r w:rsidRPr="00BA67EE">
        <w:rPr>
          <w:rFonts w:asciiTheme="majorBidi" w:hAnsiTheme="majorBidi" w:cstheme="majorBidi"/>
          <w:lang w:val="en-US"/>
        </w:rPr>
        <w:t xml:space="preserve">Bangor University’s official international admissions and English language requirement pages list a range of accepted English proficiency tests, including IELTS, TOEFL iBT, PTE, and explicitly the Duolingo English Test with specified score equivalences for degree </w:t>
      </w:r>
      <w:r w:rsidR="00094DE3" w:rsidRPr="00BA67EE">
        <w:rPr>
          <w:rFonts w:asciiTheme="majorBidi" w:hAnsiTheme="majorBidi" w:cstheme="majorBidi"/>
          <w:lang w:val="en-US"/>
        </w:rPr>
        <w:t>programs</w:t>
      </w:r>
      <w:r w:rsidRPr="00BA67EE">
        <w:rPr>
          <w:rFonts w:asciiTheme="majorBidi" w:hAnsiTheme="majorBidi" w:cstheme="majorBidi"/>
          <w:lang w:val="en-US"/>
        </w:rPr>
        <w:t xml:space="preserve"> (e.g., Duolingo 105–125 as equivalent to specified IELTS levels). This indicates institutional recognition of DET at the point of academic language requirement. However, Bangor’s documentation does not clarify how DET scores interface with UK Visas and Immigration (UKVI) Secure English Language Test (SELT) requirements for visa purposes, creating ambiguity for applicants about the immigration validity of DET evidence.</w:t>
      </w:r>
    </w:p>
    <w:p w14:paraId="5C9837C5"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4.2 Aberystwyth University</w:t>
      </w:r>
    </w:p>
    <w:p w14:paraId="56A06FAF" w14:textId="148BB35D" w:rsidR="007E464E" w:rsidRPr="00BA67EE" w:rsidRDefault="007E464E" w:rsidP="00BA67EE">
      <w:pPr>
        <w:jc w:val="both"/>
        <w:rPr>
          <w:rFonts w:asciiTheme="majorBidi" w:hAnsiTheme="majorBidi" w:cstheme="majorBidi"/>
          <w:lang w:val="en-US"/>
        </w:rPr>
      </w:pPr>
      <w:r w:rsidRPr="00BA67EE">
        <w:rPr>
          <w:rFonts w:asciiTheme="majorBidi" w:hAnsiTheme="majorBidi" w:cstheme="majorBidi"/>
          <w:lang w:val="en-US"/>
        </w:rPr>
        <w:t xml:space="preserve">Aberystwyth University’s published English language requirements list </w:t>
      </w:r>
      <w:r w:rsidR="00094DE3" w:rsidRPr="00BA67EE">
        <w:rPr>
          <w:rFonts w:asciiTheme="majorBidi" w:hAnsiTheme="majorBidi" w:cstheme="majorBidi"/>
          <w:lang w:val="en-US"/>
        </w:rPr>
        <w:t>recognized</w:t>
      </w:r>
      <w:r w:rsidRPr="00BA67EE">
        <w:rPr>
          <w:rFonts w:asciiTheme="majorBidi" w:hAnsiTheme="majorBidi" w:cstheme="majorBidi"/>
          <w:lang w:val="en-US"/>
        </w:rPr>
        <w:t xml:space="preserve"> tests such as IELTS, Cambridge, and TOEFL, and provide pre-sessional course options, but do not explicitly include the Duolingo English Test on the central English requirements page. </w:t>
      </w:r>
      <w:r w:rsidRPr="00BA67EE">
        <w:rPr>
          <w:rFonts w:asciiTheme="majorBidi" w:hAnsiTheme="majorBidi" w:cstheme="majorBidi"/>
          <w:lang w:val="en-US"/>
        </w:rPr>
        <w:br/>
        <w:t xml:space="preserve">The absence of explicit DET references at institutional level—despite its acceptance at peer </w:t>
      </w:r>
      <w:r w:rsidRPr="00BA67EE">
        <w:rPr>
          <w:rFonts w:asciiTheme="majorBidi" w:hAnsiTheme="majorBidi" w:cstheme="majorBidi"/>
          <w:lang w:val="en-US"/>
        </w:rPr>
        <w:lastRenderedPageBreak/>
        <w:t xml:space="preserve">UK institutions—suggests </w:t>
      </w:r>
      <w:r w:rsidR="00094DE3" w:rsidRPr="00BA67EE">
        <w:rPr>
          <w:rFonts w:asciiTheme="majorBidi" w:hAnsiTheme="majorBidi" w:cstheme="majorBidi"/>
          <w:lang w:val="en-US"/>
        </w:rPr>
        <w:t>decentralized</w:t>
      </w:r>
      <w:r w:rsidRPr="00BA67EE">
        <w:rPr>
          <w:rFonts w:asciiTheme="majorBidi" w:hAnsiTheme="majorBidi" w:cstheme="majorBidi"/>
          <w:lang w:val="en-US"/>
        </w:rPr>
        <w:t xml:space="preserve"> or implicit interpretation, where departmental practices or informal guidance might be used to judge DET scores, rather than clear central policy.</w:t>
      </w:r>
    </w:p>
    <w:p w14:paraId="63E974B9"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4.3 Swansea University</w:t>
      </w:r>
    </w:p>
    <w:p w14:paraId="0E2FC97B" w14:textId="10B32B0B" w:rsidR="007E464E" w:rsidRPr="00BA67EE" w:rsidRDefault="007E464E" w:rsidP="00BA67EE">
      <w:pPr>
        <w:jc w:val="both"/>
        <w:rPr>
          <w:rFonts w:asciiTheme="majorBidi" w:hAnsiTheme="majorBidi" w:cstheme="majorBidi"/>
          <w:lang w:val="en-US"/>
        </w:rPr>
      </w:pPr>
      <w:r w:rsidRPr="00BA67EE">
        <w:rPr>
          <w:rFonts w:asciiTheme="majorBidi" w:hAnsiTheme="majorBidi" w:cstheme="majorBidi"/>
          <w:lang w:val="en-US"/>
        </w:rPr>
        <w:t xml:space="preserve">Swansea University’s official English language requirement documentation </w:t>
      </w:r>
      <w:r w:rsidR="00094DE3" w:rsidRPr="00BA67EE">
        <w:rPr>
          <w:rFonts w:asciiTheme="majorBidi" w:hAnsiTheme="majorBidi" w:cstheme="majorBidi"/>
          <w:lang w:val="en-US"/>
        </w:rPr>
        <w:t>emphasizes</w:t>
      </w:r>
      <w:r w:rsidRPr="00BA67EE">
        <w:rPr>
          <w:rFonts w:asciiTheme="majorBidi" w:hAnsiTheme="majorBidi" w:cstheme="majorBidi"/>
          <w:lang w:val="en-US"/>
        </w:rPr>
        <w:t xml:space="preserve"> the need for a </w:t>
      </w:r>
      <w:r w:rsidR="00094DE3" w:rsidRPr="00BA67EE">
        <w:rPr>
          <w:rFonts w:asciiTheme="majorBidi" w:hAnsiTheme="majorBidi" w:cstheme="majorBidi"/>
          <w:lang w:val="en-US"/>
        </w:rPr>
        <w:t>recognized</w:t>
      </w:r>
      <w:r w:rsidRPr="00BA67EE">
        <w:rPr>
          <w:rFonts w:asciiTheme="majorBidi" w:hAnsiTheme="majorBidi" w:cstheme="majorBidi"/>
          <w:lang w:val="en-US"/>
        </w:rPr>
        <w:t xml:space="preserve"> English language test qualification before acceptance, without specifying DET in the central list of tests. </w:t>
      </w:r>
      <w:r w:rsidRPr="00BA67EE">
        <w:rPr>
          <w:rFonts w:asciiTheme="majorBidi" w:hAnsiTheme="majorBidi" w:cstheme="majorBidi"/>
          <w:lang w:val="en-US"/>
        </w:rPr>
        <w:br/>
        <w:t>This lack of explicit DET recognition constitutes a form of policy silence at the central admissions policy level, leaving applicants reliant on informal or additional adviser input to interpret whether their DET scores might satisfy language prerequisites.</w:t>
      </w:r>
    </w:p>
    <w:p w14:paraId="5A513937"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4.4 University of South Wales</w:t>
      </w:r>
    </w:p>
    <w:p w14:paraId="790CE265" w14:textId="07C0999A" w:rsidR="007E464E" w:rsidRPr="00BA67EE" w:rsidRDefault="007E464E" w:rsidP="00BA67EE">
      <w:pPr>
        <w:jc w:val="both"/>
        <w:rPr>
          <w:rFonts w:asciiTheme="majorBidi" w:hAnsiTheme="majorBidi" w:cstheme="majorBidi"/>
          <w:lang w:val="en-US"/>
        </w:rPr>
      </w:pPr>
      <w:r w:rsidRPr="00BA67EE">
        <w:rPr>
          <w:rFonts w:asciiTheme="majorBidi" w:hAnsiTheme="majorBidi" w:cstheme="majorBidi"/>
          <w:lang w:val="en-US"/>
        </w:rPr>
        <w:t xml:space="preserve">The University of South Wales’s English language requirements outline a suite of </w:t>
      </w:r>
      <w:r w:rsidR="00094DE3" w:rsidRPr="00BA67EE">
        <w:rPr>
          <w:rFonts w:asciiTheme="majorBidi" w:hAnsiTheme="majorBidi" w:cstheme="majorBidi"/>
          <w:lang w:val="en-US"/>
        </w:rPr>
        <w:t>recognized</w:t>
      </w:r>
      <w:r w:rsidRPr="00BA67EE">
        <w:rPr>
          <w:rFonts w:asciiTheme="majorBidi" w:hAnsiTheme="majorBidi" w:cstheme="majorBidi"/>
          <w:lang w:val="en-US"/>
        </w:rPr>
        <w:t xml:space="preserve"> qualifications (e.g., IELTS, TOEFL, PTE), including online tests like non-UKVI IELTS, but do not explicitly reference Duolingo. </w:t>
      </w:r>
      <w:r w:rsidRPr="00BA67EE">
        <w:rPr>
          <w:rFonts w:asciiTheme="majorBidi" w:hAnsiTheme="majorBidi" w:cstheme="majorBidi"/>
          <w:lang w:val="en-US"/>
        </w:rPr>
        <w:br/>
        <w:t>This sustained omission at the central policy text level reinforces the pattern of fragmented policy articulation, where institutions may accept a range of evidence but fail to clearly communicate the status of AI-mediated tests to applicants.</w:t>
      </w:r>
    </w:p>
    <w:p w14:paraId="7E5640B6"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4.5 Wrexham University</w:t>
      </w:r>
    </w:p>
    <w:p w14:paraId="4DFD886B" w14:textId="207203AE" w:rsidR="007E464E" w:rsidRPr="00BA67EE" w:rsidRDefault="007E464E" w:rsidP="00BA67EE">
      <w:pPr>
        <w:jc w:val="both"/>
        <w:rPr>
          <w:rFonts w:asciiTheme="majorBidi" w:hAnsiTheme="majorBidi" w:cstheme="majorBidi"/>
          <w:lang w:val="en-US"/>
        </w:rPr>
      </w:pPr>
      <w:r w:rsidRPr="00BA67EE">
        <w:rPr>
          <w:rFonts w:asciiTheme="majorBidi" w:hAnsiTheme="majorBidi" w:cstheme="majorBidi"/>
          <w:lang w:val="en-US"/>
        </w:rPr>
        <w:t>Wrexham University’s English language requirements page lists accepted certificates based on equivalence to UKVI standards (e.g., IELTS and Language</w:t>
      </w:r>
      <w:r w:rsidR="00094DE3">
        <w:rPr>
          <w:rFonts w:asciiTheme="majorBidi" w:hAnsiTheme="majorBidi" w:cstheme="majorBidi" w:hint="cs"/>
          <w:rtl/>
          <w:lang w:val="en-US"/>
        </w:rPr>
        <w:t xml:space="preserve"> </w:t>
      </w:r>
      <w:r w:rsidRPr="00BA67EE">
        <w:rPr>
          <w:rFonts w:asciiTheme="majorBidi" w:hAnsiTheme="majorBidi" w:cstheme="majorBidi"/>
          <w:lang w:val="en-US"/>
        </w:rPr>
        <w:t>Cert), with no mention of Duolingo scores. By restricting its published criteria to UKVI aligned tests, Wrexham demonstrates a conservative institutional approach that aligns explicitly with central immigration requirements but does not acknowledge DET as an acceptable route, even for academic acceptance.</w:t>
      </w:r>
    </w:p>
    <w:p w14:paraId="126745EB"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4.6 University of Wales Trinity Saint David (UWTSD)</w:t>
      </w:r>
    </w:p>
    <w:p w14:paraId="1EF20211" w14:textId="1EF75C9C" w:rsidR="007E464E" w:rsidRPr="00BA67EE" w:rsidRDefault="007E464E" w:rsidP="00BA67EE">
      <w:pPr>
        <w:jc w:val="both"/>
        <w:rPr>
          <w:rFonts w:asciiTheme="majorBidi" w:hAnsiTheme="majorBidi" w:cstheme="majorBidi"/>
          <w:lang w:val="en-US"/>
        </w:rPr>
      </w:pPr>
      <w:r w:rsidRPr="00BA67EE">
        <w:rPr>
          <w:rFonts w:asciiTheme="majorBidi" w:hAnsiTheme="majorBidi" w:cstheme="majorBidi"/>
          <w:lang w:val="en-US"/>
        </w:rPr>
        <w:t xml:space="preserve">The University of Wales Trinity Saint David’s international applications guidance lists English language proficiency as a required criterion but refers to “a UKVI </w:t>
      </w:r>
      <w:r w:rsidR="00094DE3" w:rsidRPr="00BA67EE">
        <w:rPr>
          <w:rFonts w:asciiTheme="majorBidi" w:hAnsiTheme="majorBidi" w:cstheme="majorBidi"/>
          <w:lang w:val="en-US"/>
        </w:rPr>
        <w:t>recognized</w:t>
      </w:r>
      <w:r w:rsidRPr="00BA67EE">
        <w:rPr>
          <w:rFonts w:asciiTheme="majorBidi" w:hAnsiTheme="majorBidi" w:cstheme="majorBidi"/>
          <w:lang w:val="en-US"/>
        </w:rPr>
        <w:t xml:space="preserve"> Secure English Language Test” for entry, without explicitly naming DET or setting out equivalence scores on the publicly available guidance page. This absence of specific DET policy suggests that institutional recognition is implicitly reliant on UKVI frameworks, with no published institutional stance on the use of non-SELT AI-mediated tests.</w:t>
      </w:r>
    </w:p>
    <w:p w14:paraId="45461AC5"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4.7 Cardiff University (Implicit Evidence)</w:t>
      </w:r>
    </w:p>
    <w:p w14:paraId="2D7DD42E" w14:textId="2F0A133D"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 xml:space="preserve">While Cardiff University’s official communications on English language requirements focus on Secure English Language Tests for pre-sessional courses, available documentation does not list Duolingo as an accepted central test. </w:t>
      </w:r>
      <w:hyperlink r:id="rId5" w:tgtFrame="_blank" w:history="1">
        <w:r w:rsidRPr="00BA67EE">
          <w:rPr>
            <w:rStyle w:val="Hyperlink"/>
            <w:rFonts w:asciiTheme="majorBidi" w:hAnsiTheme="majorBidi" w:cstheme="majorBidi"/>
            <w:lang w:val="en-US"/>
          </w:rPr>
          <w:t>Cardiff University</w:t>
        </w:r>
      </w:hyperlink>
      <w:r w:rsidRPr="00BA67EE">
        <w:rPr>
          <w:rFonts w:asciiTheme="majorBidi" w:hAnsiTheme="majorBidi" w:cstheme="majorBidi"/>
          <w:lang w:val="en-US"/>
        </w:rPr>
        <w:br/>
        <w:t xml:space="preserve">This indicates a fragmentation between central policy text and broader sector practice, where some Cardiff </w:t>
      </w:r>
      <w:r w:rsidR="00094DE3" w:rsidRPr="00BA67EE">
        <w:rPr>
          <w:rFonts w:asciiTheme="majorBidi" w:hAnsiTheme="majorBidi" w:cstheme="majorBidi"/>
          <w:lang w:val="en-US"/>
        </w:rPr>
        <w:t>programs</w:t>
      </w:r>
      <w:r w:rsidRPr="00BA67EE">
        <w:rPr>
          <w:rFonts w:asciiTheme="majorBidi" w:hAnsiTheme="majorBidi" w:cstheme="majorBidi"/>
          <w:lang w:val="en-US"/>
        </w:rPr>
        <w:t xml:space="preserve"> may implicitly accept a range of tests but do not </w:t>
      </w:r>
      <w:r w:rsidR="00094DE3" w:rsidRPr="00BA67EE">
        <w:rPr>
          <w:rFonts w:asciiTheme="majorBidi" w:hAnsiTheme="majorBidi" w:cstheme="majorBidi"/>
          <w:lang w:val="en-US"/>
        </w:rPr>
        <w:t>publicize</w:t>
      </w:r>
      <w:r w:rsidRPr="00BA67EE">
        <w:rPr>
          <w:rFonts w:asciiTheme="majorBidi" w:hAnsiTheme="majorBidi" w:cstheme="majorBidi"/>
          <w:lang w:val="en-US"/>
        </w:rPr>
        <w:t xml:space="preserve"> explicit DET recognition in admissions policy texts.</w:t>
      </w:r>
    </w:p>
    <w:p w14:paraId="4F41AFAB" w14:textId="1C9EBEE4" w:rsidR="007E464E" w:rsidRPr="00BA67EE" w:rsidRDefault="007E464E" w:rsidP="007E464E">
      <w:pPr>
        <w:jc w:val="both"/>
        <w:rPr>
          <w:rFonts w:asciiTheme="majorBidi" w:hAnsiTheme="majorBidi" w:cstheme="majorBidi"/>
          <w:lang w:val="en-US"/>
        </w:rPr>
      </w:pPr>
    </w:p>
    <w:p w14:paraId="25FD0D7D" w14:textId="55CDF48D" w:rsidR="007E464E" w:rsidRPr="00BA67EE" w:rsidRDefault="007E464E" w:rsidP="00BA67EE">
      <w:pPr>
        <w:jc w:val="both"/>
        <w:rPr>
          <w:rFonts w:asciiTheme="majorBidi" w:hAnsiTheme="majorBidi" w:cstheme="majorBidi"/>
          <w:lang w:val="en-US"/>
        </w:rPr>
      </w:pPr>
      <w:r w:rsidRPr="00BA67EE">
        <w:rPr>
          <w:rFonts w:asciiTheme="majorBidi" w:hAnsiTheme="majorBidi" w:cstheme="majorBidi"/>
          <w:lang w:val="en-US"/>
        </w:rPr>
        <w:lastRenderedPageBreak/>
        <w:t xml:space="preserve">4.8 Cross-Institutional Synthesis </w:t>
      </w:r>
    </w:p>
    <w:p w14:paraId="77FB2A21"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Across Welsh higher education institutions, a pattern of institutional silence or opacity regarding the Duolingo English Test is evident in central admissions documentation. Only Bangor University explicitly publishes DET equivalence information on its official language requirement pages, while others either omit DET entirely or focus on Secure English Language Tests without reference to AI-based alternatives. This produces a fragmented admissions information environment where applicants must rely on informal guidance or assumptions about test recognition.</w:t>
      </w:r>
    </w:p>
    <w:p w14:paraId="798C3D41" w14:textId="58996ECA"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 xml:space="preserve">Fragmentation is reflected not only in presence versus absence of DET references but in variability of communication clarity about how language evidence maps to visa eligibility. Such institutional variation supports the understanding of admissions policy as a discretionary practice under conditions of ambiguity rather than a </w:t>
      </w:r>
      <w:r w:rsidR="00300A92" w:rsidRPr="00BA67EE">
        <w:rPr>
          <w:rFonts w:asciiTheme="majorBidi" w:hAnsiTheme="majorBidi" w:cstheme="majorBidi"/>
          <w:lang w:val="en-US"/>
        </w:rPr>
        <w:t>standardized</w:t>
      </w:r>
      <w:r w:rsidRPr="00BA67EE">
        <w:rPr>
          <w:rFonts w:asciiTheme="majorBidi" w:hAnsiTheme="majorBidi" w:cstheme="majorBidi"/>
          <w:lang w:val="en-US"/>
        </w:rPr>
        <w:t xml:space="preserve"> sector approach.</w:t>
      </w:r>
    </w:p>
    <w:p w14:paraId="1416DDD4" w14:textId="6CD86287" w:rsidR="007E464E" w:rsidRPr="00BA67EE" w:rsidRDefault="007E464E" w:rsidP="007E464E">
      <w:pPr>
        <w:jc w:val="both"/>
        <w:rPr>
          <w:rFonts w:asciiTheme="majorBidi" w:hAnsiTheme="majorBidi" w:cstheme="majorBidi"/>
          <w:lang w:val="en-US"/>
        </w:rPr>
      </w:pPr>
    </w:p>
    <w:p w14:paraId="4C48C131"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4.9 Sector-Level Implications Emerging from Institutional Mapping</w:t>
      </w:r>
    </w:p>
    <w:p w14:paraId="1E2850F7" w14:textId="77777777" w:rsidR="007E464E" w:rsidRPr="00BA67EE" w:rsidRDefault="007E464E" w:rsidP="007E464E">
      <w:pPr>
        <w:jc w:val="both"/>
        <w:rPr>
          <w:rFonts w:asciiTheme="majorBidi" w:hAnsiTheme="majorBidi" w:cstheme="majorBidi"/>
          <w:lang w:val="en-US"/>
        </w:rPr>
      </w:pPr>
      <w:r w:rsidRPr="00BA67EE">
        <w:rPr>
          <w:rFonts w:asciiTheme="majorBidi" w:hAnsiTheme="majorBidi" w:cstheme="majorBidi"/>
          <w:lang w:val="en-US"/>
        </w:rPr>
        <w:t>The absence of coherent, publicly articulated DET policies across Welsh higher education institutions suggests not merely inconsistent communication but a structural policy challenge. This fragmentation undermines transparency, predictability, and equity in admissions processes by transferring interpretive burden onto applicants and reinforcing information asymmetry, particularly for those with limited access to specialist advice. The mapping therefore reinforces the need for more coordinated policy guidance at Welsh or UK level to support defensible educational judgement while safeguarding applicants from unintended harm in the intersection between academic admissions and immigration regulation.</w:t>
      </w:r>
    </w:p>
    <w:p w14:paraId="7E5D8883"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5. Policy Analysis: Strengths, Risks, and Structural Gaps</w:t>
      </w:r>
    </w:p>
    <w:p w14:paraId="654B0A77"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i/>
          <w:iCs/>
          <w:lang w:val="en-US"/>
        </w:rPr>
        <w:t>(Bardach Steps 5–6)</w:t>
      </w:r>
    </w:p>
    <w:p w14:paraId="74C71373" w14:textId="77777777" w:rsidR="00741A15" w:rsidRPr="00741A15" w:rsidRDefault="00741A15" w:rsidP="00741A15">
      <w:pPr>
        <w:jc w:val="both"/>
        <w:rPr>
          <w:rFonts w:asciiTheme="majorBidi" w:hAnsiTheme="majorBidi" w:cstheme="majorBidi"/>
          <w:lang w:val="en-US"/>
        </w:rPr>
      </w:pPr>
      <w:r w:rsidRPr="00741A15">
        <w:rPr>
          <w:rFonts w:asciiTheme="majorBidi" w:hAnsiTheme="majorBidi" w:cstheme="majorBidi"/>
          <w:lang w:val="en-US"/>
        </w:rPr>
        <w:t>In line with Bardach’s emphasis on evaluating policy consequences and trade-offs, the following analysis examines the strengths, risks and structural gaps associated with DET use.</w:t>
      </w:r>
    </w:p>
    <w:p w14:paraId="0ADD6142" w14:textId="708D63F8" w:rsidR="00F67FA0" w:rsidRPr="00741A15" w:rsidRDefault="00F67FA0" w:rsidP="00741A15">
      <w:pPr>
        <w:jc w:val="both"/>
        <w:rPr>
          <w:rFonts w:asciiTheme="majorBidi" w:hAnsiTheme="majorBidi" w:cstheme="majorBidi"/>
          <w:b/>
          <w:bCs/>
        </w:rPr>
      </w:pPr>
      <w:r w:rsidRPr="00BA67EE">
        <w:rPr>
          <w:rFonts w:asciiTheme="majorBidi" w:hAnsiTheme="majorBidi" w:cstheme="majorBidi"/>
          <w:lang w:val="en-US"/>
        </w:rPr>
        <w:t xml:space="preserve">Drawing on the institutional mapping presented in Section 4, this section </w:t>
      </w:r>
      <w:r w:rsidR="00741A15" w:rsidRPr="00BA67EE">
        <w:rPr>
          <w:rFonts w:asciiTheme="majorBidi" w:hAnsiTheme="majorBidi" w:cstheme="majorBidi"/>
          <w:lang w:val="en-US"/>
        </w:rPr>
        <w:t>synthesizes</w:t>
      </w:r>
      <w:r w:rsidRPr="00BA67EE">
        <w:rPr>
          <w:rFonts w:asciiTheme="majorBidi" w:hAnsiTheme="majorBidi" w:cstheme="majorBidi"/>
          <w:lang w:val="en-US"/>
        </w:rPr>
        <w:t xml:space="preserve"> the key strengths, risks, and structural gaps associated with the use of the Duolingo English Test (DET) in Welsh higher education admissions. The analysis demonstrates that DET’s perceived benefits are inseparable from the governance risks generated by fragmented policy articulation and misalignment with immigration regulation.</w:t>
      </w:r>
    </w:p>
    <w:p w14:paraId="69E8D546"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5.1 Strengths of DET within Admissions Systems</w:t>
      </w:r>
    </w:p>
    <w:p w14:paraId="244AD664" w14:textId="7A4DE574"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 xml:space="preserve">DET offers clear advantages in terms of accessibility, cost reduction, and administrative efficiency. Its low fee and remote delivery expand access for applicants facing financial, geographical, or mobility-related constraints, aligning with widening participation objectives and post-COVID </w:t>
      </w:r>
      <w:r w:rsidR="00300A92" w:rsidRPr="00BA67EE">
        <w:rPr>
          <w:rFonts w:asciiTheme="majorBidi" w:hAnsiTheme="majorBidi" w:cstheme="majorBidi"/>
          <w:lang w:val="en-US"/>
        </w:rPr>
        <w:t>digitalization</w:t>
      </w:r>
      <w:r w:rsidRPr="00BA67EE">
        <w:rPr>
          <w:rFonts w:asciiTheme="majorBidi" w:hAnsiTheme="majorBidi" w:cstheme="majorBidi"/>
          <w:lang w:val="en-US"/>
        </w:rPr>
        <w:t xml:space="preserve"> of admissions processes. Rapid score reporting supports institutional efficiency and competitiveness in international recruitment, while AI-mediated assessment positions universities within broader narratives of educational innovation.</w:t>
      </w:r>
    </w:p>
    <w:p w14:paraId="660F8CBF"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lastRenderedPageBreak/>
        <w:t>However, these strengths only translate into meaningful benefits when embedded within coherent and transparent admissions frameworks. In the absence of such frameworks, accessibility gains risk being offset by downstream harms.</w:t>
      </w:r>
    </w:p>
    <w:p w14:paraId="7D977418"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5.2 Governance and Regulatory Risks</w:t>
      </w:r>
    </w:p>
    <w:p w14:paraId="364DAE76"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The primary risk associated with DET arises from its non-SELT status under UK Visas and Immigration (UKVI) regulations. As demonstrated in the institutional mapping, applicants may receive academic offers based on DET evidence while remaining ineligible for a Student Route visa. This misalignment exposes applicants to financial loss, emotional distress, and disrupted enrolment, while placing institutions at risk of reputational damage and regulatory scrutiny.</w:t>
      </w:r>
    </w:p>
    <w:p w14:paraId="5D2AB484" w14:textId="1AE5F136"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 xml:space="preserve">Beyond visa compliance, the </w:t>
      </w:r>
      <w:r w:rsidR="00300A92" w:rsidRPr="00BA67EE">
        <w:rPr>
          <w:rFonts w:asciiTheme="majorBidi" w:hAnsiTheme="majorBidi" w:cstheme="majorBidi"/>
          <w:lang w:val="en-US"/>
        </w:rPr>
        <w:t>decentralized</w:t>
      </w:r>
      <w:r w:rsidRPr="00BA67EE">
        <w:rPr>
          <w:rFonts w:asciiTheme="majorBidi" w:hAnsiTheme="majorBidi" w:cstheme="majorBidi"/>
          <w:lang w:val="en-US"/>
        </w:rPr>
        <w:t xml:space="preserve"> and inconsistent treatment of DET across Welsh universities constitutes a broader governance failure. Fragmented policy articulation, reliance on </w:t>
      </w:r>
      <w:r w:rsidR="00094DE3" w:rsidRPr="00BA67EE">
        <w:rPr>
          <w:rFonts w:asciiTheme="majorBidi" w:hAnsiTheme="majorBidi" w:cstheme="majorBidi"/>
          <w:lang w:val="en-US"/>
        </w:rPr>
        <w:t>programmed</w:t>
      </w:r>
      <w:r w:rsidRPr="00BA67EE">
        <w:rPr>
          <w:rFonts w:asciiTheme="majorBidi" w:hAnsiTheme="majorBidi" w:cstheme="majorBidi"/>
          <w:lang w:val="en-US"/>
        </w:rPr>
        <w:t>-level discretion, and institutional silence within central admissions texts generate significant information asymmetry. Applicants are required to infer eligibility from incomplete or informal sources, a burden that disproportionately affects those with limited access to professional advice or institutional knowledge.</w:t>
      </w:r>
    </w:p>
    <w:p w14:paraId="4A5C0904"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5.3 Equity Implications and Student Protection</w:t>
      </w:r>
    </w:p>
    <w:p w14:paraId="233F0FFD" w14:textId="77777777" w:rsidR="00F94DE0" w:rsidRPr="00F94DE0" w:rsidRDefault="00F94DE0" w:rsidP="00F94DE0">
      <w:pPr>
        <w:jc w:val="both"/>
        <w:rPr>
          <w:rFonts w:asciiTheme="majorBidi" w:hAnsiTheme="majorBidi" w:cstheme="majorBidi"/>
          <w:lang w:val="en-US"/>
        </w:rPr>
      </w:pPr>
      <w:r w:rsidRPr="00F94DE0">
        <w:rPr>
          <w:rFonts w:asciiTheme="majorBidi" w:hAnsiTheme="majorBidi" w:cstheme="majorBidi"/>
          <w:lang w:val="en-US"/>
        </w:rPr>
        <w:t>Taken together, studies on predictive validity (Isaacs et al., 2023) and subjective fairness (Yao, 2023) suggest that the risks associated with DET are less about linguistic measurement and more about how uncertainty and regulatory ambiguity shape applicant experience—reinforcing the need for governance-focused policy intervention.</w:t>
      </w:r>
    </w:p>
    <w:p w14:paraId="47D2A8DB" w14:textId="30EF24E4" w:rsidR="00F67FA0" w:rsidRPr="00F94DE0" w:rsidRDefault="00F67FA0" w:rsidP="00F94DE0">
      <w:pPr>
        <w:jc w:val="both"/>
        <w:rPr>
          <w:rFonts w:asciiTheme="majorBidi" w:hAnsiTheme="majorBidi" w:cstheme="majorBidi"/>
        </w:rPr>
      </w:pPr>
      <w:r w:rsidRPr="00BA67EE">
        <w:rPr>
          <w:rFonts w:asciiTheme="majorBidi" w:hAnsiTheme="majorBidi" w:cstheme="majorBidi"/>
          <w:lang w:val="en-US"/>
        </w:rPr>
        <w:t xml:space="preserve">DET users are often applicants from lower-income or geographically </w:t>
      </w:r>
      <w:r w:rsidR="00F94DE0" w:rsidRPr="00BA67EE">
        <w:rPr>
          <w:rFonts w:asciiTheme="majorBidi" w:hAnsiTheme="majorBidi" w:cstheme="majorBidi"/>
          <w:lang w:val="en-US"/>
        </w:rPr>
        <w:t>marginalized</w:t>
      </w:r>
      <w:r w:rsidRPr="00BA67EE">
        <w:rPr>
          <w:rFonts w:asciiTheme="majorBidi" w:hAnsiTheme="majorBidi" w:cstheme="majorBidi"/>
          <w:lang w:val="en-US"/>
        </w:rPr>
        <w:t xml:space="preserve"> contexts who rely on its affordability and accessibility. When institutional policies lack clarity, these applicants bear a disproportionate share of risk. Rather than mitigating inequality, ambiguous acceptance of DET can inadvertently reinforce structural disadvantage by transferring responsibility for regulatory navigation onto students themselves.</w:t>
      </w:r>
    </w:p>
    <w:p w14:paraId="77A4C18E"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Concerns identified in the literature regarding fairness, digital access, and algorithmic decision-making further amplify these equity risks in high-stakes admissions contexts. In the absence of explicit safeguards, institutional reliance on DET risks undermining ethical commitments to fair access and student protection.</w:t>
      </w:r>
    </w:p>
    <w:p w14:paraId="06A2694A"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5.4 Structural Policy Gaps</w:t>
      </w:r>
    </w:p>
    <w:p w14:paraId="1FADE35F"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Taken together, these findings reveal not isolated institutional shortcomings but a set of structural policy gaps. At institutional level, English language requirements are often treated as technical entry conditions rather than as mechanisms shaping access and educational trajectories. At sector level, the absence of coordinated Welsh or UK-wide guidance on AI-mediated, non-SELT assessments leaves universities to manage risk individually, resulting in policy drift rather than deliberate strategy.</w:t>
      </w:r>
    </w:p>
    <w:p w14:paraId="6CF882C9"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lastRenderedPageBreak/>
        <w:t>DET thus functions less as an innovative solution than as a diagnostic indicator of governance weakness. The problem lies not in the test itself, but in the lack of policy coherence linking educational judgement, institutional communication, and immigration compliance.</w:t>
      </w:r>
    </w:p>
    <w:p w14:paraId="6924A85F"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6. Policy Options and Evaluation</w:t>
      </w:r>
    </w:p>
    <w:p w14:paraId="51B7C775" w14:textId="77777777" w:rsidR="00D24FD0" w:rsidRPr="00D24FD0" w:rsidRDefault="00D24FD0" w:rsidP="00D24FD0">
      <w:pPr>
        <w:jc w:val="both"/>
        <w:rPr>
          <w:rFonts w:asciiTheme="majorBidi" w:hAnsiTheme="majorBidi" w:cstheme="majorBidi"/>
          <w:lang w:val="en-US"/>
        </w:rPr>
      </w:pPr>
      <w:r w:rsidRPr="00D24FD0">
        <w:rPr>
          <w:rFonts w:asciiTheme="majorBidi" w:hAnsiTheme="majorBidi" w:cstheme="majorBidi"/>
          <w:lang w:val="en-US"/>
        </w:rPr>
        <w:t>Following Bardach’s step of constructing and comparing policy alternatives, three feasible options are identified and evaluated below.</w:t>
      </w:r>
    </w:p>
    <w:p w14:paraId="3E5C25B2" w14:textId="2FA09477" w:rsidR="00F67FA0" w:rsidRPr="00D24FD0" w:rsidRDefault="00F67FA0" w:rsidP="00D24FD0">
      <w:pPr>
        <w:jc w:val="both"/>
        <w:rPr>
          <w:rFonts w:asciiTheme="majorBidi" w:hAnsiTheme="majorBidi" w:cstheme="majorBidi"/>
          <w:b/>
          <w:bCs/>
        </w:rPr>
      </w:pPr>
      <w:r w:rsidRPr="00BA67EE">
        <w:rPr>
          <w:rFonts w:asciiTheme="majorBidi" w:hAnsiTheme="majorBidi" w:cstheme="majorBidi"/>
          <w:lang w:val="en-US"/>
        </w:rPr>
        <w:t>Drawing on the institutional mapping and the preceding analysis of strengths, risks, and structural gaps, three policy options are identified to address the fragmented use of the Duolingo English Test (DET) in Welsh higher education admissions. These options are evaluated as governance responses rather than purely technical choices, with implications for regulatory compliance, transparency, institutional feasibility, and equity.</w:t>
      </w:r>
    </w:p>
    <w:p w14:paraId="701EE7B1"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Option 1: Full Acceptance of DET for Academic Admission</w:t>
      </w:r>
    </w:p>
    <w:p w14:paraId="6CAB5CD2" w14:textId="39AFF173"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 xml:space="preserve">This option involves accepting DET scores for all academic admissions while explicitly excluding their use for visa purposes. From an access perspective, this approach is attractive: it reduces financial and geographical barriers and aligns with trends towards </w:t>
      </w:r>
      <w:r w:rsidR="00094DE3" w:rsidRPr="00BA67EE">
        <w:rPr>
          <w:rFonts w:asciiTheme="majorBidi" w:hAnsiTheme="majorBidi" w:cstheme="majorBidi"/>
          <w:lang w:val="en-US"/>
        </w:rPr>
        <w:t>digitalization</w:t>
      </w:r>
      <w:r w:rsidRPr="00BA67EE">
        <w:rPr>
          <w:rFonts w:asciiTheme="majorBidi" w:hAnsiTheme="majorBidi" w:cstheme="majorBidi"/>
          <w:lang w:val="en-US"/>
        </w:rPr>
        <w:t xml:space="preserve"> and flexibility in admissions. However, it performs poorly against the criteria of regulatory compliance and equity. Evidence from admissions practice indicates that distinctions between academic and immigration requirements are frequently misunderstood by applicants, particularly those with limited informational resources. As a result, this option transfers regulatory risk onto applicants and exposes institutions to reputational and ethical concerns, undermining its apparent inclusivity.</w:t>
      </w:r>
    </w:p>
    <w:p w14:paraId="0514D74F"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Option 2: Conditional Acceptance of DET (Preferred Option)</w:t>
      </w:r>
    </w:p>
    <w:p w14:paraId="0B949E49" w14:textId="33E2E84E"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 xml:space="preserve">Under this approach, DET is accepted only for pathways that do not require Student Route visa sponsorship, such as online </w:t>
      </w:r>
      <w:r w:rsidR="00094DE3" w:rsidRPr="00BA67EE">
        <w:rPr>
          <w:rFonts w:asciiTheme="majorBidi" w:hAnsiTheme="majorBidi" w:cstheme="majorBidi"/>
          <w:lang w:val="en-US"/>
        </w:rPr>
        <w:t>programs</w:t>
      </w:r>
      <w:r w:rsidRPr="00BA67EE">
        <w:rPr>
          <w:rFonts w:asciiTheme="majorBidi" w:hAnsiTheme="majorBidi" w:cstheme="majorBidi"/>
          <w:lang w:val="en-US"/>
        </w:rPr>
        <w:t xml:space="preserve"> or preparatory routes, while SELT-approved tests remain mandatory for visa-bearing </w:t>
      </w:r>
      <w:r w:rsidR="00233ACF" w:rsidRPr="00BA67EE">
        <w:rPr>
          <w:rFonts w:asciiTheme="majorBidi" w:hAnsiTheme="majorBidi" w:cstheme="majorBidi"/>
          <w:lang w:val="en-US"/>
        </w:rPr>
        <w:t>programs</w:t>
      </w:r>
      <w:r w:rsidRPr="00BA67EE">
        <w:rPr>
          <w:rFonts w:asciiTheme="majorBidi" w:hAnsiTheme="majorBidi" w:cstheme="majorBidi"/>
          <w:lang w:val="en-US"/>
        </w:rPr>
        <w:t xml:space="preserve">. This option performs consistently across all four analytical criteria. It preserves the accessibility and efficiency benefits of DET where regulatory risk is minimal, while safeguarding applicants and institutions from avoidable visa-related harm. Although conditional acceptance requires clear, </w:t>
      </w:r>
      <w:r w:rsidR="00233ACF" w:rsidRPr="00BA67EE">
        <w:rPr>
          <w:rFonts w:asciiTheme="majorBidi" w:hAnsiTheme="majorBidi" w:cstheme="majorBidi"/>
          <w:lang w:val="en-US"/>
        </w:rPr>
        <w:t>centralized</w:t>
      </w:r>
      <w:r w:rsidRPr="00BA67EE">
        <w:rPr>
          <w:rFonts w:asciiTheme="majorBidi" w:hAnsiTheme="majorBidi" w:cstheme="majorBidi"/>
          <w:lang w:val="en-US"/>
        </w:rPr>
        <w:t xml:space="preserve"> communication to prevent confusion, it represents the most feasible and equitable response to the governance gaps identified in Welsh admissions practice.</w:t>
      </w:r>
    </w:p>
    <w:p w14:paraId="5F890CEA"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Option 3: Non-Acceptance of DET</w:t>
      </w:r>
    </w:p>
    <w:p w14:paraId="27C16844" w14:textId="6D8E8C32"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 xml:space="preserve">This option excludes DET from all admissions decisions regardless of visa requirements. While it scores highly on regulatory certainty and administrative simplicity, it performs poorly in relation to equity and institutional competitiveness. By restricting acceptable evidence to traditional test formats, it disproportionately affects applicants with limited financial resources or access to test </w:t>
      </w:r>
      <w:r w:rsidR="00233ACF" w:rsidRPr="00BA67EE">
        <w:rPr>
          <w:rFonts w:asciiTheme="majorBidi" w:hAnsiTheme="majorBidi" w:cstheme="majorBidi"/>
          <w:lang w:val="en-US"/>
        </w:rPr>
        <w:t>centers</w:t>
      </w:r>
      <w:r w:rsidRPr="00BA67EE">
        <w:rPr>
          <w:rFonts w:asciiTheme="majorBidi" w:hAnsiTheme="majorBidi" w:cstheme="majorBidi"/>
          <w:lang w:val="en-US"/>
        </w:rPr>
        <w:t xml:space="preserve"> and runs counter to broader trends in digital assessment and international recruitment.</w:t>
      </w:r>
    </w:p>
    <w:p w14:paraId="41C9CAD3" w14:textId="77777777"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t>6.1 Comparative Evaluation</w:t>
      </w:r>
    </w:p>
    <w:p w14:paraId="7576DD7C" w14:textId="309FEFE2" w:rsidR="00F67FA0" w:rsidRPr="00BA67EE" w:rsidRDefault="00F67FA0" w:rsidP="00F67FA0">
      <w:pPr>
        <w:jc w:val="both"/>
        <w:rPr>
          <w:rFonts w:asciiTheme="majorBidi" w:hAnsiTheme="majorBidi" w:cstheme="majorBidi"/>
          <w:lang w:val="en-US"/>
        </w:rPr>
      </w:pPr>
      <w:r w:rsidRPr="00BA67EE">
        <w:rPr>
          <w:rFonts w:asciiTheme="majorBidi" w:hAnsiTheme="majorBidi" w:cstheme="majorBidi"/>
          <w:lang w:val="en-US"/>
        </w:rPr>
        <w:lastRenderedPageBreak/>
        <w:t xml:space="preserve">When evaluated against the four analytical criteria—regulatory compliance, transparency, institutional feasibility, and equity—conditional acceptance emerges as the most defensible policy option. Full acceptance </w:t>
      </w:r>
      <w:r w:rsidR="00233ACF" w:rsidRPr="00BA67EE">
        <w:rPr>
          <w:rFonts w:asciiTheme="majorBidi" w:hAnsiTheme="majorBidi" w:cstheme="majorBidi"/>
          <w:lang w:val="en-US"/>
        </w:rPr>
        <w:t>prioritizes</w:t>
      </w:r>
      <w:r w:rsidRPr="00BA67EE">
        <w:rPr>
          <w:rFonts w:asciiTheme="majorBidi" w:hAnsiTheme="majorBidi" w:cstheme="majorBidi"/>
          <w:lang w:val="en-US"/>
        </w:rPr>
        <w:t xml:space="preserve"> accessibility but fails to mitigate regulatory and ethical risk, while non-acceptance ensures compliance at the cost of fairness and strategic flexibility. Conditional acceptance offers the most balanced response, directly addressing the fragmentation identified across Welsh institutions by integrating innovation with clear regulatory and communicative safeguards.</w:t>
      </w:r>
    </w:p>
    <w:p w14:paraId="13F2A30B" w14:textId="5BD4F1CD" w:rsidR="00934C81" w:rsidRPr="00BA67EE" w:rsidRDefault="00934C81" w:rsidP="001A3455">
      <w:pPr>
        <w:jc w:val="both"/>
        <w:rPr>
          <w:rFonts w:asciiTheme="majorBidi" w:hAnsiTheme="majorBidi" w:cstheme="majorBidi"/>
          <w:lang w:val="en-US"/>
        </w:rPr>
      </w:pPr>
    </w:p>
    <w:p w14:paraId="5E659F15" w14:textId="77777777" w:rsidR="00934C81" w:rsidRPr="00BA67EE" w:rsidRDefault="00934C81" w:rsidP="001A3455">
      <w:pPr>
        <w:jc w:val="both"/>
        <w:rPr>
          <w:rFonts w:asciiTheme="majorBidi" w:hAnsiTheme="majorBidi" w:cstheme="majorBidi"/>
          <w:lang w:val="en-US"/>
        </w:rPr>
      </w:pPr>
      <w:r w:rsidRPr="00BA67EE">
        <w:rPr>
          <w:rFonts w:asciiTheme="majorBidi" w:hAnsiTheme="majorBidi" w:cstheme="majorBidi"/>
          <w:lang w:val="en-US"/>
        </w:rPr>
        <w:t>7. Implementation Considerations</w:t>
      </w:r>
    </w:p>
    <w:p w14:paraId="3387E6C3" w14:textId="112C29BB" w:rsidR="00453CA3" w:rsidRPr="00453CA3" w:rsidRDefault="00453CA3" w:rsidP="00453CA3">
      <w:pPr>
        <w:jc w:val="both"/>
        <w:rPr>
          <w:rFonts w:asciiTheme="majorBidi" w:hAnsiTheme="majorBidi" w:cstheme="majorBidi"/>
          <w:lang w:val="en-US"/>
        </w:rPr>
      </w:pPr>
      <w:r w:rsidRPr="00453CA3">
        <w:rPr>
          <w:rFonts w:asciiTheme="majorBidi" w:hAnsiTheme="majorBidi" w:cstheme="majorBidi"/>
          <w:lang w:val="en-US"/>
        </w:rPr>
        <w:t>Consistent with Bardach’s focus on practical implement ability, this section considers how the preferred option could be operationalised within existing admissions systems.</w:t>
      </w:r>
    </w:p>
    <w:p w14:paraId="7B94CA68" w14:textId="30240144" w:rsidR="00934C81" w:rsidRPr="00BA67EE" w:rsidRDefault="00934C81" w:rsidP="001A3455">
      <w:pPr>
        <w:jc w:val="both"/>
        <w:rPr>
          <w:rFonts w:asciiTheme="majorBidi" w:hAnsiTheme="majorBidi" w:cstheme="majorBidi"/>
          <w:lang w:val="en-US"/>
        </w:rPr>
      </w:pPr>
      <w:r w:rsidRPr="00BA67EE">
        <w:rPr>
          <w:rFonts w:asciiTheme="majorBidi" w:hAnsiTheme="majorBidi" w:cstheme="majorBidi"/>
          <w:lang w:val="en-US"/>
        </w:rPr>
        <w:t xml:space="preserve">The effective implementation of conditional acceptance depends primarily on coherent institutional communication rather than extensive procedural reform. </w:t>
      </w:r>
      <w:r w:rsidR="00453CA3" w:rsidRPr="00BA67EE">
        <w:rPr>
          <w:rFonts w:asciiTheme="majorBidi" w:hAnsiTheme="majorBidi" w:cstheme="majorBidi"/>
          <w:lang w:val="en-US"/>
        </w:rPr>
        <w:t>Centralized</w:t>
      </w:r>
      <w:r w:rsidRPr="00BA67EE">
        <w:rPr>
          <w:rFonts w:asciiTheme="majorBidi" w:hAnsiTheme="majorBidi" w:cstheme="majorBidi"/>
          <w:lang w:val="en-US"/>
        </w:rPr>
        <w:t xml:space="preserve"> admissions guidance that clearly distinguishes between academic language assessment and immigration requirements is essential to reduce information asymmetry. Internal alignment among admissions teams and periodic review of policy in response to regulatory change are necessary to prevent inconsistent interpretation and policy drift. At sector level, shared guidance would further enhance coherence and reduce institutional exposure to reputational and regulatory risk.</w:t>
      </w:r>
    </w:p>
    <w:p w14:paraId="1625F98F" w14:textId="75B9D68A" w:rsidR="00934C81" w:rsidRPr="00BA67EE" w:rsidRDefault="00934C81" w:rsidP="001A3455">
      <w:pPr>
        <w:jc w:val="both"/>
        <w:rPr>
          <w:rFonts w:asciiTheme="majorBidi" w:hAnsiTheme="majorBidi" w:cstheme="majorBidi"/>
          <w:lang w:val="en-US"/>
        </w:rPr>
      </w:pPr>
    </w:p>
    <w:p w14:paraId="49E3AD81" w14:textId="77777777" w:rsidR="00934C81" w:rsidRPr="00BA67EE" w:rsidRDefault="00934C81" w:rsidP="001A3455">
      <w:pPr>
        <w:jc w:val="both"/>
        <w:rPr>
          <w:rFonts w:asciiTheme="majorBidi" w:hAnsiTheme="majorBidi" w:cstheme="majorBidi"/>
          <w:lang w:val="en-US"/>
        </w:rPr>
      </w:pPr>
      <w:r w:rsidRPr="00BA67EE">
        <w:rPr>
          <w:rFonts w:asciiTheme="majorBidi" w:hAnsiTheme="majorBidi" w:cstheme="majorBidi"/>
          <w:lang w:val="en-US"/>
        </w:rPr>
        <w:t>8. Conclusion and Policy Takeaway</w:t>
      </w:r>
    </w:p>
    <w:p w14:paraId="3E83FD70" w14:textId="77777777" w:rsidR="00934C81" w:rsidRPr="00BA67EE" w:rsidRDefault="00934C81" w:rsidP="001A3455">
      <w:pPr>
        <w:jc w:val="both"/>
        <w:rPr>
          <w:rFonts w:asciiTheme="majorBidi" w:hAnsiTheme="majorBidi" w:cstheme="majorBidi"/>
          <w:lang w:val="en-US"/>
        </w:rPr>
      </w:pPr>
      <w:r w:rsidRPr="00BA67EE">
        <w:rPr>
          <w:rFonts w:asciiTheme="majorBidi" w:hAnsiTheme="majorBidi" w:cstheme="majorBidi"/>
          <w:lang w:val="en-US"/>
        </w:rPr>
        <w:t>This analysis demonstrates that the use of the Duolingo English Test in Welsh higher education admissions is not primarily a question of assessment validity, but a governance challenge arising from misalignment between institutional autonomy and immigration regulation. In the absence of coordinated policy frameworks, DET operates as a site of ambiguity that disproportionately transfers risk to applicants, particularly those with limited financial and informational resources.</w:t>
      </w:r>
    </w:p>
    <w:p w14:paraId="689E87C7" w14:textId="553749B9" w:rsidR="00934C81" w:rsidRDefault="00934C81" w:rsidP="001A3455">
      <w:pPr>
        <w:jc w:val="both"/>
        <w:rPr>
          <w:rFonts w:asciiTheme="majorBidi" w:hAnsiTheme="majorBidi" w:cstheme="majorBidi"/>
          <w:rtl/>
          <w:lang w:val="en-US"/>
        </w:rPr>
      </w:pPr>
      <w:r w:rsidRPr="00BA67EE">
        <w:rPr>
          <w:rFonts w:asciiTheme="majorBidi" w:hAnsiTheme="majorBidi" w:cstheme="majorBidi"/>
          <w:lang w:val="en-US"/>
        </w:rPr>
        <w:t>Conditional acceptance of DET represents the most sustainable and ethically defensible response. By embedding transparency, regulatory compliance, and equity within admissions policy, Welsh universities can reconcile digital innovation with educational responsibility. Crucially, this approach underscores that widening access through technology must be matched by policy coherence if student interests are to be protected and institutional legitimacy maintained.</w:t>
      </w:r>
    </w:p>
    <w:p w14:paraId="670F35ED" w14:textId="77777777" w:rsidR="00233ACF" w:rsidRDefault="00233ACF" w:rsidP="001A3455">
      <w:pPr>
        <w:jc w:val="both"/>
        <w:rPr>
          <w:rFonts w:asciiTheme="majorBidi" w:hAnsiTheme="majorBidi" w:cstheme="majorBidi"/>
          <w:rtl/>
          <w:lang w:val="en-US"/>
        </w:rPr>
      </w:pPr>
    </w:p>
    <w:p w14:paraId="5E427993" w14:textId="77777777" w:rsidR="00233ACF" w:rsidRDefault="00233ACF" w:rsidP="001A3455">
      <w:pPr>
        <w:jc w:val="both"/>
        <w:rPr>
          <w:rFonts w:asciiTheme="majorBidi" w:hAnsiTheme="majorBidi" w:cstheme="majorBidi"/>
          <w:rtl/>
          <w:lang w:val="en-US"/>
        </w:rPr>
      </w:pPr>
    </w:p>
    <w:p w14:paraId="04E0E9D5" w14:textId="77777777" w:rsidR="00233ACF" w:rsidRDefault="00233ACF" w:rsidP="001A3455">
      <w:pPr>
        <w:jc w:val="both"/>
        <w:rPr>
          <w:rFonts w:asciiTheme="majorBidi" w:hAnsiTheme="majorBidi" w:cstheme="majorBidi"/>
          <w:rtl/>
          <w:lang w:val="en-US"/>
        </w:rPr>
      </w:pPr>
    </w:p>
    <w:p w14:paraId="505F06A5" w14:textId="77777777" w:rsidR="00233ACF" w:rsidRDefault="00233ACF" w:rsidP="001A3455">
      <w:pPr>
        <w:jc w:val="both"/>
        <w:rPr>
          <w:rFonts w:asciiTheme="majorBidi" w:hAnsiTheme="majorBidi" w:cstheme="majorBidi"/>
          <w:rtl/>
          <w:lang w:val="en-US"/>
        </w:rPr>
      </w:pPr>
    </w:p>
    <w:p w14:paraId="49679369" w14:textId="77777777" w:rsidR="00233ACF" w:rsidRPr="00BA67EE" w:rsidRDefault="00233ACF" w:rsidP="001A3455">
      <w:pPr>
        <w:jc w:val="both"/>
        <w:rPr>
          <w:rFonts w:asciiTheme="majorBidi" w:hAnsiTheme="majorBidi" w:cstheme="majorBidi"/>
          <w:rtl/>
          <w:lang w:val="en-US"/>
        </w:rPr>
      </w:pPr>
    </w:p>
    <w:p w14:paraId="45140EE8" w14:textId="74A87136" w:rsidR="00934C81" w:rsidRPr="00BA67EE" w:rsidRDefault="00934C81" w:rsidP="001A3455">
      <w:pPr>
        <w:jc w:val="both"/>
        <w:rPr>
          <w:rFonts w:asciiTheme="majorBidi" w:hAnsiTheme="majorBidi" w:cstheme="majorBidi"/>
          <w:sz w:val="22"/>
          <w:szCs w:val="22"/>
          <w:lang w:val="en-US"/>
        </w:rPr>
      </w:pPr>
      <w:r w:rsidRPr="00BA67EE">
        <w:rPr>
          <w:rFonts w:asciiTheme="majorBidi" w:hAnsiTheme="majorBidi" w:cstheme="majorBidi"/>
          <w:sz w:val="22"/>
          <w:szCs w:val="22"/>
          <w:lang w:val="en-US"/>
        </w:rPr>
        <w:lastRenderedPageBreak/>
        <w:t>References</w:t>
      </w:r>
    </w:p>
    <w:p w14:paraId="669443FF"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Bachman, L.F. and Palmer, A.S. (2010) </w:t>
      </w:r>
      <w:r w:rsidRPr="00BA67EE">
        <w:rPr>
          <w:rFonts w:asciiTheme="majorBidi" w:hAnsiTheme="majorBidi" w:cstheme="majorBidi"/>
          <w:i/>
          <w:iCs/>
          <w:sz w:val="22"/>
          <w:szCs w:val="22"/>
          <w:lang w:val="en-US"/>
        </w:rPr>
        <w:t>Language Assessment in Practice</w:t>
      </w:r>
      <w:r w:rsidRPr="00BA67EE">
        <w:rPr>
          <w:rFonts w:asciiTheme="majorBidi" w:hAnsiTheme="majorBidi" w:cstheme="majorBidi"/>
          <w:sz w:val="22"/>
          <w:szCs w:val="22"/>
          <w:lang w:val="en-US"/>
        </w:rPr>
        <w:t>. Oxford: Oxford University Press.</w:t>
      </w:r>
    </w:p>
    <w:p w14:paraId="61016A2C"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Ball, S.J. (1993) ‘What is policy? Texts, trajectories and toolboxes’, </w:t>
      </w:r>
      <w:r w:rsidRPr="00BA67EE">
        <w:rPr>
          <w:rFonts w:asciiTheme="majorBidi" w:hAnsiTheme="majorBidi" w:cstheme="majorBidi"/>
          <w:i/>
          <w:iCs/>
          <w:sz w:val="22"/>
          <w:szCs w:val="22"/>
          <w:lang w:val="en-US"/>
        </w:rPr>
        <w:t>Discourse</w:t>
      </w:r>
      <w:r w:rsidRPr="00BA67EE">
        <w:rPr>
          <w:rFonts w:asciiTheme="majorBidi" w:hAnsiTheme="majorBidi" w:cstheme="majorBidi"/>
          <w:sz w:val="22"/>
          <w:szCs w:val="22"/>
          <w:lang w:val="en-US"/>
        </w:rPr>
        <w:t xml:space="preserve">, 13(2), pp. 10–17. Available at: </w:t>
      </w:r>
      <w:hyperlink r:id="rId6" w:tgtFrame="_new" w:history="1">
        <w:r w:rsidRPr="00BA67EE">
          <w:rPr>
            <w:rStyle w:val="Hyperlink"/>
            <w:rFonts w:asciiTheme="majorBidi" w:hAnsiTheme="majorBidi" w:cstheme="majorBidi"/>
            <w:sz w:val="22"/>
            <w:szCs w:val="22"/>
            <w:lang w:val="en-US"/>
          </w:rPr>
          <w:t>https://doi.org/10.1080/0159630930130203</w:t>
        </w:r>
      </w:hyperlink>
    </w:p>
    <w:p w14:paraId="0E530057" w14:textId="4FF1743C"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BBC News (2023) ‘Student visas and English language test rules explained’, </w:t>
      </w:r>
      <w:r w:rsidRPr="00BA67EE">
        <w:rPr>
          <w:rFonts w:asciiTheme="majorBidi" w:hAnsiTheme="majorBidi" w:cstheme="majorBidi"/>
          <w:i/>
          <w:iCs/>
          <w:sz w:val="22"/>
          <w:szCs w:val="22"/>
          <w:lang w:val="en-US"/>
        </w:rPr>
        <w:t>BBC News</w:t>
      </w:r>
      <w:r w:rsidRPr="00BA67EE">
        <w:rPr>
          <w:rFonts w:asciiTheme="majorBidi" w:hAnsiTheme="majorBidi" w:cstheme="majorBidi"/>
          <w:sz w:val="22"/>
          <w:szCs w:val="22"/>
          <w:lang w:val="en-US"/>
        </w:rPr>
        <w:t xml:space="preserve">, 10 August. </w:t>
      </w:r>
    </w:p>
    <w:p w14:paraId="4AB28E2D" w14:textId="77777777" w:rsidR="00233ACF" w:rsidRDefault="00F335D2" w:rsidP="00233ACF">
      <w:pPr>
        <w:rPr>
          <w:rFonts w:asciiTheme="majorBidi" w:hAnsiTheme="majorBidi" w:cstheme="majorBidi"/>
          <w:sz w:val="22"/>
          <w:szCs w:val="22"/>
          <w:rtl/>
          <w:lang w:val="en-US"/>
        </w:rPr>
      </w:pPr>
      <w:r w:rsidRPr="00BA67EE">
        <w:rPr>
          <w:rFonts w:asciiTheme="majorBidi" w:hAnsiTheme="majorBidi" w:cstheme="majorBidi"/>
          <w:sz w:val="22"/>
          <w:szCs w:val="22"/>
          <w:lang w:val="en-US"/>
        </w:rPr>
        <w:t>Bruce, E., Kinnear, S., Clark, T., Ottewell, K. and Dubey, M. (</w:t>
      </w:r>
      <w:proofErr w:type="gramStart"/>
      <w:r w:rsidRPr="00BA67EE">
        <w:rPr>
          <w:rFonts w:asciiTheme="majorBidi" w:hAnsiTheme="majorBidi" w:cstheme="majorBidi"/>
          <w:sz w:val="22"/>
          <w:szCs w:val="22"/>
          <w:lang w:val="en-US"/>
        </w:rPr>
        <w:t>2025)‘</w:t>
      </w:r>
      <w:proofErr w:type="gramEnd"/>
      <w:r w:rsidRPr="00BA67EE">
        <w:rPr>
          <w:rFonts w:asciiTheme="majorBidi" w:hAnsiTheme="majorBidi" w:cstheme="majorBidi"/>
          <w:sz w:val="22"/>
          <w:szCs w:val="22"/>
          <w:lang w:val="en-US"/>
        </w:rPr>
        <w:t>The impact of English language test choice for higher education admissions in the UK: perceptions of key stakeholders’,</w:t>
      </w:r>
      <w:r w:rsidR="00233ACF">
        <w:rPr>
          <w:rFonts w:asciiTheme="majorBidi" w:hAnsiTheme="majorBidi" w:cstheme="majorBidi" w:hint="cs"/>
          <w:sz w:val="22"/>
          <w:szCs w:val="22"/>
          <w:rtl/>
          <w:lang w:val="en-US"/>
        </w:rPr>
        <w:t xml:space="preserve"> </w:t>
      </w:r>
      <w:r w:rsidRPr="00BA67EE">
        <w:rPr>
          <w:rFonts w:asciiTheme="majorBidi" w:hAnsiTheme="majorBidi" w:cstheme="majorBidi"/>
          <w:sz w:val="22"/>
          <w:szCs w:val="22"/>
          <w:lang w:val="en-US"/>
        </w:rPr>
        <w:t>ELT Journal, 79(1), pp. xx–xx</w:t>
      </w:r>
    </w:p>
    <w:p w14:paraId="01A2C10E" w14:textId="6116A9DD" w:rsidR="00C77182" w:rsidRDefault="006A01AE" w:rsidP="00233ACF">
      <w:pPr>
        <w:rPr>
          <w:rFonts w:asciiTheme="majorBidi" w:hAnsiTheme="majorBidi" w:cstheme="majorBidi"/>
          <w:sz w:val="22"/>
          <w:szCs w:val="22"/>
          <w:lang w:val="en-US"/>
        </w:rPr>
      </w:pPr>
      <w:hyperlink r:id="rId7" w:history="1">
        <w:r w:rsidRPr="001B4A5D">
          <w:rPr>
            <w:rStyle w:val="Hyperlink"/>
            <w:rFonts w:asciiTheme="majorBidi" w:hAnsiTheme="majorBidi" w:cstheme="majorBidi"/>
            <w:sz w:val="22"/>
            <w:szCs w:val="22"/>
            <w:lang w:val="en-US"/>
          </w:rPr>
          <w:t>https://doi.org/10.1093/elt/ccaf024</w:t>
        </w:r>
      </w:hyperlink>
    </w:p>
    <w:p w14:paraId="7CFE569C" w14:textId="77777777" w:rsidR="00AE6FC9" w:rsidRDefault="00F335D2" w:rsidP="00F5655E">
      <w:pPr>
        <w:rPr>
          <w:rFonts w:asciiTheme="majorBidi" w:hAnsiTheme="majorBidi" w:cstheme="majorBidi"/>
          <w:sz w:val="22"/>
          <w:szCs w:val="22"/>
          <w:lang w:val="en-US"/>
        </w:rPr>
      </w:pPr>
      <w:r w:rsidRPr="00BA67EE">
        <w:rPr>
          <w:rFonts w:asciiTheme="majorBidi" w:hAnsiTheme="majorBidi" w:cstheme="majorBidi"/>
          <w:sz w:val="22"/>
          <w:szCs w:val="22"/>
          <w:lang w:val="en-US"/>
        </w:rPr>
        <w:t xml:space="preserve">Isaacs, T., Yan, X. and Ginther, A. (2023) ‘Investigating the predictive validity of the Duolingo English Test’, </w:t>
      </w:r>
      <w:r w:rsidRPr="00BA67EE">
        <w:rPr>
          <w:rFonts w:asciiTheme="majorBidi" w:hAnsiTheme="majorBidi" w:cstheme="majorBidi"/>
          <w:i/>
          <w:iCs/>
          <w:sz w:val="22"/>
          <w:szCs w:val="22"/>
          <w:lang w:val="en-US"/>
        </w:rPr>
        <w:t>Language Testing</w:t>
      </w:r>
      <w:r w:rsidRPr="00BA67EE">
        <w:rPr>
          <w:rFonts w:asciiTheme="majorBidi" w:hAnsiTheme="majorBidi" w:cstheme="majorBidi"/>
          <w:sz w:val="22"/>
          <w:szCs w:val="22"/>
          <w:lang w:val="en-US"/>
        </w:rPr>
        <w:t xml:space="preserve">, 40(4), pp. 561–586. Available at: </w:t>
      </w:r>
    </w:p>
    <w:p w14:paraId="44730280" w14:textId="3517B1B3" w:rsidR="00C20E49" w:rsidRDefault="00C20E49" w:rsidP="00F335D2">
      <w:pPr>
        <w:jc w:val="both"/>
        <w:rPr>
          <w:rFonts w:asciiTheme="majorBidi" w:hAnsiTheme="majorBidi" w:cstheme="majorBidi"/>
          <w:sz w:val="22"/>
          <w:szCs w:val="22"/>
          <w:lang w:val="en-US"/>
        </w:rPr>
      </w:pPr>
      <w:hyperlink r:id="rId8" w:history="1">
        <w:r w:rsidRPr="001B4A5D">
          <w:rPr>
            <w:rStyle w:val="Hyperlink"/>
            <w:rFonts w:asciiTheme="majorBidi" w:hAnsiTheme="majorBidi" w:cstheme="majorBidi"/>
            <w:sz w:val="22"/>
            <w:szCs w:val="22"/>
            <w:lang w:val="en-US"/>
          </w:rPr>
          <w:t>https://journals.sagepub.com/doi/10.1177/02655322231158550</w:t>
        </w:r>
      </w:hyperlink>
    </w:p>
    <w:p w14:paraId="6DFA2895" w14:textId="3894EDC9"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Lipsky, M. (1980) </w:t>
      </w:r>
      <w:r w:rsidRPr="00BA67EE">
        <w:rPr>
          <w:rFonts w:asciiTheme="majorBidi" w:hAnsiTheme="majorBidi" w:cstheme="majorBidi"/>
          <w:i/>
          <w:iCs/>
          <w:sz w:val="22"/>
          <w:szCs w:val="22"/>
          <w:lang w:val="en-US"/>
        </w:rPr>
        <w:t>Street-Level Bureaucracy: Dilemmas of the Individual in Public Services</w:t>
      </w:r>
      <w:r w:rsidRPr="00BA67EE">
        <w:rPr>
          <w:rFonts w:asciiTheme="majorBidi" w:hAnsiTheme="majorBidi" w:cstheme="majorBidi"/>
          <w:sz w:val="22"/>
          <w:szCs w:val="22"/>
          <w:lang w:val="en-US"/>
        </w:rPr>
        <w:t>. New York: Russell Sage Foundation.</w:t>
      </w:r>
    </w:p>
    <w:p w14:paraId="30F3C195" w14:textId="0A6CE7AF"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Marks, G. and </w:t>
      </w:r>
      <w:proofErr w:type="spellStart"/>
      <w:r w:rsidRPr="00BA67EE">
        <w:rPr>
          <w:rFonts w:asciiTheme="majorBidi" w:hAnsiTheme="majorBidi" w:cstheme="majorBidi"/>
          <w:sz w:val="22"/>
          <w:szCs w:val="22"/>
          <w:lang w:val="en-US"/>
        </w:rPr>
        <w:t>Hooghe</w:t>
      </w:r>
      <w:proofErr w:type="spellEnd"/>
      <w:r w:rsidRPr="00BA67EE">
        <w:rPr>
          <w:rFonts w:asciiTheme="majorBidi" w:hAnsiTheme="majorBidi" w:cstheme="majorBidi"/>
          <w:sz w:val="22"/>
          <w:szCs w:val="22"/>
          <w:lang w:val="en-US"/>
        </w:rPr>
        <w:t xml:space="preserve">, L. (2003) ‘Unraveling the central state, but how? Types of multi-level governance’, </w:t>
      </w:r>
      <w:r w:rsidRPr="00BA67EE">
        <w:rPr>
          <w:rFonts w:asciiTheme="majorBidi" w:hAnsiTheme="majorBidi" w:cstheme="majorBidi"/>
          <w:i/>
          <w:iCs/>
          <w:sz w:val="22"/>
          <w:szCs w:val="22"/>
          <w:lang w:val="en-US"/>
        </w:rPr>
        <w:t>American Political Science Review</w:t>
      </w:r>
      <w:r w:rsidRPr="00BA67EE">
        <w:rPr>
          <w:rFonts w:asciiTheme="majorBidi" w:hAnsiTheme="majorBidi" w:cstheme="majorBidi"/>
          <w:sz w:val="22"/>
          <w:szCs w:val="22"/>
          <w:lang w:val="en-US"/>
        </w:rPr>
        <w:t xml:space="preserve">, 97(2), pp. 233–243. Available at: </w:t>
      </w:r>
      <w:hyperlink r:id="rId9" w:history="1">
        <w:r w:rsidR="00AE6FC9" w:rsidRPr="001B4A5D">
          <w:rPr>
            <w:rStyle w:val="Hyperlink"/>
            <w:rFonts w:asciiTheme="majorBidi" w:hAnsiTheme="majorBidi" w:cstheme="majorBidi"/>
            <w:sz w:val="22"/>
            <w:szCs w:val="22"/>
            <w:lang w:val="en-US"/>
          </w:rPr>
          <w:t>https://doi.org/10.1017/S0003055403000649</w:t>
        </w:r>
      </w:hyperlink>
      <w:r w:rsidRPr="00BA67EE">
        <w:rPr>
          <w:rFonts w:asciiTheme="majorBidi" w:hAnsiTheme="majorBidi" w:cstheme="majorBidi"/>
          <w:sz w:val="22"/>
          <w:szCs w:val="22"/>
          <w:lang w:val="en-US"/>
        </w:rPr>
        <w:br/>
      </w:r>
    </w:p>
    <w:p w14:paraId="125648E0"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McNamara, T. and Knoch, U. (2019) </w:t>
      </w:r>
      <w:r w:rsidRPr="00BA67EE">
        <w:rPr>
          <w:rFonts w:asciiTheme="majorBidi" w:hAnsiTheme="majorBidi" w:cstheme="majorBidi"/>
          <w:i/>
          <w:iCs/>
          <w:sz w:val="22"/>
          <w:szCs w:val="22"/>
          <w:lang w:val="en-US"/>
        </w:rPr>
        <w:t>Fairness, Justice and Language Assessment</w:t>
      </w:r>
      <w:r w:rsidRPr="00BA67EE">
        <w:rPr>
          <w:rFonts w:asciiTheme="majorBidi" w:hAnsiTheme="majorBidi" w:cstheme="majorBidi"/>
          <w:sz w:val="22"/>
          <w:szCs w:val="22"/>
          <w:lang w:val="en-US"/>
        </w:rPr>
        <w:t>. Oxford: Oxford University Press.</w:t>
      </w:r>
    </w:p>
    <w:p w14:paraId="13366164"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McNamara, T. and Roever, C. (2006) </w:t>
      </w:r>
      <w:r w:rsidRPr="00BA67EE">
        <w:rPr>
          <w:rFonts w:asciiTheme="majorBidi" w:hAnsiTheme="majorBidi" w:cstheme="majorBidi"/>
          <w:i/>
          <w:iCs/>
          <w:sz w:val="22"/>
          <w:szCs w:val="22"/>
          <w:lang w:val="en-US"/>
        </w:rPr>
        <w:t>Language Testing: The Social Dimension</w:t>
      </w:r>
      <w:r w:rsidRPr="00BA67EE">
        <w:rPr>
          <w:rFonts w:asciiTheme="majorBidi" w:hAnsiTheme="majorBidi" w:cstheme="majorBidi"/>
          <w:sz w:val="22"/>
          <w:szCs w:val="22"/>
          <w:lang w:val="en-US"/>
        </w:rPr>
        <w:t>. Oxford: Blackwell.</w:t>
      </w:r>
    </w:p>
    <w:p w14:paraId="2842ECA8"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Ozga, J. (2000) </w:t>
      </w:r>
      <w:r w:rsidRPr="00BA67EE">
        <w:rPr>
          <w:rFonts w:asciiTheme="majorBidi" w:hAnsiTheme="majorBidi" w:cstheme="majorBidi"/>
          <w:i/>
          <w:iCs/>
          <w:sz w:val="22"/>
          <w:szCs w:val="22"/>
          <w:lang w:val="en-US"/>
        </w:rPr>
        <w:t>Policy Research in Educational Settings: Contested Terrain</w:t>
      </w:r>
      <w:r w:rsidRPr="00BA67EE">
        <w:rPr>
          <w:rFonts w:asciiTheme="majorBidi" w:hAnsiTheme="majorBidi" w:cstheme="majorBidi"/>
          <w:sz w:val="22"/>
          <w:szCs w:val="22"/>
          <w:lang w:val="en-US"/>
        </w:rPr>
        <w:t>. Buckingham: Open University Press.</w:t>
      </w:r>
    </w:p>
    <w:p w14:paraId="2A7DACC5"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Park, Y., Cardwell, R. and Naismith, B. (2024) </w:t>
      </w:r>
      <w:r w:rsidRPr="00BA67EE">
        <w:rPr>
          <w:rFonts w:asciiTheme="majorBidi" w:hAnsiTheme="majorBidi" w:cstheme="majorBidi"/>
          <w:i/>
          <w:iCs/>
          <w:sz w:val="22"/>
          <w:szCs w:val="22"/>
          <w:lang w:val="en-US"/>
        </w:rPr>
        <w:t>Assessing Vocabulary on the Duolingo English Test</w:t>
      </w:r>
      <w:r w:rsidRPr="00BA67EE">
        <w:rPr>
          <w:rFonts w:asciiTheme="majorBidi" w:hAnsiTheme="majorBidi" w:cstheme="majorBidi"/>
          <w:sz w:val="22"/>
          <w:szCs w:val="22"/>
          <w:lang w:val="en-US"/>
        </w:rPr>
        <w:t>. Duolingo Research Report DRR-24-01. Available at:</w:t>
      </w:r>
      <w:r w:rsidRPr="00BA67EE">
        <w:rPr>
          <w:rFonts w:asciiTheme="majorBidi" w:hAnsiTheme="majorBidi" w:cstheme="majorBidi"/>
          <w:sz w:val="22"/>
          <w:szCs w:val="22"/>
          <w:lang w:val="en-US"/>
        </w:rPr>
        <w:br/>
      </w:r>
      <w:hyperlink r:id="rId10" w:tgtFrame="_new" w:history="1">
        <w:r w:rsidRPr="00BA67EE">
          <w:rPr>
            <w:rStyle w:val="Hyperlink"/>
            <w:rFonts w:asciiTheme="majorBidi" w:hAnsiTheme="majorBidi" w:cstheme="majorBidi"/>
            <w:sz w:val="22"/>
            <w:szCs w:val="22"/>
            <w:lang w:val="en-US"/>
          </w:rPr>
          <w:t>https://go.duolingo.com/vocabulary</w:t>
        </w:r>
      </w:hyperlink>
      <w:r w:rsidRPr="00BA67EE">
        <w:rPr>
          <w:rFonts w:asciiTheme="majorBidi" w:hAnsiTheme="majorBidi" w:cstheme="majorBidi"/>
          <w:sz w:val="22"/>
          <w:szCs w:val="22"/>
          <w:lang w:val="en-US"/>
        </w:rPr>
        <w:t xml:space="preserve"> (Accessed: 18 December 2025).</w:t>
      </w:r>
    </w:p>
    <w:p w14:paraId="3259BCD6"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Pressman, J.L. and Wildavsky, A. (1973) </w:t>
      </w:r>
      <w:r w:rsidRPr="00BA67EE">
        <w:rPr>
          <w:rFonts w:asciiTheme="majorBidi" w:hAnsiTheme="majorBidi" w:cstheme="majorBidi"/>
          <w:i/>
          <w:iCs/>
          <w:sz w:val="22"/>
          <w:szCs w:val="22"/>
          <w:lang w:val="en-US"/>
        </w:rPr>
        <w:t>Implementation: How Great Expectations in Washington Are Dashed in Oakland</w:t>
      </w:r>
      <w:r w:rsidRPr="00BA67EE">
        <w:rPr>
          <w:rFonts w:asciiTheme="majorBidi" w:hAnsiTheme="majorBidi" w:cstheme="majorBidi"/>
          <w:sz w:val="22"/>
          <w:szCs w:val="22"/>
          <w:lang w:val="en-US"/>
        </w:rPr>
        <w:t>. Berkeley: University of California Press.</w:t>
      </w:r>
    </w:p>
    <w:p w14:paraId="37AE2B38"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UCAS (2023) </w:t>
      </w:r>
      <w:r w:rsidRPr="00BA67EE">
        <w:rPr>
          <w:rFonts w:asciiTheme="majorBidi" w:hAnsiTheme="majorBidi" w:cstheme="majorBidi"/>
          <w:i/>
          <w:iCs/>
          <w:sz w:val="22"/>
          <w:szCs w:val="22"/>
          <w:lang w:val="en-US"/>
        </w:rPr>
        <w:t>Fair Admissions Principles</w:t>
      </w:r>
      <w:r w:rsidRPr="00BA67EE">
        <w:rPr>
          <w:rFonts w:asciiTheme="majorBidi" w:hAnsiTheme="majorBidi" w:cstheme="majorBidi"/>
          <w:sz w:val="22"/>
          <w:szCs w:val="22"/>
          <w:lang w:val="en-US"/>
        </w:rPr>
        <w:t>. Available at:</w:t>
      </w:r>
      <w:r w:rsidRPr="00BA67EE">
        <w:rPr>
          <w:rFonts w:asciiTheme="majorBidi" w:hAnsiTheme="majorBidi" w:cstheme="majorBidi"/>
          <w:sz w:val="22"/>
          <w:szCs w:val="22"/>
          <w:lang w:val="en-US"/>
        </w:rPr>
        <w:br/>
      </w:r>
      <w:hyperlink r:id="rId11" w:tgtFrame="_new" w:history="1">
        <w:r w:rsidRPr="00BA67EE">
          <w:rPr>
            <w:rStyle w:val="Hyperlink"/>
            <w:rFonts w:asciiTheme="majorBidi" w:hAnsiTheme="majorBidi" w:cstheme="majorBidi"/>
            <w:sz w:val="22"/>
            <w:szCs w:val="22"/>
            <w:lang w:val="en-US"/>
          </w:rPr>
          <w:t>https://www.ucas.com/advisers/supporting-you-advisers/fair-admissions-principles</w:t>
        </w:r>
      </w:hyperlink>
      <w:r w:rsidRPr="00BA67EE">
        <w:rPr>
          <w:rFonts w:asciiTheme="majorBidi" w:hAnsiTheme="majorBidi" w:cstheme="majorBidi"/>
          <w:sz w:val="22"/>
          <w:szCs w:val="22"/>
          <w:lang w:val="en-US"/>
        </w:rPr>
        <w:t xml:space="preserve"> (Accessed: 18 December 2025).</w:t>
      </w:r>
    </w:p>
    <w:p w14:paraId="2FBCD624" w14:textId="77777777" w:rsidR="00F335D2" w:rsidRPr="00BA67EE" w:rsidRDefault="00F335D2" w:rsidP="00F335D2">
      <w:pPr>
        <w:jc w:val="both"/>
        <w:rPr>
          <w:rFonts w:asciiTheme="majorBidi" w:hAnsiTheme="majorBidi" w:cstheme="majorBidi"/>
          <w:sz w:val="22"/>
          <w:szCs w:val="22"/>
          <w:lang w:val="en-US"/>
        </w:rPr>
      </w:pPr>
      <w:r w:rsidRPr="00BA67EE">
        <w:rPr>
          <w:rFonts w:asciiTheme="majorBidi" w:hAnsiTheme="majorBidi" w:cstheme="majorBidi"/>
          <w:sz w:val="22"/>
          <w:szCs w:val="22"/>
          <w:lang w:val="en-US"/>
        </w:rPr>
        <w:t xml:space="preserve">UK Visas and Immigration (2024) </w:t>
      </w:r>
      <w:r w:rsidRPr="00BA67EE">
        <w:rPr>
          <w:rFonts w:asciiTheme="majorBidi" w:hAnsiTheme="majorBidi" w:cstheme="majorBidi"/>
          <w:i/>
          <w:iCs/>
          <w:sz w:val="22"/>
          <w:szCs w:val="22"/>
          <w:lang w:val="en-US"/>
        </w:rPr>
        <w:t>Secure English Language Tests (SELT)</w:t>
      </w:r>
      <w:r w:rsidRPr="00BA67EE">
        <w:rPr>
          <w:rFonts w:asciiTheme="majorBidi" w:hAnsiTheme="majorBidi" w:cstheme="majorBidi"/>
          <w:sz w:val="22"/>
          <w:szCs w:val="22"/>
          <w:lang w:val="en-US"/>
        </w:rPr>
        <w:t>. Available at:</w:t>
      </w:r>
      <w:r w:rsidRPr="00BA67EE">
        <w:rPr>
          <w:rFonts w:asciiTheme="majorBidi" w:hAnsiTheme="majorBidi" w:cstheme="majorBidi"/>
          <w:sz w:val="22"/>
          <w:szCs w:val="22"/>
          <w:lang w:val="en-US"/>
        </w:rPr>
        <w:br/>
      </w:r>
      <w:hyperlink r:id="rId12" w:tgtFrame="_new" w:history="1">
        <w:r w:rsidRPr="00BA67EE">
          <w:rPr>
            <w:rStyle w:val="Hyperlink"/>
            <w:rFonts w:asciiTheme="majorBidi" w:hAnsiTheme="majorBidi" w:cstheme="majorBidi"/>
            <w:sz w:val="22"/>
            <w:szCs w:val="22"/>
            <w:lang w:val="en-US"/>
          </w:rPr>
          <w:t>https://www.gov.uk/guidance/prove-your-english-language-abilities-with-a-secure-english-language-test-selt</w:t>
        </w:r>
      </w:hyperlink>
      <w:r w:rsidRPr="00BA67EE">
        <w:rPr>
          <w:rFonts w:asciiTheme="majorBidi" w:hAnsiTheme="majorBidi" w:cstheme="majorBidi"/>
          <w:sz w:val="22"/>
          <w:szCs w:val="22"/>
          <w:lang w:val="en-US"/>
        </w:rPr>
        <w:t xml:space="preserve"> (Accessed: 18 December 2025).</w:t>
      </w:r>
    </w:p>
    <w:p w14:paraId="40A98B5F" w14:textId="5D61DDF6" w:rsidR="008C77A5" w:rsidRPr="00BA67EE" w:rsidRDefault="00F335D2" w:rsidP="00BC6EF9">
      <w:pPr>
        <w:jc w:val="both"/>
        <w:rPr>
          <w:rFonts w:asciiTheme="majorBidi" w:hAnsiTheme="majorBidi" w:cstheme="majorBidi"/>
          <w:sz w:val="22"/>
          <w:szCs w:val="22"/>
        </w:rPr>
      </w:pPr>
      <w:r w:rsidRPr="00BA67EE">
        <w:rPr>
          <w:rFonts w:asciiTheme="majorBidi" w:hAnsiTheme="majorBidi" w:cstheme="majorBidi"/>
          <w:sz w:val="22"/>
          <w:szCs w:val="22"/>
          <w:lang w:val="en-US"/>
        </w:rPr>
        <w:t xml:space="preserve">Yao, D. (2023) ‘Examining the subjective fairness of at-home and online tests: taking the Duolingo English Test as an example’, </w:t>
      </w:r>
      <w:r w:rsidRPr="00BA67EE">
        <w:rPr>
          <w:rFonts w:asciiTheme="majorBidi" w:hAnsiTheme="majorBidi" w:cstheme="majorBidi"/>
          <w:i/>
          <w:iCs/>
          <w:sz w:val="22"/>
          <w:szCs w:val="22"/>
          <w:lang w:val="en-US"/>
        </w:rPr>
        <w:t>PLOS ONE</w:t>
      </w:r>
      <w:r w:rsidRPr="00BA67EE">
        <w:rPr>
          <w:rFonts w:asciiTheme="majorBidi" w:hAnsiTheme="majorBidi" w:cstheme="majorBidi"/>
          <w:sz w:val="22"/>
          <w:szCs w:val="22"/>
          <w:lang w:val="en-US"/>
        </w:rPr>
        <w:t>, 18(9), e0291629. Available at:</w:t>
      </w:r>
      <w:r w:rsidRPr="00BA67EE">
        <w:rPr>
          <w:rFonts w:asciiTheme="majorBidi" w:hAnsiTheme="majorBidi" w:cstheme="majorBidi"/>
          <w:sz w:val="22"/>
          <w:szCs w:val="22"/>
          <w:lang w:val="en-US"/>
        </w:rPr>
        <w:br/>
        <w:t>https://doi.org/10.1371/journal.pone.0291629</w:t>
      </w:r>
    </w:p>
    <w:sectPr w:rsidR="008C77A5" w:rsidRPr="00BA6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76BA2"/>
    <w:multiLevelType w:val="multilevel"/>
    <w:tmpl w:val="F0A47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074AA"/>
    <w:multiLevelType w:val="multilevel"/>
    <w:tmpl w:val="ED52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AC0950"/>
    <w:multiLevelType w:val="multilevel"/>
    <w:tmpl w:val="CFA46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2112B1"/>
    <w:multiLevelType w:val="multilevel"/>
    <w:tmpl w:val="77FC7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D50954"/>
    <w:multiLevelType w:val="multilevel"/>
    <w:tmpl w:val="10BAF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F5AE4"/>
    <w:multiLevelType w:val="multilevel"/>
    <w:tmpl w:val="2CF8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611CEF"/>
    <w:multiLevelType w:val="multilevel"/>
    <w:tmpl w:val="84182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F33AC4"/>
    <w:multiLevelType w:val="multilevel"/>
    <w:tmpl w:val="507C2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C5253A"/>
    <w:multiLevelType w:val="multilevel"/>
    <w:tmpl w:val="DAB4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2474F5"/>
    <w:multiLevelType w:val="multilevel"/>
    <w:tmpl w:val="6F9E7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B31EDB"/>
    <w:multiLevelType w:val="multilevel"/>
    <w:tmpl w:val="D88AC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AC0602"/>
    <w:multiLevelType w:val="multilevel"/>
    <w:tmpl w:val="7BBC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AF508D"/>
    <w:multiLevelType w:val="multilevel"/>
    <w:tmpl w:val="CA162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3F582D"/>
    <w:multiLevelType w:val="multilevel"/>
    <w:tmpl w:val="F8E2A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0D175E"/>
    <w:multiLevelType w:val="multilevel"/>
    <w:tmpl w:val="2D3EE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654A50"/>
    <w:multiLevelType w:val="multilevel"/>
    <w:tmpl w:val="321CB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C60574"/>
    <w:multiLevelType w:val="multilevel"/>
    <w:tmpl w:val="D5828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4FB2126"/>
    <w:multiLevelType w:val="multilevel"/>
    <w:tmpl w:val="D696D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30111DE"/>
    <w:multiLevelType w:val="multilevel"/>
    <w:tmpl w:val="27E01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6C6ADA"/>
    <w:multiLevelType w:val="multilevel"/>
    <w:tmpl w:val="DBA49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8D6A13"/>
    <w:multiLevelType w:val="multilevel"/>
    <w:tmpl w:val="6AF83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BE3E1A"/>
    <w:multiLevelType w:val="multilevel"/>
    <w:tmpl w:val="567E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F83CB6"/>
    <w:multiLevelType w:val="multilevel"/>
    <w:tmpl w:val="BF6E9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C66838"/>
    <w:multiLevelType w:val="multilevel"/>
    <w:tmpl w:val="D7C4F2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20D2A5E"/>
    <w:multiLevelType w:val="multilevel"/>
    <w:tmpl w:val="2050E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094AE9"/>
    <w:multiLevelType w:val="multilevel"/>
    <w:tmpl w:val="293E9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8384DAA"/>
    <w:multiLevelType w:val="multilevel"/>
    <w:tmpl w:val="94B8E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7007416">
    <w:abstractNumId w:val="23"/>
  </w:num>
  <w:num w:numId="2" w16cid:durableId="1869416123">
    <w:abstractNumId w:val="15"/>
  </w:num>
  <w:num w:numId="3" w16cid:durableId="1899972965">
    <w:abstractNumId w:val="17"/>
  </w:num>
  <w:num w:numId="4" w16cid:durableId="477259375">
    <w:abstractNumId w:val="13"/>
  </w:num>
  <w:num w:numId="5" w16cid:durableId="159732035">
    <w:abstractNumId w:val="16"/>
  </w:num>
  <w:num w:numId="6" w16cid:durableId="293869173">
    <w:abstractNumId w:val="4"/>
  </w:num>
  <w:num w:numId="7" w16cid:durableId="1571576421">
    <w:abstractNumId w:val="19"/>
  </w:num>
  <w:num w:numId="8" w16cid:durableId="1436755405">
    <w:abstractNumId w:val="11"/>
  </w:num>
  <w:num w:numId="9" w16cid:durableId="586885000">
    <w:abstractNumId w:val="3"/>
  </w:num>
  <w:num w:numId="10" w16cid:durableId="944768360">
    <w:abstractNumId w:val="25"/>
  </w:num>
  <w:num w:numId="11" w16cid:durableId="1595550732">
    <w:abstractNumId w:val="20"/>
  </w:num>
  <w:num w:numId="12" w16cid:durableId="198130024">
    <w:abstractNumId w:val="2"/>
  </w:num>
  <w:num w:numId="13" w16cid:durableId="929705775">
    <w:abstractNumId w:val="18"/>
  </w:num>
  <w:num w:numId="14" w16cid:durableId="784541143">
    <w:abstractNumId w:val="10"/>
  </w:num>
  <w:num w:numId="15" w16cid:durableId="244531911">
    <w:abstractNumId w:val="7"/>
  </w:num>
  <w:num w:numId="16" w16cid:durableId="135073651">
    <w:abstractNumId w:val="9"/>
  </w:num>
  <w:num w:numId="17" w16cid:durableId="487094946">
    <w:abstractNumId w:val="0"/>
  </w:num>
  <w:num w:numId="18" w16cid:durableId="810905232">
    <w:abstractNumId w:val="5"/>
  </w:num>
  <w:num w:numId="19" w16cid:durableId="2143573921">
    <w:abstractNumId w:val="1"/>
  </w:num>
  <w:num w:numId="20" w16cid:durableId="1642273237">
    <w:abstractNumId w:val="24"/>
  </w:num>
  <w:num w:numId="21" w16cid:durableId="575822988">
    <w:abstractNumId w:val="22"/>
  </w:num>
  <w:num w:numId="22" w16cid:durableId="1341933612">
    <w:abstractNumId w:val="14"/>
  </w:num>
  <w:num w:numId="23" w16cid:durableId="1728643429">
    <w:abstractNumId w:val="8"/>
  </w:num>
  <w:num w:numId="24" w16cid:durableId="902060547">
    <w:abstractNumId w:val="6"/>
  </w:num>
  <w:num w:numId="25" w16cid:durableId="627469295">
    <w:abstractNumId w:val="21"/>
  </w:num>
  <w:num w:numId="26" w16cid:durableId="1363478657">
    <w:abstractNumId w:val="26"/>
  </w:num>
  <w:num w:numId="27" w16cid:durableId="14237954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4510"/>
    <w:rsid w:val="00013BC1"/>
    <w:rsid w:val="00025214"/>
    <w:rsid w:val="00094955"/>
    <w:rsid w:val="00094DE3"/>
    <w:rsid w:val="00115D68"/>
    <w:rsid w:val="0012099E"/>
    <w:rsid w:val="00124858"/>
    <w:rsid w:val="001A3455"/>
    <w:rsid w:val="001C0D89"/>
    <w:rsid w:val="00206082"/>
    <w:rsid w:val="00233ACF"/>
    <w:rsid w:val="002C779D"/>
    <w:rsid w:val="002D65BD"/>
    <w:rsid w:val="00300A92"/>
    <w:rsid w:val="00304510"/>
    <w:rsid w:val="00371DEE"/>
    <w:rsid w:val="00426141"/>
    <w:rsid w:val="00453CA3"/>
    <w:rsid w:val="00515BB9"/>
    <w:rsid w:val="005532F7"/>
    <w:rsid w:val="00597F52"/>
    <w:rsid w:val="005E5BF5"/>
    <w:rsid w:val="005F4DAC"/>
    <w:rsid w:val="006508B3"/>
    <w:rsid w:val="00674236"/>
    <w:rsid w:val="006A01AE"/>
    <w:rsid w:val="006E0ABF"/>
    <w:rsid w:val="00741A15"/>
    <w:rsid w:val="00754A94"/>
    <w:rsid w:val="007E464E"/>
    <w:rsid w:val="008463E2"/>
    <w:rsid w:val="0087435C"/>
    <w:rsid w:val="008C77A5"/>
    <w:rsid w:val="00934C81"/>
    <w:rsid w:val="009A0D97"/>
    <w:rsid w:val="00A14E2A"/>
    <w:rsid w:val="00A54451"/>
    <w:rsid w:val="00AA7828"/>
    <w:rsid w:val="00AE2E48"/>
    <w:rsid w:val="00AE6FC9"/>
    <w:rsid w:val="00B26557"/>
    <w:rsid w:val="00B840A5"/>
    <w:rsid w:val="00BA2A54"/>
    <w:rsid w:val="00BA67EE"/>
    <w:rsid w:val="00BC6EF9"/>
    <w:rsid w:val="00BD7F6B"/>
    <w:rsid w:val="00C20E49"/>
    <w:rsid w:val="00C77182"/>
    <w:rsid w:val="00D2066E"/>
    <w:rsid w:val="00D24FD0"/>
    <w:rsid w:val="00D30921"/>
    <w:rsid w:val="00D647EC"/>
    <w:rsid w:val="00D933C3"/>
    <w:rsid w:val="00DE2A3C"/>
    <w:rsid w:val="00EC1055"/>
    <w:rsid w:val="00ED61E8"/>
    <w:rsid w:val="00F00484"/>
    <w:rsid w:val="00F335D2"/>
    <w:rsid w:val="00F5655E"/>
    <w:rsid w:val="00F67FA0"/>
    <w:rsid w:val="00F7092E"/>
    <w:rsid w:val="00F94D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B2C91"/>
  <w15:chartTrackingRefBased/>
  <w15:docId w15:val="{3DCAB684-5BDC-4D18-B90D-FC0F82992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5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45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45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5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5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5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5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5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5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5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45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45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5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5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5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5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5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510"/>
    <w:rPr>
      <w:rFonts w:eastAsiaTheme="majorEastAsia" w:cstheme="majorBidi"/>
      <w:color w:val="272727" w:themeColor="text1" w:themeTint="D8"/>
    </w:rPr>
  </w:style>
  <w:style w:type="paragraph" w:styleId="Title">
    <w:name w:val="Title"/>
    <w:basedOn w:val="Normal"/>
    <w:next w:val="Normal"/>
    <w:link w:val="TitleChar"/>
    <w:uiPriority w:val="10"/>
    <w:qFormat/>
    <w:rsid w:val="003045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5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5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5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510"/>
    <w:pPr>
      <w:spacing w:before="160"/>
      <w:jc w:val="center"/>
    </w:pPr>
    <w:rPr>
      <w:i/>
      <w:iCs/>
      <w:color w:val="404040" w:themeColor="text1" w:themeTint="BF"/>
    </w:rPr>
  </w:style>
  <w:style w:type="character" w:customStyle="1" w:styleId="QuoteChar">
    <w:name w:val="Quote Char"/>
    <w:basedOn w:val="DefaultParagraphFont"/>
    <w:link w:val="Quote"/>
    <w:uiPriority w:val="29"/>
    <w:rsid w:val="00304510"/>
    <w:rPr>
      <w:i/>
      <w:iCs/>
      <w:color w:val="404040" w:themeColor="text1" w:themeTint="BF"/>
    </w:rPr>
  </w:style>
  <w:style w:type="paragraph" w:styleId="ListParagraph">
    <w:name w:val="List Paragraph"/>
    <w:basedOn w:val="Normal"/>
    <w:uiPriority w:val="34"/>
    <w:qFormat/>
    <w:rsid w:val="00304510"/>
    <w:pPr>
      <w:ind w:left="720"/>
      <w:contextualSpacing/>
    </w:pPr>
  </w:style>
  <w:style w:type="character" w:styleId="IntenseEmphasis">
    <w:name w:val="Intense Emphasis"/>
    <w:basedOn w:val="DefaultParagraphFont"/>
    <w:uiPriority w:val="21"/>
    <w:qFormat/>
    <w:rsid w:val="00304510"/>
    <w:rPr>
      <w:i/>
      <w:iCs/>
      <w:color w:val="0F4761" w:themeColor="accent1" w:themeShade="BF"/>
    </w:rPr>
  </w:style>
  <w:style w:type="paragraph" w:styleId="IntenseQuote">
    <w:name w:val="Intense Quote"/>
    <w:basedOn w:val="Normal"/>
    <w:next w:val="Normal"/>
    <w:link w:val="IntenseQuoteChar"/>
    <w:uiPriority w:val="30"/>
    <w:qFormat/>
    <w:rsid w:val="003045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510"/>
    <w:rPr>
      <w:i/>
      <w:iCs/>
      <w:color w:val="0F4761" w:themeColor="accent1" w:themeShade="BF"/>
    </w:rPr>
  </w:style>
  <w:style w:type="character" w:styleId="IntenseReference">
    <w:name w:val="Intense Reference"/>
    <w:basedOn w:val="DefaultParagraphFont"/>
    <w:uiPriority w:val="32"/>
    <w:qFormat/>
    <w:rsid w:val="00304510"/>
    <w:rPr>
      <w:b/>
      <w:bCs/>
      <w:smallCaps/>
      <w:color w:val="0F4761" w:themeColor="accent1" w:themeShade="BF"/>
      <w:spacing w:val="5"/>
    </w:rPr>
  </w:style>
  <w:style w:type="character" w:styleId="Hyperlink">
    <w:name w:val="Hyperlink"/>
    <w:basedOn w:val="DefaultParagraphFont"/>
    <w:uiPriority w:val="99"/>
    <w:unhideWhenUsed/>
    <w:rsid w:val="00304510"/>
    <w:rPr>
      <w:color w:val="467886" w:themeColor="hyperlink"/>
      <w:u w:val="single"/>
    </w:rPr>
  </w:style>
  <w:style w:type="character" w:customStyle="1" w:styleId="UnresolvedMention1">
    <w:name w:val="Unresolved Mention1"/>
    <w:basedOn w:val="DefaultParagraphFont"/>
    <w:uiPriority w:val="99"/>
    <w:semiHidden/>
    <w:unhideWhenUsed/>
    <w:rsid w:val="00304510"/>
    <w:rPr>
      <w:color w:val="605E5C"/>
      <w:shd w:val="clear" w:color="auto" w:fill="E1DFDD"/>
    </w:rPr>
  </w:style>
  <w:style w:type="table" w:styleId="PlainTable2">
    <w:name w:val="Plain Table 2"/>
    <w:basedOn w:val="TableNormal"/>
    <w:uiPriority w:val="42"/>
    <w:rsid w:val="0042614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unhideWhenUsed/>
    <w:rsid w:val="00A5445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A54451"/>
    <w:rPr>
      <w:b/>
      <w:bCs/>
    </w:rPr>
  </w:style>
  <w:style w:type="character" w:styleId="Emphasis">
    <w:name w:val="Emphasis"/>
    <w:basedOn w:val="DefaultParagraphFont"/>
    <w:uiPriority w:val="20"/>
    <w:qFormat/>
    <w:rsid w:val="0087435C"/>
    <w:rPr>
      <w:i/>
      <w:iCs/>
    </w:rPr>
  </w:style>
  <w:style w:type="character" w:styleId="UnresolvedMention">
    <w:name w:val="Unresolved Mention"/>
    <w:basedOn w:val="DefaultParagraphFont"/>
    <w:uiPriority w:val="99"/>
    <w:semiHidden/>
    <w:unhideWhenUsed/>
    <w:rsid w:val="00F565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97408">
      <w:bodyDiv w:val="1"/>
      <w:marLeft w:val="0"/>
      <w:marRight w:val="0"/>
      <w:marTop w:val="0"/>
      <w:marBottom w:val="0"/>
      <w:divBdr>
        <w:top w:val="none" w:sz="0" w:space="0" w:color="auto"/>
        <w:left w:val="none" w:sz="0" w:space="0" w:color="auto"/>
        <w:bottom w:val="none" w:sz="0" w:space="0" w:color="auto"/>
        <w:right w:val="none" w:sz="0" w:space="0" w:color="auto"/>
      </w:divBdr>
    </w:div>
    <w:div w:id="22903205">
      <w:bodyDiv w:val="1"/>
      <w:marLeft w:val="0"/>
      <w:marRight w:val="0"/>
      <w:marTop w:val="0"/>
      <w:marBottom w:val="0"/>
      <w:divBdr>
        <w:top w:val="none" w:sz="0" w:space="0" w:color="auto"/>
        <w:left w:val="none" w:sz="0" w:space="0" w:color="auto"/>
        <w:bottom w:val="none" w:sz="0" w:space="0" w:color="auto"/>
        <w:right w:val="none" w:sz="0" w:space="0" w:color="auto"/>
      </w:divBdr>
    </w:div>
    <w:div w:id="79765308">
      <w:bodyDiv w:val="1"/>
      <w:marLeft w:val="0"/>
      <w:marRight w:val="0"/>
      <w:marTop w:val="0"/>
      <w:marBottom w:val="0"/>
      <w:divBdr>
        <w:top w:val="none" w:sz="0" w:space="0" w:color="auto"/>
        <w:left w:val="none" w:sz="0" w:space="0" w:color="auto"/>
        <w:bottom w:val="none" w:sz="0" w:space="0" w:color="auto"/>
        <w:right w:val="none" w:sz="0" w:space="0" w:color="auto"/>
      </w:divBdr>
    </w:div>
    <w:div w:id="79835100">
      <w:bodyDiv w:val="1"/>
      <w:marLeft w:val="0"/>
      <w:marRight w:val="0"/>
      <w:marTop w:val="0"/>
      <w:marBottom w:val="0"/>
      <w:divBdr>
        <w:top w:val="none" w:sz="0" w:space="0" w:color="auto"/>
        <w:left w:val="none" w:sz="0" w:space="0" w:color="auto"/>
        <w:bottom w:val="none" w:sz="0" w:space="0" w:color="auto"/>
        <w:right w:val="none" w:sz="0" w:space="0" w:color="auto"/>
      </w:divBdr>
    </w:div>
    <w:div w:id="88039101">
      <w:bodyDiv w:val="1"/>
      <w:marLeft w:val="0"/>
      <w:marRight w:val="0"/>
      <w:marTop w:val="0"/>
      <w:marBottom w:val="0"/>
      <w:divBdr>
        <w:top w:val="none" w:sz="0" w:space="0" w:color="auto"/>
        <w:left w:val="none" w:sz="0" w:space="0" w:color="auto"/>
        <w:bottom w:val="none" w:sz="0" w:space="0" w:color="auto"/>
        <w:right w:val="none" w:sz="0" w:space="0" w:color="auto"/>
      </w:divBdr>
      <w:divsChild>
        <w:div w:id="1512722668">
          <w:marLeft w:val="0"/>
          <w:marRight w:val="0"/>
          <w:marTop w:val="0"/>
          <w:marBottom w:val="0"/>
          <w:divBdr>
            <w:top w:val="none" w:sz="0" w:space="0" w:color="auto"/>
            <w:left w:val="none" w:sz="0" w:space="0" w:color="auto"/>
            <w:bottom w:val="none" w:sz="0" w:space="0" w:color="auto"/>
            <w:right w:val="none" w:sz="0" w:space="0" w:color="auto"/>
          </w:divBdr>
          <w:divsChild>
            <w:div w:id="772363259">
              <w:marLeft w:val="0"/>
              <w:marRight w:val="0"/>
              <w:marTop w:val="0"/>
              <w:marBottom w:val="0"/>
              <w:divBdr>
                <w:top w:val="none" w:sz="0" w:space="0" w:color="auto"/>
                <w:left w:val="none" w:sz="0" w:space="0" w:color="auto"/>
                <w:bottom w:val="none" w:sz="0" w:space="0" w:color="auto"/>
                <w:right w:val="none" w:sz="0" w:space="0" w:color="auto"/>
              </w:divBdr>
              <w:divsChild>
                <w:div w:id="910891548">
                  <w:marLeft w:val="0"/>
                  <w:marRight w:val="0"/>
                  <w:marTop w:val="0"/>
                  <w:marBottom w:val="0"/>
                  <w:divBdr>
                    <w:top w:val="none" w:sz="0" w:space="0" w:color="auto"/>
                    <w:left w:val="none" w:sz="0" w:space="0" w:color="auto"/>
                    <w:bottom w:val="none" w:sz="0" w:space="0" w:color="auto"/>
                    <w:right w:val="none" w:sz="0" w:space="0" w:color="auto"/>
                  </w:divBdr>
                  <w:divsChild>
                    <w:div w:id="910776808">
                      <w:marLeft w:val="0"/>
                      <w:marRight w:val="0"/>
                      <w:marTop w:val="0"/>
                      <w:marBottom w:val="0"/>
                      <w:divBdr>
                        <w:top w:val="none" w:sz="0" w:space="0" w:color="auto"/>
                        <w:left w:val="none" w:sz="0" w:space="0" w:color="auto"/>
                        <w:bottom w:val="none" w:sz="0" w:space="0" w:color="auto"/>
                        <w:right w:val="none" w:sz="0" w:space="0" w:color="auto"/>
                      </w:divBdr>
                      <w:divsChild>
                        <w:div w:id="1657417619">
                          <w:marLeft w:val="0"/>
                          <w:marRight w:val="0"/>
                          <w:marTop w:val="0"/>
                          <w:marBottom w:val="0"/>
                          <w:divBdr>
                            <w:top w:val="none" w:sz="0" w:space="0" w:color="auto"/>
                            <w:left w:val="none" w:sz="0" w:space="0" w:color="auto"/>
                            <w:bottom w:val="none" w:sz="0" w:space="0" w:color="auto"/>
                            <w:right w:val="none" w:sz="0" w:space="0" w:color="auto"/>
                          </w:divBdr>
                          <w:divsChild>
                            <w:div w:id="180284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94830">
      <w:bodyDiv w:val="1"/>
      <w:marLeft w:val="0"/>
      <w:marRight w:val="0"/>
      <w:marTop w:val="0"/>
      <w:marBottom w:val="0"/>
      <w:divBdr>
        <w:top w:val="none" w:sz="0" w:space="0" w:color="auto"/>
        <w:left w:val="none" w:sz="0" w:space="0" w:color="auto"/>
        <w:bottom w:val="none" w:sz="0" w:space="0" w:color="auto"/>
        <w:right w:val="none" w:sz="0" w:space="0" w:color="auto"/>
      </w:divBdr>
    </w:div>
    <w:div w:id="163520962">
      <w:bodyDiv w:val="1"/>
      <w:marLeft w:val="0"/>
      <w:marRight w:val="0"/>
      <w:marTop w:val="0"/>
      <w:marBottom w:val="0"/>
      <w:divBdr>
        <w:top w:val="none" w:sz="0" w:space="0" w:color="auto"/>
        <w:left w:val="none" w:sz="0" w:space="0" w:color="auto"/>
        <w:bottom w:val="none" w:sz="0" w:space="0" w:color="auto"/>
        <w:right w:val="none" w:sz="0" w:space="0" w:color="auto"/>
      </w:divBdr>
    </w:div>
    <w:div w:id="168299405">
      <w:bodyDiv w:val="1"/>
      <w:marLeft w:val="0"/>
      <w:marRight w:val="0"/>
      <w:marTop w:val="0"/>
      <w:marBottom w:val="0"/>
      <w:divBdr>
        <w:top w:val="none" w:sz="0" w:space="0" w:color="auto"/>
        <w:left w:val="none" w:sz="0" w:space="0" w:color="auto"/>
        <w:bottom w:val="none" w:sz="0" w:space="0" w:color="auto"/>
        <w:right w:val="none" w:sz="0" w:space="0" w:color="auto"/>
      </w:divBdr>
    </w:div>
    <w:div w:id="213662086">
      <w:bodyDiv w:val="1"/>
      <w:marLeft w:val="0"/>
      <w:marRight w:val="0"/>
      <w:marTop w:val="0"/>
      <w:marBottom w:val="0"/>
      <w:divBdr>
        <w:top w:val="none" w:sz="0" w:space="0" w:color="auto"/>
        <w:left w:val="none" w:sz="0" w:space="0" w:color="auto"/>
        <w:bottom w:val="none" w:sz="0" w:space="0" w:color="auto"/>
        <w:right w:val="none" w:sz="0" w:space="0" w:color="auto"/>
      </w:divBdr>
    </w:div>
    <w:div w:id="335425072">
      <w:bodyDiv w:val="1"/>
      <w:marLeft w:val="0"/>
      <w:marRight w:val="0"/>
      <w:marTop w:val="0"/>
      <w:marBottom w:val="0"/>
      <w:divBdr>
        <w:top w:val="none" w:sz="0" w:space="0" w:color="auto"/>
        <w:left w:val="none" w:sz="0" w:space="0" w:color="auto"/>
        <w:bottom w:val="none" w:sz="0" w:space="0" w:color="auto"/>
        <w:right w:val="none" w:sz="0" w:space="0" w:color="auto"/>
      </w:divBdr>
      <w:divsChild>
        <w:div w:id="7256823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0206303">
      <w:bodyDiv w:val="1"/>
      <w:marLeft w:val="0"/>
      <w:marRight w:val="0"/>
      <w:marTop w:val="0"/>
      <w:marBottom w:val="0"/>
      <w:divBdr>
        <w:top w:val="none" w:sz="0" w:space="0" w:color="auto"/>
        <w:left w:val="none" w:sz="0" w:space="0" w:color="auto"/>
        <w:bottom w:val="none" w:sz="0" w:space="0" w:color="auto"/>
        <w:right w:val="none" w:sz="0" w:space="0" w:color="auto"/>
      </w:divBdr>
    </w:div>
    <w:div w:id="427820132">
      <w:bodyDiv w:val="1"/>
      <w:marLeft w:val="0"/>
      <w:marRight w:val="0"/>
      <w:marTop w:val="0"/>
      <w:marBottom w:val="0"/>
      <w:divBdr>
        <w:top w:val="none" w:sz="0" w:space="0" w:color="auto"/>
        <w:left w:val="none" w:sz="0" w:space="0" w:color="auto"/>
        <w:bottom w:val="none" w:sz="0" w:space="0" w:color="auto"/>
        <w:right w:val="none" w:sz="0" w:space="0" w:color="auto"/>
      </w:divBdr>
    </w:div>
    <w:div w:id="631062013">
      <w:bodyDiv w:val="1"/>
      <w:marLeft w:val="0"/>
      <w:marRight w:val="0"/>
      <w:marTop w:val="0"/>
      <w:marBottom w:val="0"/>
      <w:divBdr>
        <w:top w:val="none" w:sz="0" w:space="0" w:color="auto"/>
        <w:left w:val="none" w:sz="0" w:space="0" w:color="auto"/>
        <w:bottom w:val="none" w:sz="0" w:space="0" w:color="auto"/>
        <w:right w:val="none" w:sz="0" w:space="0" w:color="auto"/>
      </w:divBdr>
    </w:div>
    <w:div w:id="643780249">
      <w:bodyDiv w:val="1"/>
      <w:marLeft w:val="0"/>
      <w:marRight w:val="0"/>
      <w:marTop w:val="0"/>
      <w:marBottom w:val="0"/>
      <w:divBdr>
        <w:top w:val="none" w:sz="0" w:space="0" w:color="auto"/>
        <w:left w:val="none" w:sz="0" w:space="0" w:color="auto"/>
        <w:bottom w:val="none" w:sz="0" w:space="0" w:color="auto"/>
        <w:right w:val="none" w:sz="0" w:space="0" w:color="auto"/>
      </w:divBdr>
    </w:div>
    <w:div w:id="646938025">
      <w:bodyDiv w:val="1"/>
      <w:marLeft w:val="0"/>
      <w:marRight w:val="0"/>
      <w:marTop w:val="0"/>
      <w:marBottom w:val="0"/>
      <w:divBdr>
        <w:top w:val="none" w:sz="0" w:space="0" w:color="auto"/>
        <w:left w:val="none" w:sz="0" w:space="0" w:color="auto"/>
        <w:bottom w:val="none" w:sz="0" w:space="0" w:color="auto"/>
        <w:right w:val="none" w:sz="0" w:space="0" w:color="auto"/>
      </w:divBdr>
    </w:div>
    <w:div w:id="700127907">
      <w:bodyDiv w:val="1"/>
      <w:marLeft w:val="0"/>
      <w:marRight w:val="0"/>
      <w:marTop w:val="0"/>
      <w:marBottom w:val="0"/>
      <w:divBdr>
        <w:top w:val="none" w:sz="0" w:space="0" w:color="auto"/>
        <w:left w:val="none" w:sz="0" w:space="0" w:color="auto"/>
        <w:bottom w:val="none" w:sz="0" w:space="0" w:color="auto"/>
        <w:right w:val="none" w:sz="0" w:space="0" w:color="auto"/>
      </w:divBdr>
    </w:div>
    <w:div w:id="740518982">
      <w:bodyDiv w:val="1"/>
      <w:marLeft w:val="0"/>
      <w:marRight w:val="0"/>
      <w:marTop w:val="0"/>
      <w:marBottom w:val="0"/>
      <w:divBdr>
        <w:top w:val="none" w:sz="0" w:space="0" w:color="auto"/>
        <w:left w:val="none" w:sz="0" w:space="0" w:color="auto"/>
        <w:bottom w:val="none" w:sz="0" w:space="0" w:color="auto"/>
        <w:right w:val="none" w:sz="0" w:space="0" w:color="auto"/>
      </w:divBdr>
    </w:div>
    <w:div w:id="790127967">
      <w:bodyDiv w:val="1"/>
      <w:marLeft w:val="0"/>
      <w:marRight w:val="0"/>
      <w:marTop w:val="0"/>
      <w:marBottom w:val="0"/>
      <w:divBdr>
        <w:top w:val="none" w:sz="0" w:space="0" w:color="auto"/>
        <w:left w:val="none" w:sz="0" w:space="0" w:color="auto"/>
        <w:bottom w:val="none" w:sz="0" w:space="0" w:color="auto"/>
        <w:right w:val="none" w:sz="0" w:space="0" w:color="auto"/>
      </w:divBdr>
    </w:div>
    <w:div w:id="798106140">
      <w:bodyDiv w:val="1"/>
      <w:marLeft w:val="0"/>
      <w:marRight w:val="0"/>
      <w:marTop w:val="0"/>
      <w:marBottom w:val="0"/>
      <w:divBdr>
        <w:top w:val="none" w:sz="0" w:space="0" w:color="auto"/>
        <w:left w:val="none" w:sz="0" w:space="0" w:color="auto"/>
        <w:bottom w:val="none" w:sz="0" w:space="0" w:color="auto"/>
        <w:right w:val="none" w:sz="0" w:space="0" w:color="auto"/>
      </w:divBdr>
      <w:divsChild>
        <w:div w:id="453328785">
          <w:marLeft w:val="0"/>
          <w:marRight w:val="0"/>
          <w:marTop w:val="0"/>
          <w:marBottom w:val="0"/>
          <w:divBdr>
            <w:top w:val="none" w:sz="0" w:space="0" w:color="auto"/>
            <w:left w:val="none" w:sz="0" w:space="0" w:color="auto"/>
            <w:bottom w:val="none" w:sz="0" w:space="0" w:color="auto"/>
            <w:right w:val="none" w:sz="0" w:space="0" w:color="auto"/>
          </w:divBdr>
          <w:divsChild>
            <w:div w:id="158021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488919">
      <w:bodyDiv w:val="1"/>
      <w:marLeft w:val="0"/>
      <w:marRight w:val="0"/>
      <w:marTop w:val="0"/>
      <w:marBottom w:val="0"/>
      <w:divBdr>
        <w:top w:val="none" w:sz="0" w:space="0" w:color="auto"/>
        <w:left w:val="none" w:sz="0" w:space="0" w:color="auto"/>
        <w:bottom w:val="none" w:sz="0" w:space="0" w:color="auto"/>
        <w:right w:val="none" w:sz="0" w:space="0" w:color="auto"/>
      </w:divBdr>
    </w:div>
    <w:div w:id="922837543">
      <w:bodyDiv w:val="1"/>
      <w:marLeft w:val="0"/>
      <w:marRight w:val="0"/>
      <w:marTop w:val="0"/>
      <w:marBottom w:val="0"/>
      <w:divBdr>
        <w:top w:val="none" w:sz="0" w:space="0" w:color="auto"/>
        <w:left w:val="none" w:sz="0" w:space="0" w:color="auto"/>
        <w:bottom w:val="none" w:sz="0" w:space="0" w:color="auto"/>
        <w:right w:val="none" w:sz="0" w:space="0" w:color="auto"/>
      </w:divBdr>
    </w:div>
    <w:div w:id="930311423">
      <w:bodyDiv w:val="1"/>
      <w:marLeft w:val="0"/>
      <w:marRight w:val="0"/>
      <w:marTop w:val="0"/>
      <w:marBottom w:val="0"/>
      <w:divBdr>
        <w:top w:val="none" w:sz="0" w:space="0" w:color="auto"/>
        <w:left w:val="none" w:sz="0" w:space="0" w:color="auto"/>
        <w:bottom w:val="none" w:sz="0" w:space="0" w:color="auto"/>
        <w:right w:val="none" w:sz="0" w:space="0" w:color="auto"/>
      </w:divBdr>
    </w:div>
    <w:div w:id="968978387">
      <w:bodyDiv w:val="1"/>
      <w:marLeft w:val="0"/>
      <w:marRight w:val="0"/>
      <w:marTop w:val="0"/>
      <w:marBottom w:val="0"/>
      <w:divBdr>
        <w:top w:val="none" w:sz="0" w:space="0" w:color="auto"/>
        <w:left w:val="none" w:sz="0" w:space="0" w:color="auto"/>
        <w:bottom w:val="none" w:sz="0" w:space="0" w:color="auto"/>
        <w:right w:val="none" w:sz="0" w:space="0" w:color="auto"/>
      </w:divBdr>
    </w:div>
    <w:div w:id="1000044781">
      <w:bodyDiv w:val="1"/>
      <w:marLeft w:val="0"/>
      <w:marRight w:val="0"/>
      <w:marTop w:val="0"/>
      <w:marBottom w:val="0"/>
      <w:divBdr>
        <w:top w:val="none" w:sz="0" w:space="0" w:color="auto"/>
        <w:left w:val="none" w:sz="0" w:space="0" w:color="auto"/>
        <w:bottom w:val="none" w:sz="0" w:space="0" w:color="auto"/>
        <w:right w:val="none" w:sz="0" w:space="0" w:color="auto"/>
      </w:divBdr>
    </w:div>
    <w:div w:id="1001085467">
      <w:bodyDiv w:val="1"/>
      <w:marLeft w:val="0"/>
      <w:marRight w:val="0"/>
      <w:marTop w:val="0"/>
      <w:marBottom w:val="0"/>
      <w:divBdr>
        <w:top w:val="none" w:sz="0" w:space="0" w:color="auto"/>
        <w:left w:val="none" w:sz="0" w:space="0" w:color="auto"/>
        <w:bottom w:val="none" w:sz="0" w:space="0" w:color="auto"/>
        <w:right w:val="none" w:sz="0" w:space="0" w:color="auto"/>
      </w:divBdr>
      <w:divsChild>
        <w:div w:id="8786701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12953092">
      <w:bodyDiv w:val="1"/>
      <w:marLeft w:val="0"/>
      <w:marRight w:val="0"/>
      <w:marTop w:val="0"/>
      <w:marBottom w:val="0"/>
      <w:divBdr>
        <w:top w:val="none" w:sz="0" w:space="0" w:color="auto"/>
        <w:left w:val="none" w:sz="0" w:space="0" w:color="auto"/>
        <w:bottom w:val="none" w:sz="0" w:space="0" w:color="auto"/>
        <w:right w:val="none" w:sz="0" w:space="0" w:color="auto"/>
      </w:divBdr>
    </w:div>
    <w:div w:id="1167135064">
      <w:bodyDiv w:val="1"/>
      <w:marLeft w:val="0"/>
      <w:marRight w:val="0"/>
      <w:marTop w:val="0"/>
      <w:marBottom w:val="0"/>
      <w:divBdr>
        <w:top w:val="none" w:sz="0" w:space="0" w:color="auto"/>
        <w:left w:val="none" w:sz="0" w:space="0" w:color="auto"/>
        <w:bottom w:val="none" w:sz="0" w:space="0" w:color="auto"/>
        <w:right w:val="none" w:sz="0" w:space="0" w:color="auto"/>
      </w:divBdr>
    </w:div>
    <w:div w:id="1280062733">
      <w:bodyDiv w:val="1"/>
      <w:marLeft w:val="0"/>
      <w:marRight w:val="0"/>
      <w:marTop w:val="0"/>
      <w:marBottom w:val="0"/>
      <w:divBdr>
        <w:top w:val="none" w:sz="0" w:space="0" w:color="auto"/>
        <w:left w:val="none" w:sz="0" w:space="0" w:color="auto"/>
        <w:bottom w:val="none" w:sz="0" w:space="0" w:color="auto"/>
        <w:right w:val="none" w:sz="0" w:space="0" w:color="auto"/>
      </w:divBdr>
    </w:div>
    <w:div w:id="1365911110">
      <w:bodyDiv w:val="1"/>
      <w:marLeft w:val="0"/>
      <w:marRight w:val="0"/>
      <w:marTop w:val="0"/>
      <w:marBottom w:val="0"/>
      <w:divBdr>
        <w:top w:val="none" w:sz="0" w:space="0" w:color="auto"/>
        <w:left w:val="none" w:sz="0" w:space="0" w:color="auto"/>
        <w:bottom w:val="none" w:sz="0" w:space="0" w:color="auto"/>
        <w:right w:val="none" w:sz="0" w:space="0" w:color="auto"/>
      </w:divBdr>
    </w:div>
    <w:div w:id="1425879663">
      <w:bodyDiv w:val="1"/>
      <w:marLeft w:val="0"/>
      <w:marRight w:val="0"/>
      <w:marTop w:val="0"/>
      <w:marBottom w:val="0"/>
      <w:divBdr>
        <w:top w:val="none" w:sz="0" w:space="0" w:color="auto"/>
        <w:left w:val="none" w:sz="0" w:space="0" w:color="auto"/>
        <w:bottom w:val="none" w:sz="0" w:space="0" w:color="auto"/>
        <w:right w:val="none" w:sz="0" w:space="0" w:color="auto"/>
      </w:divBdr>
      <w:divsChild>
        <w:div w:id="5697344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29083830">
      <w:bodyDiv w:val="1"/>
      <w:marLeft w:val="0"/>
      <w:marRight w:val="0"/>
      <w:marTop w:val="0"/>
      <w:marBottom w:val="0"/>
      <w:divBdr>
        <w:top w:val="none" w:sz="0" w:space="0" w:color="auto"/>
        <w:left w:val="none" w:sz="0" w:space="0" w:color="auto"/>
        <w:bottom w:val="none" w:sz="0" w:space="0" w:color="auto"/>
        <w:right w:val="none" w:sz="0" w:space="0" w:color="auto"/>
      </w:divBdr>
    </w:div>
    <w:div w:id="1475105588">
      <w:bodyDiv w:val="1"/>
      <w:marLeft w:val="0"/>
      <w:marRight w:val="0"/>
      <w:marTop w:val="0"/>
      <w:marBottom w:val="0"/>
      <w:divBdr>
        <w:top w:val="none" w:sz="0" w:space="0" w:color="auto"/>
        <w:left w:val="none" w:sz="0" w:space="0" w:color="auto"/>
        <w:bottom w:val="none" w:sz="0" w:space="0" w:color="auto"/>
        <w:right w:val="none" w:sz="0" w:space="0" w:color="auto"/>
      </w:divBdr>
    </w:div>
    <w:div w:id="1549144321">
      <w:bodyDiv w:val="1"/>
      <w:marLeft w:val="0"/>
      <w:marRight w:val="0"/>
      <w:marTop w:val="0"/>
      <w:marBottom w:val="0"/>
      <w:divBdr>
        <w:top w:val="none" w:sz="0" w:space="0" w:color="auto"/>
        <w:left w:val="none" w:sz="0" w:space="0" w:color="auto"/>
        <w:bottom w:val="none" w:sz="0" w:space="0" w:color="auto"/>
        <w:right w:val="none" w:sz="0" w:space="0" w:color="auto"/>
      </w:divBdr>
    </w:div>
    <w:div w:id="1549415298">
      <w:bodyDiv w:val="1"/>
      <w:marLeft w:val="0"/>
      <w:marRight w:val="0"/>
      <w:marTop w:val="0"/>
      <w:marBottom w:val="0"/>
      <w:divBdr>
        <w:top w:val="none" w:sz="0" w:space="0" w:color="auto"/>
        <w:left w:val="none" w:sz="0" w:space="0" w:color="auto"/>
        <w:bottom w:val="none" w:sz="0" w:space="0" w:color="auto"/>
        <w:right w:val="none" w:sz="0" w:space="0" w:color="auto"/>
      </w:divBdr>
    </w:div>
    <w:div w:id="1802262514">
      <w:bodyDiv w:val="1"/>
      <w:marLeft w:val="0"/>
      <w:marRight w:val="0"/>
      <w:marTop w:val="0"/>
      <w:marBottom w:val="0"/>
      <w:divBdr>
        <w:top w:val="none" w:sz="0" w:space="0" w:color="auto"/>
        <w:left w:val="none" w:sz="0" w:space="0" w:color="auto"/>
        <w:bottom w:val="none" w:sz="0" w:space="0" w:color="auto"/>
        <w:right w:val="none" w:sz="0" w:space="0" w:color="auto"/>
      </w:divBdr>
    </w:div>
    <w:div w:id="1806579238">
      <w:bodyDiv w:val="1"/>
      <w:marLeft w:val="0"/>
      <w:marRight w:val="0"/>
      <w:marTop w:val="0"/>
      <w:marBottom w:val="0"/>
      <w:divBdr>
        <w:top w:val="none" w:sz="0" w:space="0" w:color="auto"/>
        <w:left w:val="none" w:sz="0" w:space="0" w:color="auto"/>
        <w:bottom w:val="none" w:sz="0" w:space="0" w:color="auto"/>
        <w:right w:val="none" w:sz="0" w:space="0" w:color="auto"/>
      </w:divBdr>
    </w:div>
    <w:div w:id="1820026505">
      <w:bodyDiv w:val="1"/>
      <w:marLeft w:val="0"/>
      <w:marRight w:val="0"/>
      <w:marTop w:val="0"/>
      <w:marBottom w:val="0"/>
      <w:divBdr>
        <w:top w:val="none" w:sz="0" w:space="0" w:color="auto"/>
        <w:left w:val="none" w:sz="0" w:space="0" w:color="auto"/>
        <w:bottom w:val="none" w:sz="0" w:space="0" w:color="auto"/>
        <w:right w:val="none" w:sz="0" w:space="0" w:color="auto"/>
      </w:divBdr>
      <w:divsChild>
        <w:div w:id="16108183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4665013">
      <w:bodyDiv w:val="1"/>
      <w:marLeft w:val="0"/>
      <w:marRight w:val="0"/>
      <w:marTop w:val="0"/>
      <w:marBottom w:val="0"/>
      <w:divBdr>
        <w:top w:val="none" w:sz="0" w:space="0" w:color="auto"/>
        <w:left w:val="none" w:sz="0" w:space="0" w:color="auto"/>
        <w:bottom w:val="none" w:sz="0" w:space="0" w:color="auto"/>
        <w:right w:val="none" w:sz="0" w:space="0" w:color="auto"/>
      </w:divBdr>
    </w:div>
    <w:div w:id="1964968164">
      <w:bodyDiv w:val="1"/>
      <w:marLeft w:val="0"/>
      <w:marRight w:val="0"/>
      <w:marTop w:val="0"/>
      <w:marBottom w:val="0"/>
      <w:divBdr>
        <w:top w:val="none" w:sz="0" w:space="0" w:color="auto"/>
        <w:left w:val="none" w:sz="0" w:space="0" w:color="auto"/>
        <w:bottom w:val="none" w:sz="0" w:space="0" w:color="auto"/>
        <w:right w:val="none" w:sz="0" w:space="0" w:color="auto"/>
      </w:divBdr>
    </w:div>
    <w:div w:id="1965310516">
      <w:bodyDiv w:val="1"/>
      <w:marLeft w:val="0"/>
      <w:marRight w:val="0"/>
      <w:marTop w:val="0"/>
      <w:marBottom w:val="0"/>
      <w:divBdr>
        <w:top w:val="none" w:sz="0" w:space="0" w:color="auto"/>
        <w:left w:val="none" w:sz="0" w:space="0" w:color="auto"/>
        <w:bottom w:val="none" w:sz="0" w:space="0" w:color="auto"/>
        <w:right w:val="none" w:sz="0" w:space="0" w:color="auto"/>
      </w:divBdr>
    </w:div>
    <w:div w:id="2000767507">
      <w:bodyDiv w:val="1"/>
      <w:marLeft w:val="0"/>
      <w:marRight w:val="0"/>
      <w:marTop w:val="0"/>
      <w:marBottom w:val="0"/>
      <w:divBdr>
        <w:top w:val="none" w:sz="0" w:space="0" w:color="auto"/>
        <w:left w:val="none" w:sz="0" w:space="0" w:color="auto"/>
        <w:bottom w:val="none" w:sz="0" w:space="0" w:color="auto"/>
        <w:right w:val="none" w:sz="0" w:space="0" w:color="auto"/>
      </w:divBdr>
    </w:div>
    <w:div w:id="2140410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0265532223115855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elt/ccaf024" TargetMode="External"/><Relationship Id="rId12" Type="http://schemas.openxmlformats.org/officeDocument/2006/relationships/hyperlink" Target="https://www.gov.uk/guidance/prove-your-english-language-abilities-with-a-secure-english-language-test-sel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0159630930130203" TargetMode="External"/><Relationship Id="rId11" Type="http://schemas.openxmlformats.org/officeDocument/2006/relationships/hyperlink" Target="https://www.ucas.com/advisers/supporting-you-advisers/fair-admissions-principles" TargetMode="External"/><Relationship Id="rId5" Type="http://schemas.openxmlformats.org/officeDocument/2006/relationships/hyperlink" Target="https://www.cardiff.ac.uk/study/international/english-language-programmes/pre-sessional-summer-courses/how-to-apply/entry-requirements?utm_source=chatgpt.com" TargetMode="External"/><Relationship Id="rId10" Type="http://schemas.openxmlformats.org/officeDocument/2006/relationships/hyperlink" Target="https://go.duolingo.com/vocabulary" TargetMode="External"/><Relationship Id="rId4" Type="http://schemas.openxmlformats.org/officeDocument/2006/relationships/webSettings" Target="webSettings.xml"/><Relationship Id="rId9" Type="http://schemas.openxmlformats.org/officeDocument/2006/relationships/hyperlink" Target="https://doi.org/10.1017/S000305540300064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11</Pages>
  <Words>4887</Words>
  <Characters>27862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roya barati</dc:creator>
  <cp:keywords/>
  <dc:description/>
  <cp:lastModifiedBy>roya barati</cp:lastModifiedBy>
  <cp:revision>20</cp:revision>
  <dcterms:created xsi:type="dcterms:W3CDTF">2025-12-22T09:08:00Z</dcterms:created>
  <dcterms:modified xsi:type="dcterms:W3CDTF">2025-12-22T10:08:00Z</dcterms:modified>
</cp:coreProperties>
</file>