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974F0" w14:textId="3CBFB0A9" w:rsidR="006D43DA" w:rsidRPr="00AC62C7" w:rsidRDefault="006D43DA" w:rsidP="00AC62C7">
      <w:pPr>
        <w:pStyle w:val="Title"/>
        <w:jc w:val="center"/>
        <w:rPr>
          <w:rFonts w:cs="Arial"/>
          <w:sz w:val="24"/>
          <w:szCs w:val="24"/>
        </w:rPr>
      </w:pPr>
      <w:r w:rsidRPr="00AC62C7">
        <w:rPr>
          <w:rFonts w:cs="Arial"/>
          <w:sz w:val="24"/>
          <w:szCs w:val="24"/>
        </w:rPr>
        <w:t xml:space="preserve">Assessment 1-Incidence of disease in communities </w:t>
      </w:r>
    </w:p>
    <w:p w14:paraId="480D2C97" w14:textId="77777777" w:rsidR="00640D52" w:rsidRPr="00AC62C7" w:rsidRDefault="00640D52" w:rsidP="00B81B51">
      <w:pPr>
        <w:pStyle w:val="Title"/>
        <w:jc w:val="center"/>
        <w:rPr>
          <w:rFonts w:cs="Arial"/>
          <w:sz w:val="24"/>
          <w:szCs w:val="24"/>
        </w:rPr>
      </w:pPr>
    </w:p>
    <w:p w14:paraId="17E7D8C0" w14:textId="3472F9EB" w:rsidR="006D43DA" w:rsidRPr="00AC62C7" w:rsidRDefault="006D43DA">
      <w:pPr>
        <w:rPr>
          <w:rFonts w:cs="Arial"/>
          <w:sz w:val="24"/>
          <w:szCs w:val="24"/>
        </w:rPr>
      </w:pPr>
    </w:p>
    <w:p w14:paraId="39EA80BE" w14:textId="7459C0BA" w:rsidR="006D43DA" w:rsidRPr="00AC62C7" w:rsidRDefault="006D43DA">
      <w:pPr>
        <w:rPr>
          <w:rFonts w:cs="Arial"/>
          <w:sz w:val="24"/>
          <w:szCs w:val="24"/>
        </w:rPr>
      </w:pPr>
    </w:p>
    <w:p w14:paraId="0EE91EEE" w14:textId="130F323B" w:rsidR="003134FF" w:rsidRDefault="004436CB">
      <w:pPr>
        <w:rPr>
          <w:rFonts w:cs="Arial"/>
          <w:sz w:val="24"/>
          <w:szCs w:val="24"/>
        </w:rPr>
      </w:pPr>
      <w:r>
        <w:rPr>
          <w:rFonts w:cs="Arial"/>
          <w:sz w:val="24"/>
          <w:szCs w:val="24"/>
        </w:rPr>
        <w:t xml:space="preserve">Ramona </w:t>
      </w:r>
      <w:r w:rsidR="003134FF">
        <w:rPr>
          <w:rFonts w:cs="Arial"/>
          <w:sz w:val="24"/>
          <w:szCs w:val="24"/>
        </w:rPr>
        <w:t xml:space="preserve">Moreanu </w:t>
      </w:r>
    </w:p>
    <w:p w14:paraId="5556149F" w14:textId="4FC338AF" w:rsidR="00A109FB" w:rsidRDefault="00A109FB">
      <w:pPr>
        <w:rPr>
          <w:rFonts w:cs="Arial"/>
          <w:sz w:val="24"/>
          <w:szCs w:val="24"/>
        </w:rPr>
      </w:pPr>
      <w:r>
        <w:rPr>
          <w:rFonts w:cs="Arial"/>
          <w:sz w:val="24"/>
          <w:szCs w:val="24"/>
        </w:rPr>
        <w:t>Student number 2213248</w:t>
      </w:r>
    </w:p>
    <w:p w14:paraId="52AE30D9" w14:textId="6A278DA0" w:rsidR="006D43DA" w:rsidRDefault="0022268B">
      <w:pPr>
        <w:rPr>
          <w:rFonts w:cs="Arial"/>
          <w:sz w:val="24"/>
          <w:szCs w:val="24"/>
        </w:rPr>
      </w:pPr>
      <w:r>
        <w:rPr>
          <w:rFonts w:cs="Arial"/>
          <w:sz w:val="24"/>
          <w:szCs w:val="24"/>
        </w:rPr>
        <w:t xml:space="preserve">Module name </w:t>
      </w:r>
      <w:r w:rsidR="006D68C0">
        <w:rPr>
          <w:rFonts w:cs="Arial"/>
          <w:sz w:val="24"/>
          <w:szCs w:val="24"/>
        </w:rPr>
        <w:t xml:space="preserve">: INTRODUCTION TO PUBLIC HEALTH </w:t>
      </w:r>
    </w:p>
    <w:p w14:paraId="30EB104C" w14:textId="3D300386" w:rsidR="006D68C0" w:rsidRDefault="006D68C0">
      <w:pPr>
        <w:rPr>
          <w:rFonts w:cs="Arial"/>
          <w:sz w:val="24"/>
          <w:szCs w:val="24"/>
        </w:rPr>
      </w:pPr>
      <w:r>
        <w:rPr>
          <w:rFonts w:cs="Arial"/>
          <w:sz w:val="24"/>
          <w:szCs w:val="24"/>
        </w:rPr>
        <w:t>Module code</w:t>
      </w:r>
      <w:r w:rsidR="00B7515D">
        <w:rPr>
          <w:rFonts w:cs="Arial"/>
          <w:sz w:val="24"/>
          <w:szCs w:val="24"/>
        </w:rPr>
        <w:t xml:space="preserve">: </w:t>
      </w:r>
      <w:r w:rsidR="00AE3972">
        <w:rPr>
          <w:rFonts w:cs="Arial"/>
          <w:sz w:val="24"/>
          <w:szCs w:val="24"/>
        </w:rPr>
        <w:t>LCHS4004</w:t>
      </w:r>
    </w:p>
    <w:p w14:paraId="160FBE45" w14:textId="44CA0C59" w:rsidR="003F0546" w:rsidRPr="00AC62C7" w:rsidRDefault="003F0546">
      <w:pPr>
        <w:rPr>
          <w:rFonts w:cs="Arial"/>
          <w:sz w:val="24"/>
          <w:szCs w:val="24"/>
        </w:rPr>
      </w:pPr>
      <w:r>
        <w:rPr>
          <w:rFonts w:cs="Arial"/>
          <w:sz w:val="24"/>
          <w:szCs w:val="24"/>
        </w:rPr>
        <w:t xml:space="preserve">Lecturer name </w:t>
      </w:r>
      <w:r w:rsidR="0056256C">
        <w:rPr>
          <w:rFonts w:cs="Arial"/>
          <w:sz w:val="24"/>
          <w:szCs w:val="24"/>
        </w:rPr>
        <w:t xml:space="preserve">Laila Surani </w:t>
      </w:r>
    </w:p>
    <w:p w14:paraId="4D8A092F" w14:textId="77777777" w:rsidR="00640D52" w:rsidRPr="00AC62C7" w:rsidRDefault="00640D52">
      <w:pPr>
        <w:rPr>
          <w:rFonts w:cs="Arial"/>
          <w:sz w:val="24"/>
          <w:szCs w:val="24"/>
        </w:rPr>
      </w:pPr>
    </w:p>
    <w:p w14:paraId="65B24E67" w14:textId="77777777" w:rsidR="00640D52" w:rsidRPr="00AC62C7" w:rsidRDefault="00640D52">
      <w:pPr>
        <w:rPr>
          <w:rFonts w:cs="Arial"/>
          <w:sz w:val="24"/>
          <w:szCs w:val="24"/>
        </w:rPr>
      </w:pPr>
    </w:p>
    <w:p w14:paraId="62A5D4A5" w14:textId="77777777" w:rsidR="00B81B51" w:rsidRPr="00AC62C7" w:rsidRDefault="00B81B51">
      <w:pPr>
        <w:rPr>
          <w:rFonts w:cs="Arial"/>
          <w:sz w:val="24"/>
          <w:szCs w:val="24"/>
        </w:rPr>
      </w:pPr>
    </w:p>
    <w:p w14:paraId="1ED28659" w14:textId="77777777" w:rsidR="00B81B51" w:rsidRPr="00AC62C7" w:rsidRDefault="00B81B51">
      <w:pPr>
        <w:rPr>
          <w:rFonts w:cs="Arial"/>
          <w:sz w:val="24"/>
          <w:szCs w:val="24"/>
        </w:rPr>
      </w:pPr>
    </w:p>
    <w:p w14:paraId="38FD74DC" w14:textId="6E78DBC2" w:rsidR="00640D52" w:rsidRPr="00AC62C7" w:rsidRDefault="00640D52">
      <w:pPr>
        <w:rPr>
          <w:rFonts w:cs="Arial"/>
          <w:sz w:val="24"/>
          <w:szCs w:val="24"/>
        </w:rPr>
      </w:pPr>
    </w:p>
    <w:p w14:paraId="2D939864" w14:textId="1249F1FF" w:rsidR="00640D52" w:rsidRPr="00AC62C7" w:rsidRDefault="00640D52">
      <w:pPr>
        <w:rPr>
          <w:rFonts w:cs="Arial"/>
          <w:sz w:val="24"/>
          <w:szCs w:val="24"/>
        </w:rPr>
      </w:pPr>
    </w:p>
    <w:p w14:paraId="39D589EC" w14:textId="5018E4BF" w:rsidR="00640D52" w:rsidRPr="00AC62C7" w:rsidRDefault="00640D52">
      <w:pPr>
        <w:rPr>
          <w:rFonts w:cs="Arial"/>
          <w:sz w:val="24"/>
          <w:szCs w:val="24"/>
        </w:rPr>
      </w:pPr>
    </w:p>
    <w:p w14:paraId="660C4E33" w14:textId="0120DA11" w:rsidR="00640D52" w:rsidRPr="00AC62C7" w:rsidRDefault="00640D52">
      <w:pPr>
        <w:rPr>
          <w:rFonts w:cs="Arial"/>
          <w:sz w:val="24"/>
          <w:szCs w:val="24"/>
        </w:rPr>
      </w:pPr>
    </w:p>
    <w:p w14:paraId="645A61FD" w14:textId="7A6E205E" w:rsidR="00640D52" w:rsidRPr="00AC62C7" w:rsidRDefault="00640D52">
      <w:pPr>
        <w:rPr>
          <w:rFonts w:cs="Arial"/>
          <w:sz w:val="24"/>
          <w:szCs w:val="24"/>
        </w:rPr>
      </w:pPr>
    </w:p>
    <w:p w14:paraId="6DDCAC4F" w14:textId="45CB3DC6" w:rsidR="00640D52" w:rsidRPr="00AC62C7" w:rsidRDefault="00640D52">
      <w:pPr>
        <w:rPr>
          <w:rFonts w:cs="Arial"/>
          <w:sz w:val="24"/>
          <w:szCs w:val="24"/>
        </w:rPr>
      </w:pPr>
    </w:p>
    <w:p w14:paraId="210D9E23" w14:textId="227869F3" w:rsidR="00640D52" w:rsidRPr="00AC62C7" w:rsidRDefault="00640D52">
      <w:pPr>
        <w:rPr>
          <w:rFonts w:cs="Arial"/>
          <w:sz w:val="24"/>
          <w:szCs w:val="24"/>
        </w:rPr>
      </w:pPr>
    </w:p>
    <w:p w14:paraId="008562D4" w14:textId="182D0070" w:rsidR="00640D52" w:rsidRPr="00AC62C7" w:rsidRDefault="00640D52">
      <w:pPr>
        <w:rPr>
          <w:rFonts w:cs="Arial"/>
          <w:sz w:val="24"/>
          <w:szCs w:val="24"/>
        </w:rPr>
      </w:pPr>
    </w:p>
    <w:p w14:paraId="11767C9E" w14:textId="099773A9" w:rsidR="00640D52" w:rsidRDefault="00640D52">
      <w:pPr>
        <w:rPr>
          <w:rFonts w:cs="Arial"/>
          <w:sz w:val="24"/>
          <w:szCs w:val="24"/>
        </w:rPr>
      </w:pPr>
    </w:p>
    <w:p w14:paraId="295E409E" w14:textId="77777777" w:rsidR="002759B5" w:rsidRDefault="002759B5">
      <w:pPr>
        <w:rPr>
          <w:rFonts w:cs="Arial"/>
          <w:sz w:val="24"/>
          <w:szCs w:val="24"/>
        </w:rPr>
      </w:pPr>
    </w:p>
    <w:p w14:paraId="323DF100" w14:textId="77777777" w:rsidR="002759B5" w:rsidRDefault="002759B5">
      <w:pPr>
        <w:rPr>
          <w:rFonts w:cs="Arial"/>
          <w:sz w:val="24"/>
          <w:szCs w:val="24"/>
        </w:rPr>
      </w:pPr>
    </w:p>
    <w:p w14:paraId="50419E72" w14:textId="77777777" w:rsidR="002759B5" w:rsidRPr="00AC62C7" w:rsidRDefault="002759B5">
      <w:pPr>
        <w:rPr>
          <w:rFonts w:cs="Arial"/>
          <w:sz w:val="24"/>
          <w:szCs w:val="24"/>
        </w:rPr>
      </w:pPr>
    </w:p>
    <w:p w14:paraId="123CC359" w14:textId="401ED7DB" w:rsidR="00640D52" w:rsidRPr="00AC62C7" w:rsidRDefault="00640D52">
      <w:pPr>
        <w:rPr>
          <w:rFonts w:cs="Arial"/>
          <w:sz w:val="24"/>
          <w:szCs w:val="24"/>
        </w:rPr>
      </w:pPr>
    </w:p>
    <w:sdt>
      <w:sdtPr>
        <w:rPr>
          <w:rFonts w:ascii="Arial" w:eastAsiaTheme="minorHAnsi" w:hAnsi="Arial" w:cstheme="minorBidi"/>
          <w:b w:val="0"/>
          <w:color w:val="auto"/>
          <w:sz w:val="22"/>
          <w:szCs w:val="22"/>
        </w:rPr>
        <w:id w:val="-1816252844"/>
        <w:docPartObj>
          <w:docPartGallery w:val="Table of Contents"/>
          <w:docPartUnique/>
        </w:docPartObj>
      </w:sdtPr>
      <w:sdtEndPr>
        <w:rPr>
          <w:bCs/>
          <w:noProof/>
          <w:sz w:val="24"/>
        </w:rPr>
      </w:sdtEndPr>
      <w:sdtContent>
        <w:p w14:paraId="0F566D40" w14:textId="1F504520" w:rsidR="00F37AE9" w:rsidRPr="00AC62C7" w:rsidRDefault="00F37AE9" w:rsidP="00AC62C7">
          <w:pPr>
            <w:pStyle w:val="TOCHeading"/>
            <w:rPr>
              <w:color w:val="4472C4" w:themeColor="accent1"/>
            </w:rPr>
          </w:pPr>
          <w:r w:rsidRPr="00AC62C7">
            <w:rPr>
              <w:color w:val="4472C4" w:themeColor="accent1"/>
            </w:rPr>
            <w:t>Table of Contents</w:t>
          </w:r>
        </w:p>
        <w:p w14:paraId="4F4BBB64" w14:textId="420AFF71" w:rsidR="00AC62C7" w:rsidRPr="00AC62C7" w:rsidRDefault="00F37AE9">
          <w:pPr>
            <w:pStyle w:val="TOC1"/>
            <w:tabs>
              <w:tab w:val="right" w:leader="dot" w:pos="9350"/>
            </w:tabs>
            <w:rPr>
              <w:rFonts w:asciiTheme="minorHAnsi" w:eastAsiaTheme="minorEastAsia" w:hAnsiTheme="minorHAnsi" w:cs="Vrinda"/>
              <w:i/>
              <w:iCs/>
              <w:noProof/>
              <w:sz w:val="24"/>
              <w:szCs w:val="30"/>
              <w:lang w:eastAsia="ko-KR" w:bidi="bn-IN"/>
            </w:rPr>
          </w:pPr>
          <w:r w:rsidRPr="00AC62C7">
            <w:rPr>
              <w:rFonts w:cs="Arial"/>
              <w:i/>
              <w:iCs/>
              <w:sz w:val="24"/>
              <w:szCs w:val="24"/>
            </w:rPr>
            <w:fldChar w:fldCharType="begin"/>
          </w:r>
          <w:r w:rsidRPr="00AC62C7">
            <w:rPr>
              <w:rFonts w:cs="Arial"/>
              <w:i/>
              <w:iCs/>
              <w:sz w:val="24"/>
              <w:szCs w:val="24"/>
            </w:rPr>
            <w:instrText xml:space="preserve"> TOC \o "1-3" \h \z \u </w:instrText>
          </w:r>
          <w:r w:rsidRPr="00AC62C7">
            <w:rPr>
              <w:rFonts w:cs="Arial"/>
              <w:i/>
              <w:iCs/>
              <w:sz w:val="24"/>
              <w:szCs w:val="24"/>
            </w:rPr>
            <w:fldChar w:fldCharType="separate"/>
          </w:r>
          <w:hyperlink w:anchor="_Toc131976203" w:history="1">
            <w:r w:rsidR="00AC62C7" w:rsidRPr="00AC62C7">
              <w:rPr>
                <w:rStyle w:val="Hyperlink"/>
                <w:i/>
                <w:iCs/>
                <w:noProof/>
              </w:rPr>
              <w:t>Task 1</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_Toc131976203 \h </w:instrText>
            </w:r>
            <w:r w:rsidR="00AC62C7" w:rsidRPr="00AC62C7">
              <w:rPr>
                <w:i/>
                <w:iCs/>
                <w:noProof/>
                <w:webHidden/>
              </w:rPr>
            </w:r>
            <w:r w:rsidR="00AC62C7" w:rsidRPr="00AC62C7">
              <w:rPr>
                <w:i/>
                <w:iCs/>
                <w:noProof/>
                <w:webHidden/>
              </w:rPr>
              <w:fldChar w:fldCharType="separate"/>
            </w:r>
            <w:r w:rsidR="00AC62C7" w:rsidRPr="00AC62C7">
              <w:rPr>
                <w:i/>
                <w:iCs/>
                <w:noProof/>
                <w:webHidden/>
              </w:rPr>
              <w:t>3</w:t>
            </w:r>
            <w:r w:rsidR="00AC62C7" w:rsidRPr="00AC62C7">
              <w:rPr>
                <w:i/>
                <w:iCs/>
                <w:noProof/>
                <w:webHidden/>
              </w:rPr>
              <w:fldChar w:fldCharType="end"/>
            </w:r>
          </w:hyperlink>
        </w:p>
        <w:p w14:paraId="2760BC67" w14:textId="3D7079D6"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4" w:history="1">
            <w:r w:rsidR="00AC62C7" w:rsidRPr="00AC62C7">
              <w:rPr>
                <w:rStyle w:val="Hyperlink"/>
                <w:i/>
                <w:iCs/>
                <w:noProof/>
              </w:rPr>
              <w:t>Task 2</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_Toc131976204 \h </w:instrText>
            </w:r>
            <w:r w:rsidR="00AC62C7" w:rsidRPr="00AC62C7">
              <w:rPr>
                <w:i/>
                <w:iCs/>
                <w:noProof/>
                <w:webHidden/>
              </w:rPr>
            </w:r>
            <w:r w:rsidR="00AC62C7" w:rsidRPr="00AC62C7">
              <w:rPr>
                <w:i/>
                <w:iCs/>
                <w:noProof/>
                <w:webHidden/>
              </w:rPr>
              <w:fldChar w:fldCharType="separate"/>
            </w:r>
            <w:r w:rsidR="00AC62C7" w:rsidRPr="00AC62C7">
              <w:rPr>
                <w:i/>
                <w:iCs/>
                <w:noProof/>
                <w:webHidden/>
              </w:rPr>
              <w:t>4</w:t>
            </w:r>
            <w:r w:rsidR="00AC62C7" w:rsidRPr="00AC62C7">
              <w:rPr>
                <w:i/>
                <w:iCs/>
                <w:noProof/>
                <w:webHidden/>
              </w:rPr>
              <w:fldChar w:fldCharType="end"/>
            </w:r>
          </w:hyperlink>
        </w:p>
        <w:p w14:paraId="4528836D" w14:textId="4DC6C495"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5" w:history="1">
            <w:r w:rsidR="00AC62C7" w:rsidRPr="00AC62C7">
              <w:rPr>
                <w:rStyle w:val="Hyperlink"/>
                <w:i/>
                <w:iCs/>
                <w:noProof/>
              </w:rPr>
              <w:t>Introduction</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_Toc131976205 \h </w:instrText>
            </w:r>
            <w:r w:rsidR="00AC62C7" w:rsidRPr="00AC62C7">
              <w:rPr>
                <w:i/>
                <w:iCs/>
                <w:noProof/>
                <w:webHidden/>
              </w:rPr>
            </w:r>
            <w:r w:rsidR="00AC62C7" w:rsidRPr="00AC62C7">
              <w:rPr>
                <w:i/>
                <w:iCs/>
                <w:noProof/>
                <w:webHidden/>
              </w:rPr>
              <w:fldChar w:fldCharType="separate"/>
            </w:r>
            <w:r w:rsidR="00AC62C7" w:rsidRPr="00AC62C7">
              <w:rPr>
                <w:i/>
                <w:iCs/>
                <w:noProof/>
                <w:webHidden/>
              </w:rPr>
              <w:t>4</w:t>
            </w:r>
            <w:r w:rsidR="00AC62C7" w:rsidRPr="00AC62C7">
              <w:rPr>
                <w:i/>
                <w:iCs/>
                <w:noProof/>
                <w:webHidden/>
              </w:rPr>
              <w:fldChar w:fldCharType="end"/>
            </w:r>
          </w:hyperlink>
        </w:p>
        <w:p w14:paraId="3E46B56E" w14:textId="4C11DC27"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6" w:history="1">
            <w:r w:rsidR="00AC62C7" w:rsidRPr="00AC62C7">
              <w:rPr>
                <w:rStyle w:val="Hyperlink"/>
                <w:i/>
                <w:iCs/>
                <w:noProof/>
              </w:rPr>
              <w:t>Strategies used in the UK to measure the incidence of chickenpox</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_Toc131976206 \h </w:instrText>
            </w:r>
            <w:r w:rsidR="00AC62C7" w:rsidRPr="00AC62C7">
              <w:rPr>
                <w:i/>
                <w:iCs/>
                <w:noProof/>
                <w:webHidden/>
              </w:rPr>
            </w:r>
            <w:r w:rsidR="00AC62C7" w:rsidRPr="00AC62C7">
              <w:rPr>
                <w:i/>
                <w:iCs/>
                <w:noProof/>
                <w:webHidden/>
              </w:rPr>
              <w:fldChar w:fldCharType="separate"/>
            </w:r>
            <w:r w:rsidR="00AC62C7" w:rsidRPr="00AC62C7">
              <w:rPr>
                <w:i/>
                <w:iCs/>
                <w:noProof/>
                <w:webHidden/>
              </w:rPr>
              <w:t>5</w:t>
            </w:r>
            <w:r w:rsidR="00AC62C7" w:rsidRPr="00AC62C7">
              <w:rPr>
                <w:i/>
                <w:iCs/>
                <w:noProof/>
                <w:webHidden/>
              </w:rPr>
              <w:fldChar w:fldCharType="end"/>
            </w:r>
          </w:hyperlink>
        </w:p>
        <w:p w14:paraId="39AB05B8" w14:textId="0ABD1B21"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7" w:history="1">
            <w:r w:rsidR="00AC62C7" w:rsidRPr="00AC62C7">
              <w:rPr>
                <w:rStyle w:val="Hyperlink"/>
                <w:i/>
                <w:iCs/>
                <w:noProof/>
              </w:rPr>
              <w:t>Strategies used in the UK to monitor the incidence of chickenpox</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_Toc131976207 \h </w:instrText>
            </w:r>
            <w:r w:rsidR="00AC62C7" w:rsidRPr="00AC62C7">
              <w:rPr>
                <w:i/>
                <w:iCs/>
                <w:noProof/>
                <w:webHidden/>
              </w:rPr>
            </w:r>
            <w:r w:rsidR="00AC62C7" w:rsidRPr="00AC62C7">
              <w:rPr>
                <w:i/>
                <w:iCs/>
                <w:noProof/>
                <w:webHidden/>
              </w:rPr>
              <w:fldChar w:fldCharType="separate"/>
            </w:r>
            <w:r w:rsidR="00AC62C7" w:rsidRPr="00AC62C7">
              <w:rPr>
                <w:i/>
                <w:iCs/>
                <w:noProof/>
                <w:webHidden/>
              </w:rPr>
              <w:t>5</w:t>
            </w:r>
            <w:r w:rsidR="00AC62C7" w:rsidRPr="00AC62C7">
              <w:rPr>
                <w:i/>
                <w:iCs/>
                <w:noProof/>
                <w:webHidden/>
              </w:rPr>
              <w:fldChar w:fldCharType="end"/>
            </w:r>
          </w:hyperlink>
        </w:p>
        <w:p w14:paraId="710725A1" w14:textId="15E863B6"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8" w:history="1">
            <w:r w:rsidR="00AC62C7" w:rsidRPr="00AC62C7">
              <w:rPr>
                <w:rStyle w:val="Hyperlink"/>
                <w:i/>
                <w:iCs/>
                <w:noProof/>
              </w:rPr>
              <w:t>Strategies used in the UK to control the incidence of chickenpox</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_Toc131976208 \h </w:instrText>
            </w:r>
            <w:r w:rsidR="00AC62C7" w:rsidRPr="00AC62C7">
              <w:rPr>
                <w:i/>
                <w:iCs/>
                <w:noProof/>
                <w:webHidden/>
              </w:rPr>
            </w:r>
            <w:r w:rsidR="00AC62C7" w:rsidRPr="00AC62C7">
              <w:rPr>
                <w:i/>
                <w:iCs/>
                <w:noProof/>
                <w:webHidden/>
              </w:rPr>
              <w:fldChar w:fldCharType="separate"/>
            </w:r>
            <w:r w:rsidR="00AC62C7" w:rsidRPr="00AC62C7">
              <w:rPr>
                <w:i/>
                <w:iCs/>
                <w:noProof/>
                <w:webHidden/>
              </w:rPr>
              <w:t>6</w:t>
            </w:r>
            <w:r w:rsidR="00AC62C7" w:rsidRPr="00AC62C7">
              <w:rPr>
                <w:i/>
                <w:iCs/>
                <w:noProof/>
                <w:webHidden/>
              </w:rPr>
              <w:fldChar w:fldCharType="end"/>
            </w:r>
          </w:hyperlink>
        </w:p>
        <w:p w14:paraId="3A3B7DC3" w14:textId="04F0B323"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09" w:history="1">
            <w:r w:rsidR="00AC62C7" w:rsidRPr="00AC62C7">
              <w:rPr>
                <w:rStyle w:val="Hyperlink"/>
                <w:i/>
                <w:iCs/>
                <w:noProof/>
              </w:rPr>
              <w:t>Conclusion</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_Toc131976209 \h </w:instrText>
            </w:r>
            <w:r w:rsidR="00AC62C7" w:rsidRPr="00AC62C7">
              <w:rPr>
                <w:i/>
                <w:iCs/>
                <w:noProof/>
                <w:webHidden/>
              </w:rPr>
            </w:r>
            <w:r w:rsidR="00AC62C7" w:rsidRPr="00AC62C7">
              <w:rPr>
                <w:i/>
                <w:iCs/>
                <w:noProof/>
                <w:webHidden/>
              </w:rPr>
              <w:fldChar w:fldCharType="separate"/>
            </w:r>
            <w:r w:rsidR="00AC62C7" w:rsidRPr="00AC62C7">
              <w:rPr>
                <w:i/>
                <w:iCs/>
                <w:noProof/>
                <w:webHidden/>
              </w:rPr>
              <w:t>7</w:t>
            </w:r>
            <w:r w:rsidR="00AC62C7" w:rsidRPr="00AC62C7">
              <w:rPr>
                <w:i/>
                <w:iCs/>
                <w:noProof/>
                <w:webHidden/>
              </w:rPr>
              <w:fldChar w:fldCharType="end"/>
            </w:r>
          </w:hyperlink>
        </w:p>
        <w:p w14:paraId="17546773" w14:textId="375CD6D6" w:rsidR="00AC62C7" w:rsidRPr="00AC62C7" w:rsidRDefault="00AE3972">
          <w:pPr>
            <w:pStyle w:val="TOC1"/>
            <w:tabs>
              <w:tab w:val="right" w:leader="dot" w:pos="9350"/>
            </w:tabs>
            <w:rPr>
              <w:rFonts w:asciiTheme="minorHAnsi" w:eastAsiaTheme="minorEastAsia" w:hAnsiTheme="minorHAnsi" w:cs="Vrinda"/>
              <w:i/>
              <w:iCs/>
              <w:noProof/>
              <w:sz w:val="24"/>
              <w:szCs w:val="30"/>
              <w:lang w:eastAsia="ko-KR" w:bidi="bn-IN"/>
            </w:rPr>
          </w:pPr>
          <w:hyperlink w:anchor="_Toc131976210" w:history="1">
            <w:r w:rsidR="00AC62C7" w:rsidRPr="00AC62C7">
              <w:rPr>
                <w:rStyle w:val="Hyperlink"/>
                <w:i/>
                <w:iCs/>
                <w:noProof/>
              </w:rPr>
              <w:t>References</w:t>
            </w:r>
            <w:r w:rsidR="00AC62C7" w:rsidRPr="00AC62C7">
              <w:rPr>
                <w:i/>
                <w:iCs/>
                <w:noProof/>
                <w:webHidden/>
              </w:rPr>
              <w:tab/>
            </w:r>
            <w:r w:rsidR="00AC62C7" w:rsidRPr="00AC62C7">
              <w:rPr>
                <w:i/>
                <w:iCs/>
                <w:noProof/>
                <w:webHidden/>
              </w:rPr>
              <w:fldChar w:fldCharType="begin"/>
            </w:r>
            <w:r w:rsidR="00AC62C7" w:rsidRPr="00AC62C7">
              <w:rPr>
                <w:i/>
                <w:iCs/>
                <w:noProof/>
                <w:webHidden/>
              </w:rPr>
              <w:instrText xml:space="preserve"> PAGEREF _Toc131976210 \h </w:instrText>
            </w:r>
            <w:r w:rsidR="00AC62C7" w:rsidRPr="00AC62C7">
              <w:rPr>
                <w:i/>
                <w:iCs/>
                <w:noProof/>
                <w:webHidden/>
              </w:rPr>
            </w:r>
            <w:r w:rsidR="00AC62C7" w:rsidRPr="00AC62C7">
              <w:rPr>
                <w:i/>
                <w:iCs/>
                <w:noProof/>
                <w:webHidden/>
              </w:rPr>
              <w:fldChar w:fldCharType="separate"/>
            </w:r>
            <w:r w:rsidR="00AC62C7" w:rsidRPr="00AC62C7">
              <w:rPr>
                <w:i/>
                <w:iCs/>
                <w:noProof/>
                <w:webHidden/>
              </w:rPr>
              <w:t>7</w:t>
            </w:r>
            <w:r w:rsidR="00AC62C7" w:rsidRPr="00AC62C7">
              <w:rPr>
                <w:i/>
                <w:iCs/>
                <w:noProof/>
                <w:webHidden/>
              </w:rPr>
              <w:fldChar w:fldCharType="end"/>
            </w:r>
          </w:hyperlink>
        </w:p>
        <w:p w14:paraId="01A9F543" w14:textId="1C1176CE" w:rsidR="00F37AE9" w:rsidRPr="00AC62C7" w:rsidRDefault="00F37AE9">
          <w:pPr>
            <w:rPr>
              <w:rFonts w:cs="Arial"/>
              <w:sz w:val="24"/>
              <w:szCs w:val="24"/>
            </w:rPr>
          </w:pPr>
          <w:r w:rsidRPr="00AC62C7">
            <w:rPr>
              <w:rFonts w:cs="Arial"/>
              <w:b/>
              <w:bCs/>
              <w:i/>
              <w:iCs/>
              <w:noProof/>
              <w:sz w:val="24"/>
              <w:szCs w:val="24"/>
            </w:rPr>
            <w:fldChar w:fldCharType="end"/>
          </w:r>
        </w:p>
      </w:sdtContent>
    </w:sdt>
    <w:p w14:paraId="55DAF326" w14:textId="4BAEDC3C" w:rsidR="00640D52" w:rsidRPr="00AC62C7" w:rsidRDefault="00640D52">
      <w:pPr>
        <w:rPr>
          <w:rFonts w:cs="Arial"/>
          <w:sz w:val="24"/>
          <w:szCs w:val="24"/>
        </w:rPr>
      </w:pPr>
    </w:p>
    <w:p w14:paraId="0E43C510" w14:textId="58EBB36E" w:rsidR="00640D52" w:rsidRPr="00AC62C7" w:rsidRDefault="00640D52">
      <w:pPr>
        <w:rPr>
          <w:rFonts w:cs="Arial"/>
          <w:sz w:val="24"/>
          <w:szCs w:val="24"/>
        </w:rPr>
      </w:pPr>
    </w:p>
    <w:p w14:paraId="654F5AC6" w14:textId="305A59A3" w:rsidR="00640D52" w:rsidRPr="00AC62C7" w:rsidRDefault="00640D52">
      <w:pPr>
        <w:rPr>
          <w:rFonts w:cs="Arial"/>
          <w:sz w:val="24"/>
          <w:szCs w:val="24"/>
        </w:rPr>
      </w:pPr>
    </w:p>
    <w:p w14:paraId="152D97C9" w14:textId="1124BE22" w:rsidR="00640D52" w:rsidRPr="00AC62C7" w:rsidRDefault="00640D52">
      <w:pPr>
        <w:rPr>
          <w:rFonts w:cs="Arial"/>
          <w:sz w:val="24"/>
          <w:szCs w:val="24"/>
        </w:rPr>
      </w:pPr>
    </w:p>
    <w:p w14:paraId="499ED619" w14:textId="6D885C50" w:rsidR="00640D52" w:rsidRPr="00AC62C7" w:rsidRDefault="00640D52">
      <w:pPr>
        <w:rPr>
          <w:rFonts w:cs="Arial"/>
          <w:sz w:val="24"/>
          <w:szCs w:val="24"/>
        </w:rPr>
      </w:pPr>
    </w:p>
    <w:p w14:paraId="234A6419" w14:textId="77EED072" w:rsidR="00640D52" w:rsidRPr="00AC62C7" w:rsidRDefault="00640D52">
      <w:pPr>
        <w:rPr>
          <w:rFonts w:cs="Arial"/>
          <w:sz w:val="24"/>
          <w:szCs w:val="24"/>
        </w:rPr>
      </w:pPr>
    </w:p>
    <w:p w14:paraId="1FBF9C8D" w14:textId="14E59FDF" w:rsidR="00640D52" w:rsidRPr="00AC62C7" w:rsidRDefault="00640D52">
      <w:pPr>
        <w:rPr>
          <w:rFonts w:cs="Arial"/>
          <w:sz w:val="24"/>
          <w:szCs w:val="24"/>
        </w:rPr>
      </w:pPr>
    </w:p>
    <w:p w14:paraId="4832EEE6" w14:textId="6503D2EE" w:rsidR="00640D52" w:rsidRPr="00AC62C7" w:rsidRDefault="00640D52">
      <w:pPr>
        <w:rPr>
          <w:rFonts w:cs="Arial"/>
          <w:sz w:val="24"/>
          <w:szCs w:val="24"/>
        </w:rPr>
      </w:pPr>
    </w:p>
    <w:p w14:paraId="5EBFEB72" w14:textId="03B85F57" w:rsidR="00640D52" w:rsidRPr="00AC62C7" w:rsidRDefault="00640D52">
      <w:pPr>
        <w:rPr>
          <w:rFonts w:cs="Arial"/>
          <w:sz w:val="24"/>
          <w:szCs w:val="24"/>
        </w:rPr>
      </w:pPr>
    </w:p>
    <w:p w14:paraId="532E47CC" w14:textId="318549FB" w:rsidR="00640D52" w:rsidRPr="00AC62C7" w:rsidRDefault="00640D52">
      <w:pPr>
        <w:rPr>
          <w:rFonts w:cs="Arial"/>
          <w:sz w:val="24"/>
          <w:szCs w:val="24"/>
        </w:rPr>
      </w:pPr>
    </w:p>
    <w:p w14:paraId="6173F919" w14:textId="392828E5" w:rsidR="00640D52" w:rsidRPr="00AC62C7" w:rsidRDefault="00640D52">
      <w:pPr>
        <w:rPr>
          <w:rFonts w:cs="Arial"/>
          <w:sz w:val="24"/>
          <w:szCs w:val="24"/>
        </w:rPr>
      </w:pPr>
    </w:p>
    <w:p w14:paraId="54B5B9D9" w14:textId="5AA79FCF" w:rsidR="00640D52" w:rsidRPr="00AC62C7" w:rsidRDefault="00640D52">
      <w:pPr>
        <w:rPr>
          <w:rFonts w:cs="Arial"/>
          <w:sz w:val="24"/>
          <w:szCs w:val="24"/>
        </w:rPr>
      </w:pPr>
    </w:p>
    <w:p w14:paraId="6BAAAA34" w14:textId="0D507D36" w:rsidR="00640D52" w:rsidRPr="00AC62C7" w:rsidRDefault="00640D52">
      <w:pPr>
        <w:rPr>
          <w:rFonts w:cs="Arial"/>
          <w:sz w:val="24"/>
          <w:szCs w:val="24"/>
        </w:rPr>
      </w:pPr>
    </w:p>
    <w:p w14:paraId="63E03EE1" w14:textId="2CD93BC5" w:rsidR="00640D52" w:rsidRPr="00AC62C7" w:rsidRDefault="00640D52">
      <w:pPr>
        <w:rPr>
          <w:rFonts w:cs="Arial"/>
          <w:sz w:val="24"/>
          <w:szCs w:val="24"/>
        </w:rPr>
      </w:pPr>
    </w:p>
    <w:p w14:paraId="68052237" w14:textId="344597DB" w:rsidR="00CF4715" w:rsidRPr="00AC62C7" w:rsidRDefault="00CF4715" w:rsidP="00AC62C7">
      <w:pPr>
        <w:pStyle w:val="Heading1"/>
      </w:pPr>
      <w:bookmarkStart w:id="0" w:name="_Toc131976203"/>
      <w:r w:rsidRPr="00AC62C7">
        <w:t>Task 1</w:t>
      </w:r>
      <w:bookmarkEnd w:id="0"/>
      <w:r w:rsidRPr="00AC62C7">
        <w:t xml:space="preserve"> </w:t>
      </w:r>
    </w:p>
    <w:p w14:paraId="52B5D0F2" w14:textId="77777777" w:rsidR="00CF4715" w:rsidRPr="00AC62C7" w:rsidRDefault="00CF4715" w:rsidP="00CF4715">
      <w:pPr>
        <w:jc w:val="center"/>
        <w:rPr>
          <w:rFonts w:cs="Arial"/>
          <w:b/>
          <w:bCs/>
          <w:sz w:val="24"/>
          <w:szCs w:val="24"/>
        </w:rPr>
      </w:pPr>
      <w:r w:rsidRPr="00AC62C7">
        <w:rPr>
          <w:rFonts w:cs="Arial"/>
          <w:b/>
          <w:bCs/>
          <w:sz w:val="24"/>
          <w:szCs w:val="24"/>
        </w:rPr>
        <w:t>Group Discussion</w:t>
      </w:r>
    </w:p>
    <w:p w14:paraId="241DBD0A" w14:textId="77777777" w:rsidR="00CF4715" w:rsidRPr="00AC62C7" w:rsidRDefault="00CF4715" w:rsidP="00CF4715">
      <w:pPr>
        <w:jc w:val="center"/>
        <w:rPr>
          <w:rFonts w:cs="Arial"/>
          <w:b/>
          <w:bCs/>
          <w:sz w:val="24"/>
          <w:szCs w:val="24"/>
        </w:rPr>
      </w:pPr>
      <w:r w:rsidRPr="00AC62C7">
        <w:rPr>
          <w:rFonts w:cs="Arial"/>
          <w:b/>
          <w:bCs/>
          <w:sz w:val="24"/>
          <w:szCs w:val="24"/>
        </w:rPr>
        <w:t xml:space="preserve">Question: Have Government public health policies aided or challenged agencies and local communities when dealing with an infectious outbreak? </w:t>
      </w:r>
    </w:p>
    <w:p w14:paraId="23E9FC68" w14:textId="77777777" w:rsidR="00CF4715" w:rsidRPr="00AC62C7" w:rsidRDefault="00CF4715" w:rsidP="00CF4715">
      <w:pPr>
        <w:rPr>
          <w:rFonts w:cs="Arial"/>
          <w:b/>
          <w:bCs/>
          <w:sz w:val="24"/>
          <w:szCs w:val="24"/>
        </w:rPr>
      </w:pPr>
    </w:p>
    <w:p w14:paraId="6284D81A" w14:textId="77777777" w:rsidR="00CF4715" w:rsidRPr="00AC62C7" w:rsidRDefault="00CF4715" w:rsidP="00CF4715">
      <w:pPr>
        <w:rPr>
          <w:rFonts w:cs="Arial"/>
          <w:sz w:val="24"/>
          <w:szCs w:val="24"/>
        </w:rPr>
      </w:pPr>
      <w:r w:rsidRPr="00AC62C7">
        <w:rPr>
          <w:rFonts w:cs="Arial"/>
          <w:sz w:val="24"/>
          <w:szCs w:val="24"/>
        </w:rPr>
        <w:t xml:space="preserve">Chickenpox is an infectious disease that mostly attacks children under age 10. Each year in the UK 100 children get affected by this result and due to this disease, twenty children die per year. Compared to adults’ children’s immune system is a little bit weaker and they suffer much also (Wagner et al., 2014).  However, it is a serious public health issue that cannot be ignored and overlooked as it is highly infectious. </w:t>
      </w:r>
    </w:p>
    <w:p w14:paraId="1D6351BD" w14:textId="031288A5" w:rsidR="00CF4715" w:rsidRPr="00AC62C7" w:rsidRDefault="00CF4715" w:rsidP="00CF4715">
      <w:pPr>
        <w:rPr>
          <w:rFonts w:cs="Arial"/>
          <w:sz w:val="24"/>
          <w:szCs w:val="24"/>
        </w:rPr>
      </w:pPr>
      <w:r w:rsidRPr="00AC62C7">
        <w:rPr>
          <w:rFonts w:cs="Arial"/>
          <w:sz w:val="24"/>
          <w:szCs w:val="24"/>
        </w:rPr>
        <w:t xml:space="preserve">The UK govt public health policies aided agencies and local communities when dealing with an infectious outbreak. The </w:t>
      </w:r>
      <w:r w:rsidR="004F158F">
        <w:rPr>
          <w:rFonts w:cs="Arial"/>
          <w:sz w:val="24"/>
          <w:szCs w:val="24"/>
        </w:rPr>
        <w:t xml:space="preserve">government </w:t>
      </w:r>
      <w:r w:rsidRPr="00AC62C7">
        <w:rPr>
          <w:rFonts w:cs="Arial"/>
          <w:sz w:val="24"/>
          <w:szCs w:val="24"/>
        </w:rPr>
        <w:t xml:space="preserve">of the UK believes that highly infectious diseases can be managed if prevention and control guidelines are reinforced properly. It is encouraged in public health that any people who are not feeling away need to stay away from others and stop attending any social gatherings. It is also mentioned in the public health policies that the place where the sick people will stay will have to be well-ventilated so that fresh air can come and a request has also been made to parents, students, or caregivers that they diagnosis the infectious disease (Gov.UK, 2023).  The public health policy also aids the local community and agencies to raise awareness among the people and tell them what support they can provide to the sick people who have been affected by an infectious virus. Public Health England (PHE) outlines the strategy for the UK </w:t>
      </w:r>
      <w:r w:rsidR="00FA2E7E">
        <w:rPr>
          <w:rFonts w:cs="Arial"/>
          <w:sz w:val="24"/>
          <w:szCs w:val="24"/>
        </w:rPr>
        <w:t xml:space="preserve">government </w:t>
      </w:r>
      <w:r w:rsidRPr="00AC62C7">
        <w:rPr>
          <w:rFonts w:cs="Arial"/>
          <w:sz w:val="24"/>
          <w:szCs w:val="24"/>
        </w:rPr>
        <w:t>to work together with infectious disease and for that, 5 years plan for 2020-2025 has been made (England Public Health, 2019). This strategy is formulated to give focus on agencies, local communities, and organisation that deal with local and public health issues to make them aware of the framework of the strategy and enhance the disease-handling capacity.</w:t>
      </w:r>
    </w:p>
    <w:p w14:paraId="65BC3CA8" w14:textId="4FF7935F" w:rsidR="00F37AE9" w:rsidRPr="00AC62C7" w:rsidRDefault="00CF4715" w:rsidP="00F37AE9">
      <w:pPr>
        <w:rPr>
          <w:rFonts w:cs="Arial"/>
          <w:sz w:val="24"/>
          <w:szCs w:val="24"/>
        </w:rPr>
      </w:pPr>
      <w:r w:rsidRPr="00AC62C7">
        <w:rPr>
          <w:rFonts w:cs="Arial"/>
          <w:sz w:val="24"/>
          <w:szCs w:val="24"/>
        </w:rPr>
        <w:t xml:space="preserve">The UK govt public health policy aids the local communities to deal with infectious diseases. To support people with chickenpox post-exposure prophylaxis is offered to individuals who are at high risk of getting chickenpox. Immunosuppressed young babies, individuals, and pregnant women fall under this offer. The local health security agency is advised to contact the </w:t>
      </w:r>
      <w:r w:rsidR="00FA2E7E">
        <w:rPr>
          <w:rFonts w:cs="Arial"/>
          <w:sz w:val="24"/>
          <w:szCs w:val="24"/>
        </w:rPr>
        <w:t xml:space="preserve">government </w:t>
      </w:r>
      <w:r w:rsidRPr="00AC62C7">
        <w:rPr>
          <w:rFonts w:cs="Arial"/>
          <w:sz w:val="24"/>
          <w:szCs w:val="24"/>
        </w:rPr>
        <w:t xml:space="preserve">health protection team when a sudden increase in infectious disease is seen or individuals are getting admitted to hospitals, or more than one infection is spreading among the same group of people (UK Health Security Agency, 2023).  There are local organisations and agencies like the Department of Health and Social Care that support people to lead healthier lives and work for funding to support the people with care and treatment. The </w:t>
      </w:r>
      <w:r w:rsidR="00FA2E7E">
        <w:rPr>
          <w:rFonts w:cs="Arial"/>
          <w:sz w:val="24"/>
          <w:szCs w:val="24"/>
        </w:rPr>
        <w:t xml:space="preserve">government </w:t>
      </w:r>
      <w:r w:rsidRPr="00AC62C7">
        <w:rPr>
          <w:rFonts w:cs="Arial"/>
          <w:sz w:val="24"/>
          <w:szCs w:val="24"/>
        </w:rPr>
        <w:t xml:space="preserve">public health policies are aiding the agencies and local communities by formulating new policies to support the people who get affected by infectious diseases. The </w:t>
      </w:r>
      <w:r w:rsidR="008A1012">
        <w:rPr>
          <w:rFonts w:cs="Arial"/>
          <w:sz w:val="24"/>
          <w:szCs w:val="24"/>
        </w:rPr>
        <w:t xml:space="preserve">government </w:t>
      </w:r>
      <w:r w:rsidRPr="00AC62C7">
        <w:rPr>
          <w:rFonts w:cs="Arial"/>
          <w:sz w:val="24"/>
          <w:szCs w:val="24"/>
        </w:rPr>
        <w:t xml:space="preserve">made the guidelines and through the help of other </w:t>
      </w:r>
      <w:r w:rsidR="008A1012">
        <w:rPr>
          <w:rFonts w:cs="Arial"/>
          <w:sz w:val="24"/>
          <w:szCs w:val="24"/>
        </w:rPr>
        <w:t xml:space="preserve">government </w:t>
      </w:r>
      <w:r w:rsidRPr="00AC62C7">
        <w:rPr>
          <w:rFonts w:cs="Arial"/>
          <w:sz w:val="24"/>
          <w:szCs w:val="24"/>
        </w:rPr>
        <w:t xml:space="preserve">health services and teams, those guidelines are delivered to local agencies. Local agencies and communities strictly follow the given guidelines and make sure that all the policies and plans are been followed properly (Gov.UK, 2023).  Furthermore, govt health protection team is always there to provide help if agencies and local communities face any kind of health issues that are related to infectious diseases. Additionally, </w:t>
      </w:r>
      <w:r w:rsidR="000D7CB2">
        <w:rPr>
          <w:rFonts w:cs="Arial"/>
          <w:sz w:val="24"/>
          <w:szCs w:val="24"/>
        </w:rPr>
        <w:t xml:space="preserve">government </w:t>
      </w:r>
      <w:r w:rsidRPr="00AC62C7">
        <w:rPr>
          <w:rFonts w:cs="Arial"/>
          <w:sz w:val="24"/>
          <w:szCs w:val="24"/>
        </w:rPr>
        <w:t xml:space="preserve">runs health campaigns, and media briefings, and provides guidelines from the field level to increase awareness among the people for infectious disease. </w:t>
      </w:r>
    </w:p>
    <w:p w14:paraId="6870FAB3" w14:textId="7D524C85" w:rsidR="00CF4715" w:rsidRPr="00AC62C7" w:rsidRDefault="00CF4715" w:rsidP="00AC62C7">
      <w:pPr>
        <w:pStyle w:val="Heading1"/>
      </w:pPr>
      <w:bookmarkStart w:id="1" w:name="_Toc131976204"/>
      <w:r w:rsidRPr="00AC62C7">
        <w:t>Task 2</w:t>
      </w:r>
      <w:bookmarkEnd w:id="1"/>
      <w:r w:rsidRPr="00AC62C7">
        <w:t xml:space="preserve"> </w:t>
      </w:r>
    </w:p>
    <w:p w14:paraId="0AE7CE12" w14:textId="27FE78E7" w:rsidR="00640D52" w:rsidRPr="00AC62C7" w:rsidRDefault="00640D52" w:rsidP="00AC62C7">
      <w:pPr>
        <w:pStyle w:val="Heading1"/>
      </w:pPr>
      <w:bookmarkStart w:id="2" w:name="_Toc131976205"/>
      <w:r w:rsidRPr="00AC62C7">
        <w:t>Introduction</w:t>
      </w:r>
      <w:bookmarkEnd w:id="2"/>
      <w:r w:rsidRPr="00AC62C7">
        <w:t xml:space="preserve"> </w:t>
      </w:r>
    </w:p>
    <w:p w14:paraId="079178C2" w14:textId="6612312C" w:rsidR="00F13AC6" w:rsidRPr="00AC62C7" w:rsidRDefault="00F13AC6" w:rsidP="00F13AC6">
      <w:pPr>
        <w:rPr>
          <w:rFonts w:cs="Arial"/>
          <w:sz w:val="24"/>
          <w:szCs w:val="24"/>
        </w:rPr>
      </w:pPr>
      <w:r w:rsidRPr="00AC62C7">
        <w:rPr>
          <w:rFonts w:cs="Arial"/>
          <w:sz w:val="24"/>
          <w:szCs w:val="24"/>
        </w:rPr>
        <w:t xml:space="preserve">The case study is about an infectious disease named chickenpox which is caused by a virus named varicella-zoster. Compared to </w:t>
      </w:r>
      <w:r w:rsidR="00297D46" w:rsidRPr="00AC62C7">
        <w:rPr>
          <w:rFonts w:cs="Arial"/>
          <w:sz w:val="24"/>
          <w:szCs w:val="24"/>
        </w:rPr>
        <w:t>adults’</w:t>
      </w:r>
      <w:r w:rsidRPr="00AC62C7">
        <w:rPr>
          <w:rFonts w:cs="Arial"/>
          <w:sz w:val="24"/>
          <w:szCs w:val="24"/>
        </w:rPr>
        <w:t xml:space="preserve"> children are prone to this </w:t>
      </w:r>
      <w:r w:rsidR="00297D46" w:rsidRPr="00AC62C7">
        <w:rPr>
          <w:rFonts w:cs="Arial"/>
          <w:sz w:val="24"/>
          <w:szCs w:val="24"/>
        </w:rPr>
        <w:t>disease. The primary symptoms of chickenpox are rashes, red spots, itch</w:t>
      </w:r>
      <w:r w:rsidR="007A3154" w:rsidRPr="00AC62C7">
        <w:rPr>
          <w:rFonts w:cs="Arial"/>
          <w:sz w:val="24"/>
          <w:szCs w:val="24"/>
        </w:rPr>
        <w:t xml:space="preserve">es, fever with high temperature, and so on. Children suffer much due to their low immune </w:t>
      </w:r>
      <w:r w:rsidR="009C6A14" w:rsidRPr="00AC62C7">
        <w:rPr>
          <w:rFonts w:cs="Arial"/>
          <w:sz w:val="24"/>
          <w:szCs w:val="24"/>
        </w:rPr>
        <w:t xml:space="preserve">systems. As this </w:t>
      </w:r>
      <w:r w:rsidR="00491677" w:rsidRPr="00AC62C7">
        <w:rPr>
          <w:rFonts w:cs="Arial"/>
          <w:sz w:val="24"/>
          <w:szCs w:val="24"/>
        </w:rPr>
        <w:t>is an infectious disease so the risk of getting affected by one too many is huge</w:t>
      </w:r>
      <w:r w:rsidR="00CF4715" w:rsidRPr="00AC62C7">
        <w:rPr>
          <w:rFonts w:cs="Arial"/>
          <w:sz w:val="24"/>
          <w:szCs w:val="24"/>
        </w:rPr>
        <w:t xml:space="preserve"> (Hoi, 2019). </w:t>
      </w:r>
      <w:r w:rsidR="00491677" w:rsidRPr="00AC62C7">
        <w:rPr>
          <w:rFonts w:cs="Arial"/>
          <w:sz w:val="24"/>
          <w:szCs w:val="24"/>
        </w:rPr>
        <w:t xml:space="preserve"> The government, local authorities, and agencies are concerned about this disease and took several strategies to measure, monitor, and control this disease. Throughout this paper, all of these issues will be discussed. </w:t>
      </w:r>
    </w:p>
    <w:p w14:paraId="0497C36F" w14:textId="74CF2B0A" w:rsidR="00491677" w:rsidRPr="00AC62C7" w:rsidRDefault="00491677" w:rsidP="00AC62C7">
      <w:pPr>
        <w:pStyle w:val="Heading1"/>
      </w:pPr>
      <w:bookmarkStart w:id="3" w:name="_Toc131976206"/>
      <w:r w:rsidRPr="00AC62C7">
        <w:t>Strategies used in the UK to measure the incidence of chickenpox</w:t>
      </w:r>
      <w:bookmarkEnd w:id="3"/>
      <w:r w:rsidRPr="00AC62C7">
        <w:t xml:space="preserve"> </w:t>
      </w:r>
    </w:p>
    <w:p w14:paraId="20EB3414" w14:textId="572D456B" w:rsidR="00640D52" w:rsidRPr="00AC62C7" w:rsidRDefault="00CE4858">
      <w:pPr>
        <w:rPr>
          <w:rFonts w:cs="Arial"/>
          <w:sz w:val="24"/>
          <w:szCs w:val="24"/>
        </w:rPr>
      </w:pPr>
      <w:r w:rsidRPr="00AC62C7">
        <w:rPr>
          <w:rFonts w:cs="Arial"/>
          <w:sz w:val="24"/>
          <w:szCs w:val="24"/>
        </w:rPr>
        <w:t xml:space="preserve">Chickenpox is a common disease that can affect people of any age. </w:t>
      </w:r>
      <w:r w:rsidR="00FB112B" w:rsidRPr="00AC62C7">
        <w:rPr>
          <w:rFonts w:cs="Arial"/>
          <w:sz w:val="24"/>
          <w:szCs w:val="24"/>
        </w:rPr>
        <w:t>In maximum cases, children are the ones who get affected by this. This disease usually gets better after one or two weeks. Several strategies are used to measure the incidence of chickenpox. The first strategy is the medial representation of chickenpox. This appears in three stages. At stage one, small and red spots start to appear on any body part of children. Gradually the red spot started to spread throughout the whole body</w:t>
      </w:r>
      <w:r w:rsidR="00CF4715" w:rsidRPr="00AC62C7">
        <w:rPr>
          <w:rFonts w:cs="Arial"/>
          <w:sz w:val="24"/>
          <w:szCs w:val="24"/>
        </w:rPr>
        <w:t xml:space="preserve"> (Gov.UK, 2023). </w:t>
      </w:r>
      <w:r w:rsidR="00FB112B" w:rsidRPr="00AC62C7">
        <w:rPr>
          <w:rFonts w:cs="Arial"/>
          <w:sz w:val="24"/>
          <w:szCs w:val="24"/>
        </w:rPr>
        <w:t xml:space="preserve"> At stage 2, </w:t>
      </w:r>
      <w:r w:rsidR="00E22A0F" w:rsidRPr="00AC62C7">
        <w:rPr>
          <w:rFonts w:cs="Arial"/>
          <w:sz w:val="24"/>
          <w:szCs w:val="24"/>
        </w:rPr>
        <w:t>the red spot becomes blisters and started to fill with fluid. That time it becomes so itchy and uncomfortable. At stage 3, some of the spots become flaky</w:t>
      </w:r>
      <w:r w:rsidR="00367012" w:rsidRPr="00AC62C7">
        <w:rPr>
          <w:rFonts w:cs="Arial"/>
          <w:sz w:val="24"/>
          <w:szCs w:val="24"/>
        </w:rPr>
        <w:t>,</w:t>
      </w:r>
      <w:r w:rsidR="00E22A0F" w:rsidRPr="00AC62C7">
        <w:rPr>
          <w:rFonts w:cs="Arial"/>
          <w:sz w:val="24"/>
          <w:szCs w:val="24"/>
        </w:rPr>
        <w:t xml:space="preserve"> and some leaks fluid. </w:t>
      </w:r>
      <w:r w:rsidR="00367012" w:rsidRPr="00AC62C7">
        <w:rPr>
          <w:rFonts w:cs="Arial"/>
          <w:sz w:val="24"/>
          <w:szCs w:val="24"/>
        </w:rPr>
        <w:t xml:space="preserve">Anyone having chickenpox can stay at home and take remedies and use the suggestions provided by the doctor. The second strategy to measure the incidence of chickenpox is to find out the number of calls that are received by 111. The call list and number are useful tools to measure how many people have taken suggestions for having chickenpox. </w:t>
      </w:r>
      <w:r w:rsidR="00E065A5" w:rsidRPr="00AC62C7">
        <w:rPr>
          <w:rFonts w:cs="Arial"/>
          <w:sz w:val="24"/>
          <w:szCs w:val="24"/>
        </w:rPr>
        <w:t>Furthermore, another strategy to measure the incidence of chickenpox is to diagnose varicella to have confirmation through the application of polymerase chain reaction by detecting skin lesions</w:t>
      </w:r>
      <w:r w:rsidR="00CF4715" w:rsidRPr="00AC62C7">
        <w:rPr>
          <w:rFonts w:cs="Arial"/>
          <w:sz w:val="24"/>
          <w:szCs w:val="24"/>
        </w:rPr>
        <w:t xml:space="preserve"> (CDC, 2021). </w:t>
      </w:r>
      <w:r w:rsidR="00E065A5" w:rsidRPr="00AC62C7">
        <w:rPr>
          <w:rFonts w:cs="Arial"/>
          <w:sz w:val="24"/>
          <w:szCs w:val="24"/>
        </w:rPr>
        <w:t xml:space="preserve"> </w:t>
      </w:r>
      <w:r w:rsidR="007C4AB4" w:rsidRPr="00AC62C7">
        <w:rPr>
          <w:rFonts w:cs="Arial"/>
          <w:sz w:val="24"/>
          <w:szCs w:val="24"/>
        </w:rPr>
        <w:t xml:space="preserve">However, from these strategies, it can be evaluated that the measurement of the chickenpox incidence is highly needed to keep others safe and at the same time keep the chickenpox-affected people safe until he or she becomes completely fine. The right way of diagnosis, medical support, and primary symptoms are useful enough to measure the incidence of this communicable disease. </w:t>
      </w:r>
    </w:p>
    <w:p w14:paraId="4963DF77" w14:textId="0A3F234A" w:rsidR="007C4AB4" w:rsidRPr="00AC62C7" w:rsidRDefault="007C4AB4" w:rsidP="00AC62C7">
      <w:pPr>
        <w:pStyle w:val="Heading1"/>
      </w:pPr>
      <w:bookmarkStart w:id="4" w:name="_Toc131976207"/>
      <w:r w:rsidRPr="00AC62C7">
        <w:t>Strategies used in the UK to monitor the incidence of chickenpox</w:t>
      </w:r>
      <w:bookmarkEnd w:id="4"/>
      <w:r w:rsidRPr="00AC62C7">
        <w:t xml:space="preserve"> </w:t>
      </w:r>
    </w:p>
    <w:p w14:paraId="33397213" w14:textId="57C4D5BC" w:rsidR="00A54B28" w:rsidRPr="00AC62C7" w:rsidRDefault="00A54B28" w:rsidP="00A54B28">
      <w:pPr>
        <w:rPr>
          <w:rFonts w:cs="Arial"/>
          <w:sz w:val="24"/>
          <w:szCs w:val="24"/>
        </w:rPr>
      </w:pPr>
      <w:r w:rsidRPr="00AC62C7">
        <w:rPr>
          <w:rFonts w:cs="Arial"/>
          <w:sz w:val="24"/>
          <w:szCs w:val="24"/>
        </w:rPr>
        <w:t xml:space="preserve">It has already been mentioned that chickenpox is a communicable disease. It is highly </w:t>
      </w:r>
      <w:r w:rsidR="00C12CD8" w:rsidRPr="00AC62C7">
        <w:rPr>
          <w:rFonts w:cs="Arial"/>
          <w:sz w:val="24"/>
          <w:szCs w:val="24"/>
        </w:rPr>
        <w:t xml:space="preserve">needed to monitor the incidence of chickenpox so that more people do not get affected by this disease. There are some strategies used in the UK to monitor the incidence of chickenpox. The first strategy is to keep the affected people separate from others as it is highly communicable. </w:t>
      </w:r>
      <w:r w:rsidR="00CC5B99" w:rsidRPr="00AC62C7">
        <w:rPr>
          <w:rFonts w:cs="Arial"/>
          <w:sz w:val="24"/>
          <w:szCs w:val="24"/>
        </w:rPr>
        <w:t>The place where the chickenpox patient will stay will have to be tidy, and neat, and air circulation will also be good. The other monitoring strategy is to keep eye on the affected people so that rashes are not touched with nails</w:t>
      </w:r>
      <w:r w:rsidR="00CF4715" w:rsidRPr="00AC62C7">
        <w:rPr>
          <w:rFonts w:cs="Arial"/>
          <w:sz w:val="24"/>
          <w:szCs w:val="24"/>
        </w:rPr>
        <w:t xml:space="preserve"> (CDC, 2021). </w:t>
      </w:r>
      <w:r w:rsidR="00CC5B99" w:rsidRPr="00AC62C7">
        <w:rPr>
          <w:rFonts w:cs="Arial"/>
          <w:sz w:val="24"/>
          <w:szCs w:val="24"/>
        </w:rPr>
        <w:t xml:space="preserve">The other thing is to monitor the treatment. If someone is taking care of children who have chickenpox then they will have to make sure that the skin infection is prevented. To treat the skin infection and rashes calamine lotion, colloidal oatmeal, and a cool bath by adding baking soda can </w:t>
      </w:r>
      <w:r w:rsidR="009C7ED6" w:rsidRPr="00AC62C7">
        <w:rPr>
          <w:rFonts w:cs="Arial"/>
          <w:sz w:val="24"/>
          <w:szCs w:val="24"/>
        </w:rPr>
        <w:t>relieve</w:t>
      </w:r>
      <w:r w:rsidR="00CC5B99" w:rsidRPr="00AC62C7">
        <w:rPr>
          <w:rFonts w:cs="Arial"/>
          <w:sz w:val="24"/>
          <w:szCs w:val="24"/>
        </w:rPr>
        <w:t xml:space="preserve"> the pain of children and adults. </w:t>
      </w:r>
      <w:r w:rsidR="009C7ED6" w:rsidRPr="00AC62C7">
        <w:rPr>
          <w:rFonts w:cs="Arial"/>
          <w:sz w:val="24"/>
          <w:szCs w:val="24"/>
        </w:rPr>
        <w:t xml:space="preserve">It will have to keep in mind that if rashes are scratched then immediately one will have to wash their hands with soap. Furthermore, it will have to monitor </w:t>
      </w:r>
      <w:r w:rsidR="0091671E" w:rsidRPr="00AC62C7">
        <w:rPr>
          <w:rFonts w:cs="Arial"/>
          <w:sz w:val="24"/>
          <w:szCs w:val="24"/>
        </w:rPr>
        <w:t>that the parents of the children do not use aspirin or any products containing aspirin to give relief to the child</w:t>
      </w:r>
      <w:r w:rsidR="00CF4715" w:rsidRPr="00AC62C7">
        <w:rPr>
          <w:rFonts w:cs="Arial"/>
          <w:sz w:val="24"/>
          <w:szCs w:val="24"/>
        </w:rPr>
        <w:t xml:space="preserve"> (Anvarovna et al., 2020). </w:t>
      </w:r>
      <w:r w:rsidR="0091671E" w:rsidRPr="00AC62C7">
        <w:rPr>
          <w:rFonts w:cs="Arial"/>
          <w:sz w:val="24"/>
          <w:szCs w:val="24"/>
        </w:rPr>
        <w:t xml:space="preserve"> Aspirin is not good for children’s health and it is also connected with Reye’s syndrome which can cause brain and liver problems in children and even the child can also die. </w:t>
      </w:r>
      <w:r w:rsidR="009C7ED6" w:rsidRPr="00AC62C7">
        <w:rPr>
          <w:rFonts w:cs="Arial"/>
          <w:sz w:val="24"/>
          <w:szCs w:val="24"/>
        </w:rPr>
        <w:t xml:space="preserve"> </w:t>
      </w:r>
      <w:r w:rsidR="0091671E" w:rsidRPr="00AC62C7">
        <w:rPr>
          <w:rFonts w:cs="Arial"/>
          <w:sz w:val="24"/>
          <w:szCs w:val="24"/>
        </w:rPr>
        <w:t xml:space="preserve">The national health institute, govt health institutions, and other agencies are monitoring the incidence of chickenpox by promoting </w:t>
      </w:r>
      <w:r w:rsidR="00AD5F7E" w:rsidRPr="00AC62C7">
        <w:rPr>
          <w:rFonts w:cs="Arial"/>
          <w:sz w:val="24"/>
          <w:szCs w:val="24"/>
        </w:rPr>
        <w:t>highly praiseworthy health programs</w:t>
      </w:r>
      <w:r w:rsidR="0091671E" w:rsidRPr="00AC62C7">
        <w:rPr>
          <w:rFonts w:cs="Arial"/>
          <w:sz w:val="24"/>
          <w:szCs w:val="24"/>
        </w:rPr>
        <w:t xml:space="preserve">. </w:t>
      </w:r>
    </w:p>
    <w:p w14:paraId="6E60BC31" w14:textId="350B1CC2" w:rsidR="0091671E" w:rsidRPr="00AC62C7" w:rsidRDefault="00AD5F7E" w:rsidP="00AC62C7">
      <w:pPr>
        <w:pStyle w:val="Heading1"/>
      </w:pPr>
      <w:bookmarkStart w:id="5" w:name="_Toc131976208"/>
      <w:r w:rsidRPr="00AC62C7">
        <w:t>Strategies used in the UK to control the incidence of chickenpox</w:t>
      </w:r>
      <w:bookmarkEnd w:id="5"/>
      <w:r w:rsidRPr="00AC62C7">
        <w:t xml:space="preserve"> </w:t>
      </w:r>
    </w:p>
    <w:p w14:paraId="065B05F6" w14:textId="1E4E587A" w:rsidR="00AD5F7E" w:rsidRPr="00AC62C7" w:rsidRDefault="00AD5F7E" w:rsidP="00AD5F7E">
      <w:pPr>
        <w:rPr>
          <w:rFonts w:cs="Arial"/>
          <w:sz w:val="24"/>
          <w:szCs w:val="24"/>
        </w:rPr>
      </w:pPr>
      <w:r w:rsidRPr="00AC62C7">
        <w:rPr>
          <w:rFonts w:cs="Arial"/>
          <w:sz w:val="24"/>
          <w:szCs w:val="24"/>
        </w:rPr>
        <w:t xml:space="preserve">To control the incidence of chickenpox some strategies have been taken by the Govt of the UK, local authorities, and other national agencies associated with the health care setting. The first strategy to control the incidence of chickenpox </w:t>
      </w:r>
      <w:r w:rsidR="0037684C" w:rsidRPr="00AC62C7">
        <w:rPr>
          <w:rFonts w:cs="Arial"/>
          <w:sz w:val="24"/>
          <w:szCs w:val="24"/>
        </w:rPr>
        <w:t xml:space="preserve">is to ensure the chickenpox vaccine for everyone. if children, adults, and adolescents take the two doses of the chickenpox vaccine then it will help to control the incidence of this disease. The vaccine for chickenpox is safer and if anyone gets chickenpox after giving the vaccine then the amount of suffering becomes less compared to those who have not </w:t>
      </w:r>
      <w:r w:rsidR="00884C15" w:rsidRPr="00AC62C7">
        <w:rPr>
          <w:rFonts w:cs="Arial"/>
          <w:sz w:val="24"/>
          <w:szCs w:val="24"/>
        </w:rPr>
        <w:t xml:space="preserve">been </w:t>
      </w:r>
      <w:r w:rsidR="0037684C" w:rsidRPr="00AC62C7">
        <w:rPr>
          <w:rFonts w:cs="Arial"/>
          <w:sz w:val="24"/>
          <w:szCs w:val="24"/>
        </w:rPr>
        <w:t>given any vaccine</w:t>
      </w:r>
      <w:r w:rsidR="00CF4715" w:rsidRPr="00AC62C7">
        <w:rPr>
          <w:rFonts w:cs="Arial"/>
          <w:sz w:val="24"/>
          <w:szCs w:val="24"/>
        </w:rPr>
        <w:t xml:space="preserve"> (Kota et al., 2022). </w:t>
      </w:r>
      <w:r w:rsidR="0037684C" w:rsidRPr="00AC62C7">
        <w:rPr>
          <w:rFonts w:cs="Arial"/>
          <w:sz w:val="24"/>
          <w:szCs w:val="24"/>
        </w:rPr>
        <w:t xml:space="preserve"> </w:t>
      </w:r>
      <w:r w:rsidR="00884C15" w:rsidRPr="00AC62C7">
        <w:rPr>
          <w:rFonts w:cs="Arial"/>
          <w:sz w:val="24"/>
          <w:szCs w:val="24"/>
        </w:rPr>
        <w:t xml:space="preserve">The second strategy is to raise awareness for chickenpox from every single level. Schools, colleges, or nursery institutions will have to make sure that if any children or adult gets this disease will have to stay at home for five to seven days. It will also make sure that the affected people are not attending any social gatherings or going to work or outside. </w:t>
      </w:r>
      <w:r w:rsidR="00CF7419" w:rsidRPr="00AC62C7">
        <w:rPr>
          <w:rFonts w:cs="Arial"/>
          <w:sz w:val="24"/>
          <w:szCs w:val="24"/>
        </w:rPr>
        <w:t>Furthermore, the govt of UK is working to control the infectious outbreak, and for those necessary measures have been taken</w:t>
      </w:r>
      <w:r w:rsidR="00CF4715" w:rsidRPr="00AC62C7">
        <w:rPr>
          <w:rFonts w:cs="Arial"/>
          <w:sz w:val="24"/>
          <w:szCs w:val="24"/>
        </w:rPr>
        <w:t xml:space="preserve"> (NHS, 2023). </w:t>
      </w:r>
      <w:r w:rsidR="00CF7419" w:rsidRPr="00AC62C7">
        <w:rPr>
          <w:rFonts w:cs="Arial"/>
          <w:sz w:val="24"/>
          <w:szCs w:val="24"/>
        </w:rPr>
        <w:t xml:space="preserve"> Emphasis has been given to the reinforcement of following those measures. Measures have been taken to control any outbreak of health disease including chickenpox. It has also been mentioned in the </w:t>
      </w:r>
      <w:r w:rsidR="00B33B37" w:rsidRPr="00AC62C7">
        <w:rPr>
          <w:rFonts w:cs="Arial"/>
          <w:sz w:val="24"/>
          <w:szCs w:val="24"/>
        </w:rPr>
        <w:t>govt publication as a control measure that pregnant women, lower immune people, and newborn babies are at the most risk of getting affected by chickenpox. It has also been mentioned that if these three-category people are found to have any symptoms then immediately they will have to take medical help</w:t>
      </w:r>
      <w:r w:rsidR="00CF4715" w:rsidRPr="00AC62C7">
        <w:rPr>
          <w:rFonts w:cs="Arial"/>
          <w:sz w:val="24"/>
          <w:szCs w:val="24"/>
        </w:rPr>
        <w:t xml:space="preserve"> (Wilson et al., 2021). </w:t>
      </w:r>
      <w:r w:rsidR="00B33B37" w:rsidRPr="00AC62C7">
        <w:rPr>
          <w:rFonts w:cs="Arial"/>
          <w:sz w:val="24"/>
          <w:szCs w:val="24"/>
        </w:rPr>
        <w:t xml:space="preserve"> </w:t>
      </w:r>
      <w:r w:rsidR="0016261E" w:rsidRPr="00AC62C7">
        <w:rPr>
          <w:rFonts w:cs="Arial"/>
          <w:sz w:val="24"/>
          <w:szCs w:val="24"/>
        </w:rPr>
        <w:t>Furthermore, to control the incidence of chickenpox other health services like the National Health Service, National Institute of Health</w:t>
      </w:r>
      <w:r w:rsidR="00BD0C8E" w:rsidRPr="00AC62C7">
        <w:rPr>
          <w:rFonts w:cs="Arial"/>
          <w:sz w:val="24"/>
          <w:szCs w:val="24"/>
        </w:rPr>
        <w:t xml:space="preserve">, and local community health organisations are working to raise awareness among the people about chickenpox and take necessary medical support to control the epidemic of this disease. </w:t>
      </w:r>
    </w:p>
    <w:p w14:paraId="4C5FF4C7" w14:textId="29A59602" w:rsidR="00AD5F7E" w:rsidRPr="00AC62C7" w:rsidRDefault="00BD0C8E" w:rsidP="00AC62C7">
      <w:pPr>
        <w:pStyle w:val="Heading1"/>
      </w:pPr>
      <w:bookmarkStart w:id="6" w:name="_Toc131976209"/>
      <w:r w:rsidRPr="00AC62C7">
        <w:t>Conclusion</w:t>
      </w:r>
      <w:bookmarkEnd w:id="6"/>
      <w:r w:rsidRPr="00AC62C7">
        <w:t xml:space="preserve"> </w:t>
      </w:r>
    </w:p>
    <w:p w14:paraId="5078A4CA" w14:textId="3509329E" w:rsidR="00BD0C8E" w:rsidRPr="00AC62C7" w:rsidRDefault="00BD0C8E" w:rsidP="00BD0C8E">
      <w:pPr>
        <w:rPr>
          <w:rFonts w:cs="Arial"/>
          <w:sz w:val="24"/>
          <w:szCs w:val="24"/>
        </w:rPr>
      </w:pPr>
      <w:r w:rsidRPr="00AC62C7">
        <w:rPr>
          <w:rFonts w:cs="Arial"/>
          <w:sz w:val="24"/>
          <w:szCs w:val="24"/>
        </w:rPr>
        <w:t xml:space="preserve">Chickenpox is undoubtedly a serious disease as it spreads easily. Chickenpox vaccine is available and it is safer for anyone to take the two doses of vaccine to make them feel safe. Govt and other health </w:t>
      </w:r>
      <w:r w:rsidR="003F54E4" w:rsidRPr="00AC62C7">
        <w:rPr>
          <w:rFonts w:cs="Arial"/>
          <w:sz w:val="24"/>
          <w:szCs w:val="24"/>
        </w:rPr>
        <w:t>institutions</w:t>
      </w:r>
      <w:r w:rsidRPr="00AC62C7">
        <w:rPr>
          <w:rFonts w:cs="Arial"/>
          <w:sz w:val="24"/>
          <w:szCs w:val="24"/>
        </w:rPr>
        <w:t xml:space="preserve"> </w:t>
      </w:r>
      <w:r w:rsidR="003F54E4" w:rsidRPr="00AC62C7">
        <w:rPr>
          <w:rFonts w:cs="Arial"/>
          <w:sz w:val="24"/>
          <w:szCs w:val="24"/>
        </w:rPr>
        <w:t>are</w:t>
      </w:r>
      <w:r w:rsidRPr="00AC62C7">
        <w:rPr>
          <w:rFonts w:cs="Arial"/>
          <w:sz w:val="24"/>
          <w:szCs w:val="24"/>
        </w:rPr>
        <w:t xml:space="preserve"> trying to </w:t>
      </w:r>
      <w:r w:rsidR="003F54E4" w:rsidRPr="00AC62C7">
        <w:rPr>
          <w:rFonts w:cs="Arial"/>
          <w:sz w:val="24"/>
          <w:szCs w:val="24"/>
        </w:rPr>
        <w:t>raise measures, control, and monitor this disease. Children, pregnant women, and people with a lower immune system have a higher risk of this</w:t>
      </w:r>
      <w:r w:rsidR="00CF4715" w:rsidRPr="00AC62C7">
        <w:rPr>
          <w:rFonts w:cs="Arial"/>
          <w:sz w:val="24"/>
          <w:szCs w:val="24"/>
        </w:rPr>
        <w:t xml:space="preserve"> (Swingler, 2007). </w:t>
      </w:r>
      <w:r w:rsidR="003F54E4" w:rsidRPr="00AC62C7">
        <w:rPr>
          <w:rFonts w:cs="Arial"/>
          <w:sz w:val="24"/>
          <w:szCs w:val="24"/>
        </w:rPr>
        <w:t xml:space="preserve"> Anyone can stay at home and take medications according to the advice of the doctor until any serious issue arises. </w:t>
      </w:r>
      <w:r w:rsidR="00854B5A" w:rsidRPr="00AC62C7">
        <w:rPr>
          <w:rFonts w:cs="Arial"/>
          <w:sz w:val="24"/>
          <w:szCs w:val="24"/>
        </w:rPr>
        <w:t>Keeping</w:t>
      </w:r>
      <w:r w:rsidR="003F54E4" w:rsidRPr="00AC62C7">
        <w:rPr>
          <w:rFonts w:cs="Arial"/>
          <w:sz w:val="24"/>
          <w:szCs w:val="24"/>
        </w:rPr>
        <w:t xml:space="preserve"> the affected person separated from </w:t>
      </w:r>
      <w:r w:rsidR="00854B5A" w:rsidRPr="00AC62C7">
        <w:rPr>
          <w:rFonts w:cs="Arial"/>
          <w:sz w:val="24"/>
          <w:szCs w:val="24"/>
        </w:rPr>
        <w:t xml:space="preserve">others, taking medicine according to the doctor’s prescription, and following the govt regulations and policies will help to control chickenpox. </w:t>
      </w:r>
    </w:p>
    <w:p w14:paraId="392D83A4" w14:textId="71F1AB3E" w:rsidR="00854B5A" w:rsidRPr="00AC62C7" w:rsidRDefault="00854B5A" w:rsidP="00AC62C7">
      <w:pPr>
        <w:pStyle w:val="Heading1"/>
      </w:pPr>
      <w:bookmarkStart w:id="7" w:name="_Toc131976210"/>
      <w:r w:rsidRPr="00AC62C7">
        <w:t>References</w:t>
      </w:r>
      <w:bookmarkEnd w:id="7"/>
      <w:r w:rsidRPr="00AC62C7">
        <w:t xml:space="preserve"> </w:t>
      </w:r>
    </w:p>
    <w:p w14:paraId="6CCAA24B"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Abdukhuhidovich, Z.S., Anvarovna, Y.N., Rustamova, S.A., Mukhtarovich, U.S. and Buribaevna, I.S., 2020. Some clinical features of the chickenpox in adults and children in modern conditions. </w:t>
      </w:r>
      <w:r w:rsidRPr="00AC62C7">
        <w:rPr>
          <w:rFonts w:ascii="Arial" w:hAnsi="Arial" w:cs="Arial"/>
          <w:i/>
          <w:iCs/>
          <w:color w:val="222222"/>
          <w:shd w:val="clear" w:color="auto" w:fill="FFFFFF"/>
        </w:rPr>
        <w:t>European Journal of Molecular &amp; Clinical Medicine</w:t>
      </w:r>
      <w:r w:rsidRPr="00AC62C7">
        <w:rPr>
          <w:rFonts w:ascii="Arial" w:hAnsi="Arial" w:cs="Arial"/>
          <w:color w:val="222222"/>
          <w:shd w:val="clear" w:color="auto" w:fill="FFFFFF"/>
        </w:rPr>
        <w:t>, </w:t>
      </w:r>
      <w:r w:rsidRPr="00AC62C7">
        <w:rPr>
          <w:rFonts w:ascii="Arial" w:hAnsi="Arial" w:cs="Arial"/>
          <w:i/>
          <w:iCs/>
          <w:color w:val="222222"/>
          <w:shd w:val="clear" w:color="auto" w:fill="FFFFFF"/>
        </w:rPr>
        <w:t>7</w:t>
      </w:r>
      <w:r w:rsidRPr="00AC62C7">
        <w:rPr>
          <w:rFonts w:ascii="Arial" w:hAnsi="Arial" w:cs="Arial"/>
          <w:color w:val="222222"/>
          <w:shd w:val="clear" w:color="auto" w:fill="FFFFFF"/>
        </w:rPr>
        <w:t>(03), p.2020.</w:t>
      </w:r>
    </w:p>
    <w:p w14:paraId="34C11341"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Cagol, L., Seitel, T., Ehrenberg, S., Frivolt, K., Krahl, A., Lainka, E., Gerner, P., Lenhartz, H., Vermehren, J., Radke, M. and Trenkel, S., 2020. Vaccination rate and immunity of children and adolescents with inflammatory bowel disease or autoimmune hepatitis in Germany. </w:t>
      </w:r>
      <w:r w:rsidRPr="00AC62C7">
        <w:rPr>
          <w:rFonts w:ascii="Arial" w:hAnsi="Arial" w:cs="Arial"/>
          <w:i/>
          <w:iCs/>
          <w:color w:val="222222"/>
          <w:shd w:val="clear" w:color="auto" w:fill="FFFFFF"/>
        </w:rPr>
        <w:t>Vaccine</w:t>
      </w:r>
      <w:r w:rsidRPr="00AC62C7">
        <w:rPr>
          <w:rFonts w:ascii="Arial" w:hAnsi="Arial" w:cs="Arial"/>
          <w:color w:val="222222"/>
          <w:shd w:val="clear" w:color="auto" w:fill="FFFFFF"/>
        </w:rPr>
        <w:t>, </w:t>
      </w:r>
      <w:r w:rsidRPr="00AC62C7">
        <w:rPr>
          <w:rFonts w:ascii="Arial" w:hAnsi="Arial" w:cs="Arial"/>
          <w:i/>
          <w:iCs/>
          <w:color w:val="222222"/>
          <w:shd w:val="clear" w:color="auto" w:fill="FFFFFF"/>
        </w:rPr>
        <w:t>38</w:t>
      </w:r>
      <w:r w:rsidRPr="00AC62C7">
        <w:rPr>
          <w:rFonts w:ascii="Arial" w:hAnsi="Arial" w:cs="Arial"/>
          <w:color w:val="222222"/>
          <w:shd w:val="clear" w:color="auto" w:fill="FFFFFF"/>
        </w:rPr>
        <w:t>(7), pp.1810-1817.</w:t>
      </w:r>
    </w:p>
    <w:p w14:paraId="6E0C6FC4" w14:textId="77777777" w:rsidR="00CF4715" w:rsidRPr="00AC62C7" w:rsidRDefault="00CF4715" w:rsidP="00AC62C7">
      <w:pPr>
        <w:spacing w:before="100" w:beforeAutospacing="1" w:after="100" w:afterAutospacing="1"/>
        <w:rPr>
          <w:rFonts w:eastAsia="Times New Roman" w:cs="Arial"/>
          <w:sz w:val="24"/>
          <w:szCs w:val="24"/>
        </w:rPr>
      </w:pPr>
      <w:r w:rsidRPr="00AC62C7">
        <w:rPr>
          <w:rFonts w:eastAsia="Times New Roman" w:cs="Arial"/>
          <w:sz w:val="24"/>
          <w:szCs w:val="24"/>
        </w:rPr>
        <w:t xml:space="preserve">Centers for Disease Control and Prevention, 2021. </w:t>
      </w:r>
      <w:r w:rsidRPr="00AC62C7">
        <w:rPr>
          <w:rFonts w:eastAsia="Times New Roman" w:cs="Arial"/>
          <w:i/>
          <w:iCs/>
          <w:sz w:val="24"/>
          <w:szCs w:val="24"/>
        </w:rPr>
        <w:t>Chickenpox (varicella)</w:t>
      </w:r>
      <w:r w:rsidRPr="00AC62C7">
        <w:rPr>
          <w:rFonts w:eastAsia="Times New Roman" w:cs="Arial"/>
          <w:sz w:val="24"/>
          <w:szCs w:val="24"/>
        </w:rPr>
        <w:t xml:space="preserve">, </w:t>
      </w:r>
      <w:r w:rsidRPr="00AC62C7">
        <w:rPr>
          <w:rFonts w:eastAsia="Times New Roman" w:cs="Arial"/>
          <w:i/>
          <w:iCs/>
          <w:sz w:val="24"/>
          <w:szCs w:val="24"/>
        </w:rPr>
        <w:t>Centers for Disease Control and Prevention</w:t>
      </w:r>
      <w:r w:rsidRPr="00AC62C7">
        <w:rPr>
          <w:rFonts w:eastAsia="Times New Roman" w:cs="Arial"/>
          <w:sz w:val="24"/>
          <w:szCs w:val="24"/>
        </w:rPr>
        <w:t xml:space="preserve">. Centers for Disease Control and Prevention. Available at: https://www.cdc.gov/chickenpox/lab-testing/lab-tests.html#:~:text=The%20most%20sensitive%20method%20for,are%20the%20best%20for%20sampling. (Accessed: April 9, 2023). </w:t>
      </w:r>
    </w:p>
    <w:p w14:paraId="6E289328" w14:textId="77777777" w:rsidR="00CF4715" w:rsidRPr="00AC62C7" w:rsidRDefault="00CF4715" w:rsidP="00AC62C7">
      <w:pPr>
        <w:spacing w:before="100" w:beforeAutospacing="1" w:after="100" w:afterAutospacing="1"/>
        <w:rPr>
          <w:rFonts w:eastAsia="Times New Roman" w:cs="Arial"/>
          <w:sz w:val="24"/>
          <w:szCs w:val="24"/>
        </w:rPr>
      </w:pPr>
      <w:r w:rsidRPr="00AC62C7">
        <w:rPr>
          <w:rFonts w:eastAsia="Times New Roman" w:cs="Arial"/>
          <w:sz w:val="24"/>
          <w:szCs w:val="24"/>
        </w:rPr>
        <w:t xml:space="preserve">GOV.UK, 2023.  </w:t>
      </w:r>
      <w:r w:rsidRPr="00AC62C7">
        <w:rPr>
          <w:rFonts w:eastAsia="Times New Roman" w:cs="Arial"/>
          <w:i/>
          <w:iCs/>
          <w:sz w:val="24"/>
          <w:szCs w:val="24"/>
        </w:rPr>
        <w:t>Managing specific infectious diseases: A to Z</w:t>
      </w:r>
      <w:r w:rsidRPr="00AC62C7">
        <w:rPr>
          <w:rFonts w:eastAsia="Times New Roman" w:cs="Arial"/>
          <w:sz w:val="24"/>
          <w:szCs w:val="24"/>
        </w:rPr>
        <w:t xml:space="preserve">, </w:t>
      </w:r>
      <w:r w:rsidRPr="00AC62C7">
        <w:rPr>
          <w:rFonts w:eastAsia="Times New Roman" w:cs="Arial"/>
          <w:i/>
          <w:iCs/>
          <w:sz w:val="24"/>
          <w:szCs w:val="24"/>
        </w:rPr>
        <w:t>GOV.UK</w:t>
      </w:r>
      <w:r w:rsidRPr="00AC62C7">
        <w:rPr>
          <w:rFonts w:eastAsia="Times New Roman" w:cs="Arial"/>
          <w:sz w:val="24"/>
          <w:szCs w:val="24"/>
        </w:rPr>
        <w:t xml:space="preserve">. Available at: https://www.gov.uk/government/publications/health-protection-in-schools-and-other-childcare-facilities/managing-specific-infectious-diseases-a-to-z (Accessed: April 9, 2023). </w:t>
      </w:r>
    </w:p>
    <w:p w14:paraId="25A26789"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Hoi, H.T., 2019, October. Chickenpox and Quick Treatment, No Scars Left. In </w:t>
      </w:r>
      <w:r w:rsidRPr="00AC62C7">
        <w:rPr>
          <w:rFonts w:ascii="Arial" w:hAnsi="Arial" w:cs="Arial"/>
          <w:i/>
          <w:iCs/>
          <w:color w:val="222222"/>
          <w:shd w:val="clear" w:color="auto" w:fill="FFFFFF"/>
        </w:rPr>
        <w:t>Proceedings of the 2019 8th International Conference on Bioinformatics and Biomedical Science</w:t>
      </w:r>
      <w:r w:rsidRPr="00AC62C7">
        <w:rPr>
          <w:rFonts w:ascii="Arial" w:hAnsi="Arial" w:cs="Arial"/>
          <w:color w:val="222222"/>
          <w:shd w:val="clear" w:color="auto" w:fill="FFFFFF"/>
        </w:rPr>
        <w:t> (pp. 110-115).</w:t>
      </w:r>
    </w:p>
    <w:p w14:paraId="626AABF0"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Kota, V. and Grella, M.J., 2022. Varicella (Chickenpox) Vaccine. In </w:t>
      </w:r>
      <w:r w:rsidRPr="00AC62C7">
        <w:rPr>
          <w:rFonts w:ascii="Arial" w:hAnsi="Arial" w:cs="Arial"/>
          <w:i/>
          <w:iCs/>
          <w:color w:val="222222"/>
          <w:shd w:val="clear" w:color="auto" w:fill="FFFFFF"/>
        </w:rPr>
        <w:t>StatPearls [Internet]</w:t>
      </w:r>
      <w:r w:rsidRPr="00AC62C7">
        <w:rPr>
          <w:rFonts w:ascii="Arial" w:hAnsi="Arial" w:cs="Arial"/>
          <w:color w:val="222222"/>
          <w:shd w:val="clear" w:color="auto" w:fill="FFFFFF"/>
        </w:rPr>
        <w:t>. StatPearls Publishing.</w:t>
      </w:r>
    </w:p>
    <w:p w14:paraId="315306BB"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Macartney, K., Heywood, A. and McIntyre, P., 2014. Vaccines for post</w:t>
      </w:r>
      <w:r w:rsidRPr="00AC62C7">
        <w:rPr>
          <w:rFonts w:ascii="Cambria Math" w:hAnsi="Cambria Math" w:cs="Cambria Math"/>
          <w:color w:val="222222"/>
          <w:shd w:val="clear" w:color="auto" w:fill="FFFFFF"/>
        </w:rPr>
        <w:t>‐</w:t>
      </w:r>
      <w:r w:rsidRPr="00AC62C7">
        <w:rPr>
          <w:rFonts w:ascii="Arial" w:hAnsi="Arial" w:cs="Arial"/>
          <w:color w:val="222222"/>
          <w:shd w:val="clear" w:color="auto" w:fill="FFFFFF"/>
        </w:rPr>
        <w:t>exposure prophylaxis against varicella (chickenpox) in children and adults. </w:t>
      </w:r>
      <w:r w:rsidRPr="00AC62C7">
        <w:rPr>
          <w:rFonts w:ascii="Arial" w:hAnsi="Arial" w:cs="Arial"/>
          <w:i/>
          <w:iCs/>
          <w:color w:val="222222"/>
          <w:shd w:val="clear" w:color="auto" w:fill="FFFFFF"/>
        </w:rPr>
        <w:t>Cochrane Database of Systematic reviews</w:t>
      </w:r>
      <w:r w:rsidRPr="00AC62C7">
        <w:rPr>
          <w:rFonts w:ascii="Arial" w:hAnsi="Arial" w:cs="Arial"/>
          <w:color w:val="222222"/>
          <w:shd w:val="clear" w:color="auto" w:fill="FFFFFF"/>
        </w:rPr>
        <w:t>, (6).</w:t>
      </w:r>
    </w:p>
    <w:p w14:paraId="59360707" w14:textId="77777777" w:rsidR="00CF4715" w:rsidRPr="00AC62C7" w:rsidRDefault="00CF4715" w:rsidP="00AC62C7">
      <w:pPr>
        <w:spacing w:before="100" w:beforeAutospacing="1" w:after="100" w:afterAutospacing="1"/>
        <w:rPr>
          <w:rFonts w:eastAsia="Times New Roman" w:cs="Arial"/>
          <w:sz w:val="24"/>
          <w:szCs w:val="24"/>
        </w:rPr>
      </w:pPr>
      <w:r w:rsidRPr="00AC62C7">
        <w:rPr>
          <w:rFonts w:eastAsia="Times New Roman" w:cs="Arial"/>
          <w:sz w:val="24"/>
          <w:szCs w:val="24"/>
        </w:rPr>
        <w:t xml:space="preserve">National Health Service, 2023.  </w:t>
      </w:r>
      <w:r w:rsidRPr="00AC62C7">
        <w:rPr>
          <w:rFonts w:eastAsia="Times New Roman" w:cs="Arial"/>
          <w:i/>
          <w:iCs/>
          <w:sz w:val="24"/>
          <w:szCs w:val="24"/>
        </w:rPr>
        <w:t>NHS choices</w:t>
      </w:r>
      <w:r w:rsidRPr="00AC62C7">
        <w:rPr>
          <w:rFonts w:eastAsia="Times New Roman" w:cs="Arial"/>
          <w:sz w:val="24"/>
          <w:szCs w:val="24"/>
        </w:rPr>
        <w:t xml:space="preserve">. NHS. Available at: https://www.nhs.uk/conditions/chickenpox/ (Accessed: April 9, 2023). </w:t>
      </w:r>
    </w:p>
    <w:p w14:paraId="08B8823F"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Swingler, G.H., 2007. Chickenpox. </w:t>
      </w:r>
      <w:r w:rsidRPr="00AC62C7">
        <w:rPr>
          <w:rFonts w:ascii="Arial" w:hAnsi="Arial" w:cs="Arial"/>
          <w:i/>
          <w:iCs/>
          <w:color w:val="222222"/>
          <w:shd w:val="clear" w:color="auto" w:fill="FFFFFF"/>
        </w:rPr>
        <w:t>BMJ Clinical Evidence</w:t>
      </w:r>
      <w:r w:rsidRPr="00AC62C7">
        <w:rPr>
          <w:rFonts w:ascii="Arial" w:hAnsi="Arial" w:cs="Arial"/>
          <w:color w:val="222222"/>
          <w:shd w:val="clear" w:color="auto" w:fill="FFFFFF"/>
        </w:rPr>
        <w:t>, </w:t>
      </w:r>
      <w:r w:rsidRPr="00AC62C7">
        <w:rPr>
          <w:rFonts w:ascii="Arial" w:hAnsi="Arial" w:cs="Arial"/>
          <w:i/>
          <w:iCs/>
          <w:color w:val="222222"/>
          <w:shd w:val="clear" w:color="auto" w:fill="FFFFFF"/>
        </w:rPr>
        <w:t>2007</w:t>
      </w:r>
      <w:r w:rsidRPr="00AC62C7">
        <w:rPr>
          <w:rFonts w:ascii="Arial" w:hAnsi="Arial" w:cs="Arial"/>
          <w:color w:val="222222"/>
          <w:shd w:val="clear" w:color="auto" w:fill="FFFFFF"/>
        </w:rPr>
        <w:t>.</w:t>
      </w:r>
    </w:p>
    <w:p w14:paraId="2969512D"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Wilson, M., Wilson, P.J., Wilson, M. and Wilson, P.J., 2021. Chickenpox. </w:t>
      </w:r>
      <w:r w:rsidRPr="00AC62C7">
        <w:rPr>
          <w:rFonts w:ascii="Arial" w:hAnsi="Arial" w:cs="Arial"/>
          <w:i/>
          <w:iCs/>
          <w:color w:val="222222"/>
          <w:shd w:val="clear" w:color="auto" w:fill="FFFFFF"/>
        </w:rPr>
        <w:t>Close Encounters of the Microbial Kind: Everything You Need to Know About Common Infections</w:t>
      </w:r>
      <w:r w:rsidRPr="00AC62C7">
        <w:rPr>
          <w:rFonts w:ascii="Arial" w:hAnsi="Arial" w:cs="Arial"/>
          <w:color w:val="222222"/>
          <w:shd w:val="clear" w:color="auto" w:fill="FFFFFF"/>
        </w:rPr>
        <w:t>, pp.123-135.</w:t>
      </w:r>
    </w:p>
    <w:p w14:paraId="5ED3ACD1" w14:textId="77777777" w:rsidR="00CF4715" w:rsidRPr="00AC62C7" w:rsidRDefault="00CF4715" w:rsidP="00AC62C7">
      <w:pPr>
        <w:pStyle w:val="NormalWeb"/>
        <w:spacing w:line="360" w:lineRule="auto"/>
        <w:jc w:val="both"/>
        <w:rPr>
          <w:rFonts w:ascii="Arial" w:hAnsi="Arial" w:cs="Arial"/>
        </w:rPr>
      </w:pPr>
      <w:bookmarkStart w:id="8" w:name="_Hlk131930584"/>
      <w:r w:rsidRPr="00AC62C7">
        <w:rPr>
          <w:rFonts w:ascii="Arial" w:hAnsi="Arial" w:cs="Arial"/>
        </w:rPr>
        <w:t xml:space="preserve">Agency, U.K.H.S., 2022. </w:t>
      </w:r>
      <w:r w:rsidRPr="00AC62C7">
        <w:rPr>
          <w:rFonts w:ascii="Arial" w:hAnsi="Arial" w:cs="Arial"/>
          <w:i/>
          <w:iCs/>
        </w:rPr>
        <w:t>Chickenpox: Public health management and guidance</w:t>
      </w:r>
      <w:r w:rsidRPr="00AC62C7">
        <w:rPr>
          <w:rFonts w:ascii="Arial" w:hAnsi="Arial" w:cs="Arial"/>
        </w:rPr>
        <w:t xml:space="preserve">, </w:t>
      </w:r>
      <w:r w:rsidRPr="00AC62C7">
        <w:rPr>
          <w:rFonts w:ascii="Arial" w:hAnsi="Arial" w:cs="Arial"/>
          <w:i/>
          <w:iCs/>
        </w:rPr>
        <w:t>GOV.UK</w:t>
      </w:r>
      <w:r w:rsidRPr="00AC62C7">
        <w:rPr>
          <w:rFonts w:ascii="Arial" w:hAnsi="Arial" w:cs="Arial"/>
        </w:rPr>
        <w:t xml:space="preserve">. GOV.UK. Available at: https://www.gov.uk/government/collections/chickenpox-public-health-management-and-guidance (Accessed: April 9, 2023). </w:t>
      </w:r>
    </w:p>
    <w:p w14:paraId="7999C3A3"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rPr>
        <w:t xml:space="preserve">England, P.H., 2019.  </w:t>
      </w:r>
      <w:r w:rsidRPr="00AC62C7">
        <w:rPr>
          <w:rFonts w:ascii="Arial" w:hAnsi="Arial" w:cs="Arial"/>
          <w:i/>
          <w:iCs/>
        </w:rPr>
        <w:t>Phe Infectious Diseases strategy</w:t>
      </w:r>
      <w:r w:rsidRPr="00AC62C7">
        <w:rPr>
          <w:rFonts w:ascii="Arial" w:hAnsi="Arial" w:cs="Arial"/>
        </w:rPr>
        <w:t xml:space="preserve">, </w:t>
      </w:r>
      <w:r w:rsidRPr="00AC62C7">
        <w:rPr>
          <w:rFonts w:ascii="Arial" w:hAnsi="Arial" w:cs="Arial"/>
          <w:i/>
          <w:iCs/>
        </w:rPr>
        <w:t>GOV.UK</w:t>
      </w:r>
      <w:r w:rsidRPr="00AC62C7">
        <w:rPr>
          <w:rFonts w:ascii="Arial" w:hAnsi="Arial" w:cs="Arial"/>
        </w:rPr>
        <w:t xml:space="preserve">. GOV.UK. Available at: https://www.gov.uk/government/publications/phe-infectious-diseases-strategy (Accessed: April 9, 2023). </w:t>
      </w:r>
    </w:p>
    <w:p w14:paraId="1AF32BC5"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rPr>
        <w:t xml:space="preserve">GOV.UK, 2023.  </w:t>
      </w:r>
      <w:r w:rsidRPr="00AC62C7">
        <w:rPr>
          <w:rFonts w:ascii="Arial" w:hAnsi="Arial" w:cs="Arial"/>
          <w:i/>
          <w:iCs/>
        </w:rPr>
        <w:t>Managing outbreaks and incidents</w:t>
      </w:r>
      <w:r w:rsidRPr="00AC62C7">
        <w:rPr>
          <w:rFonts w:ascii="Arial" w:hAnsi="Arial" w:cs="Arial"/>
        </w:rPr>
        <w:t xml:space="preserve">, </w:t>
      </w:r>
      <w:r w:rsidRPr="00AC62C7">
        <w:rPr>
          <w:rFonts w:ascii="Arial" w:hAnsi="Arial" w:cs="Arial"/>
          <w:i/>
          <w:iCs/>
        </w:rPr>
        <w:t>GOV.UK</w:t>
      </w:r>
      <w:r w:rsidRPr="00AC62C7">
        <w:rPr>
          <w:rFonts w:ascii="Arial" w:hAnsi="Arial" w:cs="Arial"/>
        </w:rPr>
        <w:t xml:space="preserve">. Available at: https://www.gov.uk/government/publications/health-protection-in-schools-and-other-childcare-facilities/managing-outbreaks-and-incidents (Accessed: April 9, 2023). </w:t>
      </w:r>
    </w:p>
    <w:p w14:paraId="7DE2D93D" w14:textId="77777777" w:rsidR="00CF4715" w:rsidRPr="00AC62C7" w:rsidRDefault="00CF4715" w:rsidP="00AC62C7">
      <w:pPr>
        <w:pStyle w:val="NormalWeb"/>
        <w:spacing w:line="360" w:lineRule="auto"/>
        <w:jc w:val="both"/>
        <w:rPr>
          <w:rFonts w:ascii="Arial" w:hAnsi="Arial" w:cs="Arial"/>
        </w:rPr>
      </w:pPr>
      <w:r w:rsidRPr="00AC62C7">
        <w:rPr>
          <w:rFonts w:ascii="Arial" w:hAnsi="Arial" w:cs="Arial"/>
          <w:color w:val="222222"/>
          <w:shd w:val="clear" w:color="auto" w:fill="FFFFFF"/>
        </w:rPr>
        <w:t>Wagner, K.S., Lawrence, J., Anderson, L., Yin, Z., Delpech, V., Chiodini, P.L., Redman, C. and Jones, J., 2014. Migrant health and infectious diseases in the UK: findings from the last 10 years of surveillance. </w:t>
      </w:r>
      <w:r w:rsidRPr="00AC62C7">
        <w:rPr>
          <w:rFonts w:ascii="Arial" w:hAnsi="Arial" w:cs="Arial"/>
          <w:i/>
          <w:iCs/>
          <w:color w:val="222222"/>
          <w:shd w:val="clear" w:color="auto" w:fill="FFFFFF"/>
        </w:rPr>
        <w:t>Journal of public health</w:t>
      </w:r>
      <w:r w:rsidRPr="00AC62C7">
        <w:rPr>
          <w:rFonts w:ascii="Arial" w:hAnsi="Arial" w:cs="Arial"/>
          <w:color w:val="222222"/>
          <w:shd w:val="clear" w:color="auto" w:fill="FFFFFF"/>
        </w:rPr>
        <w:t>, </w:t>
      </w:r>
      <w:r w:rsidRPr="00AC62C7">
        <w:rPr>
          <w:rFonts w:ascii="Arial" w:hAnsi="Arial" w:cs="Arial"/>
          <w:i/>
          <w:iCs/>
          <w:color w:val="222222"/>
          <w:shd w:val="clear" w:color="auto" w:fill="FFFFFF"/>
        </w:rPr>
        <w:t>36</w:t>
      </w:r>
      <w:r w:rsidRPr="00AC62C7">
        <w:rPr>
          <w:rFonts w:ascii="Arial" w:hAnsi="Arial" w:cs="Arial"/>
          <w:color w:val="222222"/>
          <w:shd w:val="clear" w:color="auto" w:fill="FFFFFF"/>
        </w:rPr>
        <w:t>(1), pp.28-35.</w:t>
      </w:r>
    </w:p>
    <w:bookmarkEnd w:id="8"/>
    <w:p w14:paraId="5F435B57" w14:textId="77777777" w:rsidR="00854B5A" w:rsidRPr="00AC62C7" w:rsidRDefault="00854B5A" w:rsidP="00CF4715">
      <w:pPr>
        <w:pStyle w:val="ListParagraph"/>
        <w:rPr>
          <w:rFonts w:cs="Arial"/>
          <w:sz w:val="24"/>
          <w:szCs w:val="24"/>
        </w:rPr>
      </w:pPr>
    </w:p>
    <w:p w14:paraId="5D29E4BE" w14:textId="77777777" w:rsidR="00BD0C8E" w:rsidRPr="00AC62C7" w:rsidRDefault="00BD0C8E" w:rsidP="00A54B28">
      <w:pPr>
        <w:rPr>
          <w:rFonts w:cs="Arial"/>
          <w:sz w:val="24"/>
          <w:szCs w:val="24"/>
        </w:rPr>
      </w:pPr>
    </w:p>
    <w:p w14:paraId="13664E80" w14:textId="77777777" w:rsidR="00640D52" w:rsidRPr="00AC62C7" w:rsidRDefault="00640D52">
      <w:pPr>
        <w:rPr>
          <w:rFonts w:cs="Arial"/>
          <w:sz w:val="24"/>
          <w:szCs w:val="24"/>
        </w:rPr>
      </w:pPr>
    </w:p>
    <w:p w14:paraId="0614109E" w14:textId="77777777" w:rsidR="006D43DA" w:rsidRPr="00AC62C7" w:rsidRDefault="006D43DA">
      <w:pPr>
        <w:rPr>
          <w:rFonts w:cs="Arial"/>
          <w:sz w:val="24"/>
          <w:szCs w:val="24"/>
        </w:rPr>
      </w:pPr>
    </w:p>
    <w:sectPr w:rsidR="006D43DA" w:rsidRPr="00AC62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858D2"/>
    <w:multiLevelType w:val="hybridMultilevel"/>
    <w:tmpl w:val="8ABE1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AC1D14"/>
    <w:multiLevelType w:val="hybridMultilevel"/>
    <w:tmpl w:val="9CCCC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7080638">
    <w:abstractNumId w:val="1"/>
  </w:num>
  <w:num w:numId="2" w16cid:durableId="27848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5F"/>
    <w:rsid w:val="000D7CB2"/>
    <w:rsid w:val="0016261E"/>
    <w:rsid w:val="0022268B"/>
    <w:rsid w:val="002759B5"/>
    <w:rsid w:val="00297D46"/>
    <w:rsid w:val="002B505F"/>
    <w:rsid w:val="003134FF"/>
    <w:rsid w:val="00367012"/>
    <w:rsid w:val="0037684C"/>
    <w:rsid w:val="003F0546"/>
    <w:rsid w:val="003F54E4"/>
    <w:rsid w:val="004436CB"/>
    <w:rsid w:val="00491677"/>
    <w:rsid w:val="004F158F"/>
    <w:rsid w:val="0056256C"/>
    <w:rsid w:val="00573221"/>
    <w:rsid w:val="00640D52"/>
    <w:rsid w:val="006D43DA"/>
    <w:rsid w:val="006D68C0"/>
    <w:rsid w:val="007A3154"/>
    <w:rsid w:val="007C4AB4"/>
    <w:rsid w:val="007F3616"/>
    <w:rsid w:val="00854B5A"/>
    <w:rsid w:val="00884C15"/>
    <w:rsid w:val="008A1012"/>
    <w:rsid w:val="0091671E"/>
    <w:rsid w:val="009C6A14"/>
    <w:rsid w:val="009C7ED6"/>
    <w:rsid w:val="00A109FB"/>
    <w:rsid w:val="00A54B28"/>
    <w:rsid w:val="00AC62C7"/>
    <w:rsid w:val="00AD5F7E"/>
    <w:rsid w:val="00AE3972"/>
    <w:rsid w:val="00B33B37"/>
    <w:rsid w:val="00B7515D"/>
    <w:rsid w:val="00B81B51"/>
    <w:rsid w:val="00BD0C8E"/>
    <w:rsid w:val="00BD1469"/>
    <w:rsid w:val="00C12CD8"/>
    <w:rsid w:val="00CA682F"/>
    <w:rsid w:val="00CC5B99"/>
    <w:rsid w:val="00CE4858"/>
    <w:rsid w:val="00CF4715"/>
    <w:rsid w:val="00CF7419"/>
    <w:rsid w:val="00E065A5"/>
    <w:rsid w:val="00E22A0F"/>
    <w:rsid w:val="00E576E0"/>
    <w:rsid w:val="00F13AC6"/>
    <w:rsid w:val="00F37AE9"/>
    <w:rsid w:val="00FA2E7E"/>
    <w:rsid w:val="00FB112B"/>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7C7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5F"/>
    <w:pPr>
      <w:spacing w:line="360" w:lineRule="auto"/>
      <w:jc w:val="both"/>
    </w:pPr>
    <w:rPr>
      <w:rFonts w:ascii="Arial" w:hAnsi="Arial"/>
    </w:rPr>
  </w:style>
  <w:style w:type="paragraph" w:styleId="Heading1">
    <w:name w:val="heading 1"/>
    <w:basedOn w:val="Normal"/>
    <w:next w:val="Normal"/>
    <w:link w:val="Heading1Char"/>
    <w:autoRedefine/>
    <w:uiPriority w:val="9"/>
    <w:qFormat/>
    <w:rsid w:val="00AC62C7"/>
    <w:pPr>
      <w:keepNext/>
      <w:keepLines/>
      <w:spacing w:before="240" w:after="0"/>
      <w:outlineLvl w:val="0"/>
    </w:pPr>
    <w:rPr>
      <w:rFonts w:eastAsiaTheme="majorEastAsia" w:cs="Arial"/>
      <w:b/>
      <w:color w:val="000000" w:themeColor="text1"/>
      <w:sz w:val="32"/>
      <w:szCs w:val="24"/>
    </w:rPr>
  </w:style>
  <w:style w:type="paragraph" w:styleId="Heading2">
    <w:name w:val="heading 2"/>
    <w:basedOn w:val="Normal"/>
    <w:next w:val="Normal"/>
    <w:link w:val="Heading2Char"/>
    <w:uiPriority w:val="9"/>
    <w:semiHidden/>
    <w:unhideWhenUsed/>
    <w:qFormat/>
    <w:rsid w:val="002B505F"/>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2C7"/>
    <w:rPr>
      <w:rFonts w:ascii="Arial" w:eastAsiaTheme="majorEastAsia" w:hAnsi="Arial" w:cs="Arial"/>
      <w:b/>
      <w:color w:val="000000" w:themeColor="text1"/>
      <w:sz w:val="32"/>
      <w:szCs w:val="24"/>
    </w:rPr>
  </w:style>
  <w:style w:type="character" w:customStyle="1" w:styleId="Heading2Char">
    <w:name w:val="Heading 2 Char"/>
    <w:basedOn w:val="DefaultParagraphFont"/>
    <w:link w:val="Heading2"/>
    <w:uiPriority w:val="9"/>
    <w:semiHidden/>
    <w:rsid w:val="002B505F"/>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2B505F"/>
    <w:pPr>
      <w:spacing w:after="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2B505F"/>
    <w:rPr>
      <w:rFonts w:ascii="Arial" w:eastAsiaTheme="majorEastAsia" w:hAnsi="Arial" w:cstheme="majorBidi"/>
      <w:spacing w:val="-10"/>
      <w:kern w:val="28"/>
      <w:sz w:val="36"/>
      <w:szCs w:val="56"/>
    </w:rPr>
  </w:style>
  <w:style w:type="paragraph" w:styleId="ListParagraph">
    <w:name w:val="List Paragraph"/>
    <w:basedOn w:val="Normal"/>
    <w:uiPriority w:val="34"/>
    <w:qFormat/>
    <w:rsid w:val="00854B5A"/>
    <w:pPr>
      <w:ind w:left="720"/>
      <w:contextualSpacing/>
    </w:pPr>
  </w:style>
  <w:style w:type="paragraph" w:styleId="NormalWeb">
    <w:name w:val="Normal (Web)"/>
    <w:basedOn w:val="Normal"/>
    <w:uiPriority w:val="99"/>
    <w:semiHidden/>
    <w:unhideWhenUsed/>
    <w:rsid w:val="00CF471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F37AE9"/>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F37AE9"/>
    <w:pPr>
      <w:spacing w:after="100"/>
    </w:pPr>
  </w:style>
  <w:style w:type="character" w:styleId="Hyperlink">
    <w:name w:val="Hyperlink"/>
    <w:basedOn w:val="DefaultParagraphFont"/>
    <w:uiPriority w:val="99"/>
    <w:unhideWhenUsed/>
    <w:rsid w:val="00F37A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512C8-B11B-48CE-AB0B-4ADEE3A6D4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2141</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2023-04-19T09:01:00Z</dcterms:created>
  <dcterms:modified xsi:type="dcterms:W3CDTF">2023-04-19T09:01:00Z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916d41ad-5a8c-47f6-b665-1e9c05cd7dd2</vt:lpwstr>
  </property>
</Properties>
</file>