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u w:val="single"/>
        </w:rPr>
      </w:pPr>
      <w:r w:rsidDel="00000000" w:rsidR="00000000" w:rsidRPr="00000000">
        <w:rPr>
          <w:u w:val="single"/>
          <w:rtl w:val="0"/>
        </w:rPr>
        <w:t xml:space="preserve">Paraphrasing book section.</w:t>
      </w:r>
    </w:p>
    <w:p w:rsidR="00000000" w:rsidDel="00000000" w:rsidP="00000000" w:rsidRDefault="00000000" w:rsidRPr="00000000" w14:paraId="00000002">
      <w:pPr>
        <w:rPr/>
      </w:pPr>
      <w:r w:rsidDel="00000000" w:rsidR="00000000" w:rsidRPr="00000000">
        <w:rPr>
          <w:rtl w:val="0"/>
        </w:rPr>
        <w:t xml:space="preserve">For this component I’m going to be paraphrasing the section on PTSD.</w:t>
      </w:r>
    </w:p>
    <w:p w:rsidR="00000000" w:rsidDel="00000000" w:rsidP="00000000" w:rsidRDefault="00000000" w:rsidRPr="00000000" w14:paraId="00000003">
      <w:pPr>
        <w:rPr/>
      </w:pPr>
      <w:r w:rsidDel="00000000" w:rsidR="00000000" w:rsidRPr="00000000">
        <w:rPr>
          <w:rtl w:val="0"/>
        </w:rPr>
        <w:t xml:space="preserve">During World War One soldiers suffered from what they called shell shock after going through traumatic experiences during the war. In World War Two a similar disorder was given the name combat fatigue or traumatic neurosis which they used to describe the same effects of shell shock. The same disorder then went on to be renamed as PTSD following the Vietnam war in 1980. </w:t>
      </w:r>
    </w:p>
    <w:p w:rsidR="00000000" w:rsidDel="00000000" w:rsidP="00000000" w:rsidRDefault="00000000" w:rsidRPr="00000000" w14:paraId="00000004">
      <w:pPr>
        <w:rPr/>
      </w:pPr>
      <w:r w:rsidDel="00000000" w:rsidR="00000000" w:rsidRPr="00000000">
        <w:rPr>
          <w:rtl w:val="0"/>
        </w:rPr>
        <w:t xml:space="preserve">PTSD (post traumatic stress disorder) is an anxiety disorder which can occur after going through either a severe psychological trauma or physical trauma such as a terrorist attack or an experience that isn’t within the norm for a human. Examples of trauma which include physical trauma’s are The Hillsborough football tragedy, when a football stand collapsed due to overpopulation within the stadium leaving the survivors traumatised and also the Paddington Rail Disaster, one of the worst railway incidents in Britain which likely left the survivors with PTSD. </w:t>
      </w:r>
    </w:p>
    <w:p w:rsidR="00000000" w:rsidDel="00000000" w:rsidP="00000000" w:rsidRDefault="00000000" w:rsidRPr="00000000" w14:paraId="00000005">
      <w:pPr>
        <w:rPr/>
      </w:pPr>
      <w:r w:rsidDel="00000000" w:rsidR="00000000" w:rsidRPr="00000000">
        <w:rPr>
          <w:rtl w:val="0"/>
        </w:rPr>
        <w:t xml:space="preserve">Frued believes that the reason for most neurotic disorders is not being able to remember things. However, Brewin 1998 believes that PTSD sufferers reminisce negative memories and are unable to forget their trauma, opposite to most other neurotic disorders.</w:t>
      </w:r>
    </w:p>
    <w:p w:rsidR="00000000" w:rsidDel="00000000" w:rsidP="00000000" w:rsidRDefault="00000000" w:rsidRPr="00000000" w14:paraId="00000006">
      <w:pPr>
        <w:rPr/>
      </w:pPr>
      <w:r w:rsidDel="00000000" w:rsidR="00000000" w:rsidRPr="00000000">
        <w:rPr>
          <w:rtl w:val="0"/>
        </w:rPr>
        <w:t xml:space="preserve">People who suffer from PTSD may try to avoid triggers and situations that may remind them of their traumatic experience. Signs and symptoms of PTSD can include severe anxiety, becoming aggressive, panic attacks and poor concentration, feeling emotionless and decreased interest in activities. They may also turn to substance misuse as a coping mechanism.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PTSD doesn’t always occur immediately after experiencing trauma, it can take years for it to affect a person. An example of this is the soldiers in the Vietnam war did not suffer whilst fighting but once they returned home to the USA signs of PTSD started showing. PTSD is massively caused from environmental factors such as soldiers hearing bombs and gunshots, when they are then back to normal living conditions noises and bangs can make them remember the war and may make their anxiety levels shoot up and also in some cases become physically aggressive as they’ve been conditioned to do this whilst in the war. Not everyone who goes through something traumatic will have PTSD. </w:t>
      </w:r>
    </w:p>
    <w:p w:rsidR="00000000" w:rsidDel="00000000" w:rsidP="00000000" w:rsidRDefault="00000000" w:rsidRPr="00000000" w14:paraId="00000009">
      <w:pPr>
        <w:rPr/>
      </w:pPr>
      <w:r w:rsidDel="00000000" w:rsidR="00000000" w:rsidRPr="00000000">
        <w:rPr>
          <w:rtl w:val="0"/>
        </w:rPr>
        <w:t xml:space="preserve">Dobs (2009) believes that psychiatrists, psychologists and epidemiologists are wrongly diagnosing depression and anxiety as PTSD due to the outdated diagnosis criteria.</w:t>
      </w:r>
    </w:p>
    <w:p w:rsidR="00000000" w:rsidDel="00000000" w:rsidP="00000000" w:rsidRDefault="00000000" w:rsidRPr="00000000" w14:paraId="0000000A">
      <w:pPr>
        <w:rPr/>
      </w:pPr>
      <w:r w:rsidDel="00000000" w:rsidR="00000000" w:rsidRPr="00000000">
        <w:rPr>
          <w:rtl w:val="0"/>
        </w:rPr>
        <w:t xml:space="preserve">The cause of PTSD, namely, is experiencing a trauma which can be an issue when it comes to diagnosis as it assumes the reliability of the individual's memory and perception of the trauma, Loftus page 9 highlighted how unreliable memory was in the past. Mcnally (2003a) believes that soldiers who suffer from late onset of PTSD maybe showing symptoms of depression and anxiety that they have formed a connection to a memory that they may have unconsciously fabricated.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numPr>
          <w:ilvl w:val="0"/>
          <w:numId w:val="3"/>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Dobs (2009) page 9</w:t>
      </w:r>
    </w:p>
    <w:p w:rsidR="00000000" w:rsidDel="00000000" w:rsidP="00000000" w:rsidRDefault="00000000" w:rsidRPr="00000000" w14:paraId="0000000D">
      <w:pPr>
        <w:numPr>
          <w:ilvl w:val="0"/>
          <w:numId w:val="3"/>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Gross,  R. Psychology: </w:t>
      </w:r>
      <w:r w:rsidDel="00000000" w:rsidR="00000000" w:rsidRPr="00000000">
        <w:rPr>
          <w:rFonts w:ascii="Times New Roman" w:cs="Times New Roman" w:eastAsia="Times New Roman" w:hAnsi="Times New Roman"/>
          <w:i w:val="1"/>
          <w:sz w:val="24"/>
          <w:szCs w:val="24"/>
          <w:rtl w:val="0"/>
        </w:rPr>
        <w:t xml:space="preserve">The science of mind and behaviour. </w:t>
      </w:r>
      <w:hyperlink r:id="rId6">
        <w:r w:rsidDel="00000000" w:rsidR="00000000" w:rsidRPr="00000000">
          <w:rPr>
            <w:rFonts w:ascii="Times New Roman" w:cs="Times New Roman" w:eastAsia="Times New Roman" w:hAnsi="Times New Roman"/>
            <w:color w:val="1155cc"/>
            <w:sz w:val="24"/>
            <w:szCs w:val="24"/>
            <w:u w:val="single"/>
            <w:rtl w:val="0"/>
          </w:rPr>
          <w:t xml:space="preserve">https://contentstore-cla-co-uk.ezproxy.uwtsd.ac.uk/EReader/Index?p=RDpcU2l0ZXNccHJvZHVjdGlvblxUZW1wXERDUy0yZTBhNDEwMC0yODllLTQyZmQtYjQ3OC1mOWJkOWE3YzAwYmQucGRm&amp;o=JnB1Ymxpc2hlZENvbnRlbnRfSWQ9OTM0NzA5JmNvbnRlbnRSZXF1ZXN0X0lkPTEwMTIyMDUmZG9jdW1lbnRMaW5rPTczMzkxYWE4LTRjY2UtZTkxMS04MGNkLTAwNTA1NmFmNDA5OSZjb250ZW50SXRlbV9JZD0yNzIzMjQ=&amp;id=73391aa8-4cce-e911-80cd-005056af4099</w:t>
        </w:r>
      </w:hyperlink>
      <w:r w:rsidDel="00000000" w:rsidR="00000000" w:rsidRPr="00000000">
        <w:rPr>
          <w:rtl w:val="0"/>
        </w:rPr>
      </w:r>
    </w:p>
    <w:p w:rsidR="00000000" w:rsidDel="00000000" w:rsidP="00000000" w:rsidRDefault="00000000" w:rsidRPr="00000000" w14:paraId="0000000E">
      <w:pPr>
        <w:numPr>
          <w:ilvl w:val="0"/>
          <w:numId w:val="3"/>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Loftus page 9</w:t>
      </w:r>
    </w:p>
    <w:p w:rsidR="00000000" w:rsidDel="00000000" w:rsidP="00000000" w:rsidRDefault="00000000" w:rsidRPr="00000000" w14:paraId="0000000F">
      <w:pPr>
        <w:numPr>
          <w:ilvl w:val="0"/>
          <w:numId w:val="3"/>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McNally (2003a) page 9</w:t>
      </w:r>
    </w:p>
    <w:p w:rsidR="00000000" w:rsidDel="00000000" w:rsidP="00000000" w:rsidRDefault="00000000" w:rsidRPr="00000000" w14:paraId="00000010">
      <w:pPr>
        <w:ind w:left="720" w:firstLine="0"/>
        <w:rPr/>
      </w:pPr>
      <w:r w:rsidDel="00000000" w:rsidR="00000000" w:rsidRPr="00000000">
        <w:rPr>
          <w:rtl w:val="0"/>
        </w:rPr>
      </w:r>
    </w:p>
    <w:p w:rsidR="00000000" w:rsidDel="00000000" w:rsidP="00000000" w:rsidRDefault="00000000" w:rsidRPr="00000000" w14:paraId="00000011">
      <w:pPr>
        <w:ind w:left="0" w:firstLine="0"/>
        <w:rPr/>
      </w:pPr>
      <w:r w:rsidDel="00000000" w:rsidR="00000000" w:rsidRPr="00000000">
        <w:rPr>
          <w:rtl w:val="0"/>
        </w:rPr>
      </w:r>
    </w:p>
    <w:p w:rsidR="00000000" w:rsidDel="00000000" w:rsidP="00000000" w:rsidRDefault="00000000" w:rsidRPr="00000000" w14:paraId="00000012">
      <w:pPr>
        <w:rPr>
          <w:u w:val="single"/>
        </w:rPr>
      </w:pPr>
      <w:r w:rsidDel="00000000" w:rsidR="00000000" w:rsidRPr="00000000">
        <w:rPr>
          <w:u w:val="single"/>
          <w:rtl w:val="0"/>
        </w:rPr>
        <w:t xml:space="preserve">Summarising three journal articles into abstracts</w:t>
      </w:r>
    </w:p>
    <w:p w:rsidR="00000000" w:rsidDel="00000000" w:rsidP="00000000" w:rsidRDefault="00000000" w:rsidRPr="00000000" w14:paraId="00000013">
      <w:pPr>
        <w:rPr>
          <w:u w:val="single"/>
        </w:rPr>
      </w:pPr>
      <w:r w:rsidDel="00000000" w:rsidR="00000000" w:rsidRPr="00000000">
        <w:rPr>
          <w:rtl w:val="0"/>
        </w:rPr>
      </w:r>
    </w:p>
    <w:p w:rsidR="00000000" w:rsidDel="00000000" w:rsidP="00000000" w:rsidRDefault="00000000" w:rsidRPr="00000000" w14:paraId="00000014">
      <w:pPr>
        <w:rPr>
          <w:b w:val="1"/>
          <w:u w:val="single"/>
        </w:rPr>
      </w:pPr>
      <w:r w:rsidDel="00000000" w:rsidR="00000000" w:rsidRPr="00000000">
        <w:rPr>
          <w:b w:val="1"/>
          <w:u w:val="single"/>
          <w:rtl w:val="0"/>
        </w:rPr>
        <w:t xml:space="preserve">Article 1</w:t>
      </w:r>
    </w:p>
    <w:p w:rsidR="00000000" w:rsidDel="00000000" w:rsidP="00000000" w:rsidRDefault="00000000" w:rsidRPr="00000000" w14:paraId="00000015">
      <w:pPr>
        <w:rPr/>
      </w:pPr>
      <w:r w:rsidDel="00000000" w:rsidR="00000000" w:rsidRPr="00000000">
        <w:rPr>
          <w:rtl w:val="0"/>
        </w:rPr>
        <w:t xml:space="preserve">In the UK gambling is socially acceptable. The industry can offer employment opportunities and also has both social and economic benefits. For example, the income from the gambling industry is used to fund UK government's priorities. in 2016/2017, tax revenues from the gambling industry amounted to £2.7 billion  There are different types of gambling The aim of the research is to discover whether gambling is a public health issue within Wales. </w:t>
      </w:r>
    </w:p>
    <w:p w:rsidR="00000000" w:rsidDel="00000000" w:rsidP="00000000" w:rsidRDefault="00000000" w:rsidRPr="00000000" w14:paraId="00000016">
      <w:pPr>
        <w:rPr>
          <w:b w:val="1"/>
        </w:rPr>
      </w:pPr>
      <w:r w:rsidDel="00000000" w:rsidR="00000000" w:rsidRPr="00000000">
        <w:rPr>
          <w:rtl w:val="0"/>
        </w:rPr>
        <w:t xml:space="preserve">The research was done by researching sources and reviewing statistics that were relevant to the harmful effects of gambling in Wales. They explored the costs it has on society and how it could be prevented. </w:t>
      </w: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44 research papers were found followed by a further 9 which the academics introduced. They carried out a review of the reference lists for further information. In the world, the UK has the 10th highest gambling spend per capita. This is equivalent to an approximate expenditure of £200 per adult per year. In the last 12 months, 61% of adults gambled. In wales, 1.1% of the population have self reported that they have a gambling problem.</w:t>
      </w:r>
    </w:p>
    <w:p w:rsidR="00000000" w:rsidDel="00000000" w:rsidP="00000000" w:rsidRDefault="00000000" w:rsidRPr="00000000" w14:paraId="00000018">
      <w:pPr>
        <w:rPr/>
      </w:pPr>
      <w:r w:rsidDel="00000000" w:rsidR="00000000" w:rsidRPr="00000000">
        <w:rPr>
          <w:rtl w:val="0"/>
        </w:rPr>
        <w:t xml:space="preserve">To conclude, they found that gambling should be considered a problem in Wales and it's important that there is an action plan to reduce the harm and impact of gambling in families and society.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numPr>
          <w:ilvl w:val="0"/>
          <w:numId w:val="2"/>
        </w:numPr>
        <w:ind w:left="720" w:hanging="360"/>
        <w:jc w:val="center"/>
        <w:rPr>
          <w:rFonts w:ascii="Times New Roman" w:cs="Times New Roman" w:eastAsia="Times New Roman" w:hAnsi="Times New Roman"/>
          <w:sz w:val="24"/>
          <w:szCs w:val="24"/>
          <w:highlight w:val="white"/>
          <w:u w:val="none"/>
        </w:rPr>
      </w:pPr>
      <w:r w:rsidDel="00000000" w:rsidR="00000000" w:rsidRPr="00000000">
        <w:rPr>
          <w:rFonts w:ascii="Times New Roman" w:cs="Times New Roman" w:eastAsia="Times New Roman" w:hAnsi="Times New Roman"/>
          <w:sz w:val="24"/>
          <w:szCs w:val="24"/>
          <w:highlight w:val="white"/>
          <w:rtl w:val="0"/>
        </w:rPr>
        <w:t xml:space="preserve">Atherton, F., &amp; Beynon, C. (2018). </w:t>
      </w:r>
      <w:r w:rsidDel="00000000" w:rsidR="00000000" w:rsidRPr="00000000">
        <w:rPr>
          <w:rFonts w:ascii="Times New Roman" w:cs="Times New Roman" w:eastAsia="Times New Roman" w:hAnsi="Times New Roman"/>
          <w:i w:val="1"/>
          <w:sz w:val="24"/>
          <w:szCs w:val="24"/>
          <w:highlight w:val="white"/>
          <w:rtl w:val="0"/>
        </w:rPr>
        <w:t xml:space="preserve">Is gambling an emerging public health issue for Wales, UK?</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Journal Of Public Health</w:t>
      </w:r>
      <w:r w:rsidDel="00000000" w:rsidR="00000000" w:rsidRPr="00000000">
        <w:rPr>
          <w:rFonts w:ascii="Times New Roman" w:cs="Times New Roman" w:eastAsia="Times New Roman" w:hAnsi="Times New Roman"/>
          <w:sz w:val="24"/>
          <w:szCs w:val="24"/>
          <w:highlight w:val="white"/>
          <w:rtl w:val="0"/>
        </w:rPr>
        <w:t xml:space="preserve">. doi: 10.1093/pubmed/fdy164</w:t>
      </w:r>
    </w:p>
    <w:p w:rsidR="00000000" w:rsidDel="00000000" w:rsidP="00000000" w:rsidRDefault="00000000" w:rsidRPr="00000000" w14:paraId="0000001B">
      <w:pPr>
        <w:jc w:val="cente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C">
      <w:pPr>
        <w:jc w:val="cente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D">
      <w:pPr>
        <w:rPr>
          <w:b w:val="1"/>
          <w:u w:val="single"/>
        </w:rPr>
      </w:pPr>
      <w:r w:rsidDel="00000000" w:rsidR="00000000" w:rsidRPr="00000000">
        <w:rPr>
          <w:b w:val="1"/>
          <w:u w:val="single"/>
          <w:rtl w:val="0"/>
        </w:rPr>
        <w:t xml:space="preserve">Article 2 </w:t>
      </w:r>
    </w:p>
    <w:p w:rsidR="00000000" w:rsidDel="00000000" w:rsidP="00000000" w:rsidRDefault="00000000" w:rsidRPr="00000000" w14:paraId="0000001E">
      <w:pPr>
        <w:rPr/>
      </w:pPr>
      <w:r w:rsidDel="00000000" w:rsidR="00000000" w:rsidRPr="00000000">
        <w:rPr>
          <w:rtl w:val="0"/>
        </w:rPr>
        <w:t xml:space="preserve">The aims of this study was to explore how cultural pressure in the United States impacts young women and how they may portray themselves over social media to meet the social standards for being “sexy”</w:t>
      </w:r>
    </w:p>
    <w:p w:rsidR="00000000" w:rsidDel="00000000" w:rsidP="00000000" w:rsidRDefault="00000000" w:rsidRPr="00000000" w14:paraId="0000001F">
      <w:pPr>
        <w:rPr/>
      </w:pPr>
      <w:r w:rsidDel="00000000" w:rsidR="00000000" w:rsidRPr="00000000">
        <w:rPr>
          <w:rtl w:val="0"/>
        </w:rPr>
        <w:t xml:space="preserve">59 people looked a non sexualised facebook profile, 59 others looked at a sexualised facebook profile and were asked a series of questions to evaluate the person. </w:t>
      </w:r>
    </w:p>
    <w:p w:rsidR="00000000" w:rsidDel="00000000" w:rsidP="00000000" w:rsidRDefault="00000000" w:rsidRPr="00000000" w14:paraId="00000020">
      <w:pPr>
        <w:rPr/>
      </w:pPr>
      <w:r w:rsidDel="00000000" w:rsidR="00000000" w:rsidRPr="00000000">
        <w:rPr>
          <w:rtl w:val="0"/>
        </w:rPr>
        <w:t xml:space="preserve">The women who looked at the sexualised profiles determined that the sexualised profile was “less physically attractive, less socially attractive,</w:t>
      </w:r>
    </w:p>
    <w:p w:rsidR="00000000" w:rsidDel="00000000" w:rsidP="00000000" w:rsidRDefault="00000000" w:rsidRPr="00000000" w14:paraId="00000021">
      <w:pPr>
        <w:rPr/>
      </w:pPr>
      <w:r w:rsidDel="00000000" w:rsidR="00000000" w:rsidRPr="00000000">
        <w:rPr>
          <w:rtl w:val="0"/>
        </w:rPr>
        <w:t xml:space="preserve">and less competent to complete tasks.”</w:t>
      </w:r>
    </w:p>
    <w:p w:rsidR="00000000" w:rsidDel="00000000" w:rsidP="00000000" w:rsidRDefault="00000000" w:rsidRPr="00000000" w14:paraId="00000022">
      <w:pPr>
        <w:rPr/>
      </w:pPr>
      <w:r w:rsidDel="00000000" w:rsidR="00000000" w:rsidRPr="00000000">
        <w:rPr>
          <w:rtl w:val="0"/>
        </w:rPr>
        <w:t xml:space="preserve">It seems that age played a big factor in the way the women judged the profiles. Results showed that the young adult women were rating a sexualised profile higher than adolescent girls. </w:t>
      </w:r>
    </w:p>
    <w:p w:rsidR="00000000" w:rsidDel="00000000" w:rsidP="00000000" w:rsidRDefault="00000000" w:rsidRPr="00000000" w14:paraId="00000023">
      <w:pPr>
        <w:ind w:left="144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numPr>
          <w:ilvl w:val="0"/>
          <w:numId w:val="4"/>
        </w:numPr>
        <w:ind w:left="1440" w:hanging="360"/>
        <w:jc w:val="center"/>
        <w:rPr>
          <w:rFonts w:ascii="Times New Roman" w:cs="Times New Roman" w:eastAsia="Times New Roman" w:hAnsi="Times New Roman"/>
          <w:sz w:val="24"/>
          <w:szCs w:val="24"/>
          <w:highlight w:val="white"/>
          <w:u w:val="none"/>
        </w:rPr>
      </w:pPr>
      <w:r w:rsidDel="00000000" w:rsidR="00000000" w:rsidRPr="00000000">
        <w:rPr>
          <w:rFonts w:ascii="Times New Roman" w:cs="Times New Roman" w:eastAsia="Times New Roman" w:hAnsi="Times New Roman"/>
          <w:sz w:val="24"/>
          <w:szCs w:val="24"/>
          <w:highlight w:val="white"/>
          <w:rtl w:val="0"/>
        </w:rPr>
        <w:t xml:space="preserve">Daniels, E., &amp; Zurbriggen, E. (2016). </w:t>
      </w:r>
      <w:r w:rsidDel="00000000" w:rsidR="00000000" w:rsidRPr="00000000">
        <w:rPr>
          <w:rFonts w:ascii="Times New Roman" w:cs="Times New Roman" w:eastAsia="Times New Roman" w:hAnsi="Times New Roman"/>
          <w:i w:val="1"/>
          <w:sz w:val="24"/>
          <w:szCs w:val="24"/>
          <w:highlight w:val="white"/>
          <w:rtl w:val="0"/>
        </w:rPr>
        <w:t xml:space="preserve">The price of sexy: Viewers’ perceptions of a sexualized versus nonsexualized Facebook profile photograph.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Psychology Of Popular Media Culture, 5</w:t>
      </w:r>
      <w:r w:rsidDel="00000000" w:rsidR="00000000" w:rsidRPr="00000000">
        <w:rPr>
          <w:rFonts w:ascii="Times New Roman" w:cs="Times New Roman" w:eastAsia="Times New Roman" w:hAnsi="Times New Roman"/>
          <w:sz w:val="24"/>
          <w:szCs w:val="24"/>
          <w:highlight w:val="white"/>
          <w:rtl w:val="0"/>
        </w:rPr>
        <w:t xml:space="preserve">(1), 2-14. doi: 10.1037/ppm0000048</w:t>
      </w: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ind w:left="720" w:firstLine="0"/>
        <w:rPr>
          <w:b w:val="1"/>
          <w:u w:val="single"/>
        </w:rPr>
      </w:pPr>
      <w:r w:rsidDel="00000000" w:rsidR="00000000" w:rsidRPr="00000000">
        <w:rPr>
          <w:b w:val="1"/>
          <w:u w:val="single"/>
          <w:rtl w:val="0"/>
        </w:rPr>
        <w:t xml:space="preserve">Article 3</w:t>
      </w:r>
    </w:p>
    <w:p w:rsidR="00000000" w:rsidDel="00000000" w:rsidP="00000000" w:rsidRDefault="00000000" w:rsidRPr="00000000" w14:paraId="00000029">
      <w:pPr>
        <w:ind w:left="720" w:firstLine="0"/>
        <w:rPr/>
      </w:pPr>
      <w:r w:rsidDel="00000000" w:rsidR="00000000" w:rsidRPr="00000000">
        <w:rPr>
          <w:rtl w:val="0"/>
        </w:rPr>
        <w:t xml:space="preserve">The aim of the study was to explore the link between narcissism and health risk and health protective behaviours.</w:t>
      </w:r>
    </w:p>
    <w:p w:rsidR="00000000" w:rsidDel="00000000" w:rsidP="00000000" w:rsidRDefault="00000000" w:rsidRPr="00000000" w14:paraId="0000002A">
      <w:pPr>
        <w:ind w:left="720" w:firstLine="0"/>
        <w:rPr/>
      </w:pPr>
      <w:r w:rsidDel="00000000" w:rsidR="00000000" w:rsidRPr="00000000">
        <w:rPr>
          <w:rtl w:val="0"/>
        </w:rPr>
        <w:t xml:space="preserve">They carried the study out by studying 365 undergraduate students in the United States. </w:t>
      </w:r>
    </w:p>
    <w:p w:rsidR="00000000" w:rsidDel="00000000" w:rsidP="00000000" w:rsidRDefault="00000000" w:rsidRPr="00000000" w14:paraId="0000002B">
      <w:pPr>
        <w:ind w:left="720" w:firstLine="0"/>
        <w:rPr/>
      </w:pPr>
      <w:r w:rsidDel="00000000" w:rsidR="00000000" w:rsidRPr="00000000">
        <w:rPr>
          <w:rtl w:val="0"/>
        </w:rPr>
        <w:t xml:space="preserve">Results showed that narcissism was present in health risk behaviours and the likelihood of narcissism was increased with the use of alcohol and drug use. However, it also showed that narcissism was related to health protective behaviours showing a higher likelihood of healthy eating lifestyle and increased participation in physical activities.</w:t>
      </w:r>
    </w:p>
    <w:p w:rsidR="00000000" w:rsidDel="00000000" w:rsidP="00000000" w:rsidRDefault="00000000" w:rsidRPr="00000000" w14:paraId="0000002C">
      <w:pPr>
        <w:ind w:left="720" w:firstLine="0"/>
        <w:rPr/>
      </w:pPr>
      <w:r w:rsidDel="00000000" w:rsidR="00000000" w:rsidRPr="00000000">
        <w:rPr>
          <w:rtl w:val="0"/>
        </w:rPr>
        <w:t xml:space="preserve">After carrying out the experiment it was clear to see that narcissism is connected with both health risk and health protective behaviours and future research would be beneficial to obtain more statistics and results.</w:t>
      </w:r>
    </w:p>
    <w:p w:rsidR="00000000" w:rsidDel="00000000" w:rsidP="00000000" w:rsidRDefault="00000000" w:rsidRPr="00000000" w14:paraId="0000002D">
      <w:pPr>
        <w:ind w:left="720" w:firstLine="0"/>
        <w:rPr/>
      </w:pPr>
      <w:r w:rsidDel="00000000" w:rsidR="00000000" w:rsidRPr="00000000">
        <w:rPr>
          <w:rtl w:val="0"/>
        </w:rPr>
      </w:r>
    </w:p>
    <w:p w:rsidR="00000000" w:rsidDel="00000000" w:rsidP="00000000" w:rsidRDefault="00000000" w:rsidRPr="00000000" w14:paraId="0000002E">
      <w:pPr>
        <w:numPr>
          <w:ilvl w:val="0"/>
          <w:numId w:val="1"/>
        </w:numPr>
        <w:ind w:left="1440" w:hanging="360"/>
        <w:jc w:val="center"/>
        <w:rPr>
          <w:rFonts w:ascii="Times New Roman" w:cs="Times New Roman" w:eastAsia="Times New Roman" w:hAnsi="Times New Roman"/>
          <w:sz w:val="24"/>
          <w:szCs w:val="24"/>
          <w:highlight w:val="white"/>
          <w:u w:val="none"/>
        </w:rPr>
      </w:pPr>
      <w:r w:rsidDel="00000000" w:rsidR="00000000" w:rsidRPr="00000000">
        <w:rPr>
          <w:rFonts w:ascii="Times New Roman" w:cs="Times New Roman" w:eastAsia="Times New Roman" w:hAnsi="Times New Roman"/>
          <w:sz w:val="24"/>
          <w:szCs w:val="24"/>
          <w:highlight w:val="white"/>
          <w:rtl w:val="0"/>
        </w:rPr>
        <w:t xml:space="preserve">Hill, E. (2016).</w:t>
      </w:r>
      <w:r w:rsidDel="00000000" w:rsidR="00000000" w:rsidRPr="00000000">
        <w:rPr>
          <w:rFonts w:ascii="Times New Roman" w:cs="Times New Roman" w:eastAsia="Times New Roman" w:hAnsi="Times New Roman"/>
          <w:i w:val="1"/>
          <w:sz w:val="24"/>
          <w:szCs w:val="24"/>
          <w:highlight w:val="white"/>
          <w:rtl w:val="0"/>
        </w:rPr>
        <w:t xml:space="preserve"> The role of narcissism in health-risk and health-protective behaviors. </w:t>
      </w:r>
      <w:r w:rsidDel="00000000" w:rsidR="00000000" w:rsidRPr="00000000">
        <w:rPr>
          <w:rFonts w:ascii="Times New Roman" w:cs="Times New Roman" w:eastAsia="Times New Roman" w:hAnsi="Times New Roman"/>
          <w:sz w:val="24"/>
          <w:szCs w:val="24"/>
          <w:highlight w:val="white"/>
          <w:rtl w:val="0"/>
        </w:rPr>
        <w:t xml:space="preserve">Journal Of Health Psychology, 2</w:t>
      </w:r>
      <w:r w:rsidDel="00000000" w:rsidR="00000000" w:rsidRPr="00000000">
        <w:rPr>
          <w:rFonts w:ascii="Times New Roman" w:cs="Times New Roman" w:eastAsia="Times New Roman" w:hAnsi="Times New Roman"/>
          <w:i w:val="1"/>
          <w:sz w:val="24"/>
          <w:szCs w:val="24"/>
          <w:highlight w:val="white"/>
          <w:rtl w:val="0"/>
        </w:rPr>
        <w:t xml:space="preserve">1</w:t>
      </w:r>
      <w:r w:rsidDel="00000000" w:rsidR="00000000" w:rsidRPr="00000000">
        <w:rPr>
          <w:rFonts w:ascii="Times New Roman" w:cs="Times New Roman" w:eastAsia="Times New Roman" w:hAnsi="Times New Roman"/>
          <w:sz w:val="24"/>
          <w:szCs w:val="24"/>
          <w:highlight w:val="white"/>
          <w:rtl w:val="0"/>
        </w:rPr>
        <w:t xml:space="preserve">(9), 2021-2032. doi: 10.1177/1359105315569858</w:t>
      </w:r>
      <w:r w:rsidDel="00000000" w:rsidR="00000000" w:rsidRPr="00000000">
        <w:rPr>
          <w:rtl w:val="0"/>
        </w:rPr>
      </w:r>
    </w:p>
    <w:p w:rsidR="00000000" w:rsidDel="00000000" w:rsidP="00000000" w:rsidRDefault="00000000" w:rsidRPr="00000000" w14:paraId="0000002F">
      <w:pPr>
        <w:ind w:left="720" w:firstLine="0"/>
        <w:rPr>
          <w:b w:val="1"/>
        </w:rPr>
      </w:pPr>
      <w:r w:rsidDel="00000000" w:rsidR="00000000" w:rsidRPr="00000000">
        <w:rPr>
          <w:rtl w:val="0"/>
        </w:rPr>
      </w:r>
    </w:p>
    <w:p w:rsidR="00000000" w:rsidDel="00000000" w:rsidP="00000000" w:rsidRDefault="00000000" w:rsidRPr="00000000" w14:paraId="00000030">
      <w:pPr>
        <w:ind w:left="720" w:firstLine="0"/>
        <w:rPr>
          <w:b w:val="1"/>
        </w:rPr>
      </w:pPr>
      <w:r w:rsidDel="00000000" w:rsidR="00000000" w:rsidRPr="00000000">
        <w:rPr>
          <w:rtl w:val="0"/>
        </w:rPr>
      </w:r>
    </w:p>
    <w:p w:rsidR="00000000" w:rsidDel="00000000" w:rsidP="00000000" w:rsidRDefault="00000000" w:rsidRPr="00000000" w14:paraId="00000031">
      <w:pPr>
        <w:ind w:left="720" w:firstLine="0"/>
        <w:rPr>
          <w:b w:val="1"/>
          <w:u w:val="single"/>
        </w:rPr>
      </w:pPr>
      <w:r w:rsidDel="00000000" w:rsidR="00000000" w:rsidRPr="00000000">
        <w:rPr>
          <w:b w:val="1"/>
          <w:u w:val="single"/>
          <w:rtl w:val="0"/>
        </w:rPr>
        <w:t xml:space="preserve">Jumbled Reference List</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Bennett, P. (2011). </w:t>
      </w:r>
      <w:r w:rsidDel="00000000" w:rsidR="00000000" w:rsidRPr="00000000">
        <w:rPr>
          <w:rFonts w:ascii="Times New Roman" w:cs="Times New Roman" w:eastAsia="Times New Roman" w:hAnsi="Times New Roman"/>
          <w:i w:val="1"/>
          <w:color w:val="222222"/>
          <w:sz w:val="24"/>
          <w:szCs w:val="24"/>
          <w:highlight w:val="white"/>
          <w:rtl w:val="0"/>
        </w:rPr>
        <w:t xml:space="preserve">Abnormal and clinical psychology: An introductory textbook</w:t>
      </w:r>
      <w:r w:rsidDel="00000000" w:rsidR="00000000" w:rsidRPr="00000000">
        <w:rPr>
          <w:rFonts w:ascii="Times New Roman" w:cs="Times New Roman" w:eastAsia="Times New Roman" w:hAnsi="Times New Roman"/>
          <w:color w:val="222222"/>
          <w:sz w:val="24"/>
          <w:szCs w:val="24"/>
          <w:highlight w:val="white"/>
          <w:rtl w:val="0"/>
        </w:rPr>
        <w:t xml:space="preserve">. McGraw-Hill Education (UK).</w:t>
      </w:r>
    </w:p>
    <w:p w:rsidR="00000000" w:rsidDel="00000000" w:rsidP="00000000" w:rsidRDefault="00000000" w:rsidRPr="00000000" w14:paraId="00000034">
      <w:pPr>
        <w:ind w:left="72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35">
      <w:pPr>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3a3a3a"/>
          <w:sz w:val="24"/>
          <w:szCs w:val="24"/>
          <w:highlight w:val="white"/>
          <w:rtl w:val="0"/>
        </w:rPr>
        <w:t xml:space="preserve">Davey, G. (2014). </w:t>
      </w:r>
      <w:r w:rsidDel="00000000" w:rsidR="00000000" w:rsidRPr="00000000">
        <w:rPr>
          <w:rFonts w:ascii="Times New Roman" w:cs="Times New Roman" w:eastAsia="Times New Roman" w:hAnsi="Times New Roman"/>
          <w:i w:val="1"/>
          <w:color w:val="3a3a3a"/>
          <w:sz w:val="24"/>
          <w:szCs w:val="24"/>
          <w:highlight w:val="white"/>
          <w:rtl w:val="0"/>
        </w:rPr>
        <w:t xml:space="preserve">Psychopathology : Research, assessment and treatment in clinical psychology</w:t>
      </w:r>
      <w:r w:rsidDel="00000000" w:rsidR="00000000" w:rsidRPr="00000000">
        <w:rPr>
          <w:rFonts w:ascii="Times New Roman" w:cs="Times New Roman" w:eastAsia="Times New Roman" w:hAnsi="Times New Roman"/>
          <w:color w:val="3a3a3a"/>
          <w:sz w:val="24"/>
          <w:szCs w:val="24"/>
          <w:highlight w:val="white"/>
          <w:rtl w:val="0"/>
        </w:rPr>
        <w:t xml:space="preserve"> (2nd ed., BPS textbooks in psychology). United Kingdom: British Psychological Society and John Wiley &amp; Sons.</w:t>
      </w:r>
      <w:r w:rsidDel="00000000" w:rsidR="00000000" w:rsidRPr="00000000">
        <w:rPr>
          <w:rtl w:val="0"/>
        </w:rPr>
      </w:r>
    </w:p>
    <w:p w:rsidR="00000000" w:rsidDel="00000000" w:rsidP="00000000" w:rsidRDefault="00000000" w:rsidRPr="00000000" w14:paraId="00000036">
      <w:pPr>
        <w:ind w:left="72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37">
      <w:pPr>
        <w:ind w:left="72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Day, S. (9-11 September 2015). </w:t>
      </w:r>
      <w:r w:rsidDel="00000000" w:rsidR="00000000" w:rsidRPr="00000000">
        <w:rPr>
          <w:rFonts w:ascii="Times New Roman" w:cs="Times New Roman" w:eastAsia="Times New Roman" w:hAnsi="Times New Roman"/>
          <w:i w:val="1"/>
          <w:sz w:val="24"/>
          <w:szCs w:val="24"/>
          <w:highlight w:val="white"/>
          <w:rtl w:val="0"/>
        </w:rPr>
        <w:t xml:space="preserve">Families experience of Poverty Stigma in Education</w:t>
      </w:r>
      <w:r w:rsidDel="00000000" w:rsidR="00000000" w:rsidRPr="00000000">
        <w:rPr>
          <w:rFonts w:ascii="Times New Roman" w:cs="Times New Roman" w:eastAsia="Times New Roman" w:hAnsi="Times New Roman"/>
          <w:sz w:val="24"/>
          <w:szCs w:val="24"/>
          <w:highlight w:val="white"/>
          <w:rtl w:val="0"/>
        </w:rPr>
        <w:t xml:space="preserve">. Development psychological section, psychology 46 (6): 369-375. University of Central Lancashire.</w:t>
      </w:r>
    </w:p>
    <w:p w:rsidR="00000000" w:rsidDel="00000000" w:rsidP="00000000" w:rsidRDefault="00000000" w:rsidRPr="00000000" w14:paraId="00000038">
      <w:pPr>
        <w:ind w:left="72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9">
      <w:pPr>
        <w:ind w:left="72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Evans, L., Mitchell, I., &amp; Jones, S.</w:t>
      </w:r>
      <w:r w:rsidDel="00000000" w:rsidR="00000000" w:rsidRPr="00000000">
        <w:rPr>
          <w:rFonts w:ascii="Times New Roman" w:cs="Times New Roman" w:eastAsia="Times New Roman" w:hAnsi="Times New Roman"/>
          <w:i w:val="1"/>
          <w:sz w:val="24"/>
          <w:szCs w:val="24"/>
          <w:highlight w:val="white"/>
          <w:rtl w:val="0"/>
        </w:rPr>
        <w:t xml:space="preserve"> Psychological Response to Sport Injury. In S. Hanton &amp; S. Mellalieu, Literature reviews in Sport Psychology.</w:t>
      </w:r>
      <w:r w:rsidDel="00000000" w:rsidR="00000000" w:rsidRPr="00000000">
        <w:rPr>
          <w:rFonts w:ascii="Times New Roman" w:cs="Times New Roman" w:eastAsia="Times New Roman" w:hAnsi="Times New Roman"/>
          <w:sz w:val="24"/>
          <w:szCs w:val="24"/>
          <w:highlight w:val="white"/>
          <w:rtl w:val="0"/>
        </w:rPr>
        <w:t xml:space="preserve"> 289-319. Hauupage NY: Nova Science Publications.</w:t>
      </w:r>
    </w:p>
    <w:p w:rsidR="00000000" w:rsidDel="00000000" w:rsidP="00000000" w:rsidRDefault="00000000" w:rsidRPr="00000000" w14:paraId="0000003A">
      <w:pPr>
        <w:ind w:left="72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B">
      <w:pPr>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Geekie, J., &amp; Read, J. (2009). </w:t>
      </w:r>
      <w:r w:rsidDel="00000000" w:rsidR="00000000" w:rsidRPr="00000000">
        <w:rPr>
          <w:rFonts w:ascii="Times New Roman" w:cs="Times New Roman" w:eastAsia="Times New Roman" w:hAnsi="Times New Roman"/>
          <w:i w:val="1"/>
          <w:color w:val="222222"/>
          <w:sz w:val="24"/>
          <w:szCs w:val="24"/>
          <w:highlight w:val="white"/>
          <w:rtl w:val="0"/>
        </w:rPr>
        <w:t xml:space="preserve">Making sense of madness: Contesting the meaning of schizophrenia</w:t>
      </w:r>
      <w:r w:rsidDel="00000000" w:rsidR="00000000" w:rsidRPr="00000000">
        <w:rPr>
          <w:rFonts w:ascii="Times New Roman" w:cs="Times New Roman" w:eastAsia="Times New Roman" w:hAnsi="Times New Roman"/>
          <w:color w:val="222222"/>
          <w:sz w:val="24"/>
          <w:szCs w:val="24"/>
          <w:highlight w:val="white"/>
          <w:rtl w:val="0"/>
        </w:rPr>
        <w:t xml:space="preserve">. Routledge.</w:t>
      </w:r>
    </w:p>
    <w:p w:rsidR="00000000" w:rsidDel="00000000" w:rsidP="00000000" w:rsidRDefault="00000000" w:rsidRPr="00000000" w14:paraId="0000003C">
      <w:pPr>
        <w:ind w:left="72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3D">
      <w:pPr>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Hefferon, K., &amp; Boniwell, I. (2011). </w:t>
      </w:r>
      <w:r w:rsidDel="00000000" w:rsidR="00000000" w:rsidRPr="00000000">
        <w:rPr>
          <w:rFonts w:ascii="Times New Roman" w:cs="Times New Roman" w:eastAsia="Times New Roman" w:hAnsi="Times New Roman"/>
          <w:i w:val="1"/>
          <w:color w:val="222222"/>
          <w:sz w:val="24"/>
          <w:szCs w:val="24"/>
          <w:highlight w:val="white"/>
          <w:rtl w:val="0"/>
        </w:rPr>
        <w:t xml:space="preserve">Positive psychology: Theory, research and applications</w:t>
      </w:r>
      <w:r w:rsidDel="00000000" w:rsidR="00000000" w:rsidRPr="00000000">
        <w:rPr>
          <w:rFonts w:ascii="Times New Roman" w:cs="Times New Roman" w:eastAsia="Times New Roman" w:hAnsi="Times New Roman"/>
          <w:color w:val="222222"/>
          <w:sz w:val="24"/>
          <w:szCs w:val="24"/>
          <w:highlight w:val="white"/>
          <w:rtl w:val="0"/>
        </w:rPr>
        <w:t xml:space="preserve">. McGraw-Hill Education (UK).</w:t>
      </w:r>
    </w:p>
    <w:p w:rsidR="00000000" w:rsidDel="00000000" w:rsidP="00000000" w:rsidRDefault="00000000" w:rsidRPr="00000000" w14:paraId="0000003E">
      <w:pPr>
        <w:ind w:left="72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3F">
      <w:pPr>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Hill, E. M. (2016). The role of narcissism in health-risk and health-protective behaviors. </w:t>
      </w:r>
      <w:r w:rsidDel="00000000" w:rsidR="00000000" w:rsidRPr="00000000">
        <w:rPr>
          <w:rFonts w:ascii="Times New Roman" w:cs="Times New Roman" w:eastAsia="Times New Roman" w:hAnsi="Times New Roman"/>
          <w:i w:val="1"/>
          <w:color w:val="222222"/>
          <w:sz w:val="24"/>
          <w:szCs w:val="24"/>
          <w:highlight w:val="white"/>
          <w:rtl w:val="0"/>
        </w:rPr>
        <w:t xml:space="preserve">Journal of health psychology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21</w:t>
      </w:r>
      <w:r w:rsidDel="00000000" w:rsidR="00000000" w:rsidRPr="00000000">
        <w:rPr>
          <w:rFonts w:ascii="Times New Roman" w:cs="Times New Roman" w:eastAsia="Times New Roman" w:hAnsi="Times New Roman"/>
          <w:color w:val="222222"/>
          <w:sz w:val="24"/>
          <w:szCs w:val="24"/>
          <w:highlight w:val="white"/>
          <w:rtl w:val="0"/>
        </w:rPr>
        <w:t xml:space="preserve">(9), 2021-2032.</w:t>
      </w:r>
    </w:p>
    <w:p w:rsidR="00000000" w:rsidDel="00000000" w:rsidP="00000000" w:rsidRDefault="00000000" w:rsidRPr="00000000" w14:paraId="00000040">
      <w:pPr>
        <w:ind w:left="72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41">
      <w:pPr>
        <w:ind w:left="72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Mazzetti, G., Schaufeli, W., &amp; Guglielmi, D. (2014).</w:t>
      </w:r>
      <w:r w:rsidDel="00000000" w:rsidR="00000000" w:rsidRPr="00000000">
        <w:rPr>
          <w:rFonts w:ascii="Times New Roman" w:cs="Times New Roman" w:eastAsia="Times New Roman" w:hAnsi="Times New Roman"/>
          <w:i w:val="1"/>
          <w:sz w:val="24"/>
          <w:szCs w:val="24"/>
          <w:highlight w:val="white"/>
          <w:rtl w:val="0"/>
        </w:rPr>
        <w:t xml:space="preserve"> Are workaholics born or made? Relations of workaholism with person characteristics and overwork climate. International Journal Of Stress Management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23</w:t>
      </w:r>
      <w:r w:rsidDel="00000000" w:rsidR="00000000" w:rsidRPr="00000000">
        <w:rPr>
          <w:rFonts w:ascii="Times New Roman" w:cs="Times New Roman" w:eastAsia="Times New Roman" w:hAnsi="Times New Roman"/>
          <w:sz w:val="24"/>
          <w:szCs w:val="24"/>
          <w:highlight w:val="white"/>
          <w:rtl w:val="0"/>
        </w:rPr>
        <w:t xml:space="preserve">(3), 227-254.</w:t>
      </w:r>
    </w:p>
    <w:p w:rsidR="00000000" w:rsidDel="00000000" w:rsidP="00000000" w:rsidRDefault="00000000" w:rsidRPr="00000000" w14:paraId="00000042">
      <w:pPr>
        <w:ind w:left="72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3">
      <w:pPr>
        <w:ind w:left="72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Mental health foundation. (10 September 2017). [Audio podcast]. Computerised cognitive behavioural therapy http://www.mentalhealth.org.uk/podcastsand-videos/computerised-cognitivebehavioural-therapy</w:t>
      </w:r>
      <w:r w:rsidDel="00000000" w:rsidR="00000000" w:rsidRPr="00000000">
        <w:rPr>
          <w:rtl w:val="0"/>
        </w:rPr>
      </w:r>
    </w:p>
    <w:p w:rsidR="00000000" w:rsidDel="00000000" w:rsidP="00000000" w:rsidRDefault="00000000" w:rsidRPr="00000000" w14:paraId="00000044">
      <w:pPr>
        <w:ind w:left="72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5">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Mohamed, S. (2011). </w:t>
      </w:r>
      <w:r w:rsidDel="00000000" w:rsidR="00000000" w:rsidRPr="00000000">
        <w:rPr>
          <w:rFonts w:ascii="Times New Roman" w:cs="Times New Roman" w:eastAsia="Times New Roman" w:hAnsi="Times New Roman"/>
          <w:i w:val="1"/>
          <w:color w:val="222222"/>
          <w:sz w:val="24"/>
          <w:szCs w:val="24"/>
          <w:highlight w:val="white"/>
          <w:rtl w:val="0"/>
        </w:rPr>
        <w:t xml:space="preserve">Stigma and mental illness: are there cultural differences?</w:t>
      </w:r>
      <w:r w:rsidDel="00000000" w:rsidR="00000000" w:rsidRPr="00000000">
        <w:rPr>
          <w:rFonts w:ascii="Times New Roman" w:cs="Times New Roman" w:eastAsia="Times New Roman" w:hAnsi="Times New Roman"/>
          <w:color w:val="222222"/>
          <w:sz w:val="24"/>
          <w:szCs w:val="24"/>
          <w:highlight w:val="white"/>
          <w:rtl w:val="0"/>
        </w:rPr>
        <w:t xml:space="preserve"> (Doctoral dissertation, University of East Anglia).</w:t>
      </w:r>
      <w:r w:rsidDel="00000000" w:rsidR="00000000" w:rsidRPr="00000000">
        <w:rPr>
          <w:rtl w:val="0"/>
        </w:rPr>
      </w:r>
    </w:p>
    <w:p w:rsidR="00000000" w:rsidDel="00000000" w:rsidP="00000000" w:rsidRDefault="00000000" w:rsidRPr="00000000" w14:paraId="00000046">
      <w:pPr>
        <w:ind w:left="720" w:firstLine="0"/>
        <w:rPr>
          <w:color w:val="ff0000"/>
        </w:rPr>
      </w:pPr>
      <w:r w:rsidDel="00000000" w:rsidR="00000000" w:rsidRPr="00000000">
        <w:rPr>
          <w:rtl w:val="0"/>
        </w:rPr>
      </w:r>
    </w:p>
    <w:p w:rsidR="00000000" w:rsidDel="00000000" w:rsidP="00000000" w:rsidRDefault="00000000" w:rsidRPr="00000000" w14:paraId="00000047">
      <w:pPr>
        <w:ind w:left="72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Office for National Statistics</w:t>
      </w:r>
      <w:r w:rsidDel="00000000" w:rsidR="00000000" w:rsidRPr="00000000">
        <w:rPr>
          <w:rFonts w:ascii="Times New Roman" w:cs="Times New Roman" w:eastAsia="Times New Roman" w:hAnsi="Times New Roman"/>
          <w:sz w:val="24"/>
          <w:szCs w:val="24"/>
          <w:rtl w:val="0"/>
        </w:rPr>
        <w:t xml:space="preserve">.(3 May,2016) Adult drinking habits in Great Britain</w:t>
      </w:r>
      <w:r w:rsidDel="00000000" w:rsidR="00000000" w:rsidRPr="00000000">
        <w:rPr>
          <w:rFonts w:ascii="Times New Roman" w:cs="Times New Roman" w:eastAsia="Times New Roman" w:hAnsi="Times New Roman"/>
          <w:i w:val="1"/>
          <w:sz w:val="24"/>
          <w:szCs w:val="24"/>
          <w:rtl w:val="0"/>
        </w:rPr>
        <w:t xml:space="preserve">: 2005 to 2016. </w:t>
      </w:r>
      <w:r w:rsidDel="00000000" w:rsidR="00000000" w:rsidRPr="00000000">
        <w:rPr>
          <w:rFonts w:ascii="Times New Roman" w:cs="Times New Roman" w:eastAsia="Times New Roman" w:hAnsi="Times New Roman"/>
          <w:sz w:val="24"/>
          <w:szCs w:val="24"/>
          <w:rtl w:val="0"/>
        </w:rPr>
        <w:t xml:space="preserve">Retrieved from https://www.ons.gov.uk/peoplepopulationandcommunity/healthandsocialcare/ drugusealcoholandsmoking/bulletins/opinionsandlifestylesurveyadultdrinkingh abit singreatbritain/2005to2016. </w:t>
      </w:r>
      <w:r w:rsidDel="00000000" w:rsidR="00000000" w:rsidRPr="00000000">
        <w:rPr>
          <w:rtl w:val="0"/>
        </w:rPr>
      </w:r>
    </w:p>
    <w:p w:rsidR="00000000" w:rsidDel="00000000" w:rsidP="00000000" w:rsidRDefault="00000000" w:rsidRPr="00000000" w14:paraId="00000048">
      <w:pPr>
        <w:ind w:left="720" w:firstLine="0"/>
        <w:rPr>
          <w:color w:val="ff0000"/>
        </w:rPr>
      </w:pPr>
      <w:r w:rsidDel="00000000" w:rsidR="00000000" w:rsidRPr="00000000">
        <w:rPr>
          <w:rtl w:val="0"/>
        </w:rPr>
      </w:r>
    </w:p>
    <w:p w:rsidR="00000000" w:rsidDel="00000000" w:rsidP="00000000" w:rsidRDefault="00000000" w:rsidRPr="00000000" w14:paraId="00000049">
      <w:pPr>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Phelps, C., Minou, M., Baker, A., Hughes, C., French, H., Hawkins, W., ... &amp; Hutchings, P. B. (2017).</w:t>
      </w:r>
      <w:r w:rsidDel="00000000" w:rsidR="00000000" w:rsidRPr="00000000">
        <w:rPr>
          <w:rFonts w:ascii="Times New Roman" w:cs="Times New Roman" w:eastAsia="Times New Roman" w:hAnsi="Times New Roman"/>
          <w:i w:val="1"/>
          <w:color w:val="222222"/>
          <w:sz w:val="24"/>
          <w:szCs w:val="24"/>
          <w:highlight w:val="white"/>
          <w:rtl w:val="0"/>
        </w:rPr>
        <w:t xml:space="preserve"> Necessary but not sufficient? Engaging young people in the development of an avatar‐based online intervention designed to provide psychosocial support to young people affected by their own or a family member's cancer diagnosis. Health Expectations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20</w:t>
      </w:r>
      <w:r w:rsidDel="00000000" w:rsidR="00000000" w:rsidRPr="00000000">
        <w:rPr>
          <w:rFonts w:ascii="Times New Roman" w:cs="Times New Roman" w:eastAsia="Times New Roman" w:hAnsi="Times New Roman"/>
          <w:color w:val="222222"/>
          <w:sz w:val="24"/>
          <w:szCs w:val="24"/>
          <w:highlight w:val="white"/>
          <w:rtl w:val="0"/>
        </w:rPr>
        <w:t xml:space="preserve">(3), 459-470.</w:t>
      </w:r>
    </w:p>
    <w:p w:rsidR="00000000" w:rsidDel="00000000" w:rsidP="00000000" w:rsidRDefault="00000000" w:rsidRPr="00000000" w14:paraId="0000004A">
      <w:pPr>
        <w:ind w:left="72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4B">
      <w:pPr>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Tarrier, N., Liversidge, T., &amp; Gregg, L. (2006). The acceptability and preference for the psychological treatment of PTSD. </w:t>
      </w:r>
      <w:r w:rsidDel="00000000" w:rsidR="00000000" w:rsidRPr="00000000">
        <w:rPr>
          <w:rFonts w:ascii="Times New Roman" w:cs="Times New Roman" w:eastAsia="Times New Roman" w:hAnsi="Times New Roman"/>
          <w:i w:val="1"/>
          <w:color w:val="222222"/>
          <w:sz w:val="24"/>
          <w:szCs w:val="24"/>
          <w:highlight w:val="white"/>
          <w:rtl w:val="0"/>
        </w:rPr>
        <w:t xml:space="preserve">Behaviour Research and Therapy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44</w:t>
      </w:r>
      <w:r w:rsidDel="00000000" w:rsidR="00000000" w:rsidRPr="00000000">
        <w:rPr>
          <w:rFonts w:ascii="Times New Roman" w:cs="Times New Roman" w:eastAsia="Times New Roman" w:hAnsi="Times New Roman"/>
          <w:color w:val="222222"/>
          <w:sz w:val="24"/>
          <w:szCs w:val="24"/>
          <w:highlight w:val="white"/>
          <w:rtl w:val="0"/>
        </w:rPr>
        <w:t xml:space="preserve">(11), 1643-1656.</w:t>
      </w:r>
    </w:p>
    <w:p w:rsidR="00000000" w:rsidDel="00000000" w:rsidP="00000000" w:rsidRDefault="00000000" w:rsidRPr="00000000" w14:paraId="0000004C">
      <w:pPr>
        <w:ind w:left="72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4D">
      <w:pPr>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Ulleberg, P., &amp; Rundmo, T. (2003). Personality, attitudes and risk perception as predictors of risky driving behaviour among young drivers. </w:t>
      </w:r>
      <w:r w:rsidDel="00000000" w:rsidR="00000000" w:rsidRPr="00000000">
        <w:rPr>
          <w:rFonts w:ascii="Times New Roman" w:cs="Times New Roman" w:eastAsia="Times New Roman" w:hAnsi="Times New Roman"/>
          <w:i w:val="1"/>
          <w:color w:val="222222"/>
          <w:sz w:val="24"/>
          <w:szCs w:val="24"/>
          <w:highlight w:val="white"/>
          <w:rtl w:val="0"/>
        </w:rPr>
        <w:t xml:space="preserve">Safety science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41</w:t>
      </w:r>
      <w:r w:rsidDel="00000000" w:rsidR="00000000" w:rsidRPr="00000000">
        <w:rPr>
          <w:rFonts w:ascii="Times New Roman" w:cs="Times New Roman" w:eastAsia="Times New Roman" w:hAnsi="Times New Roman"/>
          <w:color w:val="222222"/>
          <w:sz w:val="24"/>
          <w:szCs w:val="24"/>
          <w:highlight w:val="white"/>
          <w:rtl w:val="0"/>
        </w:rPr>
        <w:t xml:space="preserve">(5), 427-443.</w:t>
      </w:r>
    </w:p>
    <w:p w:rsidR="00000000" w:rsidDel="00000000" w:rsidP="00000000" w:rsidRDefault="00000000" w:rsidRPr="00000000" w14:paraId="0000004E">
      <w:pPr>
        <w:ind w:left="72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4F">
      <w:pPr>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Van Hasselt, V. B., Romano, S. J., &amp; Vecchi, G. M. (2008). Role playing: Applications in hostage and crisis negotiation skills training. </w:t>
      </w:r>
      <w:r w:rsidDel="00000000" w:rsidR="00000000" w:rsidRPr="00000000">
        <w:rPr>
          <w:rFonts w:ascii="Times New Roman" w:cs="Times New Roman" w:eastAsia="Times New Roman" w:hAnsi="Times New Roman"/>
          <w:i w:val="1"/>
          <w:color w:val="222222"/>
          <w:sz w:val="24"/>
          <w:szCs w:val="24"/>
          <w:highlight w:val="white"/>
          <w:rtl w:val="0"/>
        </w:rPr>
        <w:t xml:space="preserve">Behavior modification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32</w:t>
      </w:r>
      <w:r w:rsidDel="00000000" w:rsidR="00000000" w:rsidRPr="00000000">
        <w:rPr>
          <w:rFonts w:ascii="Times New Roman" w:cs="Times New Roman" w:eastAsia="Times New Roman" w:hAnsi="Times New Roman"/>
          <w:color w:val="222222"/>
          <w:sz w:val="24"/>
          <w:szCs w:val="24"/>
          <w:highlight w:val="white"/>
          <w:rtl w:val="0"/>
        </w:rPr>
        <w:t xml:space="preserve">(2), 248-263.</w:t>
      </w:r>
    </w:p>
    <w:p w:rsidR="00000000" w:rsidDel="00000000" w:rsidP="00000000" w:rsidRDefault="00000000" w:rsidRPr="00000000" w14:paraId="00000050">
      <w:pPr>
        <w:ind w:left="72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51">
      <w:pPr>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Vartanian, L. R., Trewartha, T., &amp; Vanman, E. J. (2016). </w:t>
      </w:r>
      <w:r w:rsidDel="00000000" w:rsidR="00000000" w:rsidRPr="00000000">
        <w:rPr>
          <w:rFonts w:ascii="Times New Roman" w:cs="Times New Roman" w:eastAsia="Times New Roman" w:hAnsi="Times New Roman"/>
          <w:i w:val="1"/>
          <w:color w:val="222222"/>
          <w:sz w:val="24"/>
          <w:szCs w:val="24"/>
          <w:highlight w:val="white"/>
          <w:rtl w:val="0"/>
        </w:rPr>
        <w:t xml:space="preserve">Disgust predicts prejudice and discrimination toward individuals with obesity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color w:val="222222"/>
          <w:sz w:val="24"/>
          <w:szCs w:val="24"/>
          <w:highlight w:val="white"/>
          <w:rtl w:val="0"/>
        </w:rPr>
        <w:t xml:space="preserve">Journal of Applied Social Psychology, 46(6), 369-375. </w:t>
      </w:r>
    </w:p>
    <w:p w:rsidR="00000000" w:rsidDel="00000000" w:rsidP="00000000" w:rsidRDefault="00000000" w:rsidRPr="00000000" w14:paraId="00000052">
      <w:pPr>
        <w:ind w:left="72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53">
      <w:pPr>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Voigt, D. C., Dillard, J. P., Braddock, K. H., Anderson, J. W., Sopory, P., &amp; Stephenson, M. T. (2009). BIS/BAS scales and their relationship to risky health behaviours. </w:t>
      </w:r>
      <w:r w:rsidDel="00000000" w:rsidR="00000000" w:rsidRPr="00000000">
        <w:rPr>
          <w:rFonts w:ascii="Times New Roman" w:cs="Times New Roman" w:eastAsia="Times New Roman" w:hAnsi="Times New Roman"/>
          <w:i w:val="1"/>
          <w:color w:val="222222"/>
          <w:sz w:val="24"/>
          <w:szCs w:val="24"/>
          <w:highlight w:val="white"/>
          <w:rtl w:val="0"/>
        </w:rPr>
        <w:t xml:space="preserve">Personality and Individual Differences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47</w:t>
      </w:r>
      <w:r w:rsidDel="00000000" w:rsidR="00000000" w:rsidRPr="00000000">
        <w:rPr>
          <w:rFonts w:ascii="Times New Roman" w:cs="Times New Roman" w:eastAsia="Times New Roman" w:hAnsi="Times New Roman"/>
          <w:color w:val="222222"/>
          <w:sz w:val="24"/>
          <w:szCs w:val="24"/>
          <w:highlight w:val="white"/>
          <w:rtl w:val="0"/>
        </w:rPr>
        <w:t xml:space="preserve">(2), 89-93.</w:t>
      </w:r>
    </w:p>
    <w:p w:rsidR="00000000" w:rsidDel="00000000" w:rsidP="00000000" w:rsidRDefault="00000000" w:rsidRPr="00000000" w14:paraId="00000054">
      <w:pPr>
        <w:ind w:left="72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55">
      <w:pPr>
        <w:ind w:left="720" w:firstLine="0"/>
        <w:rPr>
          <w:rFonts w:ascii="Times New Roman" w:cs="Times New Roman" w:eastAsia="Times New Roman" w:hAnsi="Times New Roman"/>
          <w:color w:val="222222"/>
          <w:sz w:val="24"/>
          <w:szCs w:val="24"/>
          <w:highlight w:val="white"/>
        </w:rPr>
      </w:pPr>
      <w:r w:rsidDel="00000000" w:rsidR="00000000" w:rsidRPr="00000000">
        <w:rPr>
          <w:rtl w:val="0"/>
        </w:rPr>
        <w:t xml:space="preserve">Well-being of future generations (Wales) act 2015. Welsh Government. United Kingdom: The Office Stationary Limited.</w:t>
      </w:r>
      <w:r w:rsidDel="00000000" w:rsidR="00000000" w:rsidRPr="00000000">
        <w:rPr>
          <w:rtl w:val="0"/>
        </w:rPr>
      </w:r>
    </w:p>
    <w:p w:rsidR="00000000" w:rsidDel="00000000" w:rsidP="00000000" w:rsidRDefault="00000000" w:rsidRPr="00000000" w14:paraId="00000056">
      <w:pPr>
        <w:ind w:left="720" w:firstLine="0"/>
        <w:rPr/>
      </w:pPr>
      <w:r w:rsidDel="00000000" w:rsidR="00000000" w:rsidRPr="00000000">
        <w:rPr>
          <w:rtl w:val="0"/>
        </w:rPr>
      </w:r>
    </w:p>
    <w:p w:rsidR="00000000" w:rsidDel="00000000" w:rsidP="00000000" w:rsidRDefault="00000000" w:rsidRPr="00000000" w14:paraId="00000057">
      <w:pPr>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Williamson, H., Hamlet, C., White, P., Marques, E. M., Cadogan, J., Perera, R., ... &amp; Harcourt, D. (2016). Study protocol of the YP Face IT feasibility study: comparing an online psychosocial intervention versus treatment as usual for adolescents distressed by appearance-altering conditions/injuries. </w:t>
      </w:r>
      <w:r w:rsidDel="00000000" w:rsidR="00000000" w:rsidRPr="00000000">
        <w:rPr>
          <w:rFonts w:ascii="Times New Roman" w:cs="Times New Roman" w:eastAsia="Times New Roman" w:hAnsi="Times New Roman"/>
          <w:i w:val="1"/>
          <w:color w:val="222222"/>
          <w:sz w:val="24"/>
          <w:szCs w:val="24"/>
          <w:highlight w:val="white"/>
          <w:rtl w:val="0"/>
        </w:rPr>
        <w:t xml:space="preserve">BMJ open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w:t>
      </w:r>
      <w:r w:rsidDel="00000000" w:rsidR="00000000" w:rsidRPr="00000000">
        <w:rPr>
          <w:rFonts w:ascii="Times New Roman" w:cs="Times New Roman" w:eastAsia="Times New Roman" w:hAnsi="Times New Roman"/>
          <w:color w:val="222222"/>
          <w:sz w:val="24"/>
          <w:szCs w:val="24"/>
          <w:highlight w:val="white"/>
          <w:rtl w:val="0"/>
        </w:rPr>
        <w:t xml:space="preserve">(10), e012423.</w:t>
      </w:r>
      <w:r w:rsidDel="00000000" w:rsidR="00000000" w:rsidRPr="00000000">
        <w:rPr>
          <w:rtl w:val="0"/>
        </w:rPr>
      </w:r>
    </w:p>
    <w:p w:rsidR="00000000" w:rsidDel="00000000" w:rsidP="00000000" w:rsidRDefault="00000000" w:rsidRPr="00000000" w14:paraId="00000058">
      <w:pPr>
        <w:ind w:left="720" w:firstLine="0"/>
        <w:rPr>
          <w:color w:val="ff0000"/>
        </w:rPr>
      </w:pPr>
      <w:r w:rsidDel="00000000" w:rsidR="00000000" w:rsidRPr="00000000">
        <w:rPr>
          <w:rtl w:val="0"/>
        </w:rPr>
      </w:r>
    </w:p>
    <w:p w:rsidR="00000000" w:rsidDel="00000000" w:rsidP="00000000" w:rsidRDefault="00000000" w:rsidRPr="00000000" w14:paraId="00000059">
      <w:pPr>
        <w:ind w:left="720" w:firstLine="0"/>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sz w:val="24"/>
          <w:szCs w:val="24"/>
          <w:rtl w:val="0"/>
        </w:rPr>
        <w:t xml:space="preserve">Young, E. (september 18, 2017). </w:t>
      </w:r>
      <w:r w:rsidDel="00000000" w:rsidR="00000000" w:rsidRPr="00000000">
        <w:rPr>
          <w:rFonts w:ascii="Times New Roman" w:cs="Times New Roman" w:eastAsia="Times New Roman" w:hAnsi="Times New Roman"/>
          <w:i w:val="1"/>
          <w:sz w:val="24"/>
          <w:szCs w:val="24"/>
          <w:rtl w:val="0"/>
        </w:rPr>
        <w:t xml:space="preserve">Women know better than men what other women are thinking and feeling. </w:t>
      </w:r>
      <w:r w:rsidDel="00000000" w:rsidR="00000000" w:rsidRPr="00000000">
        <w:rPr>
          <w:rFonts w:ascii="Times New Roman" w:cs="Times New Roman" w:eastAsia="Times New Roman" w:hAnsi="Times New Roman"/>
          <w:sz w:val="24"/>
          <w:szCs w:val="24"/>
          <w:rtl w:val="0"/>
        </w:rPr>
        <w:t xml:space="preserve">Research Digest, The British psychological society. https://digest.bps.org.uk/2017/09/18/women-know-better-thanmenwhat-other-women-are-thinking-and-feeling/ </w:t>
      </w: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rFonts w:ascii="Times New Roman" w:cs="Times New Roman" w:eastAsia="Times New Roman" w:hAnsi="Times New Roman"/>
          <w:color w:val="9900ff"/>
          <w:sz w:val="24"/>
          <w:szCs w:val="24"/>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contentstore-cla-co-uk.ezproxy.uwtsd.ac.uk/EReader/Index?p=RDpcU2l0ZXNccHJvZHVjdGlvblxUZW1wXERDUy0yZTBhNDEwMC0yODllLTQyZmQtYjQ3OC1mOWJkOWE3YzAwYmQucGRm&amp;o=JnB1Ymxpc2hlZENvbnRlbnRfSWQ9OTM0NzA5JmNvbnRlbnRSZXF1ZXN0X0lkPTEwMTIyMDUmZG9jdW1lbnRMaW5rPTczMzkxYWE4LTRjY2UtZTkxMS04MGNkLTAwNTA1NmFmNDA5OSZjb250ZW50SXRlbV9JZD0yNzIzMjQ=&amp;id=73391aa8-4cce-e911-80cd-005056af40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