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DA8C23" w14:textId="77777777" w:rsidR="00F238D9" w:rsidRPr="00F238D9" w:rsidRDefault="00F238D9" w:rsidP="00F238D9">
      <w:r w:rsidRPr="00F238D9">
        <w:t>This case study describes the initial consideration of a restaurant, café bar, and ice cream parlour, together with a manager’s apartment. It will be located at Swansea’s foreshore, between County Hall and the Marriott Hotel. The proposed development occupies a footprint of about 2,000</w:t>
      </w:r>
      <w:r w:rsidRPr="00F238D9">
        <w:rPr>
          <w:rFonts w:ascii="Arial" w:hAnsi="Arial" w:cs="Arial"/>
        </w:rPr>
        <w:t> </w:t>
      </w:r>
      <w:r w:rsidRPr="00F238D9">
        <w:t>m</w:t>
      </w:r>
      <w:r w:rsidRPr="00F238D9">
        <w:rPr>
          <w:rFonts w:ascii="Aptos" w:hAnsi="Aptos" w:cs="Aptos"/>
        </w:rPr>
        <w:t>²</w:t>
      </w:r>
      <w:r w:rsidRPr="00F238D9">
        <w:t>. The objective is to assess the relevant ground conditions and identify geotechnical risks in order to plan a suitable site investigation and recommend a foundation solution.</w:t>
      </w:r>
    </w:p>
    <w:p w14:paraId="223F02F1" w14:textId="77777777" w:rsidR="00F238D9" w:rsidRPr="00F238D9" w:rsidRDefault="00F238D9" w:rsidP="00F238D9">
      <w:r w:rsidRPr="00F238D9">
        <w:t xml:space="preserve">Any investigation or foundation design for the Swansea Foreshore site must comply with UK legislative frameworks. The Building Regulations (2010) define the minimum statutory standards for building safety and durability. The section on </w:t>
      </w:r>
      <w:r w:rsidRPr="00F238D9">
        <w:rPr>
          <w:i/>
          <w:iCs/>
        </w:rPr>
        <w:t>Structure</w:t>
      </w:r>
      <w:r w:rsidRPr="00F238D9">
        <w:t xml:space="preserve"> ensures that loads are transferred safely to the ground without deforming or collapsing. </w:t>
      </w:r>
      <w:r w:rsidRPr="00F238D9">
        <w:rPr>
          <w:i/>
          <w:iCs/>
        </w:rPr>
        <w:t>Site Preparation and Resistance to Contaminants and Moisture</w:t>
      </w:r>
      <w:r w:rsidRPr="00F238D9">
        <w:t xml:space="preserve"> deals with soil contamination, fill construction, and moisture control. Together, these regulations emphasise the need to understand local soil conditions, groundwater, and contamination potential before any building work begins (HM</w:t>
      </w:r>
      <w:r w:rsidRPr="00F238D9">
        <w:rPr>
          <w:rFonts w:ascii="Arial" w:hAnsi="Arial" w:cs="Arial"/>
        </w:rPr>
        <w:t> </w:t>
      </w:r>
      <w:r w:rsidRPr="00F238D9">
        <w:t>Government,</w:t>
      </w:r>
      <w:r w:rsidRPr="00F238D9">
        <w:rPr>
          <w:rFonts w:ascii="Arial" w:hAnsi="Arial" w:cs="Arial"/>
        </w:rPr>
        <w:t> </w:t>
      </w:r>
      <w:r w:rsidRPr="00F238D9">
        <w:t>2010).</w:t>
      </w:r>
    </w:p>
    <w:p w14:paraId="6660A480" w14:textId="77777777" w:rsidR="00F238D9" w:rsidRPr="00F238D9" w:rsidRDefault="00F238D9" w:rsidP="00F238D9">
      <w:r w:rsidRPr="00F238D9">
        <w:t>BS</w:t>
      </w:r>
      <w:r w:rsidRPr="00F238D9">
        <w:rPr>
          <w:rFonts w:ascii="Arial" w:hAnsi="Arial" w:cs="Arial"/>
        </w:rPr>
        <w:t> </w:t>
      </w:r>
      <w:r w:rsidRPr="00F238D9">
        <w:t>5930:2015</w:t>
      </w:r>
      <w:r w:rsidRPr="00F238D9">
        <w:rPr>
          <w:rFonts w:ascii="Arial" w:hAnsi="Arial" w:cs="Arial"/>
        </w:rPr>
        <w:t> </w:t>
      </w:r>
      <w:r w:rsidRPr="00F238D9">
        <w:t>+</w:t>
      </w:r>
      <w:r w:rsidRPr="00F238D9">
        <w:rPr>
          <w:rFonts w:ascii="Arial" w:hAnsi="Arial" w:cs="Arial"/>
        </w:rPr>
        <w:t> </w:t>
      </w:r>
      <w:r w:rsidRPr="00F238D9">
        <w:t xml:space="preserve">A1:2020, the </w:t>
      </w:r>
      <w:r w:rsidRPr="00F238D9">
        <w:rPr>
          <w:i/>
          <w:iCs/>
        </w:rPr>
        <w:t>Code of Practice for Ground Investigations</w:t>
      </w:r>
      <w:r w:rsidRPr="00F238D9">
        <w:t>, sets out the procedures for desk studies, sampling, testing, and reporting. It guides how boreholes should be drilled and how chemical tests and soil characterisation should be managed. This is particularly important in reclaimed dockland like Swansea Foreshore (BSI,</w:t>
      </w:r>
      <w:r w:rsidRPr="00F238D9">
        <w:rPr>
          <w:rFonts w:ascii="Arial" w:hAnsi="Arial" w:cs="Arial"/>
        </w:rPr>
        <w:t> </w:t>
      </w:r>
      <w:r w:rsidRPr="00F238D9">
        <w:t>2020). Eurocode</w:t>
      </w:r>
      <w:r w:rsidRPr="00F238D9">
        <w:rPr>
          <w:rFonts w:ascii="Arial" w:hAnsi="Arial" w:cs="Arial"/>
        </w:rPr>
        <w:t> </w:t>
      </w:r>
      <w:r w:rsidRPr="00F238D9">
        <w:t>7 (BS</w:t>
      </w:r>
      <w:r w:rsidRPr="00F238D9">
        <w:rPr>
          <w:rFonts w:ascii="Arial" w:hAnsi="Arial" w:cs="Arial"/>
        </w:rPr>
        <w:t> </w:t>
      </w:r>
      <w:r w:rsidRPr="00F238D9">
        <w:t>EN</w:t>
      </w:r>
      <w:r w:rsidRPr="00F238D9">
        <w:rPr>
          <w:rFonts w:ascii="Arial" w:hAnsi="Arial" w:cs="Arial"/>
        </w:rPr>
        <w:t> </w:t>
      </w:r>
      <w:r w:rsidRPr="00F238D9">
        <w:t>1997</w:t>
      </w:r>
      <w:r w:rsidRPr="00F238D9">
        <w:noBreakHyphen/>
        <w:t>1:2004) provides the framework for geotechnical design, requiring that engineers evaluate bearing capacity, settlement, and slope stability with appropriate safety factors. It directly influences the design of piles and load transfer systems for this project (BSI,</w:t>
      </w:r>
      <w:r w:rsidRPr="00F238D9">
        <w:rPr>
          <w:rFonts w:ascii="Arial" w:hAnsi="Arial" w:cs="Arial"/>
        </w:rPr>
        <w:t> </w:t>
      </w:r>
      <w:r w:rsidRPr="00F238D9">
        <w:t>2004).</w:t>
      </w:r>
    </w:p>
    <w:p w14:paraId="2493B13F" w14:textId="77777777" w:rsidR="00F238D9" w:rsidRPr="00F238D9" w:rsidRDefault="00F238D9" w:rsidP="00F238D9">
      <w:r w:rsidRPr="00F238D9">
        <w:t>BS</w:t>
      </w:r>
      <w:r w:rsidRPr="00F238D9">
        <w:rPr>
          <w:rFonts w:ascii="Arial" w:hAnsi="Arial" w:cs="Arial"/>
        </w:rPr>
        <w:t> </w:t>
      </w:r>
      <w:r w:rsidRPr="00F238D9">
        <w:t xml:space="preserve">8102:2022, </w:t>
      </w:r>
      <w:r w:rsidRPr="00F238D9">
        <w:rPr>
          <w:i/>
          <w:iCs/>
        </w:rPr>
        <w:t>Protection of Below Ground Structures Against Water Ingress</w:t>
      </w:r>
      <w:r w:rsidRPr="00F238D9">
        <w:t>, establishes the waterproofing requirements for structures below the water table. Because Swansea’s groundwater is shallow and influenced by tides, the standard is essential for the waterproofing of pile caps, basements, and underground services (BSI,</w:t>
      </w:r>
      <w:r w:rsidRPr="00F238D9">
        <w:rPr>
          <w:rFonts w:ascii="Arial" w:hAnsi="Arial" w:cs="Arial"/>
        </w:rPr>
        <w:t> </w:t>
      </w:r>
      <w:r w:rsidRPr="00F238D9">
        <w:t>2022). BRE</w:t>
      </w:r>
      <w:r w:rsidRPr="00F238D9">
        <w:rPr>
          <w:rFonts w:ascii="Arial" w:hAnsi="Arial" w:cs="Arial"/>
        </w:rPr>
        <w:t> </w:t>
      </w:r>
      <w:r w:rsidRPr="00F238D9">
        <w:t>Special Digest</w:t>
      </w:r>
      <w:r w:rsidRPr="00F238D9">
        <w:rPr>
          <w:rFonts w:ascii="Arial" w:hAnsi="Arial" w:cs="Arial"/>
        </w:rPr>
        <w:t> </w:t>
      </w:r>
      <w:r w:rsidRPr="00F238D9">
        <w:t>1</w:t>
      </w:r>
      <w:r w:rsidRPr="00F238D9">
        <w:rPr>
          <w:rFonts w:ascii="Arial" w:hAnsi="Arial" w:cs="Arial"/>
        </w:rPr>
        <w:t> </w:t>
      </w:r>
      <w:r w:rsidRPr="00F238D9">
        <w:t xml:space="preserve">(2022), </w:t>
      </w:r>
      <w:r w:rsidRPr="00F238D9">
        <w:rPr>
          <w:i/>
          <w:iCs/>
        </w:rPr>
        <w:t>Concrete in Aggressive Ground</w:t>
      </w:r>
      <w:r w:rsidRPr="00F238D9">
        <w:t>, defines how concrete should be designed where chemical attack may occur. Reclaimed dockland often contains slag, ash, and industrial residue. The resulting conditions likely require sulphate</w:t>
      </w:r>
      <w:r w:rsidRPr="00F238D9">
        <w:noBreakHyphen/>
        <w:t>resistant concrete (BRE,</w:t>
      </w:r>
      <w:r w:rsidRPr="00F238D9">
        <w:rPr>
          <w:rFonts w:ascii="Arial" w:hAnsi="Arial" w:cs="Arial"/>
        </w:rPr>
        <w:t> </w:t>
      </w:r>
      <w:r w:rsidRPr="00F238D9">
        <w:t>2022). CIRIA</w:t>
      </w:r>
      <w:r w:rsidRPr="00F238D9">
        <w:rPr>
          <w:rFonts w:ascii="Arial" w:hAnsi="Arial" w:cs="Arial"/>
        </w:rPr>
        <w:t> </w:t>
      </w:r>
      <w:r w:rsidRPr="00F238D9">
        <w:t>C574</w:t>
      </w:r>
      <w:r w:rsidRPr="00F238D9">
        <w:rPr>
          <w:rFonts w:ascii="Arial" w:hAnsi="Arial" w:cs="Arial"/>
        </w:rPr>
        <w:t> </w:t>
      </w:r>
      <w:r w:rsidRPr="00F238D9">
        <w:t xml:space="preserve">(2002), </w:t>
      </w:r>
      <w:r w:rsidRPr="00F238D9">
        <w:rPr>
          <w:i/>
          <w:iCs/>
        </w:rPr>
        <w:t>Engineering in Filled Ground</w:t>
      </w:r>
      <w:r w:rsidRPr="00F238D9">
        <w:t>, gives practical advice on assessing and managing variable settlement, contamination, and buried obstructions, all of which are likely in this context (CIRIA,</w:t>
      </w:r>
      <w:r w:rsidRPr="00F238D9">
        <w:rPr>
          <w:rFonts w:ascii="Arial" w:hAnsi="Arial" w:cs="Arial"/>
        </w:rPr>
        <w:t> </w:t>
      </w:r>
      <w:r w:rsidRPr="00F238D9">
        <w:t xml:space="preserve">2002). Natural Resources Wales (NRW) also provides essential regional guidance, requiring flood risk evaluation, contamination risk assessment under the </w:t>
      </w:r>
      <w:r w:rsidRPr="00F238D9">
        <w:rPr>
          <w:i/>
          <w:iCs/>
        </w:rPr>
        <w:t>Environmental</w:t>
      </w:r>
      <w:r w:rsidRPr="00F238D9">
        <w:rPr>
          <w:rFonts w:ascii="Arial" w:hAnsi="Arial" w:cs="Arial"/>
          <w:i/>
          <w:iCs/>
        </w:rPr>
        <w:t> </w:t>
      </w:r>
      <w:r w:rsidRPr="00F238D9">
        <w:rPr>
          <w:i/>
          <w:iCs/>
        </w:rPr>
        <w:t>Protection</w:t>
      </w:r>
      <w:r w:rsidRPr="00F238D9">
        <w:rPr>
          <w:rFonts w:ascii="Arial" w:hAnsi="Arial" w:cs="Arial"/>
          <w:i/>
          <w:iCs/>
        </w:rPr>
        <w:t> </w:t>
      </w:r>
      <w:r w:rsidRPr="00F238D9">
        <w:rPr>
          <w:i/>
          <w:iCs/>
        </w:rPr>
        <w:t>Act</w:t>
      </w:r>
      <w:r w:rsidRPr="00F238D9">
        <w:rPr>
          <w:rFonts w:ascii="Arial" w:hAnsi="Arial" w:cs="Arial"/>
          <w:i/>
          <w:iCs/>
        </w:rPr>
        <w:t> </w:t>
      </w:r>
      <w:r w:rsidRPr="00F238D9">
        <w:rPr>
          <w:i/>
          <w:iCs/>
        </w:rPr>
        <w:t>1990</w:t>
      </w:r>
      <w:r w:rsidRPr="00F238D9">
        <w:t>, and protection measures for controlled waters and nearby marine environments (Natural Resources Wales,</w:t>
      </w:r>
      <w:r w:rsidRPr="00F238D9">
        <w:rPr>
          <w:rFonts w:ascii="Arial" w:hAnsi="Arial" w:cs="Arial"/>
        </w:rPr>
        <w:t> </w:t>
      </w:r>
      <w:r w:rsidRPr="00F238D9">
        <w:t>2021). Together, these documents ensure that the project meets legal, technical, and environmental expectations.</w:t>
      </w:r>
    </w:p>
    <w:p w14:paraId="51038332" w14:textId="77777777" w:rsidR="00F238D9" w:rsidRPr="00F238D9" w:rsidRDefault="00F238D9" w:rsidP="00F238D9">
      <w:r w:rsidRPr="00F238D9">
        <w:lastRenderedPageBreak/>
        <w:t>The site investigation is intended to define the variability of the made ground, identify the behaviour and contamination potential of groundwater, and determine soil properties such as strength, compressibility, and bearing capacity. The investigation should include boreholes to 20</w:t>
      </w:r>
      <w:r w:rsidRPr="00F238D9">
        <w:rPr>
          <w:rFonts w:ascii="Arial" w:hAnsi="Arial" w:cs="Arial"/>
        </w:rPr>
        <w:t> </w:t>
      </w:r>
      <w:r w:rsidRPr="00F238D9">
        <w:t>m or refusal, with standard penetration testing; cone penetration tests to assess soil resistance; trial pits to 3</w:t>
      </w:r>
      <w:r w:rsidRPr="00F238D9">
        <w:rPr>
          <w:rFonts w:ascii="Arial" w:hAnsi="Arial" w:cs="Arial"/>
        </w:rPr>
        <w:t> </w:t>
      </w:r>
      <w:r w:rsidRPr="00F238D9">
        <w:t>m for sampling and contamination study; piezometers to monitor tidal groundwater fluctuations; laboratory classification and chemical testing; and geophysical surveys such as ground</w:t>
      </w:r>
      <w:r w:rsidRPr="00F238D9">
        <w:noBreakHyphen/>
        <w:t>penetrating radar for identifying buried structures (BSI,</w:t>
      </w:r>
      <w:r w:rsidRPr="00F238D9">
        <w:rPr>
          <w:rFonts w:ascii="Arial" w:hAnsi="Arial" w:cs="Arial"/>
        </w:rPr>
        <w:t> </w:t>
      </w:r>
      <w:r w:rsidRPr="00F238D9">
        <w:t>2020; CIRIA,</w:t>
      </w:r>
      <w:r w:rsidRPr="00F238D9">
        <w:rPr>
          <w:rFonts w:ascii="Arial" w:hAnsi="Arial" w:cs="Arial"/>
        </w:rPr>
        <w:t> </w:t>
      </w:r>
      <w:r w:rsidRPr="00F238D9">
        <w:t>2002).</w:t>
      </w:r>
    </w:p>
    <w:p w14:paraId="0ECCEFAE" w14:textId="0D648CD8" w:rsidR="00F238D9" w:rsidRPr="00F238D9" w:rsidRDefault="00F238D9" w:rsidP="00F238D9">
      <w:r w:rsidRPr="00F238D9">
        <w:t>The Swansea Foreshore lies within the historic South</w:t>
      </w:r>
      <w:r w:rsidRPr="00F238D9">
        <w:rPr>
          <w:rFonts w:ascii="Arial" w:hAnsi="Arial" w:cs="Arial"/>
        </w:rPr>
        <w:t> </w:t>
      </w:r>
      <w:r w:rsidRPr="00F238D9">
        <w:t>Dock area, opened in</w:t>
      </w:r>
      <w:r w:rsidRPr="00F238D9">
        <w:rPr>
          <w:rFonts w:ascii="Arial" w:hAnsi="Arial" w:cs="Arial"/>
        </w:rPr>
        <w:t> </w:t>
      </w:r>
      <w:r w:rsidRPr="00F238D9">
        <w:t>1859 and designed by</w:t>
      </w:r>
      <w:r w:rsidRPr="00F238D9">
        <w:rPr>
          <w:rFonts w:ascii="Arial" w:hAnsi="Arial" w:cs="Arial"/>
        </w:rPr>
        <w:t> </w:t>
      </w:r>
      <w:r w:rsidRPr="00F238D9">
        <w:t>James</w:t>
      </w:r>
      <w:r w:rsidRPr="00F238D9">
        <w:rPr>
          <w:rFonts w:ascii="Arial" w:hAnsi="Arial" w:cs="Arial"/>
        </w:rPr>
        <w:t> </w:t>
      </w:r>
      <w:r w:rsidRPr="00F238D9">
        <w:t>Abernethy. When industrial use declined, the dock was closed in</w:t>
      </w:r>
      <w:r w:rsidRPr="00F238D9">
        <w:rPr>
          <w:rFonts w:ascii="Arial" w:hAnsi="Arial" w:cs="Arial"/>
        </w:rPr>
        <w:t> </w:t>
      </w:r>
      <w:r w:rsidRPr="00F238D9">
        <w:t>1969 and redeveloped during the</w:t>
      </w:r>
      <w:r w:rsidRPr="00F238D9">
        <w:rPr>
          <w:rFonts w:ascii="Arial" w:hAnsi="Arial" w:cs="Arial"/>
        </w:rPr>
        <w:t> </w:t>
      </w:r>
      <w:r w:rsidRPr="00F238D9">
        <w:t>1980s as part of Swansea</w:t>
      </w:r>
      <w:r w:rsidRPr="00F238D9">
        <w:rPr>
          <w:rFonts w:ascii="Arial" w:hAnsi="Arial" w:cs="Arial"/>
        </w:rPr>
        <w:t> </w:t>
      </w:r>
      <w:r w:rsidRPr="00F238D9">
        <w:t>Marina</w:t>
      </w:r>
      <w:r w:rsidRPr="00F238D9">
        <w:rPr>
          <w:rFonts w:ascii="Aptos" w:hAnsi="Aptos" w:cs="Aptos"/>
        </w:rPr>
        <w:t>’</w:t>
      </w:r>
      <w:r w:rsidRPr="00F238D9">
        <w:t>s regeneration (Swansea Council,</w:t>
      </w:r>
      <w:r w:rsidRPr="00F238D9">
        <w:rPr>
          <w:rFonts w:ascii="Arial" w:hAnsi="Arial" w:cs="Arial"/>
        </w:rPr>
        <w:t> </w:t>
      </w:r>
      <w:r w:rsidRPr="00F238D9">
        <w:t xml:space="preserve">2020). This shift from industrial to leisure use </w:t>
      </w:r>
      <w:r>
        <w:t xml:space="preserve">indicates the use </w:t>
      </w:r>
      <w:r w:rsidRPr="00F238D9">
        <w:t>of mixed fill typical of reclaimed dockland.</w:t>
      </w:r>
      <w:r>
        <w:t xml:space="preserve"> This is used because there is usually a large amount of land that must be reclaimed and this is an effective way to do this.</w:t>
      </w:r>
      <w:r w:rsidRPr="00F238D9">
        <w:t xml:space="preserve"> The ground is generally flat and level as part of the Swansea</w:t>
      </w:r>
      <w:r w:rsidRPr="00F238D9">
        <w:rPr>
          <w:rFonts w:ascii="Arial" w:hAnsi="Arial" w:cs="Arial"/>
        </w:rPr>
        <w:t> </w:t>
      </w:r>
      <w:r w:rsidRPr="00F238D9">
        <w:t>Bay promenade. Data from nearby boreholes, particularly those near Meridian</w:t>
      </w:r>
      <w:r w:rsidRPr="00F238D9">
        <w:rPr>
          <w:rFonts w:ascii="Arial" w:hAnsi="Arial" w:cs="Arial"/>
        </w:rPr>
        <w:t> </w:t>
      </w:r>
      <w:r w:rsidRPr="00F238D9">
        <w:t>Tower, indicate that the expected strata consist of made ground to a depth of roughly</w:t>
      </w:r>
      <w:r w:rsidRPr="00F238D9">
        <w:rPr>
          <w:rFonts w:ascii="Arial" w:hAnsi="Arial" w:cs="Arial"/>
        </w:rPr>
        <w:t> </w:t>
      </w:r>
      <w:r w:rsidRPr="00F238D9">
        <w:t>3</w:t>
      </w:r>
      <w:r w:rsidRPr="00F238D9">
        <w:rPr>
          <w:rFonts w:ascii="Arial" w:hAnsi="Arial" w:cs="Arial"/>
        </w:rPr>
        <w:t> </w:t>
      </w:r>
      <w:r w:rsidRPr="00F238D9">
        <w:t>m, followed by soft organic alluvial clays to about</w:t>
      </w:r>
      <w:r w:rsidRPr="00F238D9">
        <w:rPr>
          <w:rFonts w:ascii="Arial" w:hAnsi="Arial" w:cs="Arial"/>
        </w:rPr>
        <w:t> </w:t>
      </w:r>
      <w:r w:rsidRPr="00F238D9">
        <w:t>9</w:t>
      </w:r>
      <w:r w:rsidRPr="00F238D9">
        <w:rPr>
          <w:rFonts w:ascii="Arial" w:hAnsi="Arial" w:cs="Arial"/>
        </w:rPr>
        <w:t> </w:t>
      </w:r>
      <w:r w:rsidRPr="00F238D9">
        <w:t>m, then medium</w:t>
      </w:r>
      <w:r w:rsidRPr="00F238D9">
        <w:noBreakHyphen/>
        <w:t>dense glacial sand and gravel extending to around</w:t>
      </w:r>
      <w:r w:rsidRPr="00F238D9">
        <w:rPr>
          <w:rFonts w:ascii="Arial" w:hAnsi="Arial" w:cs="Arial"/>
        </w:rPr>
        <w:t> </w:t>
      </w:r>
      <w:r w:rsidRPr="00F238D9">
        <w:t>15</w:t>
      </w:r>
      <w:r w:rsidRPr="00F238D9">
        <w:rPr>
          <w:rFonts w:ascii="Arial" w:hAnsi="Arial" w:cs="Arial"/>
        </w:rPr>
        <w:t> </w:t>
      </w:r>
      <w:r w:rsidRPr="00F238D9">
        <w:t>m, underlain by competent mudstone bedrock (British Geological Survey,</w:t>
      </w:r>
      <w:r w:rsidRPr="00F238D9">
        <w:rPr>
          <w:rFonts w:ascii="Arial" w:hAnsi="Arial" w:cs="Arial"/>
        </w:rPr>
        <w:t> </w:t>
      </w:r>
      <w:r w:rsidRPr="00F238D9">
        <w:t>2019). Groundwater is shallow and tidally affected, which will influence excavation stability and foundation durability (Natural Resources Wales,</w:t>
      </w:r>
      <w:r w:rsidRPr="00F238D9">
        <w:rPr>
          <w:rFonts w:ascii="Arial" w:hAnsi="Arial" w:cs="Arial"/>
        </w:rPr>
        <w:t> </w:t>
      </w:r>
      <w:r w:rsidRPr="00F238D9">
        <w:t>2021).</w:t>
      </w:r>
    </w:p>
    <w:p w14:paraId="6713A9DE" w14:textId="1AA97B08" w:rsidR="00F238D9" w:rsidRPr="00F238D9" w:rsidRDefault="00F238D9" w:rsidP="00F238D9">
      <w:r w:rsidRPr="00F238D9">
        <w:t>The principal geotechnical risks are the presence of contaminated fill from historical industrial activity, soft alluvial deposits causing differential settlement</w:t>
      </w:r>
      <w:r w:rsidR="00934907">
        <w:t xml:space="preserve"> and</w:t>
      </w:r>
      <w:r w:rsidRPr="00F238D9">
        <w:t xml:space="preserve"> potential sulphate</w:t>
      </w:r>
      <w:r w:rsidR="00934907">
        <w:t xml:space="preserve"> or</w:t>
      </w:r>
      <w:r w:rsidRPr="00F238D9">
        <w:t xml:space="preserve"> chloride attack on buried concrete</w:t>
      </w:r>
      <w:r w:rsidR="00934907">
        <w:t>. Als</w:t>
      </w:r>
      <w:r w:rsidR="00420083">
        <w:t>o</w:t>
      </w:r>
      <w:r w:rsidR="00934907">
        <w:t>, there could be</w:t>
      </w:r>
      <w:r w:rsidRPr="00F238D9">
        <w:t xml:space="preserve"> construction complications due to tidally controlled groundwater (BRE,</w:t>
      </w:r>
      <w:r w:rsidRPr="00F238D9">
        <w:rPr>
          <w:rFonts w:ascii="Arial" w:hAnsi="Arial" w:cs="Arial"/>
        </w:rPr>
        <w:t> </w:t>
      </w:r>
      <w:r w:rsidRPr="00F238D9">
        <w:t>2022; CIRIA,</w:t>
      </w:r>
      <w:r w:rsidRPr="00F238D9">
        <w:rPr>
          <w:rFonts w:ascii="Arial" w:hAnsi="Arial" w:cs="Arial"/>
        </w:rPr>
        <w:t> </w:t>
      </w:r>
      <w:r w:rsidRPr="00F238D9">
        <w:t>2002). Because of these factors, shallow foundations are unsuitable. The combination of made ground and compressible soils extending to about</w:t>
      </w:r>
      <w:r w:rsidRPr="00F238D9">
        <w:rPr>
          <w:rFonts w:ascii="Arial" w:hAnsi="Arial" w:cs="Arial"/>
        </w:rPr>
        <w:t> </w:t>
      </w:r>
      <w:r w:rsidRPr="00F238D9">
        <w:t>9</w:t>
      </w:r>
      <w:r w:rsidRPr="00F238D9">
        <w:rPr>
          <w:rFonts w:ascii="Arial" w:hAnsi="Arial" w:cs="Arial"/>
        </w:rPr>
        <w:t> </w:t>
      </w:r>
      <w:r w:rsidRPr="00F238D9">
        <w:t>m means that adequate bearing strata are only found at 12–15</w:t>
      </w:r>
      <w:r w:rsidRPr="00F238D9">
        <w:rPr>
          <w:rFonts w:ascii="Arial" w:hAnsi="Arial" w:cs="Arial"/>
        </w:rPr>
        <w:t> </w:t>
      </w:r>
      <w:r w:rsidRPr="00F238D9">
        <w:t>m depth. Ground improvement techniques are unlikely to be reliable because of uneven fill and contamination (CIRIA,</w:t>
      </w:r>
      <w:r w:rsidRPr="00F238D9">
        <w:rPr>
          <w:rFonts w:ascii="Arial" w:hAnsi="Arial" w:cs="Arial"/>
        </w:rPr>
        <w:t> </w:t>
      </w:r>
      <w:r w:rsidRPr="00F238D9">
        <w:t>2002). All below</w:t>
      </w:r>
      <w:r w:rsidRPr="00F238D9">
        <w:noBreakHyphen/>
        <w:t>ground concrete should meet BRE</w:t>
      </w:r>
      <w:r w:rsidRPr="00F238D9">
        <w:rPr>
          <w:rFonts w:ascii="Arial" w:hAnsi="Arial" w:cs="Arial"/>
        </w:rPr>
        <w:t> </w:t>
      </w:r>
      <w:r w:rsidRPr="00F238D9">
        <w:t>DC3 specifications for sulphate resistance (BRE,</w:t>
      </w:r>
      <w:r w:rsidRPr="00F238D9">
        <w:rPr>
          <w:rFonts w:ascii="Arial" w:hAnsi="Arial" w:cs="Arial"/>
        </w:rPr>
        <w:t> </w:t>
      </w:r>
      <w:r w:rsidRPr="00F238D9">
        <w:t>2022).</w:t>
      </w:r>
    </w:p>
    <w:p w14:paraId="7868AAAC" w14:textId="77777777" w:rsidR="00F238D9" w:rsidRPr="00F238D9" w:rsidRDefault="00F238D9" w:rsidP="00F238D9">
      <w:r w:rsidRPr="00F238D9">
        <w:t>In conclusion, the Swansea Foreshore exhibits common reclaimed land challenges: variable fill materials, soft clays, and tidal groundwater. A systematic investigation following BS</w:t>
      </w:r>
      <w:r w:rsidRPr="00F238D9">
        <w:rPr>
          <w:rFonts w:ascii="Arial" w:hAnsi="Arial" w:cs="Arial"/>
        </w:rPr>
        <w:t> </w:t>
      </w:r>
      <w:r w:rsidRPr="00F238D9">
        <w:t>5930 and Eurocode</w:t>
      </w:r>
      <w:r w:rsidRPr="00F238D9">
        <w:rPr>
          <w:rFonts w:ascii="Arial" w:hAnsi="Arial" w:cs="Arial"/>
        </w:rPr>
        <w:t> </w:t>
      </w:r>
      <w:r w:rsidRPr="00F238D9">
        <w:t>7 standards will reduce uncertainties and support a safe and durable design. The proposed CFA or bored pile system combined with a suspended reinforced concrete slab represents the most technically and economically effective foundation solution for the proposed restaurant and ice</w:t>
      </w:r>
      <w:r w:rsidRPr="00F238D9">
        <w:noBreakHyphen/>
        <w:t>cream parlour development (BSI,</w:t>
      </w:r>
      <w:r w:rsidRPr="00F238D9">
        <w:rPr>
          <w:rFonts w:ascii="Arial" w:hAnsi="Arial" w:cs="Arial"/>
        </w:rPr>
        <w:t> </w:t>
      </w:r>
      <w:r w:rsidRPr="00F238D9">
        <w:t>2004; BSI,</w:t>
      </w:r>
      <w:r w:rsidRPr="00F238D9">
        <w:rPr>
          <w:rFonts w:ascii="Arial" w:hAnsi="Arial" w:cs="Arial"/>
        </w:rPr>
        <w:t> </w:t>
      </w:r>
      <w:r w:rsidRPr="00F238D9">
        <w:t>2020).</w:t>
      </w:r>
    </w:p>
    <w:p w14:paraId="62688071" w14:textId="661BB1C9" w:rsidR="00F238D9" w:rsidRPr="00F238D9" w:rsidRDefault="00F238D9" w:rsidP="00F238D9">
      <w:pPr>
        <w:rPr>
          <w:b/>
          <w:bCs/>
        </w:rPr>
      </w:pPr>
      <w:r w:rsidRPr="00F238D9">
        <w:rPr>
          <w:b/>
          <w:bCs/>
        </w:rPr>
        <w:t xml:space="preserve">Bibliography </w:t>
      </w:r>
    </w:p>
    <w:p w14:paraId="5E1467E9" w14:textId="77777777" w:rsidR="00F238D9" w:rsidRPr="00F238D9" w:rsidRDefault="00F238D9" w:rsidP="00F238D9">
      <w:r w:rsidRPr="00F238D9">
        <w:lastRenderedPageBreak/>
        <w:t xml:space="preserve">BRE (2022) </w:t>
      </w:r>
      <w:r w:rsidRPr="00F238D9">
        <w:rPr>
          <w:i/>
          <w:iCs/>
        </w:rPr>
        <w:t>Special Digest 1: Concrete in Aggressive Ground</w:t>
      </w:r>
      <w:r w:rsidRPr="00F238D9">
        <w:t>. Watford: Building Research Establishment.</w:t>
      </w:r>
    </w:p>
    <w:p w14:paraId="4FE32EF5" w14:textId="77777777" w:rsidR="00F238D9" w:rsidRPr="00F238D9" w:rsidRDefault="00F238D9" w:rsidP="00F238D9">
      <w:r w:rsidRPr="00F238D9">
        <w:t xml:space="preserve">British Geological Survey (2019) </w:t>
      </w:r>
      <w:r w:rsidRPr="00F238D9">
        <w:rPr>
          <w:i/>
          <w:iCs/>
        </w:rPr>
        <w:t>Geology of the Swansea Area</w:t>
      </w:r>
      <w:r w:rsidRPr="00F238D9">
        <w:t>. Keyworth: BGS.</w:t>
      </w:r>
    </w:p>
    <w:p w14:paraId="598D5A9F" w14:textId="77777777" w:rsidR="00F238D9" w:rsidRPr="00F238D9" w:rsidRDefault="00F238D9" w:rsidP="00F238D9">
      <w:r w:rsidRPr="00F238D9">
        <w:t xml:space="preserve">BSI (2004) </w:t>
      </w:r>
      <w:r w:rsidRPr="00F238D9">
        <w:rPr>
          <w:i/>
          <w:iCs/>
        </w:rPr>
        <w:t>BS</w:t>
      </w:r>
      <w:r w:rsidRPr="00F238D9">
        <w:rPr>
          <w:rFonts w:ascii="Arial" w:hAnsi="Arial" w:cs="Arial"/>
          <w:i/>
          <w:iCs/>
        </w:rPr>
        <w:t> </w:t>
      </w:r>
      <w:r w:rsidRPr="00F238D9">
        <w:rPr>
          <w:i/>
          <w:iCs/>
        </w:rPr>
        <w:t>EN</w:t>
      </w:r>
      <w:r w:rsidRPr="00F238D9">
        <w:rPr>
          <w:rFonts w:ascii="Arial" w:hAnsi="Arial" w:cs="Arial"/>
          <w:i/>
          <w:iCs/>
        </w:rPr>
        <w:t> </w:t>
      </w:r>
      <w:r w:rsidRPr="00F238D9">
        <w:rPr>
          <w:i/>
          <w:iCs/>
        </w:rPr>
        <w:t>1997</w:t>
      </w:r>
      <w:r w:rsidRPr="00F238D9">
        <w:rPr>
          <w:i/>
          <w:iCs/>
        </w:rPr>
        <w:noBreakHyphen/>
        <w:t>1:2004</w:t>
      </w:r>
      <w:r w:rsidRPr="00F238D9">
        <w:rPr>
          <w:rFonts w:ascii="Arial" w:hAnsi="Arial" w:cs="Arial"/>
          <w:i/>
          <w:iCs/>
        </w:rPr>
        <w:t> </w:t>
      </w:r>
      <w:r w:rsidRPr="00F238D9">
        <w:rPr>
          <w:i/>
          <w:iCs/>
        </w:rPr>
        <w:t>Eurocode</w:t>
      </w:r>
      <w:r w:rsidRPr="00F238D9">
        <w:rPr>
          <w:rFonts w:ascii="Arial" w:hAnsi="Arial" w:cs="Arial"/>
          <w:i/>
          <w:iCs/>
        </w:rPr>
        <w:t> </w:t>
      </w:r>
      <w:r w:rsidRPr="00F238D9">
        <w:rPr>
          <w:i/>
          <w:iCs/>
        </w:rPr>
        <w:t>7</w:t>
      </w:r>
      <w:r w:rsidRPr="00F238D9">
        <w:rPr>
          <w:rFonts w:ascii="Arial" w:hAnsi="Arial" w:cs="Arial"/>
          <w:i/>
          <w:iCs/>
        </w:rPr>
        <w:t> </w:t>
      </w:r>
      <w:r w:rsidRPr="00F238D9">
        <w:rPr>
          <w:rFonts w:ascii="Aptos" w:hAnsi="Aptos" w:cs="Aptos"/>
          <w:i/>
          <w:iCs/>
        </w:rPr>
        <w:t>–</w:t>
      </w:r>
      <w:r w:rsidRPr="00F238D9">
        <w:rPr>
          <w:rFonts w:ascii="Arial" w:hAnsi="Arial" w:cs="Arial"/>
          <w:i/>
          <w:iCs/>
        </w:rPr>
        <w:t> </w:t>
      </w:r>
      <w:r w:rsidRPr="00F238D9">
        <w:rPr>
          <w:i/>
          <w:iCs/>
        </w:rPr>
        <w:t>Geotechnical</w:t>
      </w:r>
      <w:r w:rsidRPr="00F238D9">
        <w:rPr>
          <w:rFonts w:ascii="Arial" w:hAnsi="Arial" w:cs="Arial"/>
          <w:i/>
          <w:iCs/>
        </w:rPr>
        <w:t> </w:t>
      </w:r>
      <w:r w:rsidRPr="00F238D9">
        <w:rPr>
          <w:i/>
          <w:iCs/>
        </w:rPr>
        <w:t>Design</w:t>
      </w:r>
      <w:r w:rsidRPr="00F238D9">
        <w:rPr>
          <w:rFonts w:ascii="Arial" w:hAnsi="Arial" w:cs="Arial"/>
          <w:i/>
          <w:iCs/>
        </w:rPr>
        <w:t> </w:t>
      </w:r>
      <w:r w:rsidRPr="00F238D9">
        <w:rPr>
          <w:rFonts w:ascii="Aptos" w:hAnsi="Aptos" w:cs="Aptos"/>
          <w:i/>
          <w:iCs/>
        </w:rPr>
        <w:t>–</w:t>
      </w:r>
      <w:r w:rsidRPr="00F238D9">
        <w:rPr>
          <w:rFonts w:ascii="Arial" w:hAnsi="Arial" w:cs="Arial"/>
          <w:i/>
          <w:iCs/>
        </w:rPr>
        <w:t> </w:t>
      </w:r>
      <w:r w:rsidRPr="00F238D9">
        <w:rPr>
          <w:i/>
          <w:iCs/>
        </w:rPr>
        <w:t>Part</w:t>
      </w:r>
      <w:r w:rsidRPr="00F238D9">
        <w:rPr>
          <w:rFonts w:ascii="Arial" w:hAnsi="Arial" w:cs="Arial"/>
          <w:i/>
          <w:iCs/>
        </w:rPr>
        <w:t> </w:t>
      </w:r>
      <w:r w:rsidRPr="00F238D9">
        <w:rPr>
          <w:i/>
          <w:iCs/>
        </w:rPr>
        <w:t>1:</w:t>
      </w:r>
      <w:r w:rsidRPr="00F238D9">
        <w:rPr>
          <w:rFonts w:ascii="Arial" w:hAnsi="Arial" w:cs="Arial"/>
          <w:i/>
          <w:iCs/>
        </w:rPr>
        <w:t> </w:t>
      </w:r>
      <w:r w:rsidRPr="00F238D9">
        <w:rPr>
          <w:i/>
          <w:iCs/>
        </w:rPr>
        <w:t>General</w:t>
      </w:r>
      <w:r w:rsidRPr="00F238D9">
        <w:rPr>
          <w:rFonts w:ascii="Arial" w:hAnsi="Arial" w:cs="Arial"/>
          <w:i/>
          <w:iCs/>
        </w:rPr>
        <w:t> </w:t>
      </w:r>
      <w:r w:rsidRPr="00F238D9">
        <w:rPr>
          <w:i/>
          <w:iCs/>
        </w:rPr>
        <w:t>Rules</w:t>
      </w:r>
      <w:r w:rsidRPr="00F238D9">
        <w:t>. London: British Standards Institution.</w:t>
      </w:r>
    </w:p>
    <w:p w14:paraId="1EDA7C00" w14:textId="77777777" w:rsidR="00F238D9" w:rsidRPr="00F238D9" w:rsidRDefault="00F238D9" w:rsidP="00F238D9">
      <w:r w:rsidRPr="00F238D9">
        <w:t xml:space="preserve">BSI (2020) </w:t>
      </w:r>
      <w:r w:rsidRPr="00F238D9">
        <w:rPr>
          <w:i/>
          <w:iCs/>
        </w:rPr>
        <w:t>BS</w:t>
      </w:r>
      <w:r w:rsidRPr="00F238D9">
        <w:rPr>
          <w:rFonts w:ascii="Arial" w:hAnsi="Arial" w:cs="Arial"/>
          <w:i/>
          <w:iCs/>
        </w:rPr>
        <w:t> </w:t>
      </w:r>
      <w:r w:rsidRPr="00F238D9">
        <w:rPr>
          <w:i/>
          <w:iCs/>
        </w:rPr>
        <w:t>5930:2015</w:t>
      </w:r>
      <w:r w:rsidRPr="00F238D9">
        <w:rPr>
          <w:rFonts w:ascii="Arial" w:hAnsi="Arial" w:cs="Arial"/>
          <w:i/>
          <w:iCs/>
        </w:rPr>
        <w:t> </w:t>
      </w:r>
      <w:r w:rsidRPr="00F238D9">
        <w:rPr>
          <w:i/>
          <w:iCs/>
        </w:rPr>
        <w:t>+</w:t>
      </w:r>
      <w:r w:rsidRPr="00F238D9">
        <w:rPr>
          <w:rFonts w:ascii="Arial" w:hAnsi="Arial" w:cs="Arial"/>
          <w:i/>
          <w:iCs/>
        </w:rPr>
        <w:t> </w:t>
      </w:r>
      <w:r w:rsidRPr="00F238D9">
        <w:rPr>
          <w:i/>
          <w:iCs/>
        </w:rPr>
        <w:t>A1:2020</w:t>
      </w:r>
      <w:r w:rsidRPr="00F238D9">
        <w:rPr>
          <w:rFonts w:ascii="Arial" w:hAnsi="Arial" w:cs="Arial"/>
          <w:i/>
          <w:iCs/>
        </w:rPr>
        <w:t> </w:t>
      </w:r>
      <w:r w:rsidRPr="00F238D9">
        <w:rPr>
          <w:i/>
          <w:iCs/>
        </w:rPr>
        <w:t>Code</w:t>
      </w:r>
      <w:r w:rsidRPr="00F238D9">
        <w:rPr>
          <w:rFonts w:ascii="Arial" w:hAnsi="Arial" w:cs="Arial"/>
          <w:i/>
          <w:iCs/>
        </w:rPr>
        <w:t> </w:t>
      </w:r>
      <w:r w:rsidRPr="00F238D9">
        <w:rPr>
          <w:i/>
          <w:iCs/>
        </w:rPr>
        <w:t>of</w:t>
      </w:r>
      <w:r w:rsidRPr="00F238D9">
        <w:rPr>
          <w:rFonts w:ascii="Arial" w:hAnsi="Arial" w:cs="Arial"/>
          <w:i/>
          <w:iCs/>
        </w:rPr>
        <w:t> </w:t>
      </w:r>
      <w:r w:rsidRPr="00F238D9">
        <w:rPr>
          <w:i/>
          <w:iCs/>
        </w:rPr>
        <w:t>Practice</w:t>
      </w:r>
      <w:r w:rsidRPr="00F238D9">
        <w:rPr>
          <w:rFonts w:ascii="Arial" w:hAnsi="Arial" w:cs="Arial"/>
          <w:i/>
          <w:iCs/>
        </w:rPr>
        <w:t> </w:t>
      </w:r>
      <w:r w:rsidRPr="00F238D9">
        <w:rPr>
          <w:i/>
          <w:iCs/>
        </w:rPr>
        <w:t>for</w:t>
      </w:r>
      <w:r w:rsidRPr="00F238D9">
        <w:rPr>
          <w:rFonts w:ascii="Arial" w:hAnsi="Arial" w:cs="Arial"/>
          <w:i/>
          <w:iCs/>
        </w:rPr>
        <w:t> </w:t>
      </w:r>
      <w:r w:rsidRPr="00F238D9">
        <w:rPr>
          <w:i/>
          <w:iCs/>
        </w:rPr>
        <w:t>Ground</w:t>
      </w:r>
      <w:r w:rsidRPr="00F238D9">
        <w:rPr>
          <w:rFonts w:ascii="Arial" w:hAnsi="Arial" w:cs="Arial"/>
          <w:i/>
          <w:iCs/>
        </w:rPr>
        <w:t> </w:t>
      </w:r>
      <w:r w:rsidRPr="00F238D9">
        <w:rPr>
          <w:i/>
          <w:iCs/>
        </w:rPr>
        <w:t>Investigations</w:t>
      </w:r>
      <w:r w:rsidRPr="00F238D9">
        <w:t>. London: British Standards Institution.</w:t>
      </w:r>
    </w:p>
    <w:p w14:paraId="3ED3D79A" w14:textId="77777777" w:rsidR="00F238D9" w:rsidRPr="00F238D9" w:rsidRDefault="00F238D9" w:rsidP="00F238D9">
      <w:r w:rsidRPr="00F238D9">
        <w:t xml:space="preserve">BSI (2022) </w:t>
      </w:r>
      <w:r w:rsidRPr="00F238D9">
        <w:rPr>
          <w:i/>
          <w:iCs/>
        </w:rPr>
        <w:t>BS</w:t>
      </w:r>
      <w:r w:rsidRPr="00F238D9">
        <w:rPr>
          <w:rFonts w:ascii="Arial" w:hAnsi="Arial" w:cs="Arial"/>
          <w:i/>
          <w:iCs/>
        </w:rPr>
        <w:t> </w:t>
      </w:r>
      <w:r w:rsidRPr="00F238D9">
        <w:rPr>
          <w:i/>
          <w:iCs/>
        </w:rPr>
        <w:t>8102:2022</w:t>
      </w:r>
      <w:r w:rsidRPr="00F238D9">
        <w:rPr>
          <w:rFonts w:ascii="Arial" w:hAnsi="Arial" w:cs="Arial"/>
          <w:i/>
          <w:iCs/>
        </w:rPr>
        <w:t> </w:t>
      </w:r>
      <w:r w:rsidRPr="00F238D9">
        <w:rPr>
          <w:i/>
          <w:iCs/>
        </w:rPr>
        <w:t>Protection of Below Ground Structures Against Water Ingress</w:t>
      </w:r>
      <w:r w:rsidRPr="00F238D9">
        <w:t>. London: British Standards Institution.</w:t>
      </w:r>
    </w:p>
    <w:p w14:paraId="60031359" w14:textId="77777777" w:rsidR="00F238D9" w:rsidRPr="00F238D9" w:rsidRDefault="00F238D9" w:rsidP="00F238D9">
      <w:r w:rsidRPr="00F238D9">
        <w:t xml:space="preserve">CIRIA (2002) </w:t>
      </w:r>
      <w:r w:rsidRPr="00F238D9">
        <w:rPr>
          <w:i/>
          <w:iCs/>
        </w:rPr>
        <w:t>C574: Engineering in Filled Ground</w:t>
      </w:r>
      <w:r w:rsidRPr="00F238D9">
        <w:t>. London: Construction Industry Research and Information Association.</w:t>
      </w:r>
    </w:p>
    <w:p w14:paraId="710A2674" w14:textId="77777777" w:rsidR="00F238D9" w:rsidRPr="00F238D9" w:rsidRDefault="00F238D9" w:rsidP="00F238D9">
      <w:r w:rsidRPr="00F238D9">
        <w:t>HM</w:t>
      </w:r>
      <w:r w:rsidRPr="00F238D9">
        <w:rPr>
          <w:rFonts w:ascii="Arial" w:hAnsi="Arial" w:cs="Arial"/>
        </w:rPr>
        <w:t> </w:t>
      </w:r>
      <w:r w:rsidRPr="00F238D9">
        <w:t xml:space="preserve">Government (2010) </w:t>
      </w:r>
      <w:r w:rsidRPr="00F238D9">
        <w:rPr>
          <w:i/>
          <w:iCs/>
        </w:rPr>
        <w:t>The Building Regulations 2010 (SI</w:t>
      </w:r>
      <w:r w:rsidRPr="00F238D9">
        <w:rPr>
          <w:rFonts w:ascii="Arial" w:hAnsi="Arial" w:cs="Arial"/>
          <w:i/>
          <w:iCs/>
        </w:rPr>
        <w:t> </w:t>
      </w:r>
      <w:r w:rsidRPr="00F238D9">
        <w:rPr>
          <w:i/>
          <w:iCs/>
        </w:rPr>
        <w:t>2010</w:t>
      </w:r>
      <w:r w:rsidRPr="00F238D9">
        <w:rPr>
          <w:rFonts w:ascii="Arial" w:hAnsi="Arial" w:cs="Arial"/>
          <w:i/>
          <w:iCs/>
        </w:rPr>
        <w:t> </w:t>
      </w:r>
      <w:r w:rsidRPr="00F238D9">
        <w:rPr>
          <w:i/>
          <w:iCs/>
        </w:rPr>
        <w:t>No.</w:t>
      </w:r>
      <w:r w:rsidRPr="00F238D9">
        <w:rPr>
          <w:rFonts w:ascii="Arial" w:hAnsi="Arial" w:cs="Arial"/>
          <w:i/>
          <w:iCs/>
        </w:rPr>
        <w:t> </w:t>
      </w:r>
      <w:r w:rsidRPr="00F238D9">
        <w:rPr>
          <w:i/>
          <w:iCs/>
        </w:rPr>
        <w:t>2214)</w:t>
      </w:r>
      <w:r w:rsidRPr="00F238D9">
        <w:t>. London: The Stationery Office.</w:t>
      </w:r>
    </w:p>
    <w:p w14:paraId="2D722A46" w14:textId="77777777" w:rsidR="00F238D9" w:rsidRPr="00F238D9" w:rsidRDefault="00F238D9" w:rsidP="00F238D9">
      <w:r w:rsidRPr="00F238D9">
        <w:t>Natural</w:t>
      </w:r>
      <w:r w:rsidRPr="00F238D9">
        <w:rPr>
          <w:rFonts w:ascii="Arial" w:hAnsi="Arial" w:cs="Arial"/>
        </w:rPr>
        <w:t> </w:t>
      </w:r>
      <w:r w:rsidRPr="00F238D9">
        <w:t>Resources</w:t>
      </w:r>
      <w:r w:rsidRPr="00F238D9">
        <w:rPr>
          <w:rFonts w:ascii="Arial" w:hAnsi="Arial" w:cs="Arial"/>
        </w:rPr>
        <w:t> </w:t>
      </w:r>
      <w:r w:rsidRPr="00F238D9">
        <w:t xml:space="preserve">Wales (2021) </w:t>
      </w:r>
      <w:r w:rsidRPr="00F238D9">
        <w:rPr>
          <w:i/>
          <w:iCs/>
        </w:rPr>
        <w:t>Environmental Protection and Flood Risk Guidance for Developers</w:t>
      </w:r>
      <w:r w:rsidRPr="00F238D9">
        <w:t>. Cardiff: NRW.</w:t>
      </w:r>
    </w:p>
    <w:p w14:paraId="0FCC9C45" w14:textId="77777777" w:rsidR="00F238D9" w:rsidRPr="00F238D9" w:rsidRDefault="00F238D9" w:rsidP="00F238D9">
      <w:r w:rsidRPr="00F238D9">
        <w:t>Swansea</w:t>
      </w:r>
      <w:r w:rsidRPr="00F238D9">
        <w:rPr>
          <w:rFonts w:ascii="Arial" w:hAnsi="Arial" w:cs="Arial"/>
        </w:rPr>
        <w:t> </w:t>
      </w:r>
      <w:r w:rsidRPr="00F238D9">
        <w:t xml:space="preserve">Council (2020) </w:t>
      </w:r>
      <w:r w:rsidRPr="00F238D9">
        <w:rPr>
          <w:i/>
          <w:iCs/>
        </w:rPr>
        <w:t>Swansea Marina and South Dock Regeneration: Historical Overview</w:t>
      </w:r>
      <w:r w:rsidRPr="00F238D9">
        <w:t>. Swansea: City and County of Swansea.</w:t>
      </w:r>
    </w:p>
    <w:p w14:paraId="0F6D1F6B" w14:textId="77777777" w:rsidR="00F238D9" w:rsidRDefault="00F238D9"/>
    <w:sectPr w:rsidR="00F238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D0009C"/>
    <w:multiLevelType w:val="multilevel"/>
    <w:tmpl w:val="10366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0295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8D9"/>
    <w:rsid w:val="00322E41"/>
    <w:rsid w:val="00420083"/>
    <w:rsid w:val="0052453B"/>
    <w:rsid w:val="006D525F"/>
    <w:rsid w:val="00737CB0"/>
    <w:rsid w:val="00934907"/>
    <w:rsid w:val="00F238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329AB"/>
  <w15:chartTrackingRefBased/>
  <w15:docId w15:val="{592B20B4-F88B-4C79-9910-80C7B911F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38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38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38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38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38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38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38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38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38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38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38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38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38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38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38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38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38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38D9"/>
    <w:rPr>
      <w:rFonts w:eastAsiaTheme="majorEastAsia" w:cstheme="majorBidi"/>
      <w:color w:val="272727" w:themeColor="text1" w:themeTint="D8"/>
    </w:rPr>
  </w:style>
  <w:style w:type="paragraph" w:styleId="Title">
    <w:name w:val="Title"/>
    <w:basedOn w:val="Normal"/>
    <w:next w:val="Normal"/>
    <w:link w:val="TitleChar"/>
    <w:uiPriority w:val="10"/>
    <w:qFormat/>
    <w:rsid w:val="00F238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38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38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38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38D9"/>
    <w:pPr>
      <w:spacing w:before="160"/>
      <w:jc w:val="center"/>
    </w:pPr>
    <w:rPr>
      <w:i/>
      <w:iCs/>
      <w:color w:val="404040" w:themeColor="text1" w:themeTint="BF"/>
    </w:rPr>
  </w:style>
  <w:style w:type="character" w:customStyle="1" w:styleId="QuoteChar">
    <w:name w:val="Quote Char"/>
    <w:basedOn w:val="DefaultParagraphFont"/>
    <w:link w:val="Quote"/>
    <w:uiPriority w:val="29"/>
    <w:rsid w:val="00F238D9"/>
    <w:rPr>
      <w:i/>
      <w:iCs/>
      <w:color w:val="404040" w:themeColor="text1" w:themeTint="BF"/>
    </w:rPr>
  </w:style>
  <w:style w:type="paragraph" w:styleId="ListParagraph">
    <w:name w:val="List Paragraph"/>
    <w:basedOn w:val="Normal"/>
    <w:uiPriority w:val="34"/>
    <w:qFormat/>
    <w:rsid w:val="00F238D9"/>
    <w:pPr>
      <w:ind w:left="720"/>
      <w:contextualSpacing/>
    </w:pPr>
  </w:style>
  <w:style w:type="character" w:styleId="IntenseEmphasis">
    <w:name w:val="Intense Emphasis"/>
    <w:basedOn w:val="DefaultParagraphFont"/>
    <w:uiPriority w:val="21"/>
    <w:qFormat/>
    <w:rsid w:val="00F238D9"/>
    <w:rPr>
      <w:i/>
      <w:iCs/>
      <w:color w:val="0F4761" w:themeColor="accent1" w:themeShade="BF"/>
    </w:rPr>
  </w:style>
  <w:style w:type="paragraph" w:styleId="IntenseQuote">
    <w:name w:val="Intense Quote"/>
    <w:basedOn w:val="Normal"/>
    <w:next w:val="Normal"/>
    <w:link w:val="IntenseQuoteChar"/>
    <w:uiPriority w:val="30"/>
    <w:qFormat/>
    <w:rsid w:val="00F238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38D9"/>
    <w:rPr>
      <w:i/>
      <w:iCs/>
      <w:color w:val="0F4761" w:themeColor="accent1" w:themeShade="BF"/>
    </w:rPr>
  </w:style>
  <w:style w:type="character" w:styleId="IntenseReference">
    <w:name w:val="Intense Reference"/>
    <w:basedOn w:val="DefaultParagraphFont"/>
    <w:uiPriority w:val="32"/>
    <w:qFormat/>
    <w:rsid w:val="00F238D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78</TotalTime>
  <Pages>3</Pages>
  <Words>1046</Words>
  <Characters>5966</Characters>
  <Application>Microsoft Office Word</Application>
  <DocSecurity>0</DocSecurity>
  <Lines>49</Lines>
  <Paragraphs>13</Paragraphs>
  <ScaleCrop>false</ScaleCrop>
  <Company/>
  <LinksUpToDate>false</LinksUpToDate>
  <CharactersWithSpaces>6999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Powell</dc:creator>
  <cp:keywords/>
  <dc:description/>
  <cp:lastModifiedBy>Rhys Powell</cp:lastModifiedBy>
  <cp:revision>6</cp:revision>
  <dcterms:created xsi:type="dcterms:W3CDTF">2026-05-01T20:50:00Z</dcterms:created>
  <dcterms:modified xsi:type="dcterms:W3CDTF">2026-05-01T22:08:00Z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2dbba3f9-212b-4b23-8b50-6dd6ff6ac453_Enabled">
    <vt:lpwstr>true</vt:lpwstr>
  </property>
  <property fmtid="{D5CDD505-2E9C-101B-9397-08002B2CF9AE}" pid="3" name="MSIP_Label_2dbba3f9-212b-4b23-8b50-6dd6ff6ac453_SetDate">
    <vt:lpwstr>2026-05-01T21:38:59Z</vt:lpwstr>
  </property>
  <property fmtid="{D5CDD505-2E9C-101B-9397-08002B2CF9AE}" pid="4" name="MSIP_Label_2dbba3f9-212b-4b23-8b50-6dd6ff6ac453_Method">
    <vt:lpwstr>Standard</vt:lpwstr>
  </property>
  <property fmtid="{D5CDD505-2E9C-101B-9397-08002B2CF9AE}" pid="5" name="MSIP_Label_2dbba3f9-212b-4b23-8b50-6dd6ff6ac453_Name">
    <vt:lpwstr>2dbba3f9-212b-4b23-8b50-6dd6ff6ac453</vt:lpwstr>
  </property>
  <property fmtid="{D5CDD505-2E9C-101B-9397-08002B2CF9AE}" pid="6" name="MSIP_Label_2dbba3f9-212b-4b23-8b50-6dd6ff6ac453_SiteId">
    <vt:lpwstr>19f05e49-84c6-45a1-81fe-2de9179458e4</vt:lpwstr>
  </property>
  <property fmtid="{D5CDD505-2E9C-101B-9397-08002B2CF9AE}" pid="7" name="MSIP_Label_2dbba3f9-212b-4b23-8b50-6dd6ff6ac453_ActionId">
    <vt:lpwstr>aeb08740-35ba-4dd5-9a75-3e070ee0429d</vt:lpwstr>
  </property>
  <property fmtid="{D5CDD505-2E9C-101B-9397-08002B2CF9AE}" pid="8" name="MSIP_Label_2dbba3f9-212b-4b23-8b50-6dd6ff6ac453_ContentBits">
    <vt:lpwstr>0</vt:lpwstr>
  </property>
  <property fmtid="{D5CDD505-2E9C-101B-9397-08002B2CF9AE}" pid="9" name="MSIP_Label_2dbba3f9-212b-4b23-8b50-6dd6ff6ac453_Tag">
    <vt:lpwstr>10, 3, 0, 1</vt:lpwstr>
  </property>
</Properties>
</file>