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Default="00C558B0" w:rsidP="00C558B0">
      <w:pPr>
        <w:spacing w:line="360" w:lineRule="auto"/>
        <w:rPr>
          <w:rFonts w:ascii="Arial" w:hAnsi="Arial" w:cs="Arial"/>
          <w:szCs w:val="24"/>
        </w:rPr>
      </w:pPr>
      <w:r>
        <w:rPr>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Default="00C558B0" w:rsidP="00C558B0">
      <w:pPr>
        <w:spacing w:line="360" w:lineRule="auto"/>
        <w:rPr>
          <w:rFonts w:ascii="Arial" w:hAnsi="Arial" w:cs="Arial"/>
          <w:szCs w:val="24"/>
        </w:rPr>
      </w:pPr>
    </w:p>
    <w:p w14:paraId="554C8C17" w14:textId="77777777" w:rsidR="00C558B0" w:rsidRDefault="00C558B0" w:rsidP="00C558B0">
      <w:pPr>
        <w:spacing w:line="360" w:lineRule="auto"/>
        <w:rPr>
          <w:rFonts w:ascii="Arial" w:hAnsi="Arial" w:cs="Arial"/>
          <w:szCs w:val="24"/>
        </w:rPr>
      </w:pPr>
    </w:p>
    <w:p w14:paraId="74A7306F" w14:textId="77777777" w:rsidR="00C558B0" w:rsidRDefault="00C558B0" w:rsidP="00C558B0">
      <w:pPr>
        <w:spacing w:line="360" w:lineRule="auto"/>
        <w:rPr>
          <w:rFonts w:ascii="Arial" w:hAnsi="Arial" w:cs="Arial"/>
          <w:szCs w:val="24"/>
        </w:rPr>
      </w:pPr>
    </w:p>
    <w:p w14:paraId="4CFA099C" w14:textId="77777777" w:rsidR="00C558B0" w:rsidRDefault="00C558B0" w:rsidP="00C558B0">
      <w:pPr>
        <w:tabs>
          <w:tab w:val="left" w:pos="6540"/>
        </w:tabs>
        <w:spacing w:line="360" w:lineRule="auto"/>
        <w:rPr>
          <w:rFonts w:ascii="Arial" w:hAnsi="Arial" w:cs="Arial"/>
          <w:sz w:val="28"/>
          <w:szCs w:val="28"/>
        </w:rPr>
      </w:pPr>
    </w:p>
    <w:p w14:paraId="2F4F861B" w14:textId="41121F0C" w:rsidR="00C558B0" w:rsidRPr="006524ED" w:rsidRDefault="00C558B0" w:rsidP="00C558B0">
      <w:pPr>
        <w:tabs>
          <w:tab w:val="left" w:pos="6540"/>
        </w:tabs>
        <w:spacing w:line="360" w:lineRule="auto"/>
        <w:rPr>
          <w:rFonts w:ascii="Arial" w:hAnsi="Arial" w:cs="Arial"/>
          <w:sz w:val="28"/>
          <w:szCs w:val="28"/>
          <w:lang w:val="nl-NL"/>
        </w:rPr>
      </w:pPr>
      <w:r w:rsidRPr="006524ED">
        <w:rPr>
          <w:rFonts w:ascii="Arial" w:hAnsi="Arial" w:cs="Arial"/>
          <w:b/>
          <w:bCs/>
          <w:sz w:val="28"/>
          <w:szCs w:val="28"/>
          <w:lang w:val="nl-NL"/>
        </w:rPr>
        <w:t>Student name</w:t>
      </w:r>
      <w:r w:rsidRPr="006524ED">
        <w:rPr>
          <w:rFonts w:ascii="Arial" w:hAnsi="Arial" w:cs="Arial"/>
          <w:sz w:val="28"/>
          <w:szCs w:val="28"/>
          <w:lang w:val="nl-NL"/>
        </w:rPr>
        <w:t>:</w:t>
      </w:r>
      <w:r w:rsidR="009A048E">
        <w:rPr>
          <w:rFonts w:ascii="Arial" w:hAnsi="Arial" w:cs="Arial"/>
          <w:sz w:val="28"/>
          <w:szCs w:val="28"/>
          <w:lang w:val="nl-NL"/>
        </w:rPr>
        <w:t>Jessica Cravid</w:t>
      </w:r>
    </w:p>
    <w:p w14:paraId="4654C81C" w14:textId="24BF266D" w:rsidR="00C558B0" w:rsidRPr="006524ED" w:rsidRDefault="00C558B0" w:rsidP="00C558B0">
      <w:pPr>
        <w:tabs>
          <w:tab w:val="left" w:pos="6540"/>
        </w:tabs>
        <w:spacing w:line="360" w:lineRule="auto"/>
        <w:rPr>
          <w:rFonts w:ascii="Arial" w:hAnsi="Arial" w:cs="Arial"/>
          <w:sz w:val="28"/>
          <w:szCs w:val="28"/>
          <w:lang w:val="nl-NL"/>
        </w:rPr>
      </w:pPr>
      <w:r w:rsidRPr="006524ED">
        <w:rPr>
          <w:rFonts w:ascii="Arial" w:hAnsi="Arial" w:cs="Arial"/>
          <w:b/>
          <w:bCs/>
          <w:sz w:val="28"/>
          <w:szCs w:val="28"/>
          <w:lang w:val="nl-NL"/>
        </w:rPr>
        <w:t>Student ID</w:t>
      </w:r>
      <w:r w:rsidRPr="006524ED">
        <w:rPr>
          <w:rFonts w:ascii="Arial" w:hAnsi="Arial" w:cs="Arial"/>
          <w:sz w:val="28"/>
          <w:szCs w:val="28"/>
          <w:lang w:val="nl-NL"/>
        </w:rPr>
        <w:t>:</w:t>
      </w:r>
      <w:r w:rsidR="009A048E">
        <w:rPr>
          <w:rFonts w:ascii="Arial" w:hAnsi="Arial" w:cs="Arial"/>
          <w:sz w:val="28"/>
          <w:szCs w:val="28"/>
          <w:lang w:val="nl-NL"/>
        </w:rPr>
        <w:t>2440920</w:t>
      </w:r>
    </w:p>
    <w:p w14:paraId="3D8DA301" w14:textId="460AA44E" w:rsidR="00C558B0" w:rsidRPr="009A048E" w:rsidRDefault="00C558B0" w:rsidP="00C558B0">
      <w:pPr>
        <w:tabs>
          <w:tab w:val="left" w:pos="6540"/>
        </w:tabs>
        <w:spacing w:line="360" w:lineRule="auto"/>
        <w:rPr>
          <w:rFonts w:ascii="Arial" w:hAnsi="Arial" w:cs="Arial"/>
          <w:b/>
          <w:bCs/>
          <w:sz w:val="28"/>
          <w:szCs w:val="28"/>
        </w:rPr>
      </w:pPr>
      <w:r w:rsidRPr="006524ED">
        <w:rPr>
          <w:rFonts w:ascii="Arial" w:hAnsi="Arial" w:cs="Arial"/>
          <w:b/>
          <w:bCs/>
          <w:sz w:val="28"/>
          <w:szCs w:val="28"/>
          <w:lang w:val="nl-NL"/>
        </w:rPr>
        <w:t>Module name</w:t>
      </w:r>
      <w:r w:rsidRPr="006524ED">
        <w:rPr>
          <w:rFonts w:ascii="Arial" w:hAnsi="Arial" w:cs="Arial"/>
          <w:sz w:val="28"/>
          <w:szCs w:val="28"/>
          <w:lang w:val="nl-NL"/>
        </w:rPr>
        <w:t xml:space="preserve">: </w:t>
      </w:r>
      <w:r w:rsidR="009A048E">
        <w:rPr>
          <w:rFonts w:ascii="Arial" w:hAnsi="Arial" w:cs="Arial"/>
          <w:sz w:val="28"/>
          <w:szCs w:val="28"/>
          <w:lang w:val="nl-NL"/>
        </w:rPr>
        <w:t xml:space="preserve"> </w:t>
      </w:r>
      <w:r w:rsidR="009A048E" w:rsidRPr="009A048E">
        <w:rPr>
          <w:rFonts w:ascii="Arial" w:hAnsi="Arial" w:cs="Arial"/>
          <w:b/>
          <w:bCs/>
          <w:sz w:val="28"/>
          <w:szCs w:val="28"/>
        </w:rPr>
        <w:t>Principles of Health and Social Care Practice</w:t>
      </w:r>
    </w:p>
    <w:p w14:paraId="7DB3261D" w14:textId="01293411" w:rsidR="00C558B0" w:rsidRPr="00820809" w:rsidRDefault="00C558B0" w:rsidP="00C558B0">
      <w:pPr>
        <w:tabs>
          <w:tab w:val="left" w:pos="6540"/>
        </w:tabs>
        <w:spacing w:line="360" w:lineRule="auto"/>
        <w:rPr>
          <w:rFonts w:ascii="Arial" w:hAnsi="Arial" w:cs="Arial"/>
          <w:b/>
          <w:bCs/>
          <w:sz w:val="28"/>
          <w:szCs w:val="28"/>
        </w:rPr>
      </w:pPr>
      <w:r>
        <w:rPr>
          <w:rFonts w:ascii="Arial" w:hAnsi="Arial" w:cs="Arial"/>
          <w:b/>
          <w:bCs/>
          <w:sz w:val="28"/>
          <w:szCs w:val="28"/>
        </w:rPr>
        <w:t>Module code</w:t>
      </w:r>
      <w:r>
        <w:rPr>
          <w:rFonts w:ascii="Arial" w:hAnsi="Arial" w:cs="Arial"/>
          <w:sz w:val="28"/>
          <w:szCs w:val="28"/>
        </w:rPr>
        <w:t>:</w:t>
      </w:r>
      <w:r w:rsidR="009A048E" w:rsidRPr="009A048E">
        <w:rPr>
          <w:rFonts w:ascii="Segoe UI" w:eastAsia="Times New Roman" w:hAnsi="Segoe UI" w:cs="Segoe UI"/>
          <w:b/>
          <w:bCs/>
          <w:color w:val="1D2125"/>
          <w:sz w:val="27"/>
          <w:szCs w:val="27"/>
          <w:lang w:eastAsia="en-GB"/>
        </w:rPr>
        <w:t xml:space="preserve"> </w:t>
      </w:r>
      <w:r w:rsidR="009A048E" w:rsidRPr="009A048E">
        <w:rPr>
          <w:rFonts w:ascii="Arial" w:hAnsi="Arial" w:cs="Arial"/>
          <w:b/>
          <w:bCs/>
          <w:sz w:val="28"/>
          <w:szCs w:val="28"/>
        </w:rPr>
        <w:t>BMHP5016</w:t>
      </w:r>
    </w:p>
    <w:p w14:paraId="5CCA350C" w14:textId="10E5D838" w:rsidR="00C558B0" w:rsidRDefault="00C558B0" w:rsidP="00C558B0">
      <w:pPr>
        <w:tabs>
          <w:tab w:val="left" w:pos="6540"/>
        </w:tabs>
        <w:spacing w:line="360" w:lineRule="auto"/>
        <w:rPr>
          <w:rFonts w:ascii="Arial" w:hAnsi="Arial" w:cs="Arial"/>
          <w:sz w:val="28"/>
          <w:szCs w:val="28"/>
        </w:rPr>
      </w:pPr>
      <w:r>
        <w:rPr>
          <w:rFonts w:ascii="Arial" w:hAnsi="Arial" w:cs="Arial"/>
          <w:b/>
          <w:bCs/>
          <w:sz w:val="28"/>
          <w:szCs w:val="28"/>
        </w:rPr>
        <w:t xml:space="preserve">Lecturer </w:t>
      </w:r>
      <w:r w:rsidR="009A048E">
        <w:rPr>
          <w:rFonts w:ascii="Arial" w:hAnsi="Arial" w:cs="Arial"/>
          <w:b/>
          <w:bCs/>
          <w:sz w:val="28"/>
          <w:szCs w:val="28"/>
        </w:rPr>
        <w:t>name</w:t>
      </w:r>
      <w:r w:rsidR="009A048E" w:rsidRPr="009A048E">
        <w:rPr>
          <w:rFonts w:ascii="Arial" w:hAnsi="Arial" w:cs="Arial"/>
          <w:b/>
          <w:bCs/>
          <w:sz w:val="28"/>
          <w:szCs w:val="28"/>
        </w:rPr>
        <w:t>: Lou Wells</w:t>
      </w:r>
    </w:p>
    <w:p w14:paraId="5461F9C8" w14:textId="77777777" w:rsidR="00C558B0" w:rsidRDefault="00C558B0" w:rsidP="00C558B0">
      <w:pPr>
        <w:tabs>
          <w:tab w:val="left" w:pos="6540"/>
        </w:tabs>
        <w:spacing w:line="360" w:lineRule="auto"/>
        <w:rPr>
          <w:rFonts w:ascii="Arial" w:hAnsi="Arial" w:cs="Arial"/>
          <w:sz w:val="28"/>
          <w:szCs w:val="28"/>
        </w:rPr>
      </w:pPr>
    </w:p>
    <w:p w14:paraId="79C715ED" w14:textId="16914D07" w:rsidR="006D2F2D" w:rsidRPr="004A5A64" w:rsidRDefault="006D2F2D" w:rsidP="004A5A64">
      <w:pPr>
        <w:spacing w:line="360" w:lineRule="auto"/>
        <w:rPr>
          <w:sz w:val="23"/>
          <w:szCs w:val="23"/>
        </w:rPr>
      </w:pPr>
      <w:r w:rsidRPr="004A5A64">
        <w:rPr>
          <w:sz w:val="23"/>
          <w:szCs w:val="23"/>
        </w:rPr>
        <w:br w:type="page"/>
      </w:r>
    </w:p>
    <w:p w14:paraId="4E08FBDF" w14:textId="4F887676" w:rsidR="00E37985" w:rsidRDefault="00584C94" w:rsidP="00FF7DED">
      <w:pPr>
        <w:spacing w:line="360" w:lineRule="auto"/>
        <w:jc w:val="both"/>
        <w:rPr>
          <w:rFonts w:ascii="Arial" w:hAnsi="Arial" w:cs="Arial"/>
        </w:rPr>
      </w:pPr>
      <w:r w:rsidRPr="00584C94">
        <w:rPr>
          <w:rFonts w:ascii="Arial" w:hAnsi="Arial" w:cs="Arial"/>
        </w:rPr>
        <w:lastRenderedPageBreak/>
        <w:t>The social model of disability is an important idea in health and social care because it changes the way disability is understood. Instead of seeing disability mainly as a problem inside a person’s body or mind, it says that people are often disabled by barriers around them. These barriers may be physical, such as stairs and buildings without lifts, but they may also come from rules, services, communication methods and negative attitudes. This way of thinking was developed by disabled people who wanted society to stop treating them as passive patients and start recognising their rights, choices and abilities (UPIAS, 1976; Oliver, 1990</w:t>
      </w:r>
      <w:r w:rsidR="00C25B35" w:rsidRPr="00584C94">
        <w:rPr>
          <w:rFonts w:ascii="Arial" w:hAnsi="Arial" w:cs="Arial"/>
        </w:rPr>
        <w:t>). The</w:t>
      </w:r>
      <w:r w:rsidRPr="00584C94">
        <w:rPr>
          <w:rFonts w:ascii="Arial" w:hAnsi="Arial" w:cs="Arial"/>
        </w:rPr>
        <w:t xml:space="preserve"> model links closely with person-centred care because both approaches focus on the person’s voice, choices and goals. Person-centred care should not be about professionals deciding what is best without properly involving the person. It should involve listening, sharing decisions and changing support so that it fits the person’s life. This essay explains how the social model developed, looks at its main strengths and weaknesses, and discusses how it can be used in adult social care assessment and care planning. It argues that the model is very useful, but it works best when services also recognise pain, illness, support needs and the importance of relationships (Shakespeare, 2014; Thomas, 2004b).</w:t>
      </w:r>
    </w:p>
    <w:p w14:paraId="36C395AC" w14:textId="77777777" w:rsidR="00FF7DED" w:rsidRPr="00C25B35" w:rsidRDefault="00FF7DED" w:rsidP="00FF7DED">
      <w:pPr>
        <w:spacing w:line="360" w:lineRule="auto"/>
        <w:jc w:val="both"/>
        <w:rPr>
          <w:rFonts w:ascii="Arial" w:hAnsi="Arial" w:cs="Arial"/>
        </w:rPr>
      </w:pPr>
    </w:p>
    <w:p w14:paraId="5538A730" w14:textId="7608ADBA" w:rsidR="00C25B35" w:rsidRPr="00C25B35" w:rsidRDefault="00C25B35" w:rsidP="00E37985">
      <w:pPr>
        <w:spacing w:line="360" w:lineRule="auto"/>
        <w:jc w:val="both"/>
        <w:rPr>
          <w:rFonts w:ascii="Arial" w:hAnsi="Arial" w:cs="Arial"/>
        </w:rPr>
      </w:pPr>
      <w:r w:rsidRPr="00C25B35">
        <w:rPr>
          <w:rFonts w:ascii="Arial" w:hAnsi="Arial" w:cs="Arial"/>
        </w:rPr>
        <w:t>The social model grew from the disability rights movement in Britain. In the 1970s, the Union of the Physically Impaired Against Segregation argued that society disables people by excluding them from ordinary life. UPIAS made a clear difference between impairment and disability. Impairment referred to a physical or mental condition, while disability referred to the restrictions created by society (UPIAS, 1976). Oliver later developed these ideas and gave them the name “social model of disability” (Oliver, 1990</w:t>
      </w:r>
      <w:r w:rsidR="000D48A0" w:rsidRPr="00C25B35">
        <w:rPr>
          <w:rFonts w:ascii="Arial" w:hAnsi="Arial" w:cs="Arial"/>
        </w:rPr>
        <w:t>). This</w:t>
      </w:r>
      <w:r w:rsidRPr="00C25B35">
        <w:rPr>
          <w:rFonts w:ascii="Arial" w:hAnsi="Arial" w:cs="Arial"/>
        </w:rPr>
        <w:t xml:space="preserve"> was very different from the medical model. The medical model mainly looks at diagnosis, treatment and what the person cannot do. It can lead professionals to think that the answer is to cure, manage or change the person. The social model asks a different question: what can society change? For example, a wheelchair user may be unable to enter a clinic because there are steps. The medical model may focus on the person’s inability to walk, while the social model focuses on the lack of a ramp or lift. This shift is important because it places responsibility on organisations and society, not only on the disabled person (Oliver, 1990; WHO, 2001).</w:t>
      </w:r>
    </w:p>
    <w:p w14:paraId="7972B4C6" w14:textId="77777777" w:rsidR="00C25B35" w:rsidRPr="00C25B35" w:rsidRDefault="00C25B35" w:rsidP="00E37985">
      <w:pPr>
        <w:spacing w:line="360" w:lineRule="auto"/>
        <w:jc w:val="both"/>
        <w:rPr>
          <w:rFonts w:ascii="Arial" w:hAnsi="Arial" w:cs="Arial"/>
        </w:rPr>
      </w:pPr>
      <w:r w:rsidRPr="00C25B35">
        <w:rPr>
          <w:rFonts w:ascii="Arial" w:hAnsi="Arial" w:cs="Arial"/>
        </w:rPr>
        <w:lastRenderedPageBreak/>
        <w:t>One major strength of the model is that it helped disability become a rights and equality issue. It supported campaigns for accessible buildings, inclusive education, better transport and protection from discrimination. The same thinking can be seen in the Equality Act 2010, which protects disabled people from discrimination and requires reasonable adjustments. It is also reflected in the United Nations Convention on the Rights of Persons with Disabilities, which states that disability is created through the interaction between impairments and social barriers (United Nations, 2006).</w:t>
      </w:r>
    </w:p>
    <w:p w14:paraId="408E160D" w14:textId="77777777" w:rsidR="00C25B35" w:rsidRPr="00C25B35" w:rsidRDefault="00C25B35" w:rsidP="00E37985">
      <w:pPr>
        <w:spacing w:line="360" w:lineRule="auto"/>
        <w:jc w:val="both"/>
        <w:rPr>
          <w:rFonts w:ascii="Arial" w:hAnsi="Arial" w:cs="Arial"/>
        </w:rPr>
      </w:pPr>
      <w:r w:rsidRPr="00C25B35">
        <w:rPr>
          <w:rFonts w:ascii="Arial" w:hAnsi="Arial" w:cs="Arial"/>
        </w:rPr>
        <w:t>However, the model has also been criticised. Shakespeare and Watson (2001) argue that it can be too simple if it suggests that all difficulties come from society. Some people live with pain, tiredness, seizures or serious illness that would still affect them even if every building and service were fully accessible. Shakespeare (2014) explains that disabled people may want medical treatment as well as social change. Therefore, it would be wrong to treat all medical care as negative. Person-centred care should allow the person to decide whether treatment, therapy, equipment or other support is useful to them.</w:t>
      </w:r>
    </w:p>
    <w:p w14:paraId="47E171C2" w14:textId="77777777" w:rsidR="000D48A0" w:rsidRDefault="00C25B35" w:rsidP="00E37985">
      <w:pPr>
        <w:spacing w:line="360" w:lineRule="auto"/>
        <w:jc w:val="both"/>
        <w:rPr>
          <w:rFonts w:ascii="Arial" w:hAnsi="Arial" w:cs="Arial"/>
        </w:rPr>
      </w:pPr>
      <w:r w:rsidRPr="00C25B35">
        <w:rPr>
          <w:rFonts w:ascii="Arial" w:hAnsi="Arial" w:cs="Arial"/>
        </w:rPr>
        <w:t>Another criticism is that the early model did not always reflect the experiences of every disabled person. It was strongly influenced by people with physical impairments. People with learning disabilities, dementia, mental health needs or conditions that change from day to day may face different barriers. Morris (1991) also showed that disabled women’s experiences of care and support were often missing. She argued that needing help does not automatically mean a person has no independence. A person can depend on support and still have control over who helps them, how they are helped and what they do with their life.</w:t>
      </w:r>
    </w:p>
    <w:p w14:paraId="2266BEAD" w14:textId="2ED1F645" w:rsidR="00C25B35" w:rsidRPr="00C25B35" w:rsidRDefault="00C25B35" w:rsidP="00E37985">
      <w:pPr>
        <w:spacing w:line="360" w:lineRule="auto"/>
        <w:jc w:val="both"/>
        <w:rPr>
          <w:rFonts w:ascii="Arial" w:hAnsi="Arial" w:cs="Arial"/>
        </w:rPr>
      </w:pPr>
      <w:r w:rsidRPr="00C25B35">
        <w:rPr>
          <w:rFonts w:ascii="Arial" w:hAnsi="Arial" w:cs="Arial"/>
        </w:rPr>
        <w:t>The model can also miss differences linked to race, gender, poverty, age and culture. Two people with the same impairment may have very different experiences because of their income, family support, housing or treatment by services. Research on person-centred care shows that people from under-represented groups can face several barriers at the same time, including poor communication, lack of trust and services that do not understand their culture (Seale et al., 2025). This means that a single approach will not work for everyone.</w:t>
      </w:r>
    </w:p>
    <w:p w14:paraId="5AADB010" w14:textId="77777777" w:rsidR="00C25B35" w:rsidRPr="00C25B35" w:rsidRDefault="00C25B35" w:rsidP="00E37985">
      <w:pPr>
        <w:spacing w:line="360" w:lineRule="auto"/>
        <w:jc w:val="both"/>
        <w:rPr>
          <w:rFonts w:ascii="Arial" w:hAnsi="Arial" w:cs="Arial"/>
        </w:rPr>
      </w:pPr>
      <w:r w:rsidRPr="00C25B35">
        <w:rPr>
          <w:rFonts w:ascii="Arial" w:hAnsi="Arial" w:cs="Arial"/>
        </w:rPr>
        <w:t xml:space="preserve">These criticisms do not mean the social model should be rejected. Thomas (2004b) suggests a social-relational approach. This keeps the main idea that society creates </w:t>
      </w:r>
      <w:r w:rsidRPr="00C25B35">
        <w:rPr>
          <w:rFonts w:ascii="Arial" w:hAnsi="Arial" w:cs="Arial"/>
        </w:rPr>
        <w:lastRenderedPageBreak/>
        <w:t>many barriers, but it also accepts that impairment can have real effects. The World Health Organization also describes disability as an interaction between a health condition, the person and the environment (WHO, 2001). This broader view is helpful because it supports both social change and personal support.</w:t>
      </w:r>
    </w:p>
    <w:p w14:paraId="54483F03" w14:textId="77777777" w:rsidR="00C25B35" w:rsidRPr="00C25B35" w:rsidRDefault="00C25B35" w:rsidP="00E37985">
      <w:pPr>
        <w:spacing w:line="360" w:lineRule="auto"/>
        <w:jc w:val="both"/>
        <w:rPr>
          <w:rFonts w:ascii="Arial" w:hAnsi="Arial" w:cs="Arial"/>
        </w:rPr>
      </w:pPr>
      <w:r w:rsidRPr="00C25B35">
        <w:rPr>
          <w:rFonts w:ascii="Arial" w:hAnsi="Arial" w:cs="Arial"/>
        </w:rPr>
        <w:t>Adult social care assessment and care planning are good examples of where the social model can be used. The Care Act 2014 says that local authorities must promote a person’s wellbeing. Assessments should look at the person’s needs, the effect of those needs on their life and the outcomes they want to achieve. The Care and Support Statutory Guidance also says that assessments should be person-centred and should involve the person as fully as possible (Care Act 2014; Department of Health and Social Care, 2025).</w:t>
      </w:r>
    </w:p>
    <w:p w14:paraId="72A630D3" w14:textId="77777777" w:rsidR="00C25B35" w:rsidRPr="00C25B35" w:rsidRDefault="00C25B35" w:rsidP="00E37985">
      <w:pPr>
        <w:spacing w:line="360" w:lineRule="auto"/>
        <w:jc w:val="both"/>
        <w:rPr>
          <w:rFonts w:ascii="Arial" w:hAnsi="Arial" w:cs="Arial"/>
        </w:rPr>
      </w:pPr>
      <w:r w:rsidRPr="00C25B35">
        <w:rPr>
          <w:rFonts w:ascii="Arial" w:hAnsi="Arial" w:cs="Arial"/>
        </w:rPr>
        <w:t>Using the social model means that an assessment should not only list what a person cannot do. It should also look at the barriers that stop the person from living the life they want. For a person with a mobility impairment, the main issue may be unsuitable housing or inaccessible transport. For an autistic person, the main barriers may be noise, unclear information or staff who do not give enough time. A person-centred plan can then include home adaptations, accessible information, advocacy, assistive technology, personal assistance or support to take part in work and community life (WHO, 2022).</w:t>
      </w:r>
    </w:p>
    <w:p w14:paraId="6CAC0D94" w14:textId="77777777" w:rsidR="00C25B35" w:rsidRPr="00C25B35" w:rsidRDefault="00C25B35" w:rsidP="00E37985">
      <w:pPr>
        <w:spacing w:line="360" w:lineRule="auto"/>
        <w:jc w:val="both"/>
        <w:rPr>
          <w:rFonts w:ascii="Arial" w:hAnsi="Arial" w:cs="Arial"/>
        </w:rPr>
      </w:pPr>
      <w:r w:rsidRPr="00C25B35">
        <w:rPr>
          <w:rFonts w:ascii="Arial" w:hAnsi="Arial" w:cs="Arial"/>
        </w:rPr>
        <w:t>The model also helps professionals look at the way services themselves may create problems. Short appointments, complicated forms, inaccessible websites and staff speaking only to a family member can all reduce the person’s control. Reasonable adjustments should therefore be part of normal practice, not something treated as a special favour. The Equality Act 2010 supports this duty. The Mental Capacity Act 2005 also says that adults must be assumed to have capacity unless there is evidence otherwise, and they should be given practical support to make their own decisions (Equality Act 2010; Mental Capacity Act 2005).</w:t>
      </w:r>
    </w:p>
    <w:p w14:paraId="1F91DB95" w14:textId="77777777" w:rsidR="00C25B35" w:rsidRPr="00C25B35" w:rsidRDefault="00C25B35" w:rsidP="00E37985">
      <w:pPr>
        <w:spacing w:line="360" w:lineRule="auto"/>
        <w:jc w:val="both"/>
        <w:rPr>
          <w:rFonts w:ascii="Arial" w:hAnsi="Arial" w:cs="Arial"/>
        </w:rPr>
      </w:pPr>
      <w:r w:rsidRPr="00C25B35">
        <w:rPr>
          <w:rFonts w:ascii="Arial" w:hAnsi="Arial" w:cs="Arial"/>
        </w:rPr>
        <w:t xml:space="preserve">Personal budgets and direct payments can support choice because they may allow people to organise care in a way that suits them. For example, a person may choose the times when support is provided or employ a personal assistant who understands their culture and communication needs. However, choice on paper is not always real choice. Some people find the paperwork difficult, cannot find suitable staff or do not </w:t>
      </w:r>
      <w:r w:rsidRPr="00C25B35">
        <w:rPr>
          <w:rFonts w:ascii="Arial" w:hAnsi="Arial" w:cs="Arial"/>
        </w:rPr>
        <w:lastRenderedPageBreak/>
        <w:t>receive enough money to meet their needs. Needham (2011) warns that personalisation can place more responsibility on individuals without giving them enough support or good services to choose from.</w:t>
      </w:r>
    </w:p>
    <w:p w14:paraId="39A19D80" w14:textId="0F28D374" w:rsidR="00C25B35" w:rsidRPr="00C25B35" w:rsidRDefault="00C25B35" w:rsidP="00E37985">
      <w:pPr>
        <w:spacing w:line="360" w:lineRule="auto"/>
        <w:jc w:val="both"/>
        <w:rPr>
          <w:rFonts w:ascii="Arial" w:hAnsi="Arial" w:cs="Arial"/>
        </w:rPr>
      </w:pPr>
      <w:r w:rsidRPr="00C25B35">
        <w:rPr>
          <w:rFonts w:ascii="Arial" w:hAnsi="Arial" w:cs="Arial"/>
        </w:rPr>
        <w:t xml:space="preserve">There are also problems caused by pressure on social care services. Staff may have large caseloads and limited time. Assessments can then become focused on eligibility and cost instead of the person’s full life. A care plan may say that someone wants to work, study or join community activities, while the funding only covers basic washing and dressing. This creates a gap between the promise of person-centred care and what the person </w:t>
      </w:r>
      <w:r w:rsidRPr="00C25B35">
        <w:rPr>
          <w:rFonts w:ascii="Arial" w:hAnsi="Arial" w:cs="Arial"/>
        </w:rPr>
        <w:t>receives</w:t>
      </w:r>
      <w:r w:rsidRPr="00C25B35">
        <w:rPr>
          <w:rFonts w:ascii="Arial" w:hAnsi="Arial" w:cs="Arial"/>
        </w:rPr>
        <w:t>. The statutory guidance says people should not simply be fitted into services that already exist, but limited budgets and local shortages can make this difficult (Department of Health and Social Care, 2025).</w:t>
      </w:r>
    </w:p>
    <w:p w14:paraId="0823FE16" w14:textId="77777777" w:rsidR="00C25B35" w:rsidRPr="00C25B35" w:rsidRDefault="00C25B35" w:rsidP="00E37985">
      <w:pPr>
        <w:spacing w:line="360" w:lineRule="auto"/>
        <w:jc w:val="both"/>
        <w:rPr>
          <w:rFonts w:ascii="Arial" w:hAnsi="Arial" w:cs="Arial"/>
        </w:rPr>
      </w:pPr>
      <w:r w:rsidRPr="00C25B35">
        <w:rPr>
          <w:rFonts w:ascii="Arial" w:hAnsi="Arial" w:cs="Arial"/>
        </w:rPr>
        <w:t>The social model can also be misunderstood. Some staff may think that focusing on social barriers means they should ignore health needs. This would not be person-centred. A person may want pain relief, physiotherapy, mental health treatment or help with communication. Good care should remove outside barriers while also providing the health support chosen by the person. Kröger (2014) argues that disability rights and care should not be treated as opposites. People can need support and still have power, choice and dignity.</w:t>
      </w:r>
    </w:p>
    <w:p w14:paraId="67D74983" w14:textId="77777777" w:rsidR="00C25B35" w:rsidRPr="00C25B35" w:rsidRDefault="00C25B35" w:rsidP="00E37985">
      <w:pPr>
        <w:spacing w:line="360" w:lineRule="auto"/>
        <w:jc w:val="both"/>
        <w:rPr>
          <w:rFonts w:ascii="Arial" w:hAnsi="Arial" w:cs="Arial"/>
        </w:rPr>
      </w:pPr>
      <w:r w:rsidRPr="00C25B35">
        <w:rPr>
          <w:rFonts w:ascii="Arial" w:hAnsi="Arial" w:cs="Arial"/>
        </w:rPr>
        <w:t>Co-production is another way to apply the model. Co-production means disabled people work with services to design, deliver and review care. This can improve assessment forms, staff training, communication systems and service standards. However, co-production can become tokenistic if people are invited to meetings but have little real influence. It can also exclude people if meetings are inaccessible or if they are not paid for their time. Genuine co-production requires accessible ways to take part, clear decision-making and involvement from people with different backgrounds and support needs (Seale et al., 2025).</w:t>
      </w:r>
    </w:p>
    <w:p w14:paraId="492C1748" w14:textId="77777777" w:rsidR="00C25B35" w:rsidRPr="00C25B35" w:rsidRDefault="00C25B35" w:rsidP="00E37985">
      <w:pPr>
        <w:spacing w:line="360" w:lineRule="auto"/>
        <w:jc w:val="both"/>
        <w:rPr>
          <w:rFonts w:ascii="Arial" w:hAnsi="Arial" w:cs="Arial"/>
        </w:rPr>
      </w:pPr>
      <w:r w:rsidRPr="00C25B35">
        <w:rPr>
          <w:rFonts w:ascii="Arial" w:hAnsi="Arial" w:cs="Arial"/>
        </w:rPr>
        <w:t>First, assessments should use a broad social-relational approach. Staff should ask about the person’s goals, strengths, health needs, relationships and the barriers around them. This would give a more complete picture than focusing only on either the medical condition or the environment. The benefit would be a care plan that is more useful to the person. The limitation is that this type of assessment takes time and may require input from different professionals (Thomas, 2004b; WHO, 2001).</w:t>
      </w:r>
    </w:p>
    <w:p w14:paraId="3B860630" w14:textId="77777777" w:rsidR="00C25B35" w:rsidRPr="00C25B35" w:rsidRDefault="00C25B35" w:rsidP="00E37985">
      <w:pPr>
        <w:spacing w:line="360" w:lineRule="auto"/>
        <w:jc w:val="both"/>
        <w:rPr>
          <w:rFonts w:ascii="Arial" w:hAnsi="Arial" w:cs="Arial"/>
        </w:rPr>
      </w:pPr>
      <w:r w:rsidRPr="00C25B35">
        <w:rPr>
          <w:rFonts w:ascii="Arial" w:hAnsi="Arial" w:cs="Arial"/>
        </w:rPr>
        <w:lastRenderedPageBreak/>
        <w:t>Second, services should plan accessibility in advance. Information should be available in formats such as Easy Read, large print, British Sign Language and accessible digital versions. People should be able to request longer appointments, interpreters, advocates or support from someone they trust. This would reduce exclusion, although staff must still ask each person what they prefer because the same adjustment will not suit everyone (Equality Act 2010).</w:t>
      </w:r>
    </w:p>
    <w:p w14:paraId="1FA841E5" w14:textId="77777777" w:rsidR="00C25B35" w:rsidRPr="00C25B35" w:rsidRDefault="00C25B35" w:rsidP="00E37985">
      <w:pPr>
        <w:spacing w:line="360" w:lineRule="auto"/>
        <w:jc w:val="both"/>
        <w:rPr>
          <w:rFonts w:ascii="Arial" w:hAnsi="Arial" w:cs="Arial"/>
        </w:rPr>
      </w:pPr>
      <w:r w:rsidRPr="00C25B35">
        <w:rPr>
          <w:rFonts w:ascii="Arial" w:hAnsi="Arial" w:cs="Arial"/>
        </w:rPr>
        <w:t>Third, disabled people should have a real role in designing services. Local authorities and care providers should pay disabled people and user-led groups to help create training, review policies and measure service quality. Services should look at whether people have more control, better relationships and greater involvement in their community, not only whether care tasks were completed. This may cost more at the start, but it can make services more relevant and prevent repeated mistakes (Seale et al., 2025).</w:t>
      </w:r>
    </w:p>
    <w:p w14:paraId="54006D04" w14:textId="2F6327F1" w:rsidR="00FF7DED" w:rsidRPr="003F4E00" w:rsidRDefault="00C25B35" w:rsidP="004D70A7">
      <w:pPr>
        <w:spacing w:line="360" w:lineRule="auto"/>
        <w:jc w:val="both"/>
        <w:rPr>
          <w:rFonts w:ascii="Arial" w:hAnsi="Arial" w:cs="Arial"/>
        </w:rPr>
      </w:pPr>
      <w:r w:rsidRPr="00C25B35">
        <w:rPr>
          <w:rFonts w:ascii="Arial" w:hAnsi="Arial" w:cs="Arial"/>
        </w:rPr>
        <w:t>Finally, personal budgets must be supported properly. People should receive clear advice, help with payroll, advocacy and backup plans when care workers are unavailable. Commissioners should also deal with low pay and staff shortages in social care. Without this support, personalisation may become responsibility without real power. Services should check whether some groups receive worse outcomes because of poverty, ethnicity, age, gender or type of impairment (Needham, 2011; WHO, 2022).</w:t>
      </w:r>
    </w:p>
    <w:p w14:paraId="5B855950" w14:textId="40CBAF08" w:rsidR="003E4ED4" w:rsidRPr="00FF7DED" w:rsidRDefault="00E63F81" w:rsidP="00FF7DED">
      <w:pPr>
        <w:spacing w:line="360" w:lineRule="auto"/>
        <w:jc w:val="both"/>
        <w:rPr>
          <w:rFonts w:ascii="Arial" w:hAnsi="Arial" w:cs="Arial"/>
        </w:rPr>
      </w:pPr>
      <w:r w:rsidRPr="00E63F81">
        <w:rPr>
          <w:rFonts w:ascii="Arial" w:hAnsi="Arial" w:cs="Arial"/>
          <w:sz w:val="23"/>
          <w:szCs w:val="23"/>
        </w:rPr>
        <w:t>In conclusion</w:t>
      </w:r>
      <w:r>
        <w:rPr>
          <w:rFonts w:ascii="Arial" w:hAnsi="Arial" w:cs="Arial"/>
          <w:b/>
          <w:bCs/>
          <w:sz w:val="23"/>
          <w:szCs w:val="23"/>
        </w:rPr>
        <w:t xml:space="preserve"> </w:t>
      </w:r>
      <w:r w:rsidRPr="00775A8F">
        <w:rPr>
          <w:rFonts w:ascii="Arial" w:hAnsi="Arial" w:cs="Arial"/>
        </w:rPr>
        <w:t>the</w:t>
      </w:r>
      <w:r w:rsidR="00775A8F" w:rsidRPr="00775A8F">
        <w:rPr>
          <w:rFonts w:ascii="Arial" w:hAnsi="Arial" w:cs="Arial"/>
        </w:rPr>
        <w:t xml:space="preserve"> social model of disability changed the focus from what is “wrong” with a person to what is wrong with the barriers around them. It has helped promote equality, accessibility, choice and the involvement of disabled people in decisions. These ideas strongly support person-centred care. In adult social care, the model can improve assessment and care planning by focusing on the person’s goals and the changes needed in services, housing, communication and community life (Oliver, 1990; Care Act 2014</w:t>
      </w:r>
      <w:r w:rsidR="00FF7DED" w:rsidRPr="00775A8F">
        <w:rPr>
          <w:rFonts w:ascii="Arial" w:hAnsi="Arial" w:cs="Arial"/>
        </w:rPr>
        <w:t>). However</w:t>
      </w:r>
      <w:r w:rsidR="00775A8F" w:rsidRPr="00775A8F">
        <w:rPr>
          <w:rFonts w:ascii="Arial" w:hAnsi="Arial" w:cs="Arial"/>
        </w:rPr>
        <w:t>, the model has limits when it does not give enough attention to pain, illness, changing conditions, relationships and the support some people want. For this reason, a social-relational approach is more balanced. Person-centred care should remove social barriers, but it should also provide treatment and personal support when the individual chooses it. Policies are only meaningful when services have enough staff, funding, accessible systems and genuine co-production to put them into practice (Shakespeare, 2014; Kröger, 2014).</w:t>
      </w:r>
    </w:p>
    <w:p w14:paraId="2B987BCE" w14:textId="34D3703E" w:rsidR="001B5109" w:rsidRDefault="006D2F2D" w:rsidP="004A5A64">
      <w:pPr>
        <w:spacing w:line="360" w:lineRule="auto"/>
        <w:rPr>
          <w:rFonts w:ascii="Arial" w:hAnsi="Arial" w:cs="Arial"/>
          <w:b/>
          <w:bCs/>
          <w:sz w:val="23"/>
          <w:szCs w:val="23"/>
        </w:rPr>
      </w:pPr>
      <w:r w:rsidRPr="004A5A64">
        <w:rPr>
          <w:rFonts w:ascii="Arial" w:hAnsi="Arial" w:cs="Arial"/>
          <w:b/>
          <w:bCs/>
          <w:sz w:val="23"/>
          <w:szCs w:val="23"/>
        </w:rPr>
        <w:lastRenderedPageBreak/>
        <w:t>Reference</w:t>
      </w:r>
      <w:r w:rsidR="003E4ED4" w:rsidRPr="004A5A64">
        <w:rPr>
          <w:rFonts w:ascii="Arial" w:hAnsi="Arial" w:cs="Arial"/>
          <w:b/>
          <w:bCs/>
          <w:sz w:val="23"/>
          <w:szCs w:val="23"/>
        </w:rPr>
        <w:t>s</w:t>
      </w:r>
    </w:p>
    <w:p w14:paraId="08468BF4" w14:textId="77777777" w:rsidR="001B5109" w:rsidRDefault="001B5109" w:rsidP="004A5A64">
      <w:pPr>
        <w:spacing w:line="360" w:lineRule="auto"/>
        <w:rPr>
          <w:rFonts w:ascii="Arial" w:hAnsi="Arial" w:cs="Arial"/>
          <w:b/>
          <w:bCs/>
          <w:sz w:val="23"/>
          <w:szCs w:val="23"/>
        </w:rPr>
      </w:pPr>
    </w:p>
    <w:p w14:paraId="23007005" w14:textId="77777777" w:rsidR="005A0046" w:rsidRPr="00775A8F" w:rsidRDefault="005A0046" w:rsidP="005A0046">
      <w:pPr>
        <w:spacing w:line="360" w:lineRule="auto"/>
        <w:rPr>
          <w:rFonts w:ascii="Arial" w:hAnsi="Arial" w:cs="Arial"/>
          <w:b/>
          <w:bCs/>
          <w:color w:val="000000" w:themeColor="text1"/>
          <w:sz w:val="23"/>
          <w:szCs w:val="23"/>
        </w:rPr>
      </w:pPr>
      <w:r w:rsidRPr="00775A8F">
        <w:rPr>
          <w:rFonts w:ascii="Arial" w:hAnsi="Arial" w:cs="Arial"/>
          <w:b/>
          <w:bCs/>
          <w:color w:val="000000" w:themeColor="text1"/>
          <w:sz w:val="23"/>
          <w:szCs w:val="23"/>
        </w:rPr>
        <w:t>Care Act 2014, c.23. London: The Stationery Office.</w:t>
      </w:r>
    </w:p>
    <w:p w14:paraId="62D62397" w14:textId="77777777" w:rsidR="005A0046" w:rsidRPr="00775A8F" w:rsidRDefault="005A0046" w:rsidP="005A0046">
      <w:pPr>
        <w:spacing w:line="360" w:lineRule="auto"/>
        <w:rPr>
          <w:rFonts w:ascii="Arial" w:hAnsi="Arial" w:cs="Arial"/>
          <w:b/>
          <w:bCs/>
          <w:color w:val="000000" w:themeColor="text1"/>
          <w:sz w:val="23"/>
          <w:szCs w:val="23"/>
        </w:rPr>
      </w:pPr>
      <w:r w:rsidRPr="00775A8F">
        <w:rPr>
          <w:rFonts w:ascii="Arial" w:hAnsi="Arial" w:cs="Arial"/>
          <w:b/>
          <w:bCs/>
          <w:color w:val="000000" w:themeColor="text1"/>
          <w:sz w:val="23"/>
          <w:szCs w:val="23"/>
        </w:rPr>
        <w:t xml:space="preserve">Department of Health and Social Care (2025) </w:t>
      </w:r>
      <w:r w:rsidRPr="00775A8F">
        <w:rPr>
          <w:rFonts w:ascii="Arial" w:hAnsi="Arial" w:cs="Arial"/>
          <w:b/>
          <w:bCs/>
          <w:i/>
          <w:iCs/>
          <w:color w:val="000000" w:themeColor="text1"/>
          <w:sz w:val="23"/>
          <w:szCs w:val="23"/>
        </w:rPr>
        <w:t>Care and support statutory guidance</w:t>
      </w:r>
      <w:r w:rsidRPr="00775A8F">
        <w:rPr>
          <w:rFonts w:ascii="Arial" w:hAnsi="Arial" w:cs="Arial"/>
          <w:b/>
          <w:bCs/>
          <w:color w:val="000000" w:themeColor="text1"/>
          <w:sz w:val="23"/>
          <w:szCs w:val="23"/>
        </w:rPr>
        <w:t xml:space="preserve">. Available at: </w:t>
      </w:r>
      <w:hyperlink r:id="rId10" w:history="1">
        <w:r w:rsidRPr="00775A8F">
          <w:rPr>
            <w:rStyle w:val="Hyperlink"/>
            <w:rFonts w:ascii="Arial" w:hAnsi="Arial" w:cs="Arial"/>
            <w:b/>
            <w:bCs/>
            <w:color w:val="000000" w:themeColor="text1"/>
            <w:sz w:val="23"/>
            <w:szCs w:val="23"/>
          </w:rPr>
          <w:t>https://www.gov.uk/government/publications/care-act-statutory-guidance/care-and-support-statutory-guidance</w:t>
        </w:r>
      </w:hyperlink>
      <w:r w:rsidRPr="00775A8F">
        <w:rPr>
          <w:rFonts w:ascii="Arial" w:hAnsi="Arial" w:cs="Arial"/>
          <w:b/>
          <w:bCs/>
          <w:color w:val="000000" w:themeColor="text1"/>
          <w:sz w:val="23"/>
          <w:szCs w:val="23"/>
        </w:rPr>
        <w:t xml:space="preserve"> (Accessed: 6 August 2026).</w:t>
      </w:r>
    </w:p>
    <w:p w14:paraId="4C204566" w14:textId="77777777" w:rsidR="005A0046" w:rsidRPr="00775A8F" w:rsidRDefault="005A0046" w:rsidP="005A0046">
      <w:pPr>
        <w:spacing w:line="360" w:lineRule="auto"/>
        <w:rPr>
          <w:rFonts w:ascii="Arial" w:hAnsi="Arial" w:cs="Arial"/>
          <w:b/>
          <w:bCs/>
          <w:color w:val="000000" w:themeColor="text1"/>
          <w:sz w:val="23"/>
          <w:szCs w:val="23"/>
        </w:rPr>
      </w:pPr>
      <w:r w:rsidRPr="00775A8F">
        <w:rPr>
          <w:rFonts w:ascii="Arial" w:hAnsi="Arial" w:cs="Arial"/>
          <w:b/>
          <w:bCs/>
          <w:color w:val="000000" w:themeColor="text1"/>
          <w:sz w:val="23"/>
          <w:szCs w:val="23"/>
        </w:rPr>
        <w:t>Equality Act 2010, c.15. London: The Stationery Office.</w:t>
      </w:r>
    </w:p>
    <w:p w14:paraId="0D134954" w14:textId="77777777" w:rsidR="005A0046" w:rsidRPr="00775A8F" w:rsidRDefault="005A0046" w:rsidP="005A0046">
      <w:pPr>
        <w:spacing w:line="360" w:lineRule="auto"/>
        <w:rPr>
          <w:rFonts w:ascii="Arial" w:hAnsi="Arial" w:cs="Arial"/>
          <w:b/>
          <w:bCs/>
          <w:color w:val="000000" w:themeColor="text1"/>
          <w:sz w:val="23"/>
          <w:szCs w:val="23"/>
        </w:rPr>
      </w:pPr>
      <w:r w:rsidRPr="00775A8F">
        <w:rPr>
          <w:rFonts w:ascii="Arial" w:hAnsi="Arial" w:cs="Arial"/>
          <w:b/>
          <w:bCs/>
          <w:color w:val="000000" w:themeColor="text1"/>
          <w:sz w:val="23"/>
          <w:szCs w:val="23"/>
        </w:rPr>
        <w:t xml:space="preserve">Human Rights Act 1998, c.42. London: The Stationery Office. Available at: </w:t>
      </w:r>
      <w:hyperlink r:id="rId11" w:history="1">
        <w:r w:rsidRPr="00775A8F">
          <w:rPr>
            <w:rStyle w:val="Hyperlink"/>
            <w:rFonts w:ascii="Arial" w:hAnsi="Arial" w:cs="Arial"/>
            <w:b/>
            <w:bCs/>
            <w:color w:val="000000" w:themeColor="text1"/>
            <w:sz w:val="23"/>
            <w:szCs w:val="23"/>
          </w:rPr>
          <w:t>https://www.legislation.gov.uk/ukpga/1998/42</w:t>
        </w:r>
      </w:hyperlink>
      <w:r w:rsidRPr="00775A8F">
        <w:rPr>
          <w:rFonts w:ascii="Arial" w:hAnsi="Arial" w:cs="Arial"/>
          <w:b/>
          <w:bCs/>
          <w:color w:val="000000" w:themeColor="text1"/>
          <w:sz w:val="23"/>
          <w:szCs w:val="23"/>
        </w:rPr>
        <w:t xml:space="preserve"> (Accessed: 4 August 2026).</w:t>
      </w:r>
    </w:p>
    <w:p w14:paraId="37F0C4E0" w14:textId="77777777" w:rsidR="005A0046" w:rsidRPr="00775A8F" w:rsidRDefault="005A0046" w:rsidP="005A0046">
      <w:pPr>
        <w:spacing w:line="360" w:lineRule="auto"/>
        <w:rPr>
          <w:rFonts w:ascii="Arial" w:hAnsi="Arial" w:cs="Arial"/>
          <w:b/>
          <w:bCs/>
          <w:color w:val="000000" w:themeColor="text1"/>
          <w:sz w:val="23"/>
          <w:szCs w:val="23"/>
        </w:rPr>
      </w:pPr>
      <w:r w:rsidRPr="00775A8F">
        <w:rPr>
          <w:rFonts w:ascii="Arial" w:hAnsi="Arial" w:cs="Arial"/>
          <w:b/>
          <w:bCs/>
          <w:color w:val="000000" w:themeColor="text1"/>
          <w:sz w:val="23"/>
          <w:szCs w:val="23"/>
        </w:rPr>
        <w:t xml:space="preserve">Kröger, T. (2014) ‘Empowerment through care: Using dialogue between the social model of disability and an ethic of care to redraw boundaries of independence and partnership between disabled people and services’, </w:t>
      </w:r>
      <w:r w:rsidRPr="00775A8F">
        <w:rPr>
          <w:rFonts w:ascii="Arial" w:hAnsi="Arial" w:cs="Arial"/>
          <w:b/>
          <w:bCs/>
          <w:i/>
          <w:iCs/>
          <w:color w:val="000000" w:themeColor="text1"/>
          <w:sz w:val="23"/>
          <w:szCs w:val="23"/>
        </w:rPr>
        <w:t>Alter</w:t>
      </w:r>
      <w:r w:rsidRPr="00775A8F">
        <w:rPr>
          <w:rFonts w:ascii="Arial" w:hAnsi="Arial" w:cs="Arial"/>
          <w:b/>
          <w:bCs/>
          <w:color w:val="000000" w:themeColor="text1"/>
          <w:sz w:val="23"/>
          <w:szCs w:val="23"/>
        </w:rPr>
        <w:t>, 8(3), pp. 196–210.</w:t>
      </w:r>
    </w:p>
    <w:p w14:paraId="2ABDA968" w14:textId="77777777" w:rsidR="005A0046" w:rsidRPr="00775A8F" w:rsidRDefault="005A0046" w:rsidP="005A0046">
      <w:pPr>
        <w:spacing w:line="360" w:lineRule="auto"/>
        <w:rPr>
          <w:rFonts w:ascii="Arial" w:hAnsi="Arial" w:cs="Arial"/>
          <w:b/>
          <w:bCs/>
          <w:color w:val="000000" w:themeColor="text1"/>
          <w:sz w:val="23"/>
          <w:szCs w:val="23"/>
        </w:rPr>
      </w:pPr>
      <w:r w:rsidRPr="00775A8F">
        <w:rPr>
          <w:rFonts w:ascii="Arial" w:hAnsi="Arial" w:cs="Arial"/>
          <w:b/>
          <w:bCs/>
          <w:color w:val="000000" w:themeColor="text1"/>
          <w:sz w:val="23"/>
          <w:szCs w:val="23"/>
        </w:rPr>
        <w:t>Mental Capacity Act 2005, c.9. London: The Stationery Office.</w:t>
      </w:r>
    </w:p>
    <w:p w14:paraId="4918C110" w14:textId="77777777" w:rsidR="005A0046" w:rsidRPr="00775A8F" w:rsidRDefault="005A0046" w:rsidP="005A0046">
      <w:pPr>
        <w:spacing w:line="360" w:lineRule="auto"/>
        <w:rPr>
          <w:rFonts w:ascii="Arial" w:hAnsi="Arial" w:cs="Arial"/>
          <w:b/>
          <w:bCs/>
          <w:color w:val="000000" w:themeColor="text1"/>
          <w:sz w:val="23"/>
          <w:szCs w:val="23"/>
        </w:rPr>
      </w:pPr>
      <w:r w:rsidRPr="00775A8F">
        <w:rPr>
          <w:rFonts w:ascii="Arial" w:hAnsi="Arial" w:cs="Arial"/>
          <w:b/>
          <w:bCs/>
          <w:color w:val="000000" w:themeColor="text1"/>
          <w:sz w:val="23"/>
          <w:szCs w:val="23"/>
        </w:rPr>
        <w:t xml:space="preserve">Morris, J. (1991) </w:t>
      </w:r>
      <w:r w:rsidRPr="00775A8F">
        <w:rPr>
          <w:rFonts w:ascii="Arial" w:hAnsi="Arial" w:cs="Arial"/>
          <w:b/>
          <w:bCs/>
          <w:i/>
          <w:iCs/>
          <w:color w:val="000000" w:themeColor="text1"/>
          <w:sz w:val="23"/>
          <w:szCs w:val="23"/>
        </w:rPr>
        <w:t>Pride Against Prejudice: Transforming Attitudes to Disability</w:t>
      </w:r>
      <w:r w:rsidRPr="00775A8F">
        <w:rPr>
          <w:rFonts w:ascii="Arial" w:hAnsi="Arial" w:cs="Arial"/>
          <w:b/>
          <w:bCs/>
          <w:color w:val="000000" w:themeColor="text1"/>
          <w:sz w:val="23"/>
          <w:szCs w:val="23"/>
        </w:rPr>
        <w:t>. London: Women's Press.</w:t>
      </w:r>
    </w:p>
    <w:p w14:paraId="55B36B30" w14:textId="77777777" w:rsidR="005A0046" w:rsidRPr="00775A8F" w:rsidRDefault="005A0046" w:rsidP="005A0046">
      <w:pPr>
        <w:spacing w:line="360" w:lineRule="auto"/>
        <w:rPr>
          <w:rFonts w:ascii="Arial" w:hAnsi="Arial" w:cs="Arial"/>
          <w:b/>
          <w:bCs/>
          <w:color w:val="000000" w:themeColor="text1"/>
          <w:sz w:val="23"/>
          <w:szCs w:val="23"/>
        </w:rPr>
      </w:pPr>
      <w:r w:rsidRPr="00775A8F">
        <w:rPr>
          <w:rFonts w:ascii="Arial" w:hAnsi="Arial" w:cs="Arial"/>
          <w:b/>
          <w:bCs/>
          <w:color w:val="000000" w:themeColor="text1"/>
          <w:sz w:val="23"/>
          <w:szCs w:val="23"/>
        </w:rPr>
        <w:t xml:space="preserve">Needham, C. (2011) </w:t>
      </w:r>
      <w:r w:rsidRPr="00775A8F">
        <w:rPr>
          <w:rFonts w:ascii="Arial" w:hAnsi="Arial" w:cs="Arial"/>
          <w:b/>
          <w:bCs/>
          <w:i/>
          <w:iCs/>
          <w:color w:val="000000" w:themeColor="text1"/>
          <w:sz w:val="23"/>
          <w:szCs w:val="23"/>
        </w:rPr>
        <w:t>Personalising Public Services: Understanding the Personalisation Narrative</w:t>
      </w:r>
      <w:r w:rsidRPr="00775A8F">
        <w:rPr>
          <w:rFonts w:ascii="Arial" w:hAnsi="Arial" w:cs="Arial"/>
          <w:b/>
          <w:bCs/>
          <w:color w:val="000000" w:themeColor="text1"/>
          <w:sz w:val="23"/>
          <w:szCs w:val="23"/>
        </w:rPr>
        <w:t>. Bristol: Policy Press.</w:t>
      </w:r>
    </w:p>
    <w:p w14:paraId="5F23EB40" w14:textId="77777777" w:rsidR="005A0046" w:rsidRPr="00775A8F" w:rsidRDefault="005A0046" w:rsidP="005A0046">
      <w:pPr>
        <w:spacing w:line="360" w:lineRule="auto"/>
        <w:rPr>
          <w:rFonts w:ascii="Arial" w:hAnsi="Arial" w:cs="Arial"/>
          <w:b/>
          <w:bCs/>
          <w:color w:val="000000" w:themeColor="text1"/>
          <w:sz w:val="23"/>
          <w:szCs w:val="23"/>
        </w:rPr>
      </w:pPr>
      <w:r w:rsidRPr="00775A8F">
        <w:rPr>
          <w:rFonts w:ascii="Arial" w:hAnsi="Arial" w:cs="Arial"/>
          <w:b/>
          <w:bCs/>
          <w:color w:val="000000" w:themeColor="text1"/>
          <w:sz w:val="23"/>
          <w:szCs w:val="23"/>
        </w:rPr>
        <w:t xml:space="preserve">NHS England (2019) </w:t>
      </w:r>
      <w:r w:rsidRPr="00775A8F">
        <w:rPr>
          <w:rFonts w:ascii="Arial" w:hAnsi="Arial" w:cs="Arial"/>
          <w:b/>
          <w:bCs/>
          <w:i/>
          <w:iCs/>
          <w:color w:val="000000" w:themeColor="text1"/>
          <w:sz w:val="23"/>
          <w:szCs w:val="23"/>
        </w:rPr>
        <w:t>The NHS Long Term Plan</w:t>
      </w:r>
      <w:r w:rsidRPr="00775A8F">
        <w:rPr>
          <w:rFonts w:ascii="Arial" w:hAnsi="Arial" w:cs="Arial"/>
          <w:b/>
          <w:bCs/>
          <w:color w:val="000000" w:themeColor="text1"/>
          <w:sz w:val="23"/>
          <w:szCs w:val="23"/>
        </w:rPr>
        <w:t xml:space="preserve">. Available at: </w:t>
      </w:r>
      <w:hyperlink r:id="rId12" w:history="1">
        <w:r w:rsidRPr="00775A8F">
          <w:rPr>
            <w:rStyle w:val="Hyperlink"/>
            <w:rFonts w:ascii="Arial" w:hAnsi="Arial" w:cs="Arial"/>
            <w:b/>
            <w:bCs/>
            <w:color w:val="000000" w:themeColor="text1"/>
            <w:sz w:val="23"/>
            <w:szCs w:val="23"/>
          </w:rPr>
          <w:t>https://www.longtermplan.nhs.uk/</w:t>
        </w:r>
      </w:hyperlink>
      <w:r w:rsidRPr="00775A8F">
        <w:rPr>
          <w:rFonts w:ascii="Arial" w:hAnsi="Arial" w:cs="Arial"/>
          <w:b/>
          <w:bCs/>
          <w:color w:val="000000" w:themeColor="text1"/>
          <w:sz w:val="23"/>
          <w:szCs w:val="23"/>
        </w:rPr>
        <w:t xml:space="preserve"> (Accessed: 4 August 2026).</w:t>
      </w:r>
    </w:p>
    <w:p w14:paraId="0004D5CA" w14:textId="77777777" w:rsidR="005A0046" w:rsidRPr="00775A8F" w:rsidRDefault="005A0046" w:rsidP="005A0046">
      <w:pPr>
        <w:spacing w:line="360" w:lineRule="auto"/>
        <w:rPr>
          <w:rFonts w:ascii="Arial" w:hAnsi="Arial" w:cs="Arial"/>
          <w:b/>
          <w:bCs/>
          <w:color w:val="000000" w:themeColor="text1"/>
          <w:sz w:val="23"/>
          <w:szCs w:val="23"/>
        </w:rPr>
      </w:pPr>
      <w:r w:rsidRPr="00775A8F">
        <w:rPr>
          <w:rFonts w:ascii="Arial" w:hAnsi="Arial" w:cs="Arial"/>
          <w:b/>
          <w:bCs/>
          <w:color w:val="000000" w:themeColor="text1"/>
          <w:sz w:val="23"/>
          <w:szCs w:val="23"/>
        </w:rPr>
        <w:t xml:space="preserve">Oliver, M. (1990) </w:t>
      </w:r>
      <w:r w:rsidRPr="00775A8F">
        <w:rPr>
          <w:rFonts w:ascii="Arial" w:hAnsi="Arial" w:cs="Arial"/>
          <w:b/>
          <w:bCs/>
          <w:i/>
          <w:iCs/>
          <w:color w:val="000000" w:themeColor="text1"/>
          <w:sz w:val="23"/>
          <w:szCs w:val="23"/>
        </w:rPr>
        <w:t>The Politics of Disablement</w:t>
      </w:r>
      <w:r w:rsidRPr="00775A8F">
        <w:rPr>
          <w:rFonts w:ascii="Arial" w:hAnsi="Arial" w:cs="Arial"/>
          <w:b/>
          <w:bCs/>
          <w:color w:val="000000" w:themeColor="text1"/>
          <w:sz w:val="23"/>
          <w:szCs w:val="23"/>
        </w:rPr>
        <w:t>. Basingstoke: Macmillan.</w:t>
      </w:r>
    </w:p>
    <w:p w14:paraId="548A4A33" w14:textId="77777777" w:rsidR="005A0046" w:rsidRPr="00775A8F" w:rsidRDefault="005A0046" w:rsidP="005A0046">
      <w:pPr>
        <w:spacing w:line="360" w:lineRule="auto"/>
        <w:rPr>
          <w:rFonts w:ascii="Arial" w:hAnsi="Arial" w:cs="Arial"/>
          <w:b/>
          <w:bCs/>
          <w:color w:val="000000" w:themeColor="text1"/>
          <w:sz w:val="23"/>
          <w:szCs w:val="23"/>
        </w:rPr>
      </w:pPr>
      <w:r w:rsidRPr="00775A8F">
        <w:rPr>
          <w:rFonts w:ascii="Arial" w:hAnsi="Arial" w:cs="Arial"/>
          <w:b/>
          <w:bCs/>
          <w:color w:val="000000" w:themeColor="text1"/>
          <w:sz w:val="23"/>
          <w:szCs w:val="23"/>
        </w:rPr>
        <w:t xml:space="preserve">Seale, J., Rivas, C., Kelly, M., Gibson, B. and Morgan, M. (2025) ‘Working in partnership with people from under-represented groups to develop person-centred social and health care practices: methodological insights from the CICADA study’, </w:t>
      </w:r>
      <w:r w:rsidRPr="00775A8F">
        <w:rPr>
          <w:rFonts w:ascii="Arial" w:hAnsi="Arial" w:cs="Arial"/>
          <w:b/>
          <w:bCs/>
          <w:i/>
          <w:iCs/>
          <w:color w:val="000000" w:themeColor="text1"/>
          <w:sz w:val="23"/>
          <w:szCs w:val="23"/>
        </w:rPr>
        <w:t>Research Involvement and Engagement</w:t>
      </w:r>
      <w:r w:rsidRPr="00775A8F">
        <w:rPr>
          <w:rFonts w:ascii="Arial" w:hAnsi="Arial" w:cs="Arial"/>
          <w:b/>
          <w:bCs/>
          <w:color w:val="000000" w:themeColor="text1"/>
          <w:sz w:val="23"/>
          <w:szCs w:val="23"/>
        </w:rPr>
        <w:t>, 11.</w:t>
      </w:r>
    </w:p>
    <w:p w14:paraId="584D59A0" w14:textId="77777777" w:rsidR="005A0046" w:rsidRPr="00775A8F" w:rsidRDefault="005A0046" w:rsidP="005A0046">
      <w:pPr>
        <w:spacing w:line="360" w:lineRule="auto"/>
        <w:rPr>
          <w:rFonts w:ascii="Arial" w:hAnsi="Arial" w:cs="Arial"/>
          <w:b/>
          <w:bCs/>
          <w:color w:val="000000" w:themeColor="text1"/>
          <w:sz w:val="23"/>
          <w:szCs w:val="23"/>
        </w:rPr>
      </w:pPr>
      <w:r w:rsidRPr="00775A8F">
        <w:rPr>
          <w:rFonts w:ascii="Arial" w:hAnsi="Arial" w:cs="Arial"/>
          <w:b/>
          <w:bCs/>
          <w:color w:val="000000" w:themeColor="text1"/>
          <w:sz w:val="23"/>
          <w:szCs w:val="23"/>
        </w:rPr>
        <w:t xml:space="preserve">Shakespeare, T. (2014) </w:t>
      </w:r>
      <w:r w:rsidRPr="00775A8F">
        <w:rPr>
          <w:rFonts w:ascii="Arial" w:hAnsi="Arial" w:cs="Arial"/>
          <w:b/>
          <w:bCs/>
          <w:i/>
          <w:iCs/>
          <w:color w:val="000000" w:themeColor="text1"/>
          <w:sz w:val="23"/>
          <w:szCs w:val="23"/>
        </w:rPr>
        <w:t>Disability Rights and Wrongs Revisited</w:t>
      </w:r>
      <w:r w:rsidRPr="00775A8F">
        <w:rPr>
          <w:rFonts w:ascii="Arial" w:hAnsi="Arial" w:cs="Arial"/>
          <w:b/>
          <w:bCs/>
          <w:color w:val="000000" w:themeColor="text1"/>
          <w:sz w:val="23"/>
          <w:szCs w:val="23"/>
        </w:rPr>
        <w:t xml:space="preserve">. 2nd </w:t>
      </w:r>
      <w:proofErr w:type="spellStart"/>
      <w:r w:rsidRPr="00775A8F">
        <w:rPr>
          <w:rFonts w:ascii="Arial" w:hAnsi="Arial" w:cs="Arial"/>
          <w:b/>
          <w:bCs/>
          <w:color w:val="000000" w:themeColor="text1"/>
          <w:sz w:val="23"/>
          <w:szCs w:val="23"/>
        </w:rPr>
        <w:t>edn</w:t>
      </w:r>
      <w:proofErr w:type="spellEnd"/>
      <w:r w:rsidRPr="00775A8F">
        <w:rPr>
          <w:rFonts w:ascii="Arial" w:hAnsi="Arial" w:cs="Arial"/>
          <w:b/>
          <w:bCs/>
          <w:color w:val="000000" w:themeColor="text1"/>
          <w:sz w:val="23"/>
          <w:szCs w:val="23"/>
        </w:rPr>
        <w:t>. London: Routledge.</w:t>
      </w:r>
    </w:p>
    <w:p w14:paraId="2A742153" w14:textId="77777777" w:rsidR="005A0046" w:rsidRPr="00775A8F" w:rsidRDefault="005A0046" w:rsidP="005A0046">
      <w:pPr>
        <w:spacing w:line="360" w:lineRule="auto"/>
        <w:rPr>
          <w:rFonts w:ascii="Arial" w:hAnsi="Arial" w:cs="Arial"/>
          <w:b/>
          <w:bCs/>
          <w:color w:val="000000" w:themeColor="text1"/>
          <w:sz w:val="23"/>
          <w:szCs w:val="23"/>
        </w:rPr>
      </w:pPr>
      <w:r w:rsidRPr="00775A8F">
        <w:rPr>
          <w:rFonts w:ascii="Arial" w:hAnsi="Arial" w:cs="Arial"/>
          <w:b/>
          <w:bCs/>
          <w:color w:val="000000" w:themeColor="text1"/>
          <w:sz w:val="23"/>
          <w:szCs w:val="23"/>
        </w:rPr>
        <w:t xml:space="preserve">Shakespeare, T. and Watson, N. (2001) ‘The social model of disability: An outdated ideology?’, </w:t>
      </w:r>
      <w:r w:rsidRPr="00775A8F">
        <w:rPr>
          <w:rFonts w:ascii="Arial" w:hAnsi="Arial" w:cs="Arial"/>
          <w:b/>
          <w:bCs/>
          <w:i/>
          <w:iCs/>
          <w:color w:val="000000" w:themeColor="text1"/>
          <w:sz w:val="23"/>
          <w:szCs w:val="23"/>
        </w:rPr>
        <w:t>Research in Social Science and Disability</w:t>
      </w:r>
      <w:r w:rsidRPr="00775A8F">
        <w:rPr>
          <w:rFonts w:ascii="Arial" w:hAnsi="Arial" w:cs="Arial"/>
          <w:b/>
          <w:bCs/>
          <w:color w:val="000000" w:themeColor="text1"/>
          <w:sz w:val="23"/>
          <w:szCs w:val="23"/>
        </w:rPr>
        <w:t>, 2, pp. 9–28.</w:t>
      </w:r>
    </w:p>
    <w:p w14:paraId="442F2A98" w14:textId="77777777" w:rsidR="005A0046" w:rsidRPr="00775A8F" w:rsidRDefault="005A0046" w:rsidP="005A0046">
      <w:pPr>
        <w:spacing w:line="360" w:lineRule="auto"/>
        <w:rPr>
          <w:rFonts w:ascii="Arial" w:hAnsi="Arial" w:cs="Arial"/>
          <w:b/>
          <w:bCs/>
          <w:color w:val="000000" w:themeColor="text1"/>
          <w:sz w:val="23"/>
          <w:szCs w:val="23"/>
        </w:rPr>
      </w:pPr>
      <w:r w:rsidRPr="00775A8F">
        <w:rPr>
          <w:rFonts w:ascii="Arial" w:hAnsi="Arial" w:cs="Arial"/>
          <w:b/>
          <w:bCs/>
          <w:color w:val="000000" w:themeColor="text1"/>
          <w:sz w:val="23"/>
          <w:szCs w:val="23"/>
        </w:rPr>
        <w:lastRenderedPageBreak/>
        <w:t xml:space="preserve">Thomas, C. (2004b) ‘The UK social model of disability: Rescuing a social-relational understanding of disability’, </w:t>
      </w:r>
      <w:r w:rsidRPr="00775A8F">
        <w:rPr>
          <w:rFonts w:ascii="Arial" w:hAnsi="Arial" w:cs="Arial"/>
          <w:b/>
          <w:bCs/>
          <w:i/>
          <w:iCs/>
          <w:color w:val="000000" w:themeColor="text1"/>
          <w:sz w:val="23"/>
          <w:szCs w:val="23"/>
        </w:rPr>
        <w:t>Scandinavian Journal of Disability Research</w:t>
      </w:r>
      <w:r w:rsidRPr="00775A8F">
        <w:rPr>
          <w:rFonts w:ascii="Arial" w:hAnsi="Arial" w:cs="Arial"/>
          <w:b/>
          <w:bCs/>
          <w:color w:val="000000" w:themeColor="text1"/>
          <w:sz w:val="23"/>
          <w:szCs w:val="23"/>
        </w:rPr>
        <w:t>, 6(1), pp. 22–36.</w:t>
      </w:r>
    </w:p>
    <w:p w14:paraId="6081E0F5" w14:textId="77777777" w:rsidR="005A0046" w:rsidRPr="00775A8F" w:rsidRDefault="005A0046" w:rsidP="005A0046">
      <w:pPr>
        <w:spacing w:line="360" w:lineRule="auto"/>
        <w:rPr>
          <w:rFonts w:ascii="Arial" w:hAnsi="Arial" w:cs="Arial"/>
          <w:b/>
          <w:bCs/>
          <w:color w:val="000000" w:themeColor="text1"/>
          <w:sz w:val="23"/>
          <w:szCs w:val="23"/>
        </w:rPr>
      </w:pPr>
      <w:r w:rsidRPr="00775A8F">
        <w:rPr>
          <w:rFonts w:ascii="Arial" w:hAnsi="Arial" w:cs="Arial"/>
          <w:b/>
          <w:bCs/>
          <w:color w:val="000000" w:themeColor="text1"/>
          <w:sz w:val="23"/>
          <w:szCs w:val="23"/>
        </w:rPr>
        <w:t xml:space="preserve">Union of the Physically Impaired Against Segregation (UPIAS) (1976) </w:t>
      </w:r>
      <w:r w:rsidRPr="00775A8F">
        <w:rPr>
          <w:rFonts w:ascii="Arial" w:hAnsi="Arial" w:cs="Arial"/>
          <w:b/>
          <w:bCs/>
          <w:i/>
          <w:iCs/>
          <w:color w:val="000000" w:themeColor="text1"/>
          <w:sz w:val="23"/>
          <w:szCs w:val="23"/>
        </w:rPr>
        <w:t>Fundamental Principles of Disability</w:t>
      </w:r>
      <w:r w:rsidRPr="00775A8F">
        <w:rPr>
          <w:rFonts w:ascii="Arial" w:hAnsi="Arial" w:cs="Arial"/>
          <w:b/>
          <w:bCs/>
          <w:color w:val="000000" w:themeColor="text1"/>
          <w:sz w:val="23"/>
          <w:szCs w:val="23"/>
        </w:rPr>
        <w:t>. London: UPIAS.</w:t>
      </w:r>
    </w:p>
    <w:p w14:paraId="71A00BBD" w14:textId="77777777" w:rsidR="005A0046" w:rsidRPr="00775A8F" w:rsidRDefault="005A0046" w:rsidP="005A0046">
      <w:pPr>
        <w:spacing w:line="360" w:lineRule="auto"/>
        <w:rPr>
          <w:rFonts w:ascii="Arial" w:hAnsi="Arial" w:cs="Arial"/>
          <w:b/>
          <w:bCs/>
          <w:color w:val="000000" w:themeColor="text1"/>
          <w:sz w:val="23"/>
          <w:szCs w:val="23"/>
        </w:rPr>
      </w:pPr>
      <w:r w:rsidRPr="00775A8F">
        <w:rPr>
          <w:rFonts w:ascii="Arial" w:hAnsi="Arial" w:cs="Arial"/>
          <w:b/>
          <w:bCs/>
          <w:color w:val="000000" w:themeColor="text1"/>
          <w:sz w:val="23"/>
          <w:szCs w:val="23"/>
        </w:rPr>
        <w:t xml:space="preserve">United Nations (2006) </w:t>
      </w:r>
      <w:r w:rsidRPr="00775A8F">
        <w:rPr>
          <w:rFonts w:ascii="Arial" w:hAnsi="Arial" w:cs="Arial"/>
          <w:b/>
          <w:bCs/>
          <w:i/>
          <w:iCs/>
          <w:color w:val="000000" w:themeColor="text1"/>
          <w:sz w:val="23"/>
          <w:szCs w:val="23"/>
        </w:rPr>
        <w:t>Convention on the Rights of Persons with Disabilities</w:t>
      </w:r>
      <w:r w:rsidRPr="00775A8F">
        <w:rPr>
          <w:rFonts w:ascii="Arial" w:hAnsi="Arial" w:cs="Arial"/>
          <w:b/>
          <w:bCs/>
          <w:color w:val="000000" w:themeColor="text1"/>
          <w:sz w:val="23"/>
          <w:szCs w:val="23"/>
        </w:rPr>
        <w:t>. New York: United Nations.</w:t>
      </w:r>
    </w:p>
    <w:p w14:paraId="23EF51B7" w14:textId="77777777" w:rsidR="005A0046" w:rsidRPr="00775A8F" w:rsidRDefault="005A0046" w:rsidP="005A0046">
      <w:pPr>
        <w:spacing w:line="360" w:lineRule="auto"/>
        <w:rPr>
          <w:rFonts w:ascii="Arial" w:hAnsi="Arial" w:cs="Arial"/>
          <w:b/>
          <w:bCs/>
          <w:color w:val="000000" w:themeColor="text1"/>
          <w:sz w:val="23"/>
          <w:szCs w:val="23"/>
        </w:rPr>
      </w:pPr>
      <w:r w:rsidRPr="00775A8F">
        <w:rPr>
          <w:rFonts w:ascii="Arial" w:hAnsi="Arial" w:cs="Arial"/>
          <w:b/>
          <w:bCs/>
          <w:color w:val="000000" w:themeColor="text1"/>
          <w:sz w:val="23"/>
          <w:szCs w:val="23"/>
        </w:rPr>
        <w:t xml:space="preserve">World Health Organization (2001) </w:t>
      </w:r>
      <w:r w:rsidRPr="00775A8F">
        <w:rPr>
          <w:rFonts w:ascii="Arial" w:hAnsi="Arial" w:cs="Arial"/>
          <w:b/>
          <w:bCs/>
          <w:i/>
          <w:iCs/>
          <w:color w:val="000000" w:themeColor="text1"/>
          <w:sz w:val="23"/>
          <w:szCs w:val="23"/>
        </w:rPr>
        <w:t>International Classification of Functioning, Disability and Health</w:t>
      </w:r>
      <w:r w:rsidRPr="00775A8F">
        <w:rPr>
          <w:rFonts w:ascii="Arial" w:hAnsi="Arial" w:cs="Arial"/>
          <w:b/>
          <w:bCs/>
          <w:color w:val="000000" w:themeColor="text1"/>
          <w:sz w:val="23"/>
          <w:szCs w:val="23"/>
        </w:rPr>
        <w:t>. Geneva: World Health Organization.</w:t>
      </w:r>
    </w:p>
    <w:p w14:paraId="2F1E9D4B" w14:textId="77777777" w:rsidR="005A0046" w:rsidRPr="00775A8F" w:rsidRDefault="005A0046" w:rsidP="005A0046">
      <w:pPr>
        <w:spacing w:line="360" w:lineRule="auto"/>
        <w:rPr>
          <w:rFonts w:ascii="Arial" w:hAnsi="Arial" w:cs="Arial"/>
          <w:b/>
          <w:bCs/>
          <w:color w:val="000000" w:themeColor="text1"/>
          <w:sz w:val="23"/>
          <w:szCs w:val="23"/>
        </w:rPr>
      </w:pPr>
      <w:r w:rsidRPr="00775A8F">
        <w:rPr>
          <w:rFonts w:ascii="Arial" w:hAnsi="Arial" w:cs="Arial"/>
          <w:b/>
          <w:bCs/>
          <w:color w:val="000000" w:themeColor="text1"/>
          <w:sz w:val="23"/>
          <w:szCs w:val="23"/>
        </w:rPr>
        <w:t xml:space="preserve">World Health Organization (2022) </w:t>
      </w:r>
      <w:r w:rsidRPr="00775A8F">
        <w:rPr>
          <w:rFonts w:ascii="Arial" w:hAnsi="Arial" w:cs="Arial"/>
          <w:b/>
          <w:bCs/>
          <w:i/>
          <w:iCs/>
          <w:color w:val="000000" w:themeColor="text1"/>
          <w:sz w:val="23"/>
          <w:szCs w:val="23"/>
        </w:rPr>
        <w:t>Global Report on Health Equity for Persons with Disabilities</w:t>
      </w:r>
      <w:r w:rsidRPr="00775A8F">
        <w:rPr>
          <w:rFonts w:ascii="Arial" w:hAnsi="Arial" w:cs="Arial"/>
          <w:b/>
          <w:bCs/>
          <w:color w:val="000000" w:themeColor="text1"/>
          <w:sz w:val="23"/>
          <w:szCs w:val="23"/>
        </w:rPr>
        <w:t>. Geneva: World Health Organization.</w:t>
      </w:r>
    </w:p>
    <w:p w14:paraId="6B75E01E" w14:textId="77777777" w:rsidR="001B5109" w:rsidRPr="00775A8F" w:rsidRDefault="001B5109" w:rsidP="004A5A64">
      <w:pPr>
        <w:spacing w:line="360" w:lineRule="auto"/>
        <w:rPr>
          <w:rFonts w:ascii="Arial" w:hAnsi="Arial" w:cs="Arial"/>
          <w:b/>
          <w:bCs/>
          <w:color w:val="000000" w:themeColor="text1"/>
          <w:sz w:val="23"/>
          <w:szCs w:val="23"/>
        </w:rPr>
      </w:pPr>
    </w:p>
    <w:p w14:paraId="0D19324E" w14:textId="77777777" w:rsidR="001B5109" w:rsidRDefault="001B5109" w:rsidP="004A5A64">
      <w:pPr>
        <w:spacing w:line="360" w:lineRule="auto"/>
        <w:rPr>
          <w:rFonts w:ascii="Arial" w:hAnsi="Arial" w:cs="Arial"/>
          <w:b/>
          <w:bCs/>
          <w:sz w:val="23"/>
          <w:szCs w:val="23"/>
        </w:rPr>
      </w:pPr>
    </w:p>
    <w:p w14:paraId="42DC5131" w14:textId="77777777" w:rsidR="001B5109" w:rsidRPr="004A5A64" w:rsidRDefault="001B5109" w:rsidP="004A5A64">
      <w:pPr>
        <w:spacing w:line="360" w:lineRule="auto"/>
        <w:rPr>
          <w:rFonts w:ascii="Arial" w:hAnsi="Arial" w:cs="Arial"/>
          <w:b/>
          <w:bCs/>
          <w:sz w:val="23"/>
          <w:szCs w:val="23"/>
        </w:rPr>
      </w:pPr>
    </w:p>
    <w:p w14:paraId="3F1FD9A8" w14:textId="4D39456D" w:rsidR="004A5A64" w:rsidRPr="004A5A64" w:rsidRDefault="004A5A64" w:rsidP="004A5A64">
      <w:pPr>
        <w:spacing w:line="360" w:lineRule="auto"/>
        <w:rPr>
          <w:rFonts w:ascii="Arial" w:hAnsi="Arial" w:cs="Arial"/>
          <w:color w:val="00B0F0"/>
          <w:sz w:val="23"/>
          <w:szCs w:val="23"/>
        </w:rPr>
      </w:pPr>
    </w:p>
    <w:sectPr w:rsidR="004A5A64" w:rsidRPr="004A5A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3FE1F" w14:textId="77777777" w:rsidR="00062F87" w:rsidRDefault="00062F87" w:rsidP="00032A5B">
      <w:pPr>
        <w:spacing w:after="0" w:line="240" w:lineRule="auto"/>
      </w:pPr>
      <w:r>
        <w:separator/>
      </w:r>
    </w:p>
  </w:endnote>
  <w:endnote w:type="continuationSeparator" w:id="0">
    <w:p w14:paraId="5F05009D" w14:textId="77777777" w:rsidR="00062F87" w:rsidRDefault="00062F87" w:rsidP="00032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50D2B5" w14:textId="77777777" w:rsidR="00062F87" w:rsidRDefault="00062F87" w:rsidP="00032A5B">
      <w:pPr>
        <w:spacing w:after="0" w:line="240" w:lineRule="auto"/>
      </w:pPr>
      <w:r>
        <w:separator/>
      </w:r>
    </w:p>
  </w:footnote>
  <w:footnote w:type="continuationSeparator" w:id="0">
    <w:p w14:paraId="437D4E27" w14:textId="77777777" w:rsidR="00062F87" w:rsidRDefault="00062F87" w:rsidP="00032A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9E56A1B"/>
    <w:multiLevelType w:val="hybridMultilevel"/>
    <w:tmpl w:val="D8827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3"/>
  </w:num>
  <w:num w:numId="2" w16cid:durableId="201140407">
    <w:abstractNumId w:val="1"/>
  </w:num>
  <w:num w:numId="3" w16cid:durableId="490028398">
    <w:abstractNumId w:val="0"/>
  </w:num>
  <w:num w:numId="4" w16cid:durableId="17166586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32A5B"/>
    <w:rsid w:val="00062F87"/>
    <w:rsid w:val="000D48A0"/>
    <w:rsid w:val="001333C2"/>
    <w:rsid w:val="001B5109"/>
    <w:rsid w:val="002C4223"/>
    <w:rsid w:val="00317E3D"/>
    <w:rsid w:val="0032791E"/>
    <w:rsid w:val="003E4ED4"/>
    <w:rsid w:val="003F4E00"/>
    <w:rsid w:val="00410B8A"/>
    <w:rsid w:val="004A5A64"/>
    <w:rsid w:val="004D70A7"/>
    <w:rsid w:val="0058218C"/>
    <w:rsid w:val="00584C94"/>
    <w:rsid w:val="005A0046"/>
    <w:rsid w:val="006524ED"/>
    <w:rsid w:val="006A3E63"/>
    <w:rsid w:val="006D2F2D"/>
    <w:rsid w:val="006E1FF9"/>
    <w:rsid w:val="00775A8F"/>
    <w:rsid w:val="00785886"/>
    <w:rsid w:val="007F3A6A"/>
    <w:rsid w:val="00820809"/>
    <w:rsid w:val="009A048E"/>
    <w:rsid w:val="009E71F3"/>
    <w:rsid w:val="00A14675"/>
    <w:rsid w:val="00AD40B3"/>
    <w:rsid w:val="00BC79FE"/>
    <w:rsid w:val="00C25B35"/>
    <w:rsid w:val="00C558B0"/>
    <w:rsid w:val="00D545BA"/>
    <w:rsid w:val="00D56640"/>
    <w:rsid w:val="00E37985"/>
    <w:rsid w:val="00E63F81"/>
    <w:rsid w:val="00E81204"/>
    <w:rsid w:val="00E9668F"/>
    <w:rsid w:val="00F81510"/>
    <w:rsid w:val="00FA1054"/>
    <w:rsid w:val="00FA2DAE"/>
    <w:rsid w:val="00FA6248"/>
    <w:rsid w:val="00FF7DE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1B510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A04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A048E"/>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032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A5B"/>
    <w:rPr>
      <w:rFonts w:ascii="Times New Roman" w:hAnsi="Times New Roman"/>
      <w:sz w:val="24"/>
    </w:rPr>
  </w:style>
  <w:style w:type="paragraph" w:styleId="Footer">
    <w:name w:val="footer"/>
    <w:basedOn w:val="Normal"/>
    <w:link w:val="FooterChar"/>
    <w:uiPriority w:val="99"/>
    <w:unhideWhenUsed/>
    <w:rsid w:val="00032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A5B"/>
    <w:rPr>
      <w:rFonts w:ascii="Times New Roman" w:hAnsi="Times New Roman"/>
      <w:sz w:val="24"/>
    </w:rPr>
  </w:style>
  <w:style w:type="character" w:customStyle="1" w:styleId="Heading3Char">
    <w:name w:val="Heading 3 Char"/>
    <w:basedOn w:val="DefaultParagraphFont"/>
    <w:link w:val="Heading3"/>
    <w:uiPriority w:val="9"/>
    <w:semiHidden/>
    <w:rsid w:val="009A048E"/>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9A048E"/>
    <w:rPr>
      <w:rFonts w:asciiTheme="majorHAnsi" w:eastAsiaTheme="majorEastAsia" w:hAnsiTheme="majorHAnsi" w:cstheme="majorBidi"/>
      <w:color w:val="2F5496" w:themeColor="accent1" w:themeShade="BF"/>
      <w:sz w:val="26"/>
      <w:szCs w:val="26"/>
    </w:rPr>
  </w:style>
  <w:style w:type="paragraph" w:customStyle="1" w:styleId="pdq2pgselectionanchorcontainer">
    <w:name w:val="pdq2pg_selectionanchorcontainer"/>
    <w:basedOn w:val="Normal"/>
    <w:rsid w:val="001B5109"/>
    <w:pPr>
      <w:spacing w:before="100" w:beforeAutospacing="1" w:after="100" w:afterAutospacing="1" w:line="240" w:lineRule="auto"/>
    </w:pPr>
    <w:rPr>
      <w:rFonts w:eastAsia="Times New Roman" w:cs="Times New Roman"/>
      <w:szCs w:val="24"/>
      <w:lang w:eastAsia="en-GB"/>
    </w:rPr>
  </w:style>
  <w:style w:type="paragraph" w:styleId="NormalWeb">
    <w:name w:val="Normal (Web)"/>
    <w:basedOn w:val="Normal"/>
    <w:uiPriority w:val="99"/>
    <w:semiHidden/>
    <w:unhideWhenUsed/>
    <w:rsid w:val="001B5109"/>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1B5109"/>
    <w:rPr>
      <w:b/>
      <w:bCs/>
    </w:rPr>
  </w:style>
  <w:style w:type="character" w:styleId="Emphasis">
    <w:name w:val="Emphasis"/>
    <w:basedOn w:val="DefaultParagraphFont"/>
    <w:uiPriority w:val="20"/>
    <w:qFormat/>
    <w:rsid w:val="001B5109"/>
    <w:rPr>
      <w:i/>
      <w:iCs/>
    </w:rPr>
  </w:style>
  <w:style w:type="character" w:customStyle="1" w:styleId="Heading1Char">
    <w:name w:val="Heading 1 Char"/>
    <w:basedOn w:val="DefaultParagraphFont"/>
    <w:link w:val="Heading1"/>
    <w:uiPriority w:val="9"/>
    <w:rsid w:val="001B510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A0046"/>
    <w:rPr>
      <w:color w:val="0563C1" w:themeColor="hyperlink"/>
      <w:u w:val="single"/>
    </w:rPr>
  </w:style>
  <w:style w:type="character" w:styleId="UnresolvedMention">
    <w:name w:val="Unresolved Mention"/>
    <w:basedOn w:val="DefaultParagraphFont"/>
    <w:uiPriority w:val="99"/>
    <w:semiHidden/>
    <w:unhideWhenUsed/>
    <w:rsid w:val="005A00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ongtermplan.nhs.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1998/42" TargetMode="External"/><Relationship Id="rId5" Type="http://schemas.openxmlformats.org/officeDocument/2006/relationships/webSettings" Target="webSettings.xml"/><Relationship Id="rId10" Type="http://schemas.openxmlformats.org/officeDocument/2006/relationships/hyperlink" Target="https://www.gov.uk/government/publications/care-act-statutory-guidance/care-and-support-statutory-guidance"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ABA934-FE0A-4BB9-ABAF-095919DBB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2287</Words>
  <Characters>13040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jessica cravid</cp:lastModifiedBy>
  <cp:revision>2</cp:revision>
  <dcterms:created xsi:type="dcterms:W3CDTF">2026-08-06T15:26:00Z</dcterms:created>
  <dcterms:modified xsi:type="dcterms:W3CDTF">2026-08-06T15:26:00Z</dcterms:modified>
</cp:coreProperties>
</file>