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6C82B7" w14:textId="77777777" w:rsidR="00343CD3" w:rsidRPr="0046380A" w:rsidRDefault="00343CD3" w:rsidP="00343CD3">
      <w:pPr>
        <w:spacing w:after="0" w:line="360" w:lineRule="auto"/>
        <w:jc w:val="center"/>
        <w:rPr>
          <w:rFonts w:ascii="Arial" w:eastAsia="Times New Roman" w:hAnsi="Arial" w:cs="Arial"/>
          <w:b/>
          <w:color w:val="000000"/>
          <w:sz w:val="22"/>
          <w:szCs w:val="22"/>
          <w:lang w:eastAsia="zh-CN"/>
        </w:rPr>
      </w:pPr>
      <w:bookmarkStart w:id="0" w:name="_Toc12216"/>
    </w:p>
    <w:p w14:paraId="15DF7130" w14:textId="77777777" w:rsidR="00343CD3" w:rsidRPr="0046380A" w:rsidRDefault="00343CD3" w:rsidP="00343CD3">
      <w:pPr>
        <w:spacing w:after="0" w:line="360" w:lineRule="auto"/>
        <w:jc w:val="center"/>
        <w:rPr>
          <w:rFonts w:ascii="Arial" w:eastAsia="Times New Roman" w:hAnsi="Arial" w:cs="Arial"/>
          <w:b/>
          <w:color w:val="000000"/>
          <w:sz w:val="22"/>
          <w:szCs w:val="22"/>
          <w:lang w:eastAsia="zh-CN"/>
        </w:rPr>
      </w:pPr>
    </w:p>
    <w:p w14:paraId="3805F596" w14:textId="74C15CC5" w:rsidR="00343CD3" w:rsidRPr="0046380A" w:rsidRDefault="00343CD3" w:rsidP="00343CD3">
      <w:pPr>
        <w:spacing w:after="158" w:line="360" w:lineRule="auto"/>
        <w:ind w:left="49"/>
        <w:jc w:val="center"/>
        <w:rPr>
          <w:rFonts w:ascii="Arial" w:eastAsia="DengXian" w:hAnsi="Arial" w:cs="Arial"/>
          <w:sz w:val="22"/>
          <w:szCs w:val="22"/>
          <w:lang w:eastAsia="zh-CN"/>
        </w:rPr>
      </w:pPr>
      <w:r w:rsidRPr="0046380A">
        <w:rPr>
          <w:rFonts w:ascii="Arial" w:eastAsia="DengXian" w:hAnsi="Arial" w:cs="Arial"/>
          <w:noProof/>
          <w:sz w:val="22"/>
          <w:szCs w:val="22"/>
          <w:lang w:eastAsia="zh-CN"/>
        </w:rPr>
        <w:drawing>
          <wp:inline distT="0" distB="0" distL="0" distR="0" wp14:anchorId="57F9778F" wp14:editId="5D96943A">
            <wp:extent cx="1981200" cy="822960"/>
            <wp:effectExtent l="0" t="0" r="0" b="0"/>
            <wp:docPr id="208973860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1200" cy="822960"/>
                    </a:xfrm>
                    <a:prstGeom prst="rect">
                      <a:avLst/>
                    </a:prstGeom>
                    <a:noFill/>
                    <a:ln>
                      <a:noFill/>
                    </a:ln>
                  </pic:spPr>
                </pic:pic>
              </a:graphicData>
            </a:graphic>
          </wp:inline>
        </w:drawing>
      </w:r>
      <w:r w:rsidRPr="0046380A">
        <w:rPr>
          <w:rFonts w:ascii="Arial" w:eastAsia="Calibri" w:hAnsi="Arial" w:cs="Arial"/>
          <w:sz w:val="22"/>
          <w:szCs w:val="22"/>
          <w:lang w:eastAsia="zh-CN"/>
        </w:rPr>
        <w:t xml:space="preserve"> </w:t>
      </w:r>
    </w:p>
    <w:p w14:paraId="57AB4957" w14:textId="77777777" w:rsidR="00343CD3" w:rsidRPr="0046380A" w:rsidRDefault="00343CD3" w:rsidP="00343CD3">
      <w:pPr>
        <w:spacing w:line="360" w:lineRule="auto"/>
        <w:ind w:left="49"/>
        <w:jc w:val="center"/>
        <w:rPr>
          <w:rFonts w:ascii="Arial" w:eastAsia="DengXian" w:hAnsi="Arial" w:cs="Arial"/>
          <w:sz w:val="22"/>
          <w:szCs w:val="22"/>
          <w:lang w:eastAsia="zh-CN"/>
        </w:rPr>
      </w:pPr>
      <w:r w:rsidRPr="0046380A">
        <w:rPr>
          <w:rFonts w:ascii="Arial" w:eastAsia="Calibri" w:hAnsi="Arial" w:cs="Arial"/>
          <w:sz w:val="22"/>
          <w:szCs w:val="22"/>
          <w:lang w:eastAsia="zh-CN"/>
        </w:rPr>
        <w:t xml:space="preserve"> </w:t>
      </w:r>
    </w:p>
    <w:p w14:paraId="6129843E" w14:textId="77777777" w:rsidR="00343CD3" w:rsidRPr="0046380A" w:rsidRDefault="00343CD3" w:rsidP="00343CD3">
      <w:pPr>
        <w:spacing w:after="287" w:line="360" w:lineRule="auto"/>
        <w:ind w:left="49"/>
        <w:jc w:val="center"/>
        <w:rPr>
          <w:rFonts w:ascii="Arial" w:eastAsia="DengXian" w:hAnsi="Arial" w:cs="Arial"/>
          <w:sz w:val="22"/>
          <w:szCs w:val="22"/>
          <w:lang w:eastAsia="zh-CN"/>
        </w:rPr>
      </w:pPr>
      <w:r w:rsidRPr="0046380A">
        <w:rPr>
          <w:rFonts w:ascii="Arial" w:eastAsia="Calibri" w:hAnsi="Arial" w:cs="Arial"/>
          <w:sz w:val="22"/>
          <w:szCs w:val="22"/>
          <w:lang w:eastAsia="zh-CN"/>
        </w:rPr>
        <w:t xml:space="preserve"> </w:t>
      </w:r>
    </w:p>
    <w:p w14:paraId="10C31F1C" w14:textId="77777777" w:rsidR="00343CD3" w:rsidRPr="0046380A" w:rsidRDefault="00343CD3" w:rsidP="00343CD3">
      <w:pPr>
        <w:spacing w:line="360" w:lineRule="auto"/>
        <w:jc w:val="center"/>
        <w:rPr>
          <w:rFonts w:ascii="Arial" w:eastAsia="DengXian" w:hAnsi="Arial" w:cs="Arial"/>
          <w:b/>
          <w:bCs/>
          <w:sz w:val="22"/>
          <w:szCs w:val="22"/>
          <w:lang w:eastAsia="zh-CN"/>
        </w:rPr>
      </w:pPr>
      <w:r w:rsidRPr="0046380A">
        <w:rPr>
          <w:rFonts w:ascii="Arial" w:eastAsia="DengXian" w:hAnsi="Arial" w:cs="Arial"/>
          <w:sz w:val="22"/>
          <w:szCs w:val="22"/>
          <w:lang w:eastAsia="zh-CN"/>
        </w:rPr>
        <w:t xml:space="preserve"> </w:t>
      </w:r>
      <w:r w:rsidRPr="0046380A">
        <w:rPr>
          <w:rFonts w:ascii="Arial" w:eastAsia="DengXian" w:hAnsi="Arial" w:cs="Arial"/>
          <w:b/>
          <w:bCs/>
          <w:sz w:val="22"/>
          <w:szCs w:val="22"/>
          <w:lang w:eastAsia="zh-CN"/>
        </w:rPr>
        <w:t>A Systematic Review of Adult Patients’ Satisfaction with Telemedicine Services in the United Kingdom Primary Care Settings</w:t>
      </w:r>
    </w:p>
    <w:p w14:paraId="288D2DD2" w14:textId="77777777" w:rsidR="00343CD3" w:rsidRPr="0046380A" w:rsidRDefault="00343CD3" w:rsidP="00343CD3">
      <w:pPr>
        <w:spacing w:after="157" w:line="360" w:lineRule="auto"/>
        <w:ind w:left="89"/>
        <w:jc w:val="center"/>
        <w:rPr>
          <w:rFonts w:ascii="Arial" w:eastAsia="DengXian" w:hAnsi="Arial" w:cs="Arial"/>
          <w:sz w:val="22"/>
          <w:szCs w:val="22"/>
          <w:lang w:eastAsia="zh-CN"/>
        </w:rPr>
      </w:pPr>
      <w:r w:rsidRPr="0046380A">
        <w:rPr>
          <w:rFonts w:ascii="Arial" w:eastAsia="DengXian" w:hAnsi="Arial" w:cs="Arial"/>
          <w:sz w:val="22"/>
          <w:szCs w:val="22"/>
          <w:lang w:eastAsia="zh-CN"/>
        </w:rPr>
        <w:t xml:space="preserve">by </w:t>
      </w:r>
    </w:p>
    <w:p w14:paraId="4B23910D" w14:textId="77777777" w:rsidR="00343CD3" w:rsidRPr="0046380A" w:rsidRDefault="00343CD3" w:rsidP="00343CD3">
      <w:pPr>
        <w:spacing w:after="158" w:line="360" w:lineRule="auto"/>
        <w:ind w:left="59"/>
        <w:jc w:val="center"/>
        <w:rPr>
          <w:rFonts w:ascii="Arial" w:eastAsia="DengXian" w:hAnsi="Arial" w:cs="Arial"/>
          <w:sz w:val="22"/>
          <w:szCs w:val="22"/>
          <w:lang w:eastAsia="zh-CN"/>
        </w:rPr>
      </w:pPr>
      <w:r w:rsidRPr="0046380A">
        <w:rPr>
          <w:rFonts w:ascii="Arial" w:eastAsia="DengXian" w:hAnsi="Arial" w:cs="Arial"/>
          <w:sz w:val="22"/>
          <w:szCs w:val="22"/>
          <w:lang w:eastAsia="zh-CN"/>
        </w:rPr>
        <w:t xml:space="preserve"> </w:t>
      </w:r>
    </w:p>
    <w:p w14:paraId="2E808FAB" w14:textId="77777777" w:rsidR="00343CD3" w:rsidRPr="0046380A" w:rsidRDefault="00343CD3" w:rsidP="00343CD3">
      <w:pPr>
        <w:spacing w:after="157" w:line="360" w:lineRule="auto"/>
        <w:ind w:left="2367" w:right="2359"/>
        <w:jc w:val="center"/>
        <w:rPr>
          <w:rFonts w:ascii="Arial" w:eastAsia="DengXian" w:hAnsi="Arial" w:cs="Arial"/>
          <w:sz w:val="22"/>
          <w:szCs w:val="22"/>
          <w:lang w:eastAsia="zh-CN"/>
        </w:rPr>
      </w:pPr>
      <w:r w:rsidRPr="0046380A">
        <w:rPr>
          <w:rFonts w:ascii="Arial" w:eastAsia="DengXian" w:hAnsi="Arial" w:cs="Arial"/>
          <w:sz w:val="22"/>
          <w:szCs w:val="22"/>
          <w:lang w:eastAsia="zh-CN"/>
        </w:rPr>
        <w:t>Mrs Patricia Kelly-Lambo</w:t>
      </w:r>
    </w:p>
    <w:p w14:paraId="151454D6" w14:textId="77777777" w:rsidR="00343CD3" w:rsidRPr="0046380A" w:rsidRDefault="00343CD3" w:rsidP="00343CD3">
      <w:pPr>
        <w:spacing w:after="158" w:line="360" w:lineRule="auto"/>
        <w:ind w:left="59"/>
        <w:jc w:val="center"/>
        <w:rPr>
          <w:rFonts w:ascii="Arial" w:eastAsia="DengXian" w:hAnsi="Arial" w:cs="Arial"/>
          <w:sz w:val="22"/>
          <w:szCs w:val="22"/>
          <w:lang w:eastAsia="zh-CN"/>
        </w:rPr>
      </w:pPr>
      <w:r w:rsidRPr="0046380A">
        <w:rPr>
          <w:rFonts w:ascii="Arial" w:eastAsia="DengXian" w:hAnsi="Arial" w:cs="Arial"/>
          <w:sz w:val="22"/>
          <w:szCs w:val="22"/>
          <w:lang w:eastAsia="zh-CN"/>
        </w:rPr>
        <w:t xml:space="preserve"> </w:t>
      </w:r>
    </w:p>
    <w:p w14:paraId="480754AF" w14:textId="77777777" w:rsidR="00343CD3" w:rsidRPr="0046380A" w:rsidRDefault="00343CD3" w:rsidP="00343CD3">
      <w:pPr>
        <w:spacing w:after="158" w:line="360" w:lineRule="auto"/>
        <w:ind w:left="59"/>
        <w:jc w:val="center"/>
        <w:rPr>
          <w:rFonts w:ascii="Arial" w:eastAsia="DengXian" w:hAnsi="Arial" w:cs="Arial"/>
          <w:sz w:val="22"/>
          <w:szCs w:val="22"/>
          <w:lang w:eastAsia="zh-CN"/>
        </w:rPr>
      </w:pPr>
      <w:r w:rsidRPr="0046380A">
        <w:rPr>
          <w:rFonts w:ascii="Arial" w:eastAsia="DengXian" w:hAnsi="Arial" w:cs="Arial"/>
          <w:sz w:val="22"/>
          <w:szCs w:val="22"/>
          <w:lang w:eastAsia="zh-CN"/>
        </w:rPr>
        <w:t xml:space="preserve"> </w:t>
      </w:r>
    </w:p>
    <w:p w14:paraId="5C48873A" w14:textId="77777777" w:rsidR="00343CD3" w:rsidRPr="0046380A" w:rsidRDefault="00343CD3" w:rsidP="00343CD3">
      <w:pPr>
        <w:spacing w:after="158" w:line="360" w:lineRule="auto"/>
        <w:ind w:left="59"/>
        <w:jc w:val="center"/>
        <w:rPr>
          <w:rFonts w:ascii="Arial" w:eastAsia="DengXian" w:hAnsi="Arial" w:cs="Arial"/>
          <w:sz w:val="22"/>
          <w:szCs w:val="22"/>
          <w:lang w:eastAsia="zh-CN"/>
        </w:rPr>
      </w:pPr>
      <w:r w:rsidRPr="0046380A">
        <w:rPr>
          <w:rFonts w:ascii="Arial" w:eastAsia="DengXian" w:hAnsi="Arial" w:cs="Arial"/>
          <w:sz w:val="22"/>
          <w:szCs w:val="22"/>
          <w:lang w:eastAsia="zh-CN"/>
        </w:rPr>
        <w:t xml:space="preserve"> </w:t>
      </w:r>
    </w:p>
    <w:p w14:paraId="6578AB1D" w14:textId="77777777" w:rsidR="00343CD3" w:rsidRPr="0046380A" w:rsidRDefault="00343CD3" w:rsidP="00343CD3">
      <w:pPr>
        <w:spacing w:after="158" w:line="360" w:lineRule="auto"/>
        <w:ind w:left="59"/>
        <w:jc w:val="center"/>
        <w:rPr>
          <w:rFonts w:ascii="Arial" w:eastAsia="DengXian" w:hAnsi="Arial" w:cs="Arial"/>
          <w:sz w:val="22"/>
          <w:szCs w:val="22"/>
          <w:lang w:eastAsia="zh-CN"/>
        </w:rPr>
      </w:pPr>
      <w:r w:rsidRPr="0046380A">
        <w:rPr>
          <w:rFonts w:ascii="Arial" w:eastAsia="DengXian" w:hAnsi="Arial" w:cs="Arial"/>
          <w:sz w:val="22"/>
          <w:szCs w:val="22"/>
          <w:lang w:eastAsia="zh-CN"/>
        </w:rPr>
        <w:t xml:space="preserve"> </w:t>
      </w:r>
    </w:p>
    <w:p w14:paraId="614958B7" w14:textId="77777777" w:rsidR="00343CD3" w:rsidRPr="0046380A" w:rsidRDefault="00343CD3" w:rsidP="00343CD3">
      <w:pPr>
        <w:spacing w:after="156" w:line="360" w:lineRule="auto"/>
        <w:ind w:left="59"/>
        <w:jc w:val="center"/>
        <w:rPr>
          <w:rFonts w:ascii="Arial" w:eastAsia="DengXian" w:hAnsi="Arial" w:cs="Arial"/>
          <w:sz w:val="22"/>
          <w:szCs w:val="22"/>
          <w:lang w:eastAsia="zh-CN"/>
        </w:rPr>
      </w:pPr>
      <w:r w:rsidRPr="0046380A">
        <w:rPr>
          <w:rFonts w:ascii="Arial" w:eastAsia="DengXian" w:hAnsi="Arial" w:cs="Arial"/>
          <w:sz w:val="22"/>
          <w:szCs w:val="22"/>
          <w:lang w:eastAsia="zh-CN"/>
        </w:rPr>
        <w:t>A Dissertation submitted in partial fulfilment of the requirements for the degree of Master of Science in Public Health and Social Care in Practice</w:t>
      </w:r>
    </w:p>
    <w:p w14:paraId="55DD54DF" w14:textId="77777777" w:rsidR="00343CD3" w:rsidRPr="0046380A" w:rsidRDefault="00343CD3" w:rsidP="00343CD3">
      <w:pPr>
        <w:spacing w:after="156" w:line="360" w:lineRule="auto"/>
        <w:ind w:left="59"/>
        <w:rPr>
          <w:rFonts w:ascii="Arial" w:eastAsia="DengXian" w:hAnsi="Arial" w:cs="Arial"/>
          <w:sz w:val="22"/>
          <w:szCs w:val="22"/>
          <w:lang w:eastAsia="zh-CN"/>
        </w:rPr>
      </w:pPr>
    </w:p>
    <w:p w14:paraId="270DDA89" w14:textId="77777777" w:rsidR="00343CD3" w:rsidRPr="0046380A" w:rsidRDefault="00343CD3" w:rsidP="00343CD3">
      <w:pPr>
        <w:spacing w:after="169" w:line="360" w:lineRule="auto"/>
        <w:jc w:val="center"/>
        <w:rPr>
          <w:rFonts w:ascii="Arial" w:eastAsia="DengXian" w:hAnsi="Arial" w:cs="Arial"/>
          <w:b/>
          <w:bCs/>
          <w:sz w:val="22"/>
          <w:szCs w:val="22"/>
          <w:lang w:eastAsia="zh-CN"/>
        </w:rPr>
      </w:pPr>
    </w:p>
    <w:p w14:paraId="59858658" w14:textId="77777777" w:rsidR="00343CD3" w:rsidRPr="0046380A" w:rsidRDefault="00343CD3" w:rsidP="00343CD3">
      <w:pPr>
        <w:spacing w:after="169" w:line="360" w:lineRule="auto"/>
        <w:jc w:val="center"/>
        <w:rPr>
          <w:rFonts w:ascii="Arial" w:eastAsia="DengXian" w:hAnsi="Arial" w:cs="Arial"/>
          <w:b/>
          <w:bCs/>
          <w:sz w:val="22"/>
          <w:szCs w:val="22"/>
          <w:lang w:eastAsia="zh-CN"/>
        </w:rPr>
      </w:pPr>
    </w:p>
    <w:p w14:paraId="727FD03B" w14:textId="77777777" w:rsidR="00343CD3" w:rsidRPr="0046380A" w:rsidRDefault="00343CD3" w:rsidP="00343CD3">
      <w:pPr>
        <w:spacing w:after="169" w:line="360" w:lineRule="auto"/>
        <w:jc w:val="center"/>
        <w:rPr>
          <w:rFonts w:ascii="Arial" w:eastAsia="DengXian" w:hAnsi="Arial" w:cs="Arial"/>
          <w:b/>
          <w:bCs/>
          <w:sz w:val="22"/>
          <w:szCs w:val="22"/>
          <w:lang w:eastAsia="zh-CN"/>
        </w:rPr>
      </w:pPr>
      <w:r w:rsidRPr="0046380A">
        <w:rPr>
          <w:rFonts w:ascii="Arial" w:eastAsia="DengXian" w:hAnsi="Arial" w:cs="Arial"/>
          <w:b/>
          <w:bCs/>
          <w:sz w:val="22"/>
          <w:szCs w:val="22"/>
          <w:lang w:eastAsia="zh-CN"/>
        </w:rPr>
        <w:t>The Institute of Inner-City Learning</w:t>
      </w:r>
    </w:p>
    <w:p w14:paraId="2C6467B6" w14:textId="77777777" w:rsidR="00343CD3" w:rsidRPr="0046380A" w:rsidRDefault="00343CD3" w:rsidP="00343CD3">
      <w:pPr>
        <w:spacing w:after="169" w:line="360" w:lineRule="auto"/>
        <w:jc w:val="center"/>
        <w:rPr>
          <w:rFonts w:ascii="Arial" w:eastAsia="DengXian" w:hAnsi="Arial" w:cs="Arial"/>
          <w:b/>
          <w:bCs/>
          <w:sz w:val="22"/>
          <w:szCs w:val="22"/>
          <w:lang w:eastAsia="zh-CN"/>
        </w:rPr>
      </w:pPr>
      <w:r w:rsidRPr="0046380A">
        <w:rPr>
          <w:rFonts w:ascii="Arial" w:eastAsia="DengXian" w:hAnsi="Arial" w:cs="Arial"/>
          <w:b/>
          <w:bCs/>
          <w:sz w:val="22"/>
          <w:szCs w:val="22"/>
          <w:lang w:eastAsia="zh-CN"/>
        </w:rPr>
        <w:t>University of Wales Trinity Saint David – London Campus</w:t>
      </w:r>
    </w:p>
    <w:p w14:paraId="22EB89C2" w14:textId="77777777" w:rsidR="00343CD3" w:rsidRPr="0046380A" w:rsidRDefault="00343CD3" w:rsidP="00343CD3">
      <w:pPr>
        <w:spacing w:after="157" w:line="360" w:lineRule="auto"/>
        <w:ind w:left="2367" w:right="2357"/>
        <w:jc w:val="center"/>
        <w:rPr>
          <w:rFonts w:ascii="Arial" w:eastAsia="DengXian" w:hAnsi="Arial" w:cs="Arial"/>
          <w:b/>
          <w:bCs/>
          <w:sz w:val="22"/>
          <w:szCs w:val="22"/>
          <w:lang w:eastAsia="zh-CN"/>
        </w:rPr>
      </w:pPr>
    </w:p>
    <w:p w14:paraId="4110ACBF" w14:textId="77777777" w:rsidR="00343CD3" w:rsidRPr="0046380A" w:rsidRDefault="00343CD3" w:rsidP="00343CD3">
      <w:pPr>
        <w:spacing w:after="157" w:line="360" w:lineRule="auto"/>
        <w:ind w:left="2367" w:right="2357"/>
        <w:jc w:val="center"/>
        <w:rPr>
          <w:rFonts w:ascii="Arial" w:eastAsia="DengXian" w:hAnsi="Arial" w:cs="Arial"/>
          <w:b/>
          <w:bCs/>
          <w:sz w:val="22"/>
          <w:szCs w:val="22"/>
          <w:lang w:eastAsia="zh-CN"/>
        </w:rPr>
      </w:pPr>
    </w:p>
    <w:p w14:paraId="37BFE9FD" w14:textId="77777777" w:rsidR="00343CD3" w:rsidRPr="0046380A" w:rsidRDefault="00343CD3" w:rsidP="00343CD3">
      <w:pPr>
        <w:spacing w:after="157" w:line="360" w:lineRule="auto"/>
        <w:ind w:left="2367" w:right="2357"/>
        <w:jc w:val="center"/>
        <w:rPr>
          <w:rFonts w:ascii="Arial" w:eastAsia="DengXian" w:hAnsi="Arial" w:cs="Arial"/>
          <w:b/>
          <w:bCs/>
          <w:sz w:val="22"/>
          <w:szCs w:val="22"/>
          <w:lang w:eastAsia="zh-CN"/>
        </w:rPr>
      </w:pPr>
      <w:r w:rsidRPr="0046380A">
        <w:rPr>
          <w:rFonts w:ascii="Arial" w:eastAsia="DengXian" w:hAnsi="Arial" w:cs="Arial"/>
          <w:b/>
          <w:bCs/>
          <w:sz w:val="22"/>
          <w:szCs w:val="22"/>
          <w:lang w:eastAsia="zh-CN"/>
        </w:rPr>
        <w:t xml:space="preserve">September 2026 </w:t>
      </w:r>
    </w:p>
    <w:p w14:paraId="58805724" w14:textId="77777777" w:rsidR="00343CD3" w:rsidRPr="0046380A" w:rsidRDefault="00343CD3" w:rsidP="00343CD3">
      <w:pPr>
        <w:spacing w:after="157" w:line="360" w:lineRule="auto"/>
        <w:ind w:left="2367" w:right="2357"/>
        <w:jc w:val="center"/>
        <w:rPr>
          <w:rFonts w:ascii="Arial" w:eastAsia="DengXian" w:hAnsi="Arial" w:cs="Arial"/>
          <w:b/>
          <w:bCs/>
          <w:sz w:val="22"/>
          <w:szCs w:val="22"/>
          <w:lang w:eastAsia="zh-CN"/>
        </w:rPr>
      </w:pPr>
    </w:p>
    <w:p w14:paraId="4E9BDDD0" w14:textId="77777777" w:rsidR="00343CD3" w:rsidRPr="0046380A" w:rsidRDefault="00343CD3" w:rsidP="00343CD3">
      <w:pPr>
        <w:spacing w:line="360" w:lineRule="auto"/>
        <w:jc w:val="center"/>
        <w:rPr>
          <w:rFonts w:ascii="Arial" w:eastAsia="PMingLiU" w:hAnsi="Arial" w:cs="Arial"/>
          <w:b/>
          <w:bCs/>
          <w:sz w:val="22"/>
          <w:szCs w:val="22"/>
          <w:lang w:eastAsia="zh-CN"/>
        </w:rPr>
      </w:pPr>
    </w:p>
    <w:p w14:paraId="4C995751" w14:textId="77777777" w:rsidR="00343CD3" w:rsidRPr="0046380A" w:rsidRDefault="00343CD3" w:rsidP="00343CD3">
      <w:pPr>
        <w:spacing w:after="200" w:line="276" w:lineRule="auto"/>
        <w:rPr>
          <w:rFonts w:ascii="Arial" w:eastAsia="Times New Roman" w:hAnsi="Arial" w:cs="Arial"/>
          <w:b/>
          <w:bCs/>
          <w:color w:val="000000"/>
          <w:sz w:val="22"/>
          <w:szCs w:val="22"/>
          <w:lang w:val="hr-HR" w:eastAsia="zh-CN"/>
        </w:rPr>
      </w:pPr>
      <w:r w:rsidRPr="0046380A">
        <w:rPr>
          <w:rFonts w:ascii="Arial" w:eastAsia="Times New Roman" w:hAnsi="Arial" w:cs="Arial"/>
          <w:b/>
          <w:bCs/>
          <w:color w:val="000000"/>
          <w:sz w:val="22"/>
          <w:szCs w:val="22"/>
          <w:lang w:val="hr-HR" w:eastAsia="zh-CN"/>
        </w:rPr>
        <w:t>DECLARATION</w:t>
      </w:r>
    </w:p>
    <w:p w14:paraId="31B7A7B4" w14:textId="77777777" w:rsidR="00343CD3" w:rsidRPr="0046380A" w:rsidRDefault="00343CD3" w:rsidP="00343CD3">
      <w:pPr>
        <w:spacing w:after="200" w:line="276" w:lineRule="auto"/>
        <w:rPr>
          <w:rFonts w:ascii="Arial" w:eastAsia="Times New Roman" w:hAnsi="Arial" w:cs="Arial"/>
          <w:color w:val="000000"/>
          <w:sz w:val="22"/>
          <w:szCs w:val="22"/>
          <w:lang w:val="hr-HR" w:eastAsia="zh-CN"/>
        </w:rPr>
      </w:pPr>
    </w:p>
    <w:p w14:paraId="6DA95FBB" w14:textId="59E81826" w:rsidR="00343CD3" w:rsidRPr="0046380A" w:rsidRDefault="00343CD3" w:rsidP="00343CD3">
      <w:pPr>
        <w:spacing w:after="200" w:line="276" w:lineRule="auto"/>
        <w:rPr>
          <w:rFonts w:ascii="Arial" w:eastAsia="Times New Roman" w:hAnsi="Arial" w:cs="Arial"/>
          <w:color w:val="000000"/>
          <w:sz w:val="22"/>
          <w:szCs w:val="22"/>
          <w:lang w:val="hr-HR" w:eastAsia="zh-CN"/>
        </w:rPr>
      </w:pPr>
      <w:r>
        <w:rPr>
          <w:noProof/>
        </w:rPr>
        <mc:AlternateContent>
          <mc:Choice Requires="wpi">
            <w:drawing>
              <wp:anchor distT="0" distB="0" distL="114300" distR="114300" simplePos="0" relativeHeight="251670016" behindDoc="0" locked="0" layoutInCell="1" allowOverlap="1" wp14:anchorId="3B7B9F4A" wp14:editId="3062D091">
                <wp:simplePos x="0" y="0"/>
                <wp:positionH relativeFrom="column">
                  <wp:posOffset>-1176040320</wp:posOffset>
                </wp:positionH>
                <wp:positionV relativeFrom="paragraph">
                  <wp:posOffset>-1174181040</wp:posOffset>
                </wp:positionV>
                <wp:extent cx="2147483640" cy="2147483640"/>
                <wp:effectExtent l="57150" t="60960" r="51435" b="47625"/>
                <wp:wrapNone/>
                <wp:docPr id="2141273955" name="Ink 3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2147483640" cy="2147483640"/>
                      </w14:xfrm>
                    </w14:contentPart>
                  </a:graphicData>
                </a:graphic>
                <wp14:sizeRelH relativeFrom="page">
                  <wp14:pctWidth>0</wp14:pctWidth>
                </wp14:sizeRelH>
                <wp14:sizeRelV relativeFrom="page">
                  <wp14:pctHeight>0</wp14:pctHeight>
                </wp14:sizeRelV>
              </wp:anchor>
            </w:drawing>
          </mc:Choice>
          <mc:Fallback>
            <w:pict>
              <v:shapetype w14:anchorId="54B4621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1" o:spid="_x0000_s1026" type="#_x0000_t75" style="position:absolute;margin-left:-261694.8pt;margin-top:-261548.4pt;width:338186.4pt;height:338186.4pt;z-index:251670016;visibility:visible;mso-wrap-style:square;mso-width-percent:0;mso-height-percent:0;mso-wrap-distance-left:-59649.14856mm;mso-wrap-distance-top:-59652.32356mm;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">
                <v:imagedata r:id="rId10" o:title="" cropbottom="-1" cropright="-1"/>
                <o:lock v:ext="edit" rotation="t" verticies="t" shapetype="t"/>
              </v:shape>
            </w:pict>
          </mc:Fallback>
        </mc:AlternateContent>
      </w:r>
      <w:r>
        <w:rPr>
          <w:noProof/>
        </w:rPr>
        <mc:AlternateContent>
          <mc:Choice Requires="wpi">
            <w:drawing>
              <wp:anchor distT="0" distB="0" distL="114300" distR="114300" simplePos="0" relativeHeight="251671040" behindDoc="0" locked="0" layoutInCell="1" allowOverlap="1" wp14:anchorId="109A9C92" wp14:editId="182967DD">
                <wp:simplePos x="0" y="0"/>
                <wp:positionH relativeFrom="column">
                  <wp:posOffset>-1176040320</wp:posOffset>
                </wp:positionH>
                <wp:positionV relativeFrom="paragraph">
                  <wp:posOffset>197485</wp:posOffset>
                </wp:positionV>
                <wp:extent cx="2147483640" cy="111760"/>
                <wp:effectExtent l="57150" t="58420" r="51435" b="48895"/>
                <wp:wrapNone/>
                <wp:docPr id="1245260621" name="Ink 30"/>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2147483640" cy="111760"/>
                      </w14:xfrm>
                    </w14:contentPart>
                  </a:graphicData>
                </a:graphic>
                <wp14:sizeRelH relativeFrom="page">
                  <wp14:pctWidth>0</wp14:pctWidth>
                </wp14:sizeRelH>
                <wp14:sizeRelV relativeFrom="page">
                  <wp14:pctHeight>0</wp14:pctHeight>
                </wp14:sizeRelV>
              </wp:anchor>
            </w:drawing>
          </mc:Choice>
          <mc:Fallback>
            <w:pict>
              <v:shape w14:anchorId="598EDF0D" id="Ink 30" o:spid="_x0000_s1026" type="#_x0000_t75" style="position:absolute;margin-left:-261694.8pt;margin-top:14.85pt;width:338186.4pt;height:10.2pt;z-index:251671040;visibility:visible;mso-wrap-style:square;mso-width-percent:0;mso-height-percent:0;mso-wrap-distance-left:-59649.14856mm;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">
                <v:imagedata r:id="rId12" o:title="" cropright="-1"/>
                <o:lock v:ext="edit" rotation="t" verticies="t" shapetype="t"/>
              </v:shape>
            </w:pict>
          </mc:Fallback>
        </mc:AlternateContent>
      </w:r>
      <w:r>
        <w:rPr>
          <w:noProof/>
        </w:rPr>
        <mc:AlternateContent>
          <mc:Choice Requires="wpi">
            <w:drawing>
              <wp:anchor distT="0" distB="0" distL="114300" distR="114300" simplePos="0" relativeHeight="251672064" behindDoc="0" locked="0" layoutInCell="1" allowOverlap="1" wp14:anchorId="167559D8" wp14:editId="26A67CB1">
                <wp:simplePos x="0" y="0"/>
                <wp:positionH relativeFrom="column">
                  <wp:posOffset>-1176040320</wp:posOffset>
                </wp:positionH>
                <wp:positionV relativeFrom="paragraph">
                  <wp:posOffset>-1174170880</wp:posOffset>
                </wp:positionV>
                <wp:extent cx="2147483640" cy="2147483640"/>
                <wp:effectExtent l="57150" t="60960" r="51435" b="47625"/>
                <wp:wrapNone/>
                <wp:docPr id="1813083782" name="Ink 2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2147483640" cy="2147483640"/>
                      </w14:xfrm>
                    </w14:contentPart>
                  </a:graphicData>
                </a:graphic>
                <wp14:sizeRelH relativeFrom="page">
                  <wp14:pctWidth>0</wp14:pctWidth>
                </wp14:sizeRelH>
                <wp14:sizeRelV relativeFrom="page">
                  <wp14:pctHeight>0</wp14:pctHeight>
                </wp14:sizeRelV>
              </wp:anchor>
            </w:drawing>
          </mc:Choice>
          <mc:Fallback>
            <w:pict>
              <v:shape w14:anchorId="18E9C3AC" id="Ink 29" o:spid="_x0000_s1026" type="#_x0000_t75" style="position:absolute;margin-left:-261694.8pt;margin-top:-261547.6pt;width:338186.4pt;height:338186.4pt;z-index:251672064;visibility:visible;mso-wrap-style:square;mso-width-percent:0;mso-height-percent:0;mso-wrap-distance-left:-59649.14856mm;mso-wrap-distance-top:-59652.32356mm;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">
                <v:imagedata r:id="rId10" o:title="" cropbottom="-1" cropright="-1"/>
                <o:lock v:ext="edit" rotation="t" verticies="t" shapetype="t"/>
              </v:shape>
            </w:pict>
          </mc:Fallback>
        </mc:AlternateContent>
      </w:r>
      <w:r>
        <w:rPr>
          <w:noProof/>
        </w:rPr>
        <mc:AlternateContent>
          <mc:Choice Requires="wpi">
            <w:drawing>
              <wp:anchor distT="0" distB="0" distL="114300" distR="114300" simplePos="0" relativeHeight="251673088" behindDoc="0" locked="0" layoutInCell="1" allowOverlap="1" wp14:anchorId="2F046DEA" wp14:editId="1B078714">
                <wp:simplePos x="0" y="0"/>
                <wp:positionH relativeFrom="column">
                  <wp:posOffset>-1176352105</wp:posOffset>
                </wp:positionH>
                <wp:positionV relativeFrom="paragraph">
                  <wp:posOffset>-1174172785</wp:posOffset>
                </wp:positionV>
                <wp:extent cx="2147483640" cy="2147483640"/>
                <wp:effectExtent l="57150" t="60960" r="51435" b="47625"/>
                <wp:wrapNone/>
                <wp:docPr id="426406919" name="Ink 28"/>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2147483640" cy="2147483640"/>
                      </w14:xfrm>
                    </w14:contentPart>
                  </a:graphicData>
                </a:graphic>
                <wp14:sizeRelH relativeFrom="page">
                  <wp14:pctWidth>0</wp14:pctWidth>
                </wp14:sizeRelH>
                <wp14:sizeRelV relativeFrom="page">
                  <wp14:pctHeight>0</wp14:pctHeight>
                </wp14:sizeRelV>
              </wp:anchor>
            </w:drawing>
          </mc:Choice>
          <mc:Fallback>
            <w:pict>
              <v:shape w14:anchorId="235C71A2" id="Ink 28" o:spid="_x0000_s1026" type="#_x0000_t75" style="position:absolute;margin-left:-261719.35pt;margin-top:-261547.75pt;width:338186.4pt;height:338186.4pt;z-index:251673088;visibility:visible;mso-wrap-style:square;mso-width-percent:0;mso-height-percent:0;mso-wrap-distance-left:-59649.14856mm;mso-wrap-distance-top:-59652.32356mm;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">
                <v:imagedata r:id="rId10" o:title="" cropbottom="-1" cropright="-1"/>
                <o:lock v:ext="edit" rotation="t" verticies="t" shapetype="t"/>
              </v:shape>
            </w:pict>
          </mc:Fallback>
        </mc:AlternateContent>
      </w:r>
      <w:r w:rsidRPr="0046380A">
        <w:rPr>
          <w:rFonts w:ascii="Arial" w:eastAsia="Times New Roman" w:hAnsi="Arial" w:cs="Arial"/>
          <w:color w:val="000000"/>
          <w:sz w:val="22"/>
          <w:szCs w:val="22"/>
          <w:lang w:val="hr-HR" w:eastAsia="zh-CN"/>
        </w:rPr>
        <w:t>I, Patricia Kelly-Lambo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15CA83BE" w14:textId="77777777" w:rsidR="00343CD3" w:rsidRPr="0046380A" w:rsidRDefault="00343CD3" w:rsidP="00343CD3">
      <w:pPr>
        <w:spacing w:after="200" w:line="276" w:lineRule="auto"/>
        <w:rPr>
          <w:rFonts w:ascii="Arial" w:eastAsia="Times New Roman" w:hAnsi="Arial" w:cs="Arial"/>
          <w:color w:val="000000"/>
          <w:sz w:val="22"/>
          <w:szCs w:val="22"/>
          <w:lang w:val="hr-HR" w:eastAsia="zh-CN"/>
        </w:rPr>
      </w:pPr>
    </w:p>
    <w:p w14:paraId="152CDEC7" w14:textId="77777777" w:rsidR="00343CD3" w:rsidRPr="0046380A" w:rsidRDefault="00343CD3" w:rsidP="00343CD3">
      <w:pPr>
        <w:spacing w:after="200" w:line="276" w:lineRule="auto"/>
        <w:rPr>
          <w:rFonts w:ascii="Arial" w:eastAsia="Times New Roman" w:hAnsi="Arial" w:cs="Arial"/>
          <w:color w:val="000000"/>
          <w:sz w:val="22"/>
          <w:szCs w:val="22"/>
          <w:lang w:val="hr-HR" w:eastAsia="zh-CN"/>
        </w:rPr>
      </w:pPr>
    </w:p>
    <w:p w14:paraId="756B2818" w14:textId="6B35BA8C" w:rsidR="00343CD3" w:rsidRPr="0046380A" w:rsidRDefault="00343CD3" w:rsidP="00343CD3">
      <w:pPr>
        <w:spacing w:after="200" w:line="276" w:lineRule="auto"/>
        <w:rPr>
          <w:rFonts w:ascii="Arial" w:eastAsia="Times New Roman" w:hAnsi="Arial" w:cs="Arial"/>
          <w:color w:val="000000"/>
          <w:sz w:val="22"/>
          <w:szCs w:val="22"/>
          <w:lang w:val="hr-HR" w:eastAsia="zh-CN"/>
        </w:rPr>
      </w:pPr>
      <w:r w:rsidRPr="0046380A">
        <w:rPr>
          <w:rFonts w:ascii="Arial" w:eastAsia="Times New Roman" w:hAnsi="Arial" w:cs="Arial"/>
          <w:color w:val="000000"/>
          <w:sz w:val="22"/>
          <w:szCs w:val="22"/>
          <w:lang w:val="hr-HR" w:eastAsia="zh-CN"/>
        </w:rPr>
        <w:t>Signed:</w:t>
      </w:r>
      <w:r w:rsidR="002B6203">
        <w:rPr>
          <w:rFonts w:ascii="Arial" w:eastAsia="Times New Roman" w:hAnsi="Arial" w:cs="Arial"/>
          <w:color w:val="000000"/>
          <w:sz w:val="22"/>
          <w:szCs w:val="22"/>
          <w:lang w:val="hr-HR" w:eastAsia="zh-CN"/>
        </w:rPr>
        <w:t xml:space="preserve"> </w:t>
      </w:r>
      <w:r w:rsidR="002B6203" w:rsidRPr="002B6203">
        <w:rPr>
          <w:rFonts w:ascii="Arial" w:eastAsia="Times New Roman" w:hAnsi="Arial" w:cs="Arial"/>
          <w:b/>
          <w:bCs/>
          <w:color w:val="000000"/>
          <w:sz w:val="22"/>
          <w:szCs w:val="22"/>
          <w:lang w:val="hr-HR" w:eastAsia="zh-CN"/>
        </w:rPr>
        <w:t>MRS PATRICIA KELLY-LAMBO</w:t>
      </w:r>
    </w:p>
    <w:p w14:paraId="2AEE1C94" w14:textId="77777777" w:rsidR="00343CD3" w:rsidRPr="0046380A" w:rsidRDefault="00343CD3" w:rsidP="00343CD3">
      <w:pPr>
        <w:spacing w:after="200" w:line="276" w:lineRule="auto"/>
        <w:rPr>
          <w:rFonts w:ascii="Arial" w:eastAsia="Times New Roman" w:hAnsi="Arial" w:cs="Arial"/>
          <w:color w:val="000000"/>
          <w:lang w:val="hr-HR" w:eastAsia="zh-CN"/>
        </w:rPr>
      </w:pPr>
    </w:p>
    <w:p w14:paraId="0BCB16FC" w14:textId="2AD7F94B" w:rsidR="00343CD3" w:rsidRPr="0046380A" w:rsidRDefault="00343CD3" w:rsidP="00343CD3">
      <w:pPr>
        <w:spacing w:after="200" w:line="276" w:lineRule="auto"/>
        <w:rPr>
          <w:rFonts w:ascii="Arial" w:eastAsia="Times New Roman" w:hAnsi="Arial" w:cs="Arial"/>
          <w:color w:val="000000"/>
          <w:lang w:val="hr-HR" w:eastAsia="zh-CN"/>
        </w:rPr>
      </w:pPr>
      <w:r w:rsidRPr="0046380A">
        <w:rPr>
          <w:rFonts w:ascii="Arial" w:eastAsia="Times New Roman" w:hAnsi="Arial" w:cs="Arial"/>
          <w:color w:val="000000"/>
          <w:lang w:val="hr-HR" w:eastAsia="zh-CN"/>
        </w:rPr>
        <w:t>Date:</w:t>
      </w:r>
      <w:r w:rsidR="00B968FB">
        <w:rPr>
          <w:rFonts w:ascii="Arial" w:eastAsia="Times New Roman" w:hAnsi="Arial" w:cs="Arial"/>
          <w:color w:val="000000"/>
          <w:lang w:val="hr-HR" w:eastAsia="zh-CN"/>
        </w:rPr>
        <w:t xml:space="preserve"> </w:t>
      </w:r>
      <w:r w:rsidR="00B968FB" w:rsidRPr="00B968FB">
        <w:rPr>
          <w:rFonts w:ascii="Arial" w:eastAsia="Times New Roman" w:hAnsi="Arial" w:cs="Arial"/>
          <w:b/>
          <w:bCs/>
          <w:color w:val="000000"/>
          <w:lang w:val="hr-HR" w:eastAsia="zh-CN"/>
        </w:rPr>
        <w:t>29th of September 2026</w:t>
      </w:r>
    </w:p>
    <w:p w14:paraId="093D8463" w14:textId="77777777" w:rsidR="00343CD3" w:rsidRPr="0046380A" w:rsidRDefault="00343CD3" w:rsidP="00343CD3">
      <w:pPr>
        <w:spacing w:line="360" w:lineRule="auto"/>
        <w:jc w:val="center"/>
        <w:rPr>
          <w:rFonts w:ascii="Arial" w:eastAsia="PMingLiU" w:hAnsi="Arial" w:cs="Arial"/>
          <w:b/>
          <w:bCs/>
          <w:sz w:val="22"/>
          <w:szCs w:val="22"/>
          <w:lang w:eastAsia="zh-CN"/>
        </w:rPr>
      </w:pPr>
    </w:p>
    <w:p w14:paraId="180C7E58" w14:textId="77777777" w:rsidR="00343CD3" w:rsidRPr="0046380A" w:rsidRDefault="00343CD3" w:rsidP="00343CD3">
      <w:pPr>
        <w:spacing w:line="360" w:lineRule="auto"/>
        <w:jc w:val="center"/>
        <w:rPr>
          <w:rFonts w:ascii="Arial" w:eastAsia="PMingLiU" w:hAnsi="Arial" w:cs="Arial"/>
          <w:b/>
          <w:bCs/>
          <w:sz w:val="22"/>
          <w:szCs w:val="22"/>
          <w:lang w:eastAsia="zh-CN"/>
        </w:rPr>
      </w:pPr>
    </w:p>
    <w:p w14:paraId="3257A82C" w14:textId="77777777" w:rsidR="00343CD3" w:rsidRPr="0046380A" w:rsidRDefault="00343CD3" w:rsidP="00343CD3">
      <w:pPr>
        <w:spacing w:line="360" w:lineRule="auto"/>
        <w:jc w:val="center"/>
        <w:rPr>
          <w:rFonts w:ascii="Arial" w:eastAsia="PMingLiU" w:hAnsi="Arial" w:cs="Arial"/>
          <w:b/>
          <w:bCs/>
          <w:sz w:val="22"/>
          <w:szCs w:val="22"/>
          <w:lang w:eastAsia="zh-CN"/>
        </w:rPr>
      </w:pPr>
    </w:p>
    <w:p w14:paraId="67DB6E48" w14:textId="77777777" w:rsidR="00343CD3" w:rsidRPr="0046380A" w:rsidRDefault="00343CD3" w:rsidP="00343CD3">
      <w:pPr>
        <w:spacing w:line="360" w:lineRule="auto"/>
        <w:jc w:val="center"/>
        <w:rPr>
          <w:rFonts w:ascii="Arial" w:eastAsia="PMingLiU" w:hAnsi="Arial" w:cs="Arial"/>
          <w:b/>
          <w:bCs/>
          <w:sz w:val="22"/>
          <w:szCs w:val="22"/>
          <w:lang w:eastAsia="zh-CN"/>
        </w:rPr>
      </w:pPr>
    </w:p>
    <w:p w14:paraId="6822B93D" w14:textId="77777777" w:rsidR="00343CD3" w:rsidRPr="0046380A" w:rsidRDefault="00343CD3" w:rsidP="00343CD3">
      <w:pPr>
        <w:spacing w:line="360" w:lineRule="auto"/>
        <w:jc w:val="center"/>
        <w:rPr>
          <w:rFonts w:ascii="Arial" w:eastAsia="PMingLiU" w:hAnsi="Arial" w:cs="Arial"/>
          <w:b/>
          <w:bCs/>
          <w:sz w:val="22"/>
          <w:szCs w:val="22"/>
          <w:lang w:eastAsia="zh-CN"/>
        </w:rPr>
      </w:pPr>
    </w:p>
    <w:p w14:paraId="17294762" w14:textId="77777777" w:rsidR="00343CD3" w:rsidRPr="0046380A" w:rsidRDefault="00343CD3" w:rsidP="00343CD3">
      <w:pPr>
        <w:spacing w:line="360" w:lineRule="auto"/>
        <w:jc w:val="center"/>
        <w:rPr>
          <w:rFonts w:ascii="Arial" w:eastAsia="PMingLiU" w:hAnsi="Arial" w:cs="Arial"/>
          <w:b/>
          <w:bCs/>
          <w:sz w:val="22"/>
          <w:szCs w:val="22"/>
          <w:lang w:eastAsia="zh-CN"/>
        </w:rPr>
      </w:pPr>
    </w:p>
    <w:p w14:paraId="25A4357F" w14:textId="77777777" w:rsidR="00343CD3" w:rsidRPr="0046380A" w:rsidRDefault="00343CD3" w:rsidP="00343CD3">
      <w:pPr>
        <w:spacing w:line="360" w:lineRule="auto"/>
        <w:jc w:val="center"/>
        <w:rPr>
          <w:rFonts w:ascii="Arial" w:eastAsia="PMingLiU" w:hAnsi="Arial" w:cs="Arial"/>
          <w:b/>
          <w:bCs/>
          <w:sz w:val="22"/>
          <w:szCs w:val="22"/>
          <w:lang w:eastAsia="zh-CN"/>
        </w:rPr>
      </w:pPr>
    </w:p>
    <w:p w14:paraId="27A51A23" w14:textId="77777777" w:rsidR="00343CD3" w:rsidRPr="0046380A" w:rsidRDefault="00343CD3" w:rsidP="00343CD3">
      <w:pPr>
        <w:spacing w:line="360" w:lineRule="auto"/>
        <w:jc w:val="center"/>
        <w:rPr>
          <w:rFonts w:ascii="Arial" w:eastAsia="PMingLiU" w:hAnsi="Arial" w:cs="Arial"/>
          <w:b/>
          <w:bCs/>
          <w:sz w:val="22"/>
          <w:szCs w:val="22"/>
          <w:lang w:eastAsia="zh-CN"/>
        </w:rPr>
      </w:pPr>
    </w:p>
    <w:p w14:paraId="03E871C2" w14:textId="77777777" w:rsidR="00343CD3" w:rsidRPr="0046380A" w:rsidRDefault="00343CD3" w:rsidP="00343CD3">
      <w:pPr>
        <w:spacing w:line="360" w:lineRule="auto"/>
        <w:jc w:val="center"/>
        <w:rPr>
          <w:rFonts w:ascii="Arial" w:eastAsia="PMingLiU" w:hAnsi="Arial" w:cs="Arial"/>
          <w:b/>
          <w:bCs/>
          <w:sz w:val="22"/>
          <w:szCs w:val="22"/>
          <w:lang w:eastAsia="zh-CN"/>
        </w:rPr>
      </w:pPr>
    </w:p>
    <w:p w14:paraId="0760C612" w14:textId="77777777" w:rsidR="00343CD3" w:rsidRPr="0046380A" w:rsidRDefault="00343CD3" w:rsidP="00343CD3">
      <w:pPr>
        <w:spacing w:line="360" w:lineRule="auto"/>
        <w:jc w:val="center"/>
        <w:rPr>
          <w:rFonts w:ascii="Arial" w:eastAsia="PMingLiU" w:hAnsi="Arial" w:cs="Arial"/>
          <w:b/>
          <w:bCs/>
          <w:sz w:val="22"/>
          <w:szCs w:val="22"/>
          <w:lang w:eastAsia="zh-CN"/>
        </w:rPr>
      </w:pPr>
    </w:p>
    <w:p w14:paraId="269B428F" w14:textId="77777777" w:rsidR="00343CD3" w:rsidRPr="0046380A" w:rsidRDefault="00343CD3" w:rsidP="00343CD3">
      <w:pPr>
        <w:spacing w:line="360" w:lineRule="auto"/>
        <w:jc w:val="center"/>
        <w:rPr>
          <w:rFonts w:ascii="Arial" w:eastAsia="PMingLiU" w:hAnsi="Arial" w:cs="Arial"/>
          <w:b/>
          <w:bCs/>
          <w:sz w:val="22"/>
          <w:szCs w:val="22"/>
          <w:lang w:eastAsia="zh-CN"/>
        </w:rPr>
      </w:pPr>
    </w:p>
    <w:p w14:paraId="2D552D42" w14:textId="77777777" w:rsidR="00343CD3" w:rsidRPr="0046380A" w:rsidRDefault="00343CD3" w:rsidP="00343CD3">
      <w:pPr>
        <w:spacing w:line="360" w:lineRule="auto"/>
        <w:jc w:val="center"/>
        <w:rPr>
          <w:rFonts w:ascii="Arial" w:eastAsia="PMingLiU" w:hAnsi="Arial" w:cs="Arial"/>
          <w:b/>
          <w:bCs/>
          <w:sz w:val="22"/>
          <w:szCs w:val="22"/>
          <w:lang w:eastAsia="zh-CN"/>
        </w:rPr>
      </w:pPr>
    </w:p>
    <w:p w14:paraId="37B6177E" w14:textId="77777777" w:rsidR="00343CD3" w:rsidRPr="0046380A" w:rsidRDefault="00343CD3" w:rsidP="00343CD3">
      <w:pPr>
        <w:spacing w:line="360" w:lineRule="auto"/>
        <w:jc w:val="center"/>
        <w:rPr>
          <w:rFonts w:ascii="Arial" w:eastAsia="PMingLiU" w:hAnsi="Arial" w:cs="Arial"/>
          <w:b/>
          <w:bCs/>
          <w:sz w:val="22"/>
          <w:szCs w:val="22"/>
          <w:lang w:eastAsia="zh-CN"/>
        </w:rPr>
      </w:pPr>
    </w:p>
    <w:p w14:paraId="5FB0006F" w14:textId="77777777" w:rsidR="00343CD3" w:rsidRPr="0046380A" w:rsidRDefault="00343CD3" w:rsidP="00343CD3">
      <w:pPr>
        <w:spacing w:line="360" w:lineRule="auto"/>
        <w:jc w:val="center"/>
        <w:rPr>
          <w:rFonts w:ascii="Arial" w:eastAsia="PMingLiU" w:hAnsi="Arial" w:cs="Arial"/>
          <w:b/>
          <w:bCs/>
          <w:sz w:val="22"/>
          <w:szCs w:val="22"/>
          <w:lang w:eastAsia="zh-CN"/>
        </w:rPr>
      </w:pPr>
    </w:p>
    <w:p w14:paraId="7E0D7CFC" w14:textId="77777777" w:rsidR="00343CD3" w:rsidRPr="0046380A" w:rsidRDefault="00343CD3" w:rsidP="00343CD3">
      <w:pPr>
        <w:spacing w:line="360" w:lineRule="auto"/>
        <w:jc w:val="center"/>
        <w:rPr>
          <w:rFonts w:ascii="Arial" w:eastAsia="PMingLiU" w:hAnsi="Arial" w:cs="Arial"/>
          <w:b/>
          <w:bCs/>
          <w:sz w:val="22"/>
          <w:szCs w:val="22"/>
          <w:lang w:eastAsia="zh-CN"/>
        </w:rPr>
      </w:pPr>
    </w:p>
    <w:p w14:paraId="6680C781" w14:textId="77777777" w:rsidR="00343CD3" w:rsidRPr="0046380A" w:rsidRDefault="00343CD3" w:rsidP="00343CD3">
      <w:pPr>
        <w:keepNext/>
        <w:keepLines/>
        <w:spacing w:before="360" w:after="80" w:line="360" w:lineRule="auto"/>
        <w:jc w:val="center"/>
        <w:outlineLvl w:val="0"/>
        <w:rPr>
          <w:rFonts w:ascii="Arial" w:eastAsia="Times New Roman" w:hAnsi="Arial" w:cs="Arial"/>
          <w:b/>
          <w:color w:val="000000"/>
          <w:sz w:val="22"/>
          <w:szCs w:val="22"/>
          <w:lang w:eastAsia="zh-CN"/>
        </w:rPr>
      </w:pPr>
      <w:bookmarkStart w:id="1" w:name="_Toc238386025"/>
      <w:bookmarkStart w:id="2" w:name="_Toc238922298"/>
      <w:bookmarkStart w:id="3" w:name="_Toc239246839"/>
      <w:bookmarkStart w:id="4" w:name="_Toc239342530"/>
      <w:bookmarkStart w:id="5" w:name="_Toc239436662"/>
      <w:bookmarkStart w:id="6" w:name="_Toc241157103"/>
      <w:bookmarkStart w:id="7" w:name="_Toc241618941"/>
      <w:r w:rsidRPr="0046380A">
        <w:rPr>
          <w:rFonts w:ascii="Arial" w:eastAsia="Times New Roman" w:hAnsi="Arial" w:cs="Arial"/>
          <w:b/>
          <w:color w:val="000000"/>
          <w:sz w:val="22"/>
          <w:szCs w:val="22"/>
          <w:lang w:eastAsia="zh-CN"/>
        </w:rPr>
        <w:lastRenderedPageBreak/>
        <w:t>Acknowledgements</w:t>
      </w:r>
      <w:bookmarkEnd w:id="1"/>
      <w:bookmarkEnd w:id="2"/>
      <w:bookmarkEnd w:id="3"/>
      <w:bookmarkEnd w:id="4"/>
      <w:bookmarkEnd w:id="5"/>
      <w:bookmarkEnd w:id="6"/>
      <w:bookmarkEnd w:id="7"/>
    </w:p>
    <w:p w14:paraId="757298B8" w14:textId="51529CB9" w:rsidR="00343CD3" w:rsidRPr="0046380A" w:rsidRDefault="00343CD3" w:rsidP="00343CD3">
      <w:pPr>
        <w:spacing w:after="158" w:line="360" w:lineRule="auto"/>
        <w:jc w:val="both"/>
        <w:rPr>
          <w:rFonts w:ascii="Arial" w:eastAsia="DengXian" w:hAnsi="Arial" w:cs="Arial"/>
          <w:sz w:val="22"/>
          <w:szCs w:val="22"/>
          <w:lang w:eastAsia="zh-CN"/>
        </w:rPr>
      </w:pPr>
      <w:r w:rsidRPr="0046380A">
        <w:rPr>
          <w:rFonts w:ascii="Arial" w:eastAsia="DengXian" w:hAnsi="Arial" w:cs="Arial"/>
          <w:sz w:val="22"/>
          <w:szCs w:val="22"/>
          <w:lang w:eastAsia="zh-CN"/>
        </w:rPr>
        <w:t xml:space="preserve">I would like to express my sincere gratitude to my supervisor Dr Tonia Babalola for her invaluable guidance, encouragement, patience, and constructive feedback throughout the process of completing this research project. </w:t>
      </w:r>
      <w:r w:rsidR="00B053B1">
        <w:rPr>
          <w:rFonts w:ascii="Arial" w:eastAsia="DengXian" w:hAnsi="Arial" w:cs="Arial"/>
          <w:sz w:val="22"/>
          <w:szCs w:val="22"/>
          <w:lang w:eastAsia="zh-CN"/>
        </w:rPr>
        <w:t>Her k</w:t>
      </w:r>
      <w:r w:rsidRPr="0046380A">
        <w:rPr>
          <w:rFonts w:ascii="Arial" w:eastAsia="DengXian" w:hAnsi="Arial" w:cs="Arial"/>
          <w:sz w:val="22"/>
          <w:szCs w:val="22"/>
          <w:lang w:eastAsia="zh-CN"/>
        </w:rPr>
        <w:t>nowledge, support, and academic advice have been instrumental in helping me develop and complete this work.</w:t>
      </w:r>
    </w:p>
    <w:p w14:paraId="4859CA85" w14:textId="77777777" w:rsidR="00343CD3" w:rsidRPr="0046380A" w:rsidRDefault="00343CD3" w:rsidP="00343CD3">
      <w:pPr>
        <w:spacing w:after="169" w:line="360" w:lineRule="auto"/>
        <w:jc w:val="both"/>
        <w:rPr>
          <w:rFonts w:ascii="Arial" w:eastAsia="DengXian" w:hAnsi="Arial" w:cs="Arial"/>
          <w:sz w:val="22"/>
          <w:szCs w:val="22"/>
          <w:lang w:eastAsia="zh-CN"/>
        </w:rPr>
      </w:pPr>
      <w:r w:rsidRPr="0046380A">
        <w:rPr>
          <w:rFonts w:ascii="Arial" w:eastAsia="DengXian" w:hAnsi="Arial" w:cs="Arial"/>
          <w:sz w:val="22"/>
          <w:szCs w:val="22"/>
          <w:lang w:eastAsia="zh-CN"/>
        </w:rPr>
        <w:t>I would also like to thank all the academic staff (Dr Diola Bijhoult, Dr Oluwadamilola Tayo etc.), University staff and colleagues who contributed, directly or indirectly, to my learning and development throughout my studies. Their guidance, encouragement, and support have been greatly appreciated.</w:t>
      </w:r>
    </w:p>
    <w:p w14:paraId="37BB3DF0" w14:textId="77777777" w:rsidR="00343CD3" w:rsidRPr="0046380A" w:rsidRDefault="00343CD3" w:rsidP="00343CD3">
      <w:pPr>
        <w:spacing w:after="169" w:line="360" w:lineRule="auto"/>
        <w:jc w:val="both"/>
        <w:rPr>
          <w:rFonts w:ascii="Arial" w:eastAsia="DengXian" w:hAnsi="Arial" w:cs="Arial"/>
          <w:sz w:val="22"/>
          <w:szCs w:val="22"/>
          <w:lang w:eastAsia="zh-CN"/>
        </w:rPr>
      </w:pPr>
      <w:r w:rsidRPr="0046380A">
        <w:rPr>
          <w:rFonts w:ascii="Arial" w:eastAsia="DengXian" w:hAnsi="Arial" w:cs="Arial"/>
          <w:sz w:val="22"/>
          <w:szCs w:val="22"/>
          <w:lang w:eastAsia="zh-CN"/>
        </w:rPr>
        <w:t>My sincere appreciation also goes to everyone who supported me during the research and writing process. I am grateful for the time, encouragement, understanding, and assistance that I received, particularly during the more challenging stages of this project.</w:t>
      </w:r>
    </w:p>
    <w:p w14:paraId="2543F010" w14:textId="77777777" w:rsidR="00343CD3" w:rsidRPr="0046380A" w:rsidRDefault="00343CD3" w:rsidP="00343CD3">
      <w:pPr>
        <w:spacing w:after="169" w:line="360" w:lineRule="auto"/>
        <w:jc w:val="both"/>
        <w:rPr>
          <w:rFonts w:ascii="Arial" w:eastAsia="DengXian" w:hAnsi="Arial" w:cs="Arial"/>
          <w:sz w:val="22"/>
          <w:szCs w:val="22"/>
          <w:lang w:eastAsia="zh-CN"/>
        </w:rPr>
      </w:pPr>
      <w:r w:rsidRPr="0046380A">
        <w:rPr>
          <w:rFonts w:ascii="Arial" w:eastAsia="DengXian" w:hAnsi="Arial" w:cs="Arial"/>
          <w:sz w:val="22"/>
          <w:szCs w:val="22"/>
          <w:lang w:eastAsia="zh-CN"/>
        </w:rPr>
        <w:t>Finally, I would like to thank my family and friends for their continuous love, patience, encouragement, and understanding throughout my studies. Their support has given me the strength and motivation to persevere and complete this work.</w:t>
      </w:r>
    </w:p>
    <w:p w14:paraId="3A5D616A" w14:textId="77777777" w:rsidR="00343CD3" w:rsidRPr="0046380A" w:rsidRDefault="00343CD3" w:rsidP="00343CD3">
      <w:pPr>
        <w:spacing w:after="169" w:line="360" w:lineRule="auto"/>
        <w:jc w:val="both"/>
        <w:rPr>
          <w:rFonts w:ascii="Arial" w:eastAsia="DengXian" w:hAnsi="Arial" w:cs="Arial"/>
          <w:sz w:val="22"/>
          <w:szCs w:val="22"/>
          <w:lang w:eastAsia="zh-CN"/>
        </w:rPr>
      </w:pPr>
      <w:r w:rsidRPr="0046380A">
        <w:rPr>
          <w:rFonts w:ascii="Arial" w:eastAsia="DengXian" w:hAnsi="Arial" w:cs="Arial"/>
          <w:sz w:val="22"/>
          <w:szCs w:val="22"/>
          <w:lang w:eastAsia="zh-CN"/>
        </w:rPr>
        <w:t>I am truly grateful to everyone who has contributed to my academic journey and supported me along the way.</w:t>
      </w:r>
    </w:p>
    <w:p w14:paraId="6BE66B6E" w14:textId="77777777" w:rsidR="00343CD3" w:rsidRDefault="00343CD3" w:rsidP="00343CD3">
      <w:pPr>
        <w:pStyle w:val="Heading1"/>
        <w:rPr>
          <w:rFonts w:ascii="Arial" w:hAnsi="Arial" w:cs="Arial"/>
          <w:b/>
          <w:color w:val="000000"/>
          <w:sz w:val="22"/>
          <w:szCs w:val="22"/>
          <w:lang w:eastAsia="zh-CN"/>
        </w:rPr>
      </w:pPr>
    </w:p>
    <w:p w14:paraId="7D5C9FF9" w14:textId="77777777" w:rsidR="00343CD3" w:rsidRDefault="00343CD3" w:rsidP="00343CD3">
      <w:pPr>
        <w:pStyle w:val="Heading1"/>
        <w:rPr>
          <w:rFonts w:ascii="Arial" w:hAnsi="Arial" w:cs="Arial"/>
          <w:b/>
          <w:color w:val="000000"/>
          <w:sz w:val="22"/>
          <w:szCs w:val="22"/>
          <w:lang w:eastAsia="zh-CN"/>
        </w:rPr>
      </w:pPr>
    </w:p>
    <w:p w14:paraId="62555B11" w14:textId="77777777" w:rsidR="00343CD3" w:rsidRDefault="00343CD3" w:rsidP="00343CD3">
      <w:pPr>
        <w:pStyle w:val="Heading1"/>
        <w:rPr>
          <w:rFonts w:ascii="Arial" w:hAnsi="Arial" w:cs="Arial"/>
          <w:b/>
          <w:color w:val="000000"/>
          <w:sz w:val="22"/>
          <w:szCs w:val="22"/>
          <w:lang w:eastAsia="zh-CN"/>
        </w:rPr>
      </w:pPr>
    </w:p>
    <w:p w14:paraId="5BA016B6" w14:textId="77777777" w:rsidR="00343CD3" w:rsidRDefault="00343CD3" w:rsidP="00343CD3">
      <w:pPr>
        <w:pStyle w:val="Heading1"/>
        <w:rPr>
          <w:rFonts w:ascii="Arial" w:hAnsi="Arial" w:cs="Arial"/>
          <w:b/>
          <w:color w:val="000000"/>
          <w:sz w:val="22"/>
          <w:szCs w:val="22"/>
          <w:lang w:eastAsia="zh-CN"/>
        </w:rPr>
      </w:pPr>
    </w:p>
    <w:p w14:paraId="7BE5E84A" w14:textId="77777777" w:rsidR="00343CD3" w:rsidRDefault="00343CD3" w:rsidP="00343CD3">
      <w:pPr>
        <w:pStyle w:val="Heading1"/>
        <w:rPr>
          <w:rFonts w:ascii="Arial" w:hAnsi="Arial" w:cs="Arial"/>
          <w:b/>
          <w:color w:val="000000"/>
          <w:sz w:val="22"/>
          <w:szCs w:val="22"/>
          <w:lang w:eastAsia="zh-CN"/>
        </w:rPr>
      </w:pPr>
    </w:p>
    <w:p w14:paraId="1FCC7A59" w14:textId="77777777" w:rsidR="00343CD3" w:rsidRDefault="00343CD3" w:rsidP="00343CD3">
      <w:pPr>
        <w:pStyle w:val="Heading1"/>
        <w:rPr>
          <w:rFonts w:ascii="Arial" w:hAnsi="Arial" w:cs="Arial"/>
          <w:b/>
          <w:color w:val="000000"/>
          <w:sz w:val="22"/>
          <w:szCs w:val="22"/>
          <w:lang w:eastAsia="zh-CN"/>
        </w:rPr>
      </w:pPr>
    </w:p>
    <w:p w14:paraId="17F35B4B" w14:textId="3E0D5040" w:rsidR="00343CD3" w:rsidRDefault="00343CD3" w:rsidP="00343CD3">
      <w:pPr>
        <w:pStyle w:val="Heading1"/>
        <w:rPr>
          <w:rFonts w:ascii="Arial" w:hAnsi="Arial" w:cs="Arial"/>
          <w:b/>
          <w:color w:val="000000"/>
          <w:sz w:val="22"/>
          <w:szCs w:val="22"/>
          <w:lang w:eastAsia="zh-CN"/>
        </w:rPr>
      </w:pPr>
      <w:r>
        <w:rPr>
          <w:rFonts w:ascii="Arial" w:hAnsi="Arial" w:cs="Arial"/>
          <w:b/>
          <w:color w:val="000000"/>
          <w:sz w:val="22"/>
          <w:szCs w:val="22"/>
          <w:lang w:eastAsia="zh-CN"/>
        </w:rPr>
        <w:tab/>
      </w:r>
    </w:p>
    <w:p w14:paraId="5BB1E36A" w14:textId="77777777" w:rsidR="00343CD3" w:rsidRPr="00343CD3" w:rsidRDefault="00343CD3" w:rsidP="00343CD3">
      <w:pPr>
        <w:rPr>
          <w:lang w:eastAsia="zh-CN"/>
        </w:rPr>
      </w:pPr>
    </w:p>
    <w:p w14:paraId="4AEF2FE3" w14:textId="77777777" w:rsidR="00343CD3" w:rsidRDefault="00343CD3" w:rsidP="00EE4FC1">
      <w:pPr>
        <w:spacing w:after="158" w:line="360" w:lineRule="auto"/>
        <w:jc w:val="both"/>
        <w:rPr>
          <w:rFonts w:ascii="Arial" w:eastAsia="DengXian" w:hAnsi="Arial" w:cs="Arial"/>
          <w:bCs/>
          <w:sz w:val="22"/>
          <w:szCs w:val="22"/>
          <w:lang w:eastAsia="zh-CN"/>
        </w:rPr>
      </w:pPr>
    </w:p>
    <w:p w14:paraId="6E2FFC62" w14:textId="77777777" w:rsidR="00343CD3" w:rsidRDefault="00343CD3" w:rsidP="00EE4FC1">
      <w:pPr>
        <w:spacing w:after="158" w:line="360" w:lineRule="auto"/>
        <w:jc w:val="both"/>
        <w:rPr>
          <w:rFonts w:ascii="Arial" w:eastAsia="DengXian" w:hAnsi="Arial" w:cs="Arial"/>
          <w:bCs/>
          <w:sz w:val="22"/>
          <w:szCs w:val="22"/>
          <w:lang w:eastAsia="zh-CN"/>
        </w:rPr>
      </w:pPr>
    </w:p>
    <w:p w14:paraId="0229FF67" w14:textId="77777777" w:rsidR="00343CD3" w:rsidRDefault="00343CD3" w:rsidP="00EE4FC1">
      <w:pPr>
        <w:spacing w:after="158" w:line="360" w:lineRule="auto"/>
        <w:jc w:val="both"/>
        <w:rPr>
          <w:rFonts w:ascii="Arial" w:eastAsia="DengXian" w:hAnsi="Arial" w:cs="Arial"/>
          <w:bCs/>
          <w:sz w:val="22"/>
          <w:szCs w:val="22"/>
          <w:lang w:eastAsia="zh-CN"/>
        </w:rPr>
      </w:pPr>
    </w:p>
    <w:p w14:paraId="145CAEA4" w14:textId="7582F68C" w:rsidR="00343CD3" w:rsidRPr="00343CD3" w:rsidRDefault="00343CD3" w:rsidP="00343CD3">
      <w:pPr>
        <w:spacing w:after="158" w:line="360" w:lineRule="auto"/>
        <w:jc w:val="center"/>
        <w:rPr>
          <w:rFonts w:ascii="Arial" w:eastAsia="DengXian" w:hAnsi="Arial" w:cs="Arial"/>
          <w:b/>
          <w:sz w:val="22"/>
          <w:szCs w:val="22"/>
          <w:lang w:eastAsia="zh-CN"/>
        </w:rPr>
      </w:pPr>
      <w:r w:rsidRPr="00343CD3">
        <w:rPr>
          <w:rFonts w:ascii="Arial" w:eastAsia="DengXian" w:hAnsi="Arial" w:cs="Arial"/>
          <w:b/>
          <w:sz w:val="22"/>
          <w:szCs w:val="22"/>
          <w:lang w:eastAsia="zh-CN"/>
        </w:rPr>
        <w:lastRenderedPageBreak/>
        <w:t>ABSTRACT</w:t>
      </w:r>
    </w:p>
    <w:p w14:paraId="09D58867" w14:textId="4FFEED86" w:rsidR="007B305E" w:rsidRPr="00FA60CA" w:rsidRDefault="00EE4FC1" w:rsidP="00EE4FC1">
      <w:pPr>
        <w:spacing w:after="158" w:line="360" w:lineRule="auto"/>
        <w:jc w:val="both"/>
        <w:rPr>
          <w:rFonts w:ascii="Arial" w:eastAsia="DengXian" w:hAnsi="Arial" w:cs="Arial"/>
          <w:bCs/>
          <w:sz w:val="22"/>
          <w:szCs w:val="22"/>
          <w:lang w:eastAsia="zh-CN"/>
        </w:rPr>
      </w:pPr>
      <w:r w:rsidRPr="00EE4FC1">
        <w:rPr>
          <w:rFonts w:ascii="Arial" w:eastAsia="DengXian" w:hAnsi="Arial" w:cs="Arial"/>
          <w:bCs/>
          <w:sz w:val="22"/>
          <w:szCs w:val="22"/>
          <w:lang w:eastAsia="zh-CN"/>
        </w:rPr>
        <w:t xml:space="preserve">Telemedicine is now a common feature of primary care in the United Kingdom and the evidence about adults' satisfaction and perceived quality of a remote consultation is conflicting. This systematic review aimed to examine satisfaction with telemedicine for adults in UK primary care, investigate what factors are associated with satisfaction, measure perceived quality and compare telephone and video consultations, and identify any evidence gaps. A systematic literature review design was used. PubMed, CINAHL and Google Scholar databases were searched using a PICO-informed search strategy. The searches were conducted on 12th of June, 2026, 15th June, 2026 and 18th June, 2026, respectively, retrieving 20 records from PubMed, 19 records from CINAHL and 38 records from Google Scholar, giving a total of 77 records. After screening and eligibility, 12 studies were included. </w:t>
      </w:r>
      <w:r w:rsidR="0062322E" w:rsidRPr="0062322E">
        <w:rPr>
          <w:rFonts w:ascii="Arial" w:eastAsia="DengXian" w:hAnsi="Arial" w:cs="Arial"/>
          <w:bCs/>
          <w:sz w:val="22"/>
          <w:szCs w:val="22"/>
          <w:lang w:eastAsia="zh-CN"/>
        </w:rPr>
        <w:t>The study quality was assessed using CASP and JBI instruments, with MMAT available but not required as no mixed-methods study met the final inclusion criteria</w:t>
      </w:r>
      <w:r w:rsidR="0062322E">
        <w:rPr>
          <w:rFonts w:ascii="Arial" w:eastAsia="DengXian" w:hAnsi="Arial" w:cs="Arial"/>
          <w:bCs/>
          <w:sz w:val="22"/>
          <w:szCs w:val="22"/>
          <w:lang w:eastAsia="zh-CN"/>
        </w:rPr>
        <w:t xml:space="preserve"> </w:t>
      </w:r>
      <w:r w:rsidRPr="00EE4FC1">
        <w:rPr>
          <w:rFonts w:ascii="Arial" w:eastAsia="DengXian" w:hAnsi="Arial" w:cs="Arial"/>
          <w:bCs/>
          <w:sz w:val="22"/>
          <w:szCs w:val="22"/>
          <w:lang w:eastAsia="zh-CN"/>
        </w:rPr>
        <w:t>and the relevant data were systematically extracted and synthesised by usin</w:t>
      </w:r>
      <w:r w:rsidR="002854DB">
        <w:rPr>
          <w:rFonts w:ascii="Arial" w:eastAsia="DengXian" w:hAnsi="Arial" w:cs="Arial"/>
          <w:bCs/>
          <w:sz w:val="22"/>
          <w:szCs w:val="22"/>
          <w:lang w:eastAsia="zh-CN"/>
        </w:rPr>
        <w:t xml:space="preserve">g narrative synthesis and SWiM. </w:t>
      </w:r>
      <w:r w:rsidR="007B305E" w:rsidRPr="00C82DC4">
        <w:rPr>
          <w:rFonts w:ascii="Arial" w:eastAsia="DengXian" w:hAnsi="Arial" w:cs="Arial"/>
          <w:bCs/>
          <w:sz w:val="22"/>
          <w:szCs w:val="22"/>
        </w:rPr>
        <w:t>The findings showed generally positive patient experiences of telemedicine, particularly in relation to convenience, access and continuity of care</w:t>
      </w:r>
      <w:r w:rsidR="007B305E" w:rsidRPr="00C82DC4">
        <w:rPr>
          <w:rFonts w:ascii="Arial" w:eastAsia="DengXian" w:hAnsi="Arial" w:cs="Arial"/>
          <w:bCs/>
          <w:color w:val="00B050"/>
          <w:sz w:val="22"/>
          <w:szCs w:val="22"/>
        </w:rPr>
        <w:t xml:space="preserve">. </w:t>
      </w:r>
      <w:r w:rsidR="007B305E" w:rsidRPr="004410C0">
        <w:rPr>
          <w:rFonts w:ascii="Arial" w:eastAsia="DengXian" w:hAnsi="Arial" w:cs="Arial"/>
          <w:bCs/>
          <w:color w:val="000000"/>
          <w:sz w:val="22"/>
          <w:szCs w:val="22"/>
        </w:rPr>
        <w:t xml:space="preserve">Table 5 showed that </w:t>
      </w:r>
      <w:r w:rsidR="00625EAC" w:rsidRPr="00625EAC">
        <w:rPr>
          <w:rFonts w:ascii="Arial" w:eastAsia="DengXian" w:hAnsi="Arial" w:cs="Arial"/>
          <w:bCs/>
          <w:color w:val="000000"/>
          <w:sz w:val="22"/>
          <w:szCs w:val="22"/>
        </w:rPr>
        <w:t>communication barriers were reported across 11 of the 12 included studies</w:t>
      </w:r>
      <w:r w:rsidR="003F4D5D" w:rsidRPr="004410C0">
        <w:rPr>
          <w:rFonts w:ascii="Arial" w:eastAsia="DengXian" w:hAnsi="Arial" w:cs="Arial"/>
          <w:bCs/>
          <w:color w:val="000000"/>
          <w:sz w:val="22"/>
          <w:szCs w:val="22"/>
        </w:rPr>
        <w:t xml:space="preserve">, </w:t>
      </w:r>
      <w:r w:rsidR="008751FA" w:rsidRPr="008751FA">
        <w:rPr>
          <w:rFonts w:ascii="Arial" w:eastAsia="DengXian" w:hAnsi="Arial" w:cs="Arial"/>
          <w:bCs/>
          <w:color w:val="000000"/>
          <w:sz w:val="22"/>
          <w:szCs w:val="22"/>
        </w:rPr>
        <w:t>reduced personal interaction w</w:t>
      </w:r>
      <w:r w:rsidR="002558E3">
        <w:rPr>
          <w:rFonts w:ascii="Arial" w:eastAsia="DengXian" w:hAnsi="Arial" w:cs="Arial"/>
          <w:bCs/>
          <w:color w:val="000000"/>
          <w:sz w:val="22"/>
          <w:szCs w:val="22"/>
        </w:rPr>
        <w:t>as</w:t>
      </w:r>
      <w:r w:rsidR="008751FA" w:rsidRPr="008751FA">
        <w:rPr>
          <w:rFonts w:ascii="Arial" w:eastAsia="DengXian" w:hAnsi="Arial" w:cs="Arial"/>
          <w:bCs/>
          <w:color w:val="000000"/>
          <w:sz w:val="22"/>
          <w:szCs w:val="22"/>
        </w:rPr>
        <w:t xml:space="preserve"> reported across 11 of the 12 included studies, and lack of physical examination w</w:t>
      </w:r>
      <w:r w:rsidR="002558E3">
        <w:rPr>
          <w:rFonts w:ascii="Arial" w:eastAsia="DengXian" w:hAnsi="Arial" w:cs="Arial"/>
          <w:bCs/>
          <w:color w:val="000000"/>
          <w:sz w:val="22"/>
          <w:szCs w:val="22"/>
        </w:rPr>
        <w:t>as</w:t>
      </w:r>
      <w:r w:rsidR="008751FA" w:rsidRPr="008751FA">
        <w:rPr>
          <w:rFonts w:ascii="Arial" w:eastAsia="DengXian" w:hAnsi="Arial" w:cs="Arial"/>
          <w:bCs/>
          <w:color w:val="000000"/>
          <w:sz w:val="22"/>
          <w:szCs w:val="22"/>
        </w:rPr>
        <w:t xml:space="preserve"> reported across 11 of the 12 included studies</w:t>
      </w:r>
      <w:r w:rsidR="008751FA">
        <w:rPr>
          <w:rFonts w:ascii="Arial" w:eastAsia="DengXian" w:hAnsi="Arial" w:cs="Arial"/>
          <w:bCs/>
          <w:color w:val="000000"/>
          <w:sz w:val="22"/>
          <w:szCs w:val="22"/>
        </w:rPr>
        <w:t xml:space="preserve"> </w:t>
      </w:r>
      <w:r w:rsidR="007B305E" w:rsidRPr="004410C0">
        <w:rPr>
          <w:rFonts w:ascii="Arial" w:eastAsia="DengXian" w:hAnsi="Arial" w:cs="Arial"/>
          <w:bCs/>
          <w:color w:val="000000"/>
          <w:sz w:val="22"/>
          <w:szCs w:val="22"/>
        </w:rPr>
        <w:t>and digital exclusion w</w:t>
      </w:r>
      <w:r w:rsidR="002558E3">
        <w:rPr>
          <w:rFonts w:ascii="Arial" w:eastAsia="DengXian" w:hAnsi="Arial" w:cs="Arial"/>
          <w:bCs/>
          <w:color w:val="000000"/>
          <w:sz w:val="22"/>
          <w:szCs w:val="22"/>
        </w:rPr>
        <w:t>as</w:t>
      </w:r>
      <w:r w:rsidR="007B305E" w:rsidRPr="004410C0">
        <w:rPr>
          <w:rFonts w:ascii="Arial" w:eastAsia="DengXian" w:hAnsi="Arial" w:cs="Arial"/>
          <w:bCs/>
          <w:color w:val="000000"/>
          <w:sz w:val="22"/>
          <w:szCs w:val="22"/>
        </w:rPr>
        <w:t xml:space="preserve"> reported in </w:t>
      </w:r>
      <w:r w:rsidR="003F4D5D" w:rsidRPr="004410C0">
        <w:rPr>
          <w:rFonts w:ascii="Arial" w:eastAsia="DengXian" w:hAnsi="Arial" w:cs="Arial"/>
          <w:bCs/>
          <w:color w:val="000000"/>
          <w:sz w:val="22"/>
          <w:szCs w:val="22"/>
        </w:rPr>
        <w:t>8</w:t>
      </w:r>
      <w:r w:rsidR="007B305E" w:rsidRPr="004410C0">
        <w:rPr>
          <w:rFonts w:ascii="Arial" w:eastAsia="DengXian" w:hAnsi="Arial" w:cs="Arial"/>
          <w:bCs/>
          <w:color w:val="000000"/>
          <w:sz w:val="22"/>
          <w:szCs w:val="22"/>
        </w:rPr>
        <w:t xml:space="preserve"> studies. Regarding perceived quality, Table 6 showed that </w:t>
      </w:r>
      <w:r w:rsidR="00625EAC" w:rsidRPr="00625EAC">
        <w:rPr>
          <w:rFonts w:ascii="Arial" w:eastAsia="DengXian" w:hAnsi="Arial" w:cs="Arial"/>
          <w:bCs/>
          <w:color w:val="000000"/>
          <w:sz w:val="22"/>
          <w:szCs w:val="22"/>
        </w:rPr>
        <w:t>improved accessibility was reported in 11 of the 12 studies</w:t>
      </w:r>
      <w:r w:rsidR="007B305E" w:rsidRPr="004410C0">
        <w:rPr>
          <w:rFonts w:ascii="Arial" w:eastAsia="DengXian" w:hAnsi="Arial" w:cs="Arial"/>
          <w:bCs/>
          <w:color w:val="000000"/>
          <w:sz w:val="22"/>
          <w:szCs w:val="22"/>
        </w:rPr>
        <w:t xml:space="preserve">, </w:t>
      </w:r>
      <w:r w:rsidR="0086027D" w:rsidRPr="0086027D">
        <w:rPr>
          <w:rFonts w:ascii="Arial" w:eastAsia="DengXian" w:hAnsi="Arial" w:cs="Arial"/>
          <w:bCs/>
          <w:color w:val="000000"/>
          <w:sz w:val="22"/>
          <w:szCs w:val="22"/>
        </w:rPr>
        <w:t>convenience and flexibility in 11 of the 12</w:t>
      </w:r>
      <w:r w:rsidR="007B305E" w:rsidRPr="00C82DC4">
        <w:rPr>
          <w:rFonts w:ascii="Arial" w:eastAsia="DengXian" w:hAnsi="Arial" w:cs="Arial"/>
          <w:bCs/>
          <w:sz w:val="22"/>
          <w:szCs w:val="22"/>
        </w:rPr>
        <w:t xml:space="preserve">, reduced waiting time in 7 and continuity of care in 6. </w:t>
      </w:r>
      <w:r w:rsidR="006A0E04" w:rsidRPr="006A0E04">
        <w:rPr>
          <w:rFonts w:ascii="Arial" w:eastAsia="DengXian" w:hAnsi="Arial" w:cs="Arial"/>
          <w:bCs/>
          <w:sz w:val="22"/>
          <w:szCs w:val="22"/>
        </w:rPr>
        <w:t>Table 7 identified lack of physical examination in 11 of the 12 studies and diagnostic uncertainty in 11 of the 12 studies as important challenges</w:t>
      </w:r>
      <w:r w:rsidR="007B305E" w:rsidRPr="00C82DC4">
        <w:rPr>
          <w:rFonts w:ascii="Arial" w:eastAsia="DengXian" w:hAnsi="Arial" w:cs="Arial"/>
          <w:bCs/>
          <w:sz w:val="22"/>
          <w:szCs w:val="22"/>
        </w:rPr>
        <w:t>, alongside reduced personal interaction, technical difficulties, digital exclusion, communication limitations and privacy concerns. Comparison of consultation modalities showed that telephone consultations were valued for convenience, reliability, familiarity and ease of use, whereas video consultations provided greater visual interaction, reassurance and connection. However, the evidence did not establish consistent overall superiority of either modality</w:t>
      </w:r>
      <w:r w:rsidR="007B305E" w:rsidRPr="00FA60CA">
        <w:rPr>
          <w:rFonts w:ascii="Arial" w:eastAsia="DengXian" w:hAnsi="Arial" w:cs="Arial"/>
          <w:bCs/>
          <w:sz w:val="22"/>
          <w:szCs w:val="22"/>
        </w:rPr>
        <w:t xml:space="preserve">. </w:t>
      </w:r>
      <w:r w:rsidR="006A0E04" w:rsidRPr="00FA60CA">
        <w:rPr>
          <w:rFonts w:ascii="Arial" w:eastAsia="DengXian" w:hAnsi="Arial" w:cs="Arial"/>
          <w:bCs/>
          <w:color w:val="000000"/>
          <w:sz w:val="22"/>
          <w:szCs w:val="22"/>
        </w:rPr>
        <w:t>Table 9 further identified limited comparative evidence in all 12 studies</w:t>
      </w:r>
      <w:r w:rsidR="007B305E" w:rsidRPr="00FA60CA">
        <w:rPr>
          <w:rFonts w:ascii="Arial" w:eastAsia="DengXian" w:hAnsi="Arial" w:cs="Arial"/>
          <w:bCs/>
          <w:color w:val="000000"/>
          <w:sz w:val="22"/>
          <w:szCs w:val="22"/>
        </w:rPr>
        <w:t>, limited long-term evidence in 9, inadequate attention to vulnerable populations in 8, insufficient evidence on digital exclusion in 7, lack of standardised satisfaction measures in 6 and limited post-pandemic evaluations in 5 studies</w:t>
      </w:r>
      <w:r w:rsidRPr="00FA60CA">
        <w:rPr>
          <w:rFonts w:ascii="Arial" w:eastAsia="DengXian" w:hAnsi="Arial" w:cs="Arial"/>
          <w:bCs/>
          <w:color w:val="000000"/>
          <w:sz w:val="22"/>
          <w:szCs w:val="22"/>
          <w:lang w:eastAsia="zh-CN"/>
        </w:rPr>
        <w:t>.</w:t>
      </w:r>
    </w:p>
    <w:p w14:paraId="5FDE7C6E" w14:textId="77777777" w:rsidR="002854DB" w:rsidRPr="00EE4FC1" w:rsidRDefault="00EE4FC1" w:rsidP="00EE4FC1">
      <w:pPr>
        <w:spacing w:after="158" w:line="360" w:lineRule="auto"/>
        <w:jc w:val="both"/>
        <w:rPr>
          <w:rFonts w:ascii="Arial" w:eastAsia="DengXian" w:hAnsi="Arial" w:cs="Arial"/>
          <w:bCs/>
          <w:sz w:val="22"/>
          <w:szCs w:val="22"/>
          <w:lang w:val="en-US" w:eastAsia="zh-CN"/>
        </w:rPr>
      </w:pPr>
      <w:r w:rsidRPr="00FA60CA">
        <w:rPr>
          <w:rFonts w:ascii="Arial" w:eastAsia="DengXian" w:hAnsi="Arial" w:cs="Arial"/>
          <w:b/>
          <w:sz w:val="22"/>
          <w:szCs w:val="22"/>
          <w:lang w:val="en-US" w:eastAsia="zh-CN"/>
        </w:rPr>
        <w:t>Keywords:</w:t>
      </w:r>
      <w:r w:rsidRPr="00FA60CA">
        <w:rPr>
          <w:rFonts w:ascii="Arial" w:eastAsia="DengXian" w:hAnsi="Arial" w:cs="Arial"/>
          <w:bCs/>
          <w:sz w:val="22"/>
          <w:szCs w:val="22"/>
          <w:lang w:val="en-US" w:eastAsia="zh-CN"/>
        </w:rPr>
        <w:t xml:space="preserve"> Telemedicine; Patient Satisfaction; Primary Care; UK He</w:t>
      </w:r>
      <w:r w:rsidRPr="00EE4FC1">
        <w:rPr>
          <w:rFonts w:ascii="Arial" w:eastAsia="DengXian" w:hAnsi="Arial" w:cs="Arial"/>
          <w:bCs/>
          <w:sz w:val="22"/>
          <w:szCs w:val="22"/>
          <w:lang w:val="en-US" w:eastAsia="zh-CN"/>
        </w:rPr>
        <w:t>althcare; Adult Patients; Telephone Consultations; Video Consultations; Perceived Quality; Digital Exclusion; Patient Experience.</w:t>
      </w:r>
    </w:p>
    <w:p w14:paraId="75587DD2" w14:textId="77777777" w:rsidR="00EE4FC1" w:rsidRPr="002854DB" w:rsidRDefault="008A7B71" w:rsidP="002854DB">
      <w:pPr>
        <w:pStyle w:val="Heading1"/>
        <w:jc w:val="center"/>
        <w:rPr>
          <w:rFonts w:ascii="Arial" w:eastAsia="PMingLiU" w:hAnsi="Arial" w:cs="Arial"/>
          <w:b/>
          <w:bCs/>
          <w:color w:val="auto"/>
          <w:kern w:val="0"/>
          <w:sz w:val="22"/>
          <w:szCs w:val="22"/>
          <w:lang w:val="en-US"/>
        </w:rPr>
      </w:pPr>
      <w:bookmarkStart w:id="8" w:name="_Toc241618942"/>
      <w:r w:rsidRPr="002854DB">
        <w:rPr>
          <w:rFonts w:ascii="Arial" w:eastAsia="PMingLiU" w:hAnsi="Arial" w:cs="Arial"/>
          <w:b/>
          <w:bCs/>
          <w:color w:val="auto"/>
          <w:kern w:val="0"/>
          <w:sz w:val="22"/>
          <w:szCs w:val="22"/>
          <w:lang w:val="en-US"/>
        </w:rPr>
        <w:lastRenderedPageBreak/>
        <w:t>TABLE OF CONTENTS</w:t>
      </w:r>
      <w:bookmarkEnd w:id="8"/>
    </w:p>
    <w:p w14:paraId="11CD2503" w14:textId="4782B9DD" w:rsidR="00875C99" w:rsidRDefault="00EE4FC1">
      <w:pPr>
        <w:pStyle w:val="TOC1"/>
        <w:tabs>
          <w:tab w:val="right" w:leader="dot" w:pos="9016"/>
        </w:tabs>
        <w:rPr>
          <w:rFonts w:asciiTheme="minorHAnsi" w:eastAsiaTheme="minorEastAsia" w:hAnsiTheme="minorHAnsi" w:cstheme="minorBidi"/>
          <w:noProof/>
          <w:sz w:val="24"/>
          <w:szCs w:val="24"/>
          <w:lang w:eastAsia="en-GB"/>
          <w14:ligatures w14:val="standardContextual"/>
        </w:rPr>
      </w:pPr>
      <w:r w:rsidRPr="002854DB">
        <w:fldChar w:fldCharType="begin"/>
      </w:r>
      <w:r w:rsidRPr="002854DB">
        <w:instrText xml:space="preserve"> TOC \o "1-3" \h \z \u </w:instrText>
      </w:r>
      <w:r w:rsidRPr="002854DB">
        <w:fldChar w:fldCharType="separate"/>
      </w:r>
      <w:hyperlink w:anchor="_Toc241618941" w:history="1">
        <w:r w:rsidR="00875C99" w:rsidRPr="00BE1711">
          <w:rPr>
            <w:rStyle w:val="Hyperlink"/>
            <w:rFonts w:ascii="Arial" w:eastAsia="Times New Roman" w:hAnsi="Arial" w:cs="Arial"/>
            <w:b/>
            <w:noProof/>
          </w:rPr>
          <w:t>Acknowledgements</w:t>
        </w:r>
        <w:r w:rsidR="00875C99">
          <w:rPr>
            <w:noProof/>
            <w:webHidden/>
          </w:rPr>
          <w:tab/>
        </w:r>
        <w:r w:rsidR="00875C99">
          <w:rPr>
            <w:noProof/>
            <w:webHidden/>
          </w:rPr>
          <w:fldChar w:fldCharType="begin"/>
        </w:r>
        <w:r w:rsidR="00875C99">
          <w:rPr>
            <w:noProof/>
            <w:webHidden/>
          </w:rPr>
          <w:instrText xml:space="preserve"> PAGEREF _Toc241618941 \h </w:instrText>
        </w:r>
        <w:r w:rsidR="00875C99">
          <w:rPr>
            <w:noProof/>
            <w:webHidden/>
          </w:rPr>
        </w:r>
        <w:r w:rsidR="00875C99">
          <w:rPr>
            <w:noProof/>
            <w:webHidden/>
          </w:rPr>
          <w:fldChar w:fldCharType="separate"/>
        </w:r>
        <w:r w:rsidR="00875C99">
          <w:rPr>
            <w:noProof/>
            <w:webHidden/>
          </w:rPr>
          <w:t>3</w:t>
        </w:r>
        <w:r w:rsidR="00875C99">
          <w:rPr>
            <w:noProof/>
            <w:webHidden/>
          </w:rPr>
          <w:fldChar w:fldCharType="end"/>
        </w:r>
      </w:hyperlink>
    </w:p>
    <w:p w14:paraId="06119B3E" w14:textId="7D23326A" w:rsidR="00875C99" w:rsidRDefault="00875C99">
      <w:pPr>
        <w:pStyle w:val="TOC1"/>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42" w:history="1">
        <w:r w:rsidRPr="00BE1711">
          <w:rPr>
            <w:rStyle w:val="Hyperlink"/>
            <w:rFonts w:ascii="Arial" w:hAnsi="Arial" w:cs="Arial"/>
            <w:b/>
            <w:bCs/>
            <w:noProof/>
            <w:kern w:val="0"/>
            <w:lang w:val="en-US"/>
          </w:rPr>
          <w:t>TABLE OF CONTENTS</w:t>
        </w:r>
        <w:r>
          <w:rPr>
            <w:noProof/>
            <w:webHidden/>
          </w:rPr>
          <w:tab/>
        </w:r>
        <w:r>
          <w:rPr>
            <w:noProof/>
            <w:webHidden/>
          </w:rPr>
          <w:fldChar w:fldCharType="begin"/>
        </w:r>
        <w:r>
          <w:rPr>
            <w:noProof/>
            <w:webHidden/>
          </w:rPr>
          <w:instrText xml:space="preserve"> PAGEREF _Toc241618942 \h </w:instrText>
        </w:r>
        <w:r>
          <w:rPr>
            <w:noProof/>
            <w:webHidden/>
          </w:rPr>
        </w:r>
        <w:r>
          <w:rPr>
            <w:noProof/>
            <w:webHidden/>
          </w:rPr>
          <w:fldChar w:fldCharType="separate"/>
        </w:r>
        <w:r>
          <w:rPr>
            <w:noProof/>
            <w:webHidden/>
          </w:rPr>
          <w:t>5</w:t>
        </w:r>
        <w:r>
          <w:rPr>
            <w:noProof/>
            <w:webHidden/>
          </w:rPr>
          <w:fldChar w:fldCharType="end"/>
        </w:r>
      </w:hyperlink>
    </w:p>
    <w:p w14:paraId="6C7D4102" w14:textId="47658362" w:rsidR="00875C99" w:rsidRDefault="00875C99">
      <w:pPr>
        <w:pStyle w:val="TOC1"/>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43" w:history="1">
        <w:r w:rsidRPr="00BE1711">
          <w:rPr>
            <w:rStyle w:val="Hyperlink"/>
            <w:rFonts w:ascii="Arial" w:eastAsia="Times New Roman" w:hAnsi="Arial" w:cs="Arial"/>
            <w:b/>
            <w:noProof/>
          </w:rPr>
          <w:t>LIST OF FIGURES</w:t>
        </w:r>
        <w:r>
          <w:rPr>
            <w:noProof/>
            <w:webHidden/>
          </w:rPr>
          <w:tab/>
        </w:r>
        <w:r>
          <w:rPr>
            <w:noProof/>
            <w:webHidden/>
          </w:rPr>
          <w:fldChar w:fldCharType="begin"/>
        </w:r>
        <w:r>
          <w:rPr>
            <w:noProof/>
            <w:webHidden/>
          </w:rPr>
          <w:instrText xml:space="preserve"> PAGEREF _Toc241618943 \h </w:instrText>
        </w:r>
        <w:r>
          <w:rPr>
            <w:noProof/>
            <w:webHidden/>
          </w:rPr>
        </w:r>
        <w:r>
          <w:rPr>
            <w:noProof/>
            <w:webHidden/>
          </w:rPr>
          <w:fldChar w:fldCharType="separate"/>
        </w:r>
        <w:r>
          <w:rPr>
            <w:noProof/>
            <w:webHidden/>
          </w:rPr>
          <w:t>7</w:t>
        </w:r>
        <w:r>
          <w:rPr>
            <w:noProof/>
            <w:webHidden/>
          </w:rPr>
          <w:fldChar w:fldCharType="end"/>
        </w:r>
      </w:hyperlink>
    </w:p>
    <w:p w14:paraId="1C33DF5E" w14:textId="48387CB7" w:rsidR="00875C99" w:rsidRDefault="00875C99">
      <w:pPr>
        <w:pStyle w:val="TOC1"/>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44" w:history="1">
        <w:r w:rsidRPr="00BE1711">
          <w:rPr>
            <w:rStyle w:val="Hyperlink"/>
            <w:rFonts w:ascii="Arial" w:hAnsi="Arial" w:cs="Arial"/>
            <w:b/>
            <w:noProof/>
          </w:rPr>
          <w:t>LIST OF TABLES</w:t>
        </w:r>
        <w:r>
          <w:rPr>
            <w:noProof/>
            <w:webHidden/>
          </w:rPr>
          <w:tab/>
        </w:r>
        <w:r>
          <w:rPr>
            <w:noProof/>
            <w:webHidden/>
          </w:rPr>
          <w:fldChar w:fldCharType="begin"/>
        </w:r>
        <w:r>
          <w:rPr>
            <w:noProof/>
            <w:webHidden/>
          </w:rPr>
          <w:instrText xml:space="preserve"> PAGEREF _Toc241618944 \h </w:instrText>
        </w:r>
        <w:r>
          <w:rPr>
            <w:noProof/>
            <w:webHidden/>
          </w:rPr>
        </w:r>
        <w:r>
          <w:rPr>
            <w:noProof/>
            <w:webHidden/>
          </w:rPr>
          <w:fldChar w:fldCharType="separate"/>
        </w:r>
        <w:r>
          <w:rPr>
            <w:noProof/>
            <w:webHidden/>
          </w:rPr>
          <w:t>8</w:t>
        </w:r>
        <w:r>
          <w:rPr>
            <w:noProof/>
            <w:webHidden/>
          </w:rPr>
          <w:fldChar w:fldCharType="end"/>
        </w:r>
      </w:hyperlink>
    </w:p>
    <w:p w14:paraId="0D0CD385" w14:textId="5D0CDC17" w:rsidR="00875C99" w:rsidRDefault="00875C99">
      <w:pPr>
        <w:pStyle w:val="TOC1"/>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45" w:history="1">
        <w:r w:rsidRPr="00BE1711">
          <w:rPr>
            <w:rStyle w:val="Hyperlink"/>
            <w:rFonts w:ascii="Arial" w:eastAsia="Times New Roman" w:hAnsi="Arial" w:cs="Arial"/>
            <w:b/>
            <w:noProof/>
          </w:rPr>
          <w:t>LIST OF ABBREVIATIONS</w:t>
        </w:r>
        <w:r>
          <w:rPr>
            <w:noProof/>
            <w:webHidden/>
          </w:rPr>
          <w:tab/>
        </w:r>
        <w:r>
          <w:rPr>
            <w:noProof/>
            <w:webHidden/>
          </w:rPr>
          <w:fldChar w:fldCharType="begin"/>
        </w:r>
        <w:r>
          <w:rPr>
            <w:noProof/>
            <w:webHidden/>
          </w:rPr>
          <w:instrText xml:space="preserve"> PAGEREF _Toc241618945 \h </w:instrText>
        </w:r>
        <w:r>
          <w:rPr>
            <w:noProof/>
            <w:webHidden/>
          </w:rPr>
        </w:r>
        <w:r>
          <w:rPr>
            <w:noProof/>
            <w:webHidden/>
          </w:rPr>
          <w:fldChar w:fldCharType="separate"/>
        </w:r>
        <w:r>
          <w:rPr>
            <w:noProof/>
            <w:webHidden/>
          </w:rPr>
          <w:t>9</w:t>
        </w:r>
        <w:r>
          <w:rPr>
            <w:noProof/>
            <w:webHidden/>
          </w:rPr>
          <w:fldChar w:fldCharType="end"/>
        </w:r>
      </w:hyperlink>
    </w:p>
    <w:p w14:paraId="401B5BE6" w14:textId="115313B9" w:rsidR="00875C99" w:rsidRDefault="00875C99">
      <w:pPr>
        <w:pStyle w:val="TOC1"/>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46" w:history="1">
        <w:r w:rsidRPr="00BE1711">
          <w:rPr>
            <w:rStyle w:val="Hyperlink"/>
            <w:rFonts w:ascii="Arial" w:hAnsi="Arial" w:cs="Arial"/>
            <w:b/>
            <w:bCs/>
            <w:noProof/>
          </w:rPr>
          <w:t>CHAPTER ONE</w:t>
        </w:r>
        <w:r>
          <w:rPr>
            <w:noProof/>
            <w:webHidden/>
          </w:rPr>
          <w:tab/>
        </w:r>
        <w:r>
          <w:rPr>
            <w:noProof/>
            <w:webHidden/>
          </w:rPr>
          <w:fldChar w:fldCharType="begin"/>
        </w:r>
        <w:r>
          <w:rPr>
            <w:noProof/>
            <w:webHidden/>
          </w:rPr>
          <w:instrText xml:space="preserve"> PAGEREF _Toc241618946 \h </w:instrText>
        </w:r>
        <w:r>
          <w:rPr>
            <w:noProof/>
            <w:webHidden/>
          </w:rPr>
        </w:r>
        <w:r>
          <w:rPr>
            <w:noProof/>
            <w:webHidden/>
          </w:rPr>
          <w:fldChar w:fldCharType="separate"/>
        </w:r>
        <w:r>
          <w:rPr>
            <w:noProof/>
            <w:webHidden/>
          </w:rPr>
          <w:t>10</w:t>
        </w:r>
        <w:r>
          <w:rPr>
            <w:noProof/>
            <w:webHidden/>
          </w:rPr>
          <w:fldChar w:fldCharType="end"/>
        </w:r>
      </w:hyperlink>
    </w:p>
    <w:p w14:paraId="74A16470" w14:textId="1361A64B" w:rsidR="00875C99" w:rsidRDefault="00875C99">
      <w:pPr>
        <w:pStyle w:val="TOC1"/>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47" w:history="1">
        <w:r w:rsidRPr="00BE171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_Toc241618947 \h </w:instrText>
        </w:r>
        <w:r>
          <w:rPr>
            <w:noProof/>
            <w:webHidden/>
          </w:rPr>
        </w:r>
        <w:r>
          <w:rPr>
            <w:noProof/>
            <w:webHidden/>
          </w:rPr>
          <w:fldChar w:fldCharType="separate"/>
        </w:r>
        <w:r>
          <w:rPr>
            <w:noProof/>
            <w:webHidden/>
          </w:rPr>
          <w:t>10</w:t>
        </w:r>
        <w:r>
          <w:rPr>
            <w:noProof/>
            <w:webHidden/>
          </w:rPr>
          <w:fldChar w:fldCharType="end"/>
        </w:r>
      </w:hyperlink>
    </w:p>
    <w:p w14:paraId="6E970D61" w14:textId="2D600697" w:rsidR="00875C99" w:rsidRDefault="00875C99">
      <w:pPr>
        <w:pStyle w:val="TOC2"/>
        <w:tabs>
          <w:tab w:val="left" w:pos="960"/>
          <w:tab w:val="right" w:leader="dot" w:pos="9016"/>
        </w:tabs>
        <w:rPr>
          <w:rFonts w:asciiTheme="minorHAnsi" w:eastAsiaTheme="minorEastAsia" w:hAnsiTheme="minorHAnsi" w:cstheme="minorBidi"/>
          <w:noProof/>
          <w:sz w:val="24"/>
          <w:szCs w:val="24"/>
          <w:lang w:eastAsia="en-GB"/>
          <w14:ligatures w14:val="standardContextual"/>
        </w:rPr>
      </w:pPr>
      <w:hyperlink w:anchor="_Toc241618948" w:history="1">
        <w:r w:rsidRPr="00BE1711">
          <w:rPr>
            <w:rStyle w:val="Hyperlink"/>
            <w:rFonts w:ascii="Arial" w:hAnsi="Arial" w:cs="Arial"/>
            <w:b/>
            <w:bCs/>
            <w:noProof/>
          </w:rPr>
          <w:t>1.1</w:t>
        </w:r>
        <w:r>
          <w:rPr>
            <w:rFonts w:asciiTheme="minorHAnsi" w:eastAsiaTheme="minorEastAsia" w:hAnsiTheme="minorHAnsi" w:cstheme="minorBidi"/>
            <w:noProof/>
            <w:sz w:val="24"/>
            <w:szCs w:val="24"/>
            <w:lang w:eastAsia="en-GB"/>
            <w14:ligatures w14:val="standardContextual"/>
          </w:rPr>
          <w:tab/>
        </w:r>
        <w:r w:rsidRPr="00BE1711">
          <w:rPr>
            <w:rStyle w:val="Hyperlink"/>
            <w:rFonts w:ascii="Arial" w:hAnsi="Arial" w:cs="Arial"/>
            <w:b/>
            <w:bCs/>
            <w:noProof/>
          </w:rPr>
          <w:t>Background of the Study</w:t>
        </w:r>
        <w:r>
          <w:rPr>
            <w:noProof/>
            <w:webHidden/>
          </w:rPr>
          <w:tab/>
        </w:r>
        <w:r>
          <w:rPr>
            <w:noProof/>
            <w:webHidden/>
          </w:rPr>
          <w:fldChar w:fldCharType="begin"/>
        </w:r>
        <w:r>
          <w:rPr>
            <w:noProof/>
            <w:webHidden/>
          </w:rPr>
          <w:instrText xml:space="preserve"> PAGEREF _Toc241618948 \h </w:instrText>
        </w:r>
        <w:r>
          <w:rPr>
            <w:noProof/>
            <w:webHidden/>
          </w:rPr>
        </w:r>
        <w:r>
          <w:rPr>
            <w:noProof/>
            <w:webHidden/>
          </w:rPr>
          <w:fldChar w:fldCharType="separate"/>
        </w:r>
        <w:r>
          <w:rPr>
            <w:noProof/>
            <w:webHidden/>
          </w:rPr>
          <w:t>10</w:t>
        </w:r>
        <w:r>
          <w:rPr>
            <w:noProof/>
            <w:webHidden/>
          </w:rPr>
          <w:fldChar w:fldCharType="end"/>
        </w:r>
      </w:hyperlink>
    </w:p>
    <w:p w14:paraId="33E92346" w14:textId="6918FB63" w:rsidR="00875C99" w:rsidRDefault="00875C99">
      <w:pPr>
        <w:pStyle w:val="TOC2"/>
        <w:tabs>
          <w:tab w:val="left" w:pos="2832"/>
          <w:tab w:val="right" w:leader="dot" w:pos="9016"/>
        </w:tabs>
        <w:rPr>
          <w:rFonts w:asciiTheme="minorHAnsi" w:eastAsiaTheme="minorEastAsia" w:hAnsiTheme="minorHAnsi" w:cstheme="minorBidi"/>
          <w:noProof/>
          <w:sz w:val="24"/>
          <w:szCs w:val="24"/>
          <w:lang w:eastAsia="en-GB"/>
          <w14:ligatures w14:val="standardContextual"/>
        </w:rPr>
      </w:pPr>
      <w:hyperlink w:anchor="_Toc241618949" w:history="1">
        <w:r w:rsidRPr="00BE1711">
          <w:rPr>
            <w:rStyle w:val="Hyperlink"/>
            <w:rFonts w:ascii="Arial" w:eastAsia="Times New Roman" w:hAnsi="Arial" w:cs="Arial"/>
            <w:b/>
            <w:bCs/>
            <w:noProof/>
            <w:kern w:val="0"/>
            <w:lang w:eastAsia="en-GB"/>
          </w:rPr>
          <w:t>1.2 Problem Statement</w:t>
        </w:r>
        <w:r>
          <w:rPr>
            <w:rStyle w:val="Hyperlink"/>
            <w:rFonts w:ascii="Arial" w:eastAsia="Times New Roman" w:hAnsi="Arial" w:cs="Arial"/>
            <w:b/>
            <w:bCs/>
            <w:noProof/>
            <w:kern w:val="0"/>
            <w:lang w:eastAsia="en-GB"/>
          </w:rPr>
          <w:t>….</w:t>
        </w:r>
        <w:r>
          <w:rPr>
            <w:rFonts w:asciiTheme="minorHAnsi" w:eastAsiaTheme="minorEastAsia" w:hAnsiTheme="minorHAnsi" w:cstheme="minorBidi"/>
            <w:noProof/>
            <w:sz w:val="24"/>
            <w:szCs w:val="24"/>
            <w:lang w:eastAsia="en-GB"/>
            <w14:ligatures w14:val="standardContextual"/>
          </w:rPr>
          <w:t>….</w:t>
        </w:r>
        <w:r w:rsidRPr="00BE1711">
          <w:rPr>
            <w:rStyle w:val="Hyperlink"/>
            <w:rFonts w:ascii="Arial" w:hAnsi="Arial" w:cs="Arial"/>
            <w:noProof/>
            <w:lang w:val="en-US"/>
          </w:rPr>
          <w:t>.</w:t>
        </w:r>
        <w:r>
          <w:rPr>
            <w:noProof/>
            <w:webHidden/>
          </w:rPr>
          <w:tab/>
        </w:r>
        <w:r>
          <w:rPr>
            <w:noProof/>
            <w:webHidden/>
          </w:rPr>
          <w:fldChar w:fldCharType="begin"/>
        </w:r>
        <w:r>
          <w:rPr>
            <w:noProof/>
            <w:webHidden/>
          </w:rPr>
          <w:instrText xml:space="preserve"> PAGEREF _Toc241618949 \h </w:instrText>
        </w:r>
        <w:r>
          <w:rPr>
            <w:noProof/>
            <w:webHidden/>
          </w:rPr>
        </w:r>
        <w:r>
          <w:rPr>
            <w:noProof/>
            <w:webHidden/>
          </w:rPr>
          <w:fldChar w:fldCharType="separate"/>
        </w:r>
        <w:r>
          <w:rPr>
            <w:noProof/>
            <w:webHidden/>
          </w:rPr>
          <w:t>12</w:t>
        </w:r>
        <w:r>
          <w:rPr>
            <w:noProof/>
            <w:webHidden/>
          </w:rPr>
          <w:fldChar w:fldCharType="end"/>
        </w:r>
      </w:hyperlink>
    </w:p>
    <w:p w14:paraId="11FAF09A" w14:textId="121458AF"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50" w:history="1">
        <w:r w:rsidRPr="00BE1711">
          <w:rPr>
            <w:rStyle w:val="Hyperlink"/>
            <w:rFonts w:ascii="Arial" w:hAnsi="Arial" w:cs="Arial"/>
            <w:b/>
            <w:bCs/>
            <w:noProof/>
          </w:rPr>
          <w:t>1.3 Scope of the Study</w:t>
        </w:r>
        <w:r>
          <w:rPr>
            <w:noProof/>
            <w:webHidden/>
          </w:rPr>
          <w:tab/>
        </w:r>
        <w:r>
          <w:rPr>
            <w:noProof/>
            <w:webHidden/>
          </w:rPr>
          <w:fldChar w:fldCharType="begin"/>
        </w:r>
        <w:r>
          <w:rPr>
            <w:noProof/>
            <w:webHidden/>
          </w:rPr>
          <w:instrText xml:space="preserve"> PAGEREF _Toc241618950 \h </w:instrText>
        </w:r>
        <w:r>
          <w:rPr>
            <w:noProof/>
            <w:webHidden/>
          </w:rPr>
        </w:r>
        <w:r>
          <w:rPr>
            <w:noProof/>
            <w:webHidden/>
          </w:rPr>
          <w:fldChar w:fldCharType="separate"/>
        </w:r>
        <w:r>
          <w:rPr>
            <w:noProof/>
            <w:webHidden/>
          </w:rPr>
          <w:t>12</w:t>
        </w:r>
        <w:r>
          <w:rPr>
            <w:noProof/>
            <w:webHidden/>
          </w:rPr>
          <w:fldChar w:fldCharType="end"/>
        </w:r>
      </w:hyperlink>
    </w:p>
    <w:p w14:paraId="62ECF1F3" w14:textId="1F2F4B70"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51" w:history="1">
        <w:r w:rsidRPr="00BE1711">
          <w:rPr>
            <w:rStyle w:val="Hyperlink"/>
            <w:rFonts w:ascii="Arial" w:hAnsi="Arial" w:cs="Arial"/>
            <w:b/>
            <w:bCs/>
            <w:noProof/>
          </w:rPr>
          <w:t>1.4 Research Aim and Objectives</w:t>
        </w:r>
        <w:r>
          <w:rPr>
            <w:noProof/>
            <w:webHidden/>
          </w:rPr>
          <w:tab/>
        </w:r>
        <w:r>
          <w:rPr>
            <w:noProof/>
            <w:webHidden/>
          </w:rPr>
          <w:fldChar w:fldCharType="begin"/>
        </w:r>
        <w:r>
          <w:rPr>
            <w:noProof/>
            <w:webHidden/>
          </w:rPr>
          <w:instrText xml:space="preserve"> PAGEREF _Toc241618951 \h </w:instrText>
        </w:r>
        <w:r>
          <w:rPr>
            <w:noProof/>
            <w:webHidden/>
          </w:rPr>
        </w:r>
        <w:r>
          <w:rPr>
            <w:noProof/>
            <w:webHidden/>
          </w:rPr>
          <w:fldChar w:fldCharType="separate"/>
        </w:r>
        <w:r>
          <w:rPr>
            <w:noProof/>
            <w:webHidden/>
          </w:rPr>
          <w:t>13</w:t>
        </w:r>
        <w:r>
          <w:rPr>
            <w:noProof/>
            <w:webHidden/>
          </w:rPr>
          <w:fldChar w:fldCharType="end"/>
        </w:r>
      </w:hyperlink>
    </w:p>
    <w:p w14:paraId="370AE559" w14:textId="34D0FC78" w:rsidR="00875C99" w:rsidRDefault="00875C99">
      <w:pPr>
        <w:pStyle w:val="TOC3"/>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52" w:history="1">
        <w:r w:rsidRPr="00BE1711">
          <w:rPr>
            <w:rStyle w:val="Hyperlink"/>
            <w:rFonts w:ascii="Arial" w:hAnsi="Arial" w:cs="Arial"/>
            <w:b/>
            <w:bCs/>
            <w:noProof/>
          </w:rPr>
          <w:t>1.4.1 Research Aim</w:t>
        </w:r>
        <w:r>
          <w:rPr>
            <w:noProof/>
            <w:webHidden/>
          </w:rPr>
          <w:tab/>
        </w:r>
        <w:r>
          <w:rPr>
            <w:noProof/>
            <w:webHidden/>
          </w:rPr>
          <w:fldChar w:fldCharType="begin"/>
        </w:r>
        <w:r>
          <w:rPr>
            <w:noProof/>
            <w:webHidden/>
          </w:rPr>
          <w:instrText xml:space="preserve"> PAGEREF _Toc241618952 \h </w:instrText>
        </w:r>
        <w:r>
          <w:rPr>
            <w:noProof/>
            <w:webHidden/>
          </w:rPr>
        </w:r>
        <w:r>
          <w:rPr>
            <w:noProof/>
            <w:webHidden/>
          </w:rPr>
          <w:fldChar w:fldCharType="separate"/>
        </w:r>
        <w:r>
          <w:rPr>
            <w:noProof/>
            <w:webHidden/>
          </w:rPr>
          <w:t>13</w:t>
        </w:r>
        <w:r>
          <w:rPr>
            <w:noProof/>
            <w:webHidden/>
          </w:rPr>
          <w:fldChar w:fldCharType="end"/>
        </w:r>
      </w:hyperlink>
    </w:p>
    <w:p w14:paraId="380D5AA7" w14:textId="4C928DB5" w:rsidR="00875C99" w:rsidRDefault="00875C99">
      <w:pPr>
        <w:pStyle w:val="TOC3"/>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53" w:history="1">
        <w:r w:rsidRPr="00BE1711">
          <w:rPr>
            <w:rStyle w:val="Hyperlink"/>
            <w:rFonts w:ascii="Arial" w:hAnsi="Arial" w:cs="Arial"/>
            <w:b/>
            <w:bCs/>
            <w:noProof/>
          </w:rPr>
          <w:t>1.4.2 Research Objectives</w:t>
        </w:r>
        <w:r>
          <w:rPr>
            <w:noProof/>
            <w:webHidden/>
          </w:rPr>
          <w:tab/>
        </w:r>
        <w:r>
          <w:rPr>
            <w:noProof/>
            <w:webHidden/>
          </w:rPr>
          <w:fldChar w:fldCharType="begin"/>
        </w:r>
        <w:r>
          <w:rPr>
            <w:noProof/>
            <w:webHidden/>
          </w:rPr>
          <w:instrText xml:space="preserve"> PAGEREF _Toc241618953 \h </w:instrText>
        </w:r>
        <w:r>
          <w:rPr>
            <w:noProof/>
            <w:webHidden/>
          </w:rPr>
        </w:r>
        <w:r>
          <w:rPr>
            <w:noProof/>
            <w:webHidden/>
          </w:rPr>
          <w:fldChar w:fldCharType="separate"/>
        </w:r>
        <w:r>
          <w:rPr>
            <w:noProof/>
            <w:webHidden/>
          </w:rPr>
          <w:t>13</w:t>
        </w:r>
        <w:r>
          <w:rPr>
            <w:noProof/>
            <w:webHidden/>
          </w:rPr>
          <w:fldChar w:fldCharType="end"/>
        </w:r>
      </w:hyperlink>
    </w:p>
    <w:p w14:paraId="735B91E8" w14:textId="6AD74DC0"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54" w:history="1">
        <w:r w:rsidRPr="00BE1711">
          <w:rPr>
            <w:rStyle w:val="Hyperlink"/>
            <w:rFonts w:ascii="Arial" w:hAnsi="Arial" w:cs="Arial"/>
            <w:b/>
            <w:bCs/>
            <w:noProof/>
          </w:rPr>
          <w:t>1.5 Research Question</w:t>
        </w:r>
        <w:r>
          <w:rPr>
            <w:noProof/>
            <w:webHidden/>
          </w:rPr>
          <w:tab/>
        </w:r>
        <w:r>
          <w:rPr>
            <w:noProof/>
            <w:webHidden/>
          </w:rPr>
          <w:fldChar w:fldCharType="begin"/>
        </w:r>
        <w:r>
          <w:rPr>
            <w:noProof/>
            <w:webHidden/>
          </w:rPr>
          <w:instrText xml:space="preserve"> PAGEREF _Toc241618954 \h </w:instrText>
        </w:r>
        <w:r>
          <w:rPr>
            <w:noProof/>
            <w:webHidden/>
          </w:rPr>
        </w:r>
        <w:r>
          <w:rPr>
            <w:noProof/>
            <w:webHidden/>
          </w:rPr>
          <w:fldChar w:fldCharType="separate"/>
        </w:r>
        <w:r>
          <w:rPr>
            <w:noProof/>
            <w:webHidden/>
          </w:rPr>
          <w:t>13</w:t>
        </w:r>
        <w:r>
          <w:rPr>
            <w:noProof/>
            <w:webHidden/>
          </w:rPr>
          <w:fldChar w:fldCharType="end"/>
        </w:r>
      </w:hyperlink>
    </w:p>
    <w:p w14:paraId="1AF957F0" w14:textId="7691A79C"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55" w:history="1">
        <w:r w:rsidRPr="00BE1711">
          <w:rPr>
            <w:rStyle w:val="Hyperlink"/>
            <w:rFonts w:ascii="Arial" w:hAnsi="Arial" w:cs="Arial"/>
            <w:b/>
            <w:bCs/>
            <w:noProof/>
          </w:rPr>
          <w:t>1.6 Significance of the Study</w:t>
        </w:r>
        <w:r>
          <w:rPr>
            <w:noProof/>
            <w:webHidden/>
          </w:rPr>
          <w:tab/>
        </w:r>
        <w:r>
          <w:rPr>
            <w:noProof/>
            <w:webHidden/>
          </w:rPr>
          <w:fldChar w:fldCharType="begin"/>
        </w:r>
        <w:r>
          <w:rPr>
            <w:noProof/>
            <w:webHidden/>
          </w:rPr>
          <w:instrText xml:space="preserve"> PAGEREF _Toc241618955 \h </w:instrText>
        </w:r>
        <w:r>
          <w:rPr>
            <w:noProof/>
            <w:webHidden/>
          </w:rPr>
        </w:r>
        <w:r>
          <w:rPr>
            <w:noProof/>
            <w:webHidden/>
          </w:rPr>
          <w:fldChar w:fldCharType="separate"/>
        </w:r>
        <w:r>
          <w:rPr>
            <w:noProof/>
            <w:webHidden/>
          </w:rPr>
          <w:t>13</w:t>
        </w:r>
        <w:r>
          <w:rPr>
            <w:noProof/>
            <w:webHidden/>
          </w:rPr>
          <w:fldChar w:fldCharType="end"/>
        </w:r>
      </w:hyperlink>
    </w:p>
    <w:p w14:paraId="6AAF3FF7" w14:textId="1491E17A"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56" w:history="1">
        <w:r w:rsidRPr="00BE1711">
          <w:rPr>
            <w:rStyle w:val="Hyperlink"/>
            <w:rFonts w:ascii="Arial" w:hAnsi="Arial" w:cs="Arial"/>
            <w:b/>
            <w:bCs/>
            <w:noProof/>
          </w:rPr>
          <w:t>1.7 Dissertation Structure</w:t>
        </w:r>
        <w:r>
          <w:rPr>
            <w:noProof/>
            <w:webHidden/>
          </w:rPr>
          <w:tab/>
        </w:r>
        <w:r>
          <w:rPr>
            <w:noProof/>
            <w:webHidden/>
          </w:rPr>
          <w:fldChar w:fldCharType="begin"/>
        </w:r>
        <w:r>
          <w:rPr>
            <w:noProof/>
            <w:webHidden/>
          </w:rPr>
          <w:instrText xml:space="preserve"> PAGEREF _Toc241618956 \h </w:instrText>
        </w:r>
        <w:r>
          <w:rPr>
            <w:noProof/>
            <w:webHidden/>
          </w:rPr>
        </w:r>
        <w:r>
          <w:rPr>
            <w:noProof/>
            <w:webHidden/>
          </w:rPr>
          <w:fldChar w:fldCharType="separate"/>
        </w:r>
        <w:r>
          <w:rPr>
            <w:noProof/>
            <w:webHidden/>
          </w:rPr>
          <w:t>14</w:t>
        </w:r>
        <w:r>
          <w:rPr>
            <w:noProof/>
            <w:webHidden/>
          </w:rPr>
          <w:fldChar w:fldCharType="end"/>
        </w:r>
      </w:hyperlink>
    </w:p>
    <w:p w14:paraId="6035E642" w14:textId="47DC55B4" w:rsidR="00875C99" w:rsidRDefault="00875C99">
      <w:pPr>
        <w:pStyle w:val="TOC1"/>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57" w:history="1">
        <w:r w:rsidRPr="00BE1711">
          <w:rPr>
            <w:rStyle w:val="Hyperlink"/>
            <w:rFonts w:ascii="Arial" w:hAnsi="Arial" w:cs="Arial"/>
            <w:b/>
            <w:bCs/>
            <w:noProof/>
          </w:rPr>
          <w:t>CHAPTER TWO</w:t>
        </w:r>
        <w:r>
          <w:rPr>
            <w:noProof/>
            <w:webHidden/>
          </w:rPr>
          <w:tab/>
        </w:r>
        <w:r>
          <w:rPr>
            <w:noProof/>
            <w:webHidden/>
          </w:rPr>
          <w:fldChar w:fldCharType="begin"/>
        </w:r>
        <w:r>
          <w:rPr>
            <w:noProof/>
            <w:webHidden/>
          </w:rPr>
          <w:instrText xml:space="preserve"> PAGEREF _Toc241618957 \h </w:instrText>
        </w:r>
        <w:r>
          <w:rPr>
            <w:noProof/>
            <w:webHidden/>
          </w:rPr>
        </w:r>
        <w:r>
          <w:rPr>
            <w:noProof/>
            <w:webHidden/>
          </w:rPr>
          <w:fldChar w:fldCharType="separate"/>
        </w:r>
        <w:r>
          <w:rPr>
            <w:noProof/>
            <w:webHidden/>
          </w:rPr>
          <w:t>15</w:t>
        </w:r>
        <w:r>
          <w:rPr>
            <w:noProof/>
            <w:webHidden/>
          </w:rPr>
          <w:fldChar w:fldCharType="end"/>
        </w:r>
      </w:hyperlink>
    </w:p>
    <w:p w14:paraId="0ECF51AA" w14:textId="6345F11D" w:rsidR="00875C99" w:rsidRDefault="00875C99">
      <w:pPr>
        <w:pStyle w:val="TOC1"/>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58" w:history="1">
        <w:r w:rsidRPr="00BE1711">
          <w:rPr>
            <w:rStyle w:val="Hyperlink"/>
            <w:rFonts w:ascii="Arial" w:hAnsi="Arial" w:cs="Arial"/>
            <w:b/>
            <w:bCs/>
            <w:noProof/>
          </w:rPr>
          <w:t>LITERATURE REVIEW/THEORETICAL FRAMEWORK</w:t>
        </w:r>
        <w:r>
          <w:rPr>
            <w:noProof/>
            <w:webHidden/>
          </w:rPr>
          <w:tab/>
        </w:r>
        <w:r>
          <w:rPr>
            <w:noProof/>
            <w:webHidden/>
          </w:rPr>
          <w:fldChar w:fldCharType="begin"/>
        </w:r>
        <w:r>
          <w:rPr>
            <w:noProof/>
            <w:webHidden/>
          </w:rPr>
          <w:instrText xml:space="preserve"> PAGEREF _Toc241618958 \h </w:instrText>
        </w:r>
        <w:r>
          <w:rPr>
            <w:noProof/>
            <w:webHidden/>
          </w:rPr>
        </w:r>
        <w:r>
          <w:rPr>
            <w:noProof/>
            <w:webHidden/>
          </w:rPr>
          <w:fldChar w:fldCharType="separate"/>
        </w:r>
        <w:r>
          <w:rPr>
            <w:noProof/>
            <w:webHidden/>
          </w:rPr>
          <w:t>15</w:t>
        </w:r>
        <w:r>
          <w:rPr>
            <w:noProof/>
            <w:webHidden/>
          </w:rPr>
          <w:fldChar w:fldCharType="end"/>
        </w:r>
      </w:hyperlink>
    </w:p>
    <w:p w14:paraId="427C9883" w14:textId="63750256"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59" w:history="1">
        <w:r w:rsidRPr="00BE1711">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_Toc241618959 \h </w:instrText>
        </w:r>
        <w:r>
          <w:rPr>
            <w:noProof/>
            <w:webHidden/>
          </w:rPr>
        </w:r>
        <w:r>
          <w:rPr>
            <w:noProof/>
            <w:webHidden/>
          </w:rPr>
          <w:fldChar w:fldCharType="separate"/>
        </w:r>
        <w:r>
          <w:rPr>
            <w:noProof/>
            <w:webHidden/>
          </w:rPr>
          <w:t>15</w:t>
        </w:r>
        <w:r>
          <w:rPr>
            <w:noProof/>
            <w:webHidden/>
          </w:rPr>
          <w:fldChar w:fldCharType="end"/>
        </w:r>
      </w:hyperlink>
    </w:p>
    <w:p w14:paraId="40F3A472" w14:textId="3EF259BB"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60" w:history="1">
        <w:r w:rsidRPr="00BE1711">
          <w:rPr>
            <w:rStyle w:val="Hyperlink"/>
            <w:rFonts w:ascii="Arial" w:hAnsi="Arial" w:cs="Arial"/>
            <w:b/>
            <w:bCs/>
            <w:noProof/>
          </w:rPr>
          <w:t>2.2 Concept of Telemedicine</w:t>
        </w:r>
        <w:r>
          <w:rPr>
            <w:noProof/>
            <w:webHidden/>
          </w:rPr>
          <w:tab/>
        </w:r>
        <w:r>
          <w:rPr>
            <w:noProof/>
            <w:webHidden/>
          </w:rPr>
          <w:fldChar w:fldCharType="begin"/>
        </w:r>
        <w:r>
          <w:rPr>
            <w:noProof/>
            <w:webHidden/>
          </w:rPr>
          <w:instrText xml:space="preserve"> PAGEREF _Toc241618960 \h </w:instrText>
        </w:r>
        <w:r>
          <w:rPr>
            <w:noProof/>
            <w:webHidden/>
          </w:rPr>
        </w:r>
        <w:r>
          <w:rPr>
            <w:noProof/>
            <w:webHidden/>
          </w:rPr>
          <w:fldChar w:fldCharType="separate"/>
        </w:r>
        <w:r>
          <w:rPr>
            <w:noProof/>
            <w:webHidden/>
          </w:rPr>
          <w:t>15</w:t>
        </w:r>
        <w:r>
          <w:rPr>
            <w:noProof/>
            <w:webHidden/>
          </w:rPr>
          <w:fldChar w:fldCharType="end"/>
        </w:r>
      </w:hyperlink>
    </w:p>
    <w:p w14:paraId="5DF86E7F" w14:textId="46AD7D89"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61" w:history="1">
        <w:r w:rsidRPr="00BE1711">
          <w:rPr>
            <w:rStyle w:val="Hyperlink"/>
            <w:rFonts w:ascii="Arial" w:hAnsi="Arial" w:cs="Arial"/>
            <w:b/>
            <w:bCs/>
            <w:noProof/>
            <w:lang w:val="en-US"/>
          </w:rPr>
          <w:t>2.3 Evolution of Telemedicine in the United Kingdom</w:t>
        </w:r>
        <w:r>
          <w:rPr>
            <w:noProof/>
            <w:webHidden/>
          </w:rPr>
          <w:tab/>
        </w:r>
        <w:r>
          <w:rPr>
            <w:noProof/>
            <w:webHidden/>
          </w:rPr>
          <w:fldChar w:fldCharType="begin"/>
        </w:r>
        <w:r>
          <w:rPr>
            <w:noProof/>
            <w:webHidden/>
          </w:rPr>
          <w:instrText xml:space="preserve"> PAGEREF _Toc241618961 \h </w:instrText>
        </w:r>
        <w:r>
          <w:rPr>
            <w:noProof/>
            <w:webHidden/>
          </w:rPr>
        </w:r>
        <w:r>
          <w:rPr>
            <w:noProof/>
            <w:webHidden/>
          </w:rPr>
          <w:fldChar w:fldCharType="separate"/>
        </w:r>
        <w:r>
          <w:rPr>
            <w:noProof/>
            <w:webHidden/>
          </w:rPr>
          <w:t>16</w:t>
        </w:r>
        <w:r>
          <w:rPr>
            <w:noProof/>
            <w:webHidden/>
          </w:rPr>
          <w:fldChar w:fldCharType="end"/>
        </w:r>
      </w:hyperlink>
    </w:p>
    <w:p w14:paraId="1EB3EA1C" w14:textId="424A0769"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62" w:history="1">
        <w:r w:rsidRPr="00BE1711">
          <w:rPr>
            <w:rStyle w:val="Hyperlink"/>
            <w:rFonts w:ascii="Arial" w:hAnsi="Arial" w:cs="Arial"/>
            <w:b/>
            <w:bCs/>
            <w:noProof/>
          </w:rPr>
          <w:t>2.4 Telemedicine in UK Primary Care</w:t>
        </w:r>
        <w:r>
          <w:rPr>
            <w:noProof/>
            <w:webHidden/>
          </w:rPr>
          <w:tab/>
        </w:r>
        <w:r>
          <w:rPr>
            <w:noProof/>
            <w:webHidden/>
          </w:rPr>
          <w:fldChar w:fldCharType="begin"/>
        </w:r>
        <w:r>
          <w:rPr>
            <w:noProof/>
            <w:webHidden/>
          </w:rPr>
          <w:instrText xml:space="preserve"> PAGEREF _Toc241618962 \h </w:instrText>
        </w:r>
        <w:r>
          <w:rPr>
            <w:noProof/>
            <w:webHidden/>
          </w:rPr>
        </w:r>
        <w:r>
          <w:rPr>
            <w:noProof/>
            <w:webHidden/>
          </w:rPr>
          <w:fldChar w:fldCharType="separate"/>
        </w:r>
        <w:r>
          <w:rPr>
            <w:noProof/>
            <w:webHidden/>
          </w:rPr>
          <w:t>18</w:t>
        </w:r>
        <w:r>
          <w:rPr>
            <w:noProof/>
            <w:webHidden/>
          </w:rPr>
          <w:fldChar w:fldCharType="end"/>
        </w:r>
      </w:hyperlink>
    </w:p>
    <w:p w14:paraId="77290431" w14:textId="206764ED"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63" w:history="1">
        <w:r w:rsidRPr="00BE1711">
          <w:rPr>
            <w:rStyle w:val="Hyperlink"/>
            <w:rFonts w:ascii="Arial" w:hAnsi="Arial" w:cs="Arial"/>
            <w:b/>
            <w:bCs/>
            <w:noProof/>
          </w:rPr>
          <w:t>2.5 Factors Influencing Patient Satisfaction</w:t>
        </w:r>
        <w:r>
          <w:rPr>
            <w:noProof/>
            <w:webHidden/>
          </w:rPr>
          <w:tab/>
        </w:r>
        <w:r>
          <w:rPr>
            <w:noProof/>
            <w:webHidden/>
          </w:rPr>
          <w:fldChar w:fldCharType="begin"/>
        </w:r>
        <w:r>
          <w:rPr>
            <w:noProof/>
            <w:webHidden/>
          </w:rPr>
          <w:instrText xml:space="preserve"> PAGEREF _Toc241618963 \h </w:instrText>
        </w:r>
        <w:r>
          <w:rPr>
            <w:noProof/>
            <w:webHidden/>
          </w:rPr>
        </w:r>
        <w:r>
          <w:rPr>
            <w:noProof/>
            <w:webHidden/>
          </w:rPr>
          <w:fldChar w:fldCharType="separate"/>
        </w:r>
        <w:r>
          <w:rPr>
            <w:noProof/>
            <w:webHidden/>
          </w:rPr>
          <w:t>20</w:t>
        </w:r>
        <w:r>
          <w:rPr>
            <w:noProof/>
            <w:webHidden/>
          </w:rPr>
          <w:fldChar w:fldCharType="end"/>
        </w:r>
      </w:hyperlink>
    </w:p>
    <w:p w14:paraId="7B92CBB3" w14:textId="086D3A13"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64" w:history="1">
        <w:r w:rsidRPr="00BE1711">
          <w:rPr>
            <w:rStyle w:val="Hyperlink"/>
            <w:rFonts w:ascii="Arial" w:hAnsi="Arial" w:cs="Arial"/>
            <w:b/>
            <w:bCs/>
            <w:noProof/>
          </w:rPr>
          <w:t>2.6 Telephone versus Video Consultations</w:t>
        </w:r>
        <w:r>
          <w:rPr>
            <w:noProof/>
            <w:webHidden/>
          </w:rPr>
          <w:tab/>
        </w:r>
        <w:r>
          <w:rPr>
            <w:noProof/>
            <w:webHidden/>
          </w:rPr>
          <w:fldChar w:fldCharType="begin"/>
        </w:r>
        <w:r>
          <w:rPr>
            <w:noProof/>
            <w:webHidden/>
          </w:rPr>
          <w:instrText xml:space="preserve"> PAGEREF _Toc241618964 \h </w:instrText>
        </w:r>
        <w:r>
          <w:rPr>
            <w:noProof/>
            <w:webHidden/>
          </w:rPr>
        </w:r>
        <w:r>
          <w:rPr>
            <w:noProof/>
            <w:webHidden/>
          </w:rPr>
          <w:fldChar w:fldCharType="separate"/>
        </w:r>
        <w:r>
          <w:rPr>
            <w:noProof/>
            <w:webHidden/>
          </w:rPr>
          <w:t>22</w:t>
        </w:r>
        <w:r>
          <w:rPr>
            <w:noProof/>
            <w:webHidden/>
          </w:rPr>
          <w:fldChar w:fldCharType="end"/>
        </w:r>
      </w:hyperlink>
    </w:p>
    <w:p w14:paraId="499D94A1" w14:textId="467F7C83"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65" w:history="1">
        <w:r w:rsidRPr="00BE1711">
          <w:rPr>
            <w:rStyle w:val="Hyperlink"/>
            <w:rFonts w:ascii="Arial" w:hAnsi="Arial" w:cs="Arial"/>
            <w:b/>
            <w:bCs/>
            <w:noProof/>
            <w:lang w:val="en-US"/>
          </w:rPr>
          <w:t xml:space="preserve">2.7 </w:t>
        </w:r>
        <w:r w:rsidRPr="00BE1711">
          <w:rPr>
            <w:rStyle w:val="Hyperlink"/>
            <w:rFonts w:ascii="Arial" w:hAnsi="Arial" w:cs="Arial"/>
            <w:b/>
            <w:bCs/>
            <w:noProof/>
          </w:rPr>
          <w:t>Theoretical Framework</w:t>
        </w:r>
        <w:r>
          <w:rPr>
            <w:noProof/>
            <w:webHidden/>
          </w:rPr>
          <w:tab/>
        </w:r>
        <w:r>
          <w:rPr>
            <w:noProof/>
            <w:webHidden/>
          </w:rPr>
          <w:fldChar w:fldCharType="begin"/>
        </w:r>
        <w:r>
          <w:rPr>
            <w:noProof/>
            <w:webHidden/>
          </w:rPr>
          <w:instrText xml:space="preserve"> PAGEREF _Toc241618965 \h </w:instrText>
        </w:r>
        <w:r>
          <w:rPr>
            <w:noProof/>
            <w:webHidden/>
          </w:rPr>
        </w:r>
        <w:r>
          <w:rPr>
            <w:noProof/>
            <w:webHidden/>
          </w:rPr>
          <w:fldChar w:fldCharType="separate"/>
        </w:r>
        <w:r>
          <w:rPr>
            <w:noProof/>
            <w:webHidden/>
          </w:rPr>
          <w:t>23</w:t>
        </w:r>
        <w:r>
          <w:rPr>
            <w:noProof/>
            <w:webHidden/>
          </w:rPr>
          <w:fldChar w:fldCharType="end"/>
        </w:r>
      </w:hyperlink>
    </w:p>
    <w:p w14:paraId="3D5BAF0B" w14:textId="46BEC263"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66" w:history="1">
        <w:r w:rsidRPr="00BE1711">
          <w:rPr>
            <w:rStyle w:val="Hyperlink"/>
            <w:rFonts w:ascii="Arial" w:hAnsi="Arial" w:cs="Arial"/>
            <w:b/>
            <w:bCs/>
            <w:noProof/>
            <w:lang w:val="en-US"/>
          </w:rPr>
          <w:t>2.8 Literature Gap</w:t>
        </w:r>
        <w:r>
          <w:rPr>
            <w:noProof/>
            <w:webHidden/>
          </w:rPr>
          <w:tab/>
        </w:r>
        <w:r>
          <w:rPr>
            <w:noProof/>
            <w:webHidden/>
          </w:rPr>
          <w:fldChar w:fldCharType="begin"/>
        </w:r>
        <w:r>
          <w:rPr>
            <w:noProof/>
            <w:webHidden/>
          </w:rPr>
          <w:instrText xml:space="preserve"> PAGEREF _Toc241618966 \h </w:instrText>
        </w:r>
        <w:r>
          <w:rPr>
            <w:noProof/>
            <w:webHidden/>
          </w:rPr>
        </w:r>
        <w:r>
          <w:rPr>
            <w:noProof/>
            <w:webHidden/>
          </w:rPr>
          <w:fldChar w:fldCharType="separate"/>
        </w:r>
        <w:r>
          <w:rPr>
            <w:noProof/>
            <w:webHidden/>
          </w:rPr>
          <w:t>25</w:t>
        </w:r>
        <w:r>
          <w:rPr>
            <w:noProof/>
            <w:webHidden/>
          </w:rPr>
          <w:fldChar w:fldCharType="end"/>
        </w:r>
      </w:hyperlink>
    </w:p>
    <w:p w14:paraId="01570893" w14:textId="3225B3A0"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67" w:history="1">
        <w:r w:rsidRPr="00BE1711">
          <w:rPr>
            <w:rStyle w:val="Hyperlink"/>
            <w:rFonts w:ascii="Arial" w:hAnsi="Arial" w:cs="Arial"/>
            <w:b/>
            <w:bCs/>
            <w:noProof/>
            <w:lang w:val="en-US"/>
          </w:rPr>
          <w:t>2.9 Chapter Summary</w:t>
        </w:r>
        <w:r>
          <w:rPr>
            <w:noProof/>
            <w:webHidden/>
          </w:rPr>
          <w:tab/>
        </w:r>
        <w:r>
          <w:rPr>
            <w:noProof/>
            <w:webHidden/>
          </w:rPr>
          <w:fldChar w:fldCharType="begin"/>
        </w:r>
        <w:r>
          <w:rPr>
            <w:noProof/>
            <w:webHidden/>
          </w:rPr>
          <w:instrText xml:space="preserve"> PAGEREF _Toc241618967 \h </w:instrText>
        </w:r>
        <w:r>
          <w:rPr>
            <w:noProof/>
            <w:webHidden/>
          </w:rPr>
        </w:r>
        <w:r>
          <w:rPr>
            <w:noProof/>
            <w:webHidden/>
          </w:rPr>
          <w:fldChar w:fldCharType="separate"/>
        </w:r>
        <w:r>
          <w:rPr>
            <w:noProof/>
            <w:webHidden/>
          </w:rPr>
          <w:t>26</w:t>
        </w:r>
        <w:r>
          <w:rPr>
            <w:noProof/>
            <w:webHidden/>
          </w:rPr>
          <w:fldChar w:fldCharType="end"/>
        </w:r>
      </w:hyperlink>
    </w:p>
    <w:p w14:paraId="02F09F23" w14:textId="2FBF11C0" w:rsidR="00875C99" w:rsidRDefault="00875C99">
      <w:pPr>
        <w:pStyle w:val="TOC1"/>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68" w:history="1">
        <w:r w:rsidRPr="00BE1711">
          <w:rPr>
            <w:rStyle w:val="Hyperlink"/>
            <w:rFonts w:ascii="Arial" w:hAnsi="Arial" w:cs="Arial"/>
            <w:b/>
            <w:bCs/>
            <w:noProof/>
          </w:rPr>
          <w:t>CHAPTER THREE</w:t>
        </w:r>
        <w:r>
          <w:rPr>
            <w:noProof/>
            <w:webHidden/>
          </w:rPr>
          <w:tab/>
        </w:r>
        <w:r>
          <w:rPr>
            <w:noProof/>
            <w:webHidden/>
          </w:rPr>
          <w:fldChar w:fldCharType="begin"/>
        </w:r>
        <w:r>
          <w:rPr>
            <w:noProof/>
            <w:webHidden/>
          </w:rPr>
          <w:instrText xml:space="preserve"> PAGEREF _Toc241618968 \h </w:instrText>
        </w:r>
        <w:r>
          <w:rPr>
            <w:noProof/>
            <w:webHidden/>
          </w:rPr>
        </w:r>
        <w:r>
          <w:rPr>
            <w:noProof/>
            <w:webHidden/>
          </w:rPr>
          <w:fldChar w:fldCharType="separate"/>
        </w:r>
        <w:r>
          <w:rPr>
            <w:noProof/>
            <w:webHidden/>
          </w:rPr>
          <w:t>27</w:t>
        </w:r>
        <w:r>
          <w:rPr>
            <w:noProof/>
            <w:webHidden/>
          </w:rPr>
          <w:fldChar w:fldCharType="end"/>
        </w:r>
      </w:hyperlink>
    </w:p>
    <w:p w14:paraId="6415A9E0" w14:textId="600C29F1" w:rsidR="00875C99" w:rsidRDefault="00875C99">
      <w:pPr>
        <w:pStyle w:val="TOC1"/>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69" w:history="1">
        <w:r w:rsidRPr="00BE1711">
          <w:rPr>
            <w:rStyle w:val="Hyperlink"/>
            <w:rFonts w:ascii="Arial" w:hAnsi="Arial" w:cs="Arial"/>
            <w:b/>
            <w:bCs/>
            <w:noProof/>
          </w:rPr>
          <w:t>RESEARCH METHODOLOGY</w:t>
        </w:r>
        <w:r>
          <w:rPr>
            <w:noProof/>
            <w:webHidden/>
          </w:rPr>
          <w:tab/>
        </w:r>
        <w:r>
          <w:rPr>
            <w:noProof/>
            <w:webHidden/>
          </w:rPr>
          <w:fldChar w:fldCharType="begin"/>
        </w:r>
        <w:r>
          <w:rPr>
            <w:noProof/>
            <w:webHidden/>
          </w:rPr>
          <w:instrText xml:space="preserve"> PAGEREF _Toc241618969 \h </w:instrText>
        </w:r>
        <w:r>
          <w:rPr>
            <w:noProof/>
            <w:webHidden/>
          </w:rPr>
        </w:r>
        <w:r>
          <w:rPr>
            <w:noProof/>
            <w:webHidden/>
          </w:rPr>
          <w:fldChar w:fldCharType="separate"/>
        </w:r>
        <w:r>
          <w:rPr>
            <w:noProof/>
            <w:webHidden/>
          </w:rPr>
          <w:t>27</w:t>
        </w:r>
        <w:r>
          <w:rPr>
            <w:noProof/>
            <w:webHidden/>
          </w:rPr>
          <w:fldChar w:fldCharType="end"/>
        </w:r>
      </w:hyperlink>
    </w:p>
    <w:p w14:paraId="2E22E980" w14:textId="3FC1C790"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70" w:history="1">
        <w:r w:rsidRPr="00BE1711">
          <w:rPr>
            <w:rStyle w:val="Hyperlink"/>
            <w:rFonts w:ascii="Arial" w:hAnsi="Arial" w:cs="Arial"/>
            <w:b/>
            <w:bCs/>
            <w:noProof/>
            <w:lang w:val="en-US"/>
          </w:rPr>
          <w:t xml:space="preserve">3.1 </w:t>
        </w:r>
        <w:r w:rsidRPr="00BE1711">
          <w:rPr>
            <w:rStyle w:val="Hyperlink"/>
            <w:rFonts w:ascii="Arial" w:hAnsi="Arial" w:cs="Arial"/>
            <w:b/>
            <w:bCs/>
            <w:noProof/>
          </w:rPr>
          <w:t>Research Design</w:t>
        </w:r>
        <w:r>
          <w:rPr>
            <w:noProof/>
            <w:webHidden/>
          </w:rPr>
          <w:tab/>
        </w:r>
        <w:r>
          <w:rPr>
            <w:noProof/>
            <w:webHidden/>
          </w:rPr>
          <w:fldChar w:fldCharType="begin"/>
        </w:r>
        <w:r>
          <w:rPr>
            <w:noProof/>
            <w:webHidden/>
          </w:rPr>
          <w:instrText xml:space="preserve"> PAGEREF _Toc241618970 \h </w:instrText>
        </w:r>
        <w:r>
          <w:rPr>
            <w:noProof/>
            <w:webHidden/>
          </w:rPr>
        </w:r>
        <w:r>
          <w:rPr>
            <w:noProof/>
            <w:webHidden/>
          </w:rPr>
          <w:fldChar w:fldCharType="separate"/>
        </w:r>
        <w:r>
          <w:rPr>
            <w:noProof/>
            <w:webHidden/>
          </w:rPr>
          <w:t>27</w:t>
        </w:r>
        <w:r>
          <w:rPr>
            <w:noProof/>
            <w:webHidden/>
          </w:rPr>
          <w:fldChar w:fldCharType="end"/>
        </w:r>
      </w:hyperlink>
    </w:p>
    <w:p w14:paraId="0C64AD0B" w14:textId="2B82D8A2"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71" w:history="1">
        <w:r w:rsidRPr="00BE1711">
          <w:rPr>
            <w:rStyle w:val="Hyperlink"/>
            <w:rFonts w:ascii="Arial" w:hAnsi="Arial" w:cs="Arial"/>
            <w:b/>
            <w:bCs/>
            <w:noProof/>
          </w:rPr>
          <w:t>3.2 Search Strategy</w:t>
        </w:r>
        <w:r>
          <w:rPr>
            <w:noProof/>
            <w:webHidden/>
          </w:rPr>
          <w:tab/>
        </w:r>
        <w:r>
          <w:rPr>
            <w:noProof/>
            <w:webHidden/>
          </w:rPr>
          <w:fldChar w:fldCharType="begin"/>
        </w:r>
        <w:r>
          <w:rPr>
            <w:noProof/>
            <w:webHidden/>
          </w:rPr>
          <w:instrText xml:space="preserve"> PAGEREF _Toc241618971 \h </w:instrText>
        </w:r>
        <w:r>
          <w:rPr>
            <w:noProof/>
            <w:webHidden/>
          </w:rPr>
        </w:r>
        <w:r>
          <w:rPr>
            <w:noProof/>
            <w:webHidden/>
          </w:rPr>
          <w:fldChar w:fldCharType="separate"/>
        </w:r>
        <w:r>
          <w:rPr>
            <w:noProof/>
            <w:webHidden/>
          </w:rPr>
          <w:t>28</w:t>
        </w:r>
        <w:r>
          <w:rPr>
            <w:noProof/>
            <w:webHidden/>
          </w:rPr>
          <w:fldChar w:fldCharType="end"/>
        </w:r>
      </w:hyperlink>
    </w:p>
    <w:p w14:paraId="0D4F34CC" w14:textId="64A05B18"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72" w:history="1">
        <w:r w:rsidRPr="00BE1711">
          <w:rPr>
            <w:rStyle w:val="Hyperlink"/>
            <w:rFonts w:ascii="Arial" w:hAnsi="Arial" w:cs="Arial"/>
            <w:b/>
            <w:bCs/>
            <w:noProof/>
          </w:rPr>
          <w:t>3.3 Inclusion and Exclusion Criteria</w:t>
        </w:r>
        <w:r>
          <w:rPr>
            <w:noProof/>
            <w:webHidden/>
          </w:rPr>
          <w:tab/>
        </w:r>
        <w:r>
          <w:rPr>
            <w:noProof/>
            <w:webHidden/>
          </w:rPr>
          <w:fldChar w:fldCharType="begin"/>
        </w:r>
        <w:r>
          <w:rPr>
            <w:noProof/>
            <w:webHidden/>
          </w:rPr>
          <w:instrText xml:space="preserve"> PAGEREF _Toc241618972 \h </w:instrText>
        </w:r>
        <w:r>
          <w:rPr>
            <w:noProof/>
            <w:webHidden/>
          </w:rPr>
        </w:r>
        <w:r>
          <w:rPr>
            <w:noProof/>
            <w:webHidden/>
          </w:rPr>
          <w:fldChar w:fldCharType="separate"/>
        </w:r>
        <w:r>
          <w:rPr>
            <w:noProof/>
            <w:webHidden/>
          </w:rPr>
          <w:t>29</w:t>
        </w:r>
        <w:r>
          <w:rPr>
            <w:noProof/>
            <w:webHidden/>
          </w:rPr>
          <w:fldChar w:fldCharType="end"/>
        </w:r>
      </w:hyperlink>
    </w:p>
    <w:p w14:paraId="32A9399F" w14:textId="2C6B8D9F"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73" w:history="1">
        <w:r w:rsidRPr="00BE1711">
          <w:rPr>
            <w:rStyle w:val="Hyperlink"/>
            <w:rFonts w:ascii="Arial" w:hAnsi="Arial" w:cs="Arial"/>
            <w:b/>
            <w:bCs/>
            <w:noProof/>
          </w:rPr>
          <w:t>3.4 Study Selection Process</w:t>
        </w:r>
        <w:r>
          <w:rPr>
            <w:noProof/>
            <w:webHidden/>
          </w:rPr>
          <w:tab/>
        </w:r>
        <w:r>
          <w:rPr>
            <w:noProof/>
            <w:webHidden/>
          </w:rPr>
          <w:fldChar w:fldCharType="begin"/>
        </w:r>
        <w:r>
          <w:rPr>
            <w:noProof/>
            <w:webHidden/>
          </w:rPr>
          <w:instrText xml:space="preserve"> PAGEREF _Toc241618973 \h </w:instrText>
        </w:r>
        <w:r>
          <w:rPr>
            <w:noProof/>
            <w:webHidden/>
          </w:rPr>
        </w:r>
        <w:r>
          <w:rPr>
            <w:noProof/>
            <w:webHidden/>
          </w:rPr>
          <w:fldChar w:fldCharType="separate"/>
        </w:r>
        <w:r>
          <w:rPr>
            <w:noProof/>
            <w:webHidden/>
          </w:rPr>
          <w:t>31</w:t>
        </w:r>
        <w:r>
          <w:rPr>
            <w:noProof/>
            <w:webHidden/>
          </w:rPr>
          <w:fldChar w:fldCharType="end"/>
        </w:r>
      </w:hyperlink>
    </w:p>
    <w:p w14:paraId="2114557E" w14:textId="60FD92A7"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74" w:history="1">
        <w:r w:rsidRPr="00BE1711">
          <w:rPr>
            <w:rStyle w:val="Hyperlink"/>
            <w:rFonts w:ascii="Arial" w:hAnsi="Arial" w:cs="Arial"/>
            <w:b/>
            <w:bCs/>
            <w:noProof/>
            <w:lang w:val="en-US"/>
          </w:rPr>
          <w:t>3.5 Study Quality Assessment</w:t>
        </w:r>
        <w:r>
          <w:rPr>
            <w:noProof/>
            <w:webHidden/>
          </w:rPr>
          <w:tab/>
        </w:r>
        <w:r>
          <w:rPr>
            <w:noProof/>
            <w:webHidden/>
          </w:rPr>
          <w:fldChar w:fldCharType="begin"/>
        </w:r>
        <w:r>
          <w:rPr>
            <w:noProof/>
            <w:webHidden/>
          </w:rPr>
          <w:instrText xml:space="preserve"> PAGEREF _Toc241618974 \h </w:instrText>
        </w:r>
        <w:r>
          <w:rPr>
            <w:noProof/>
            <w:webHidden/>
          </w:rPr>
        </w:r>
        <w:r>
          <w:rPr>
            <w:noProof/>
            <w:webHidden/>
          </w:rPr>
          <w:fldChar w:fldCharType="separate"/>
        </w:r>
        <w:r>
          <w:rPr>
            <w:noProof/>
            <w:webHidden/>
          </w:rPr>
          <w:t>32</w:t>
        </w:r>
        <w:r>
          <w:rPr>
            <w:noProof/>
            <w:webHidden/>
          </w:rPr>
          <w:fldChar w:fldCharType="end"/>
        </w:r>
      </w:hyperlink>
    </w:p>
    <w:p w14:paraId="24207640" w14:textId="6570DBF1"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75" w:history="1">
        <w:r w:rsidRPr="00BE1711">
          <w:rPr>
            <w:rStyle w:val="Hyperlink"/>
            <w:rFonts w:ascii="Arial" w:hAnsi="Arial" w:cs="Arial"/>
            <w:b/>
            <w:bCs/>
            <w:noProof/>
            <w:lang w:val="en-US"/>
          </w:rPr>
          <w:t>3.6 Data Extraction</w:t>
        </w:r>
        <w:r>
          <w:rPr>
            <w:noProof/>
            <w:webHidden/>
          </w:rPr>
          <w:tab/>
        </w:r>
        <w:r>
          <w:rPr>
            <w:noProof/>
            <w:webHidden/>
          </w:rPr>
          <w:fldChar w:fldCharType="begin"/>
        </w:r>
        <w:r>
          <w:rPr>
            <w:noProof/>
            <w:webHidden/>
          </w:rPr>
          <w:instrText xml:space="preserve"> PAGEREF _Toc241618975 \h </w:instrText>
        </w:r>
        <w:r>
          <w:rPr>
            <w:noProof/>
            <w:webHidden/>
          </w:rPr>
        </w:r>
        <w:r>
          <w:rPr>
            <w:noProof/>
            <w:webHidden/>
          </w:rPr>
          <w:fldChar w:fldCharType="separate"/>
        </w:r>
        <w:r>
          <w:rPr>
            <w:noProof/>
            <w:webHidden/>
          </w:rPr>
          <w:t>33</w:t>
        </w:r>
        <w:r>
          <w:rPr>
            <w:noProof/>
            <w:webHidden/>
          </w:rPr>
          <w:fldChar w:fldCharType="end"/>
        </w:r>
      </w:hyperlink>
    </w:p>
    <w:p w14:paraId="0C6546ED" w14:textId="20ABD008"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76" w:history="1">
        <w:r w:rsidRPr="00BE1711">
          <w:rPr>
            <w:rStyle w:val="Hyperlink"/>
            <w:rFonts w:ascii="Arial" w:hAnsi="Arial" w:cs="Arial"/>
            <w:b/>
            <w:bCs/>
            <w:noProof/>
            <w:lang w:val="en-US"/>
          </w:rPr>
          <w:t>3.7 Data Synthesis</w:t>
        </w:r>
        <w:r>
          <w:rPr>
            <w:noProof/>
            <w:webHidden/>
          </w:rPr>
          <w:tab/>
        </w:r>
        <w:r>
          <w:rPr>
            <w:noProof/>
            <w:webHidden/>
          </w:rPr>
          <w:fldChar w:fldCharType="begin"/>
        </w:r>
        <w:r>
          <w:rPr>
            <w:noProof/>
            <w:webHidden/>
          </w:rPr>
          <w:instrText xml:space="preserve"> PAGEREF _Toc241618976 \h </w:instrText>
        </w:r>
        <w:r>
          <w:rPr>
            <w:noProof/>
            <w:webHidden/>
          </w:rPr>
        </w:r>
        <w:r>
          <w:rPr>
            <w:noProof/>
            <w:webHidden/>
          </w:rPr>
          <w:fldChar w:fldCharType="separate"/>
        </w:r>
        <w:r>
          <w:rPr>
            <w:noProof/>
            <w:webHidden/>
          </w:rPr>
          <w:t>34</w:t>
        </w:r>
        <w:r>
          <w:rPr>
            <w:noProof/>
            <w:webHidden/>
          </w:rPr>
          <w:fldChar w:fldCharType="end"/>
        </w:r>
      </w:hyperlink>
    </w:p>
    <w:p w14:paraId="245EA520" w14:textId="316E807F"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77" w:history="1">
        <w:r w:rsidRPr="00BE1711">
          <w:rPr>
            <w:rStyle w:val="Hyperlink"/>
            <w:rFonts w:ascii="Arial" w:hAnsi="Arial" w:cs="Arial"/>
            <w:b/>
            <w:bCs/>
            <w:noProof/>
            <w:lang w:val="en-US"/>
          </w:rPr>
          <w:t>3.8 Ethical Considerations</w:t>
        </w:r>
        <w:r>
          <w:rPr>
            <w:noProof/>
            <w:webHidden/>
          </w:rPr>
          <w:tab/>
        </w:r>
        <w:r>
          <w:rPr>
            <w:noProof/>
            <w:webHidden/>
          </w:rPr>
          <w:fldChar w:fldCharType="begin"/>
        </w:r>
        <w:r>
          <w:rPr>
            <w:noProof/>
            <w:webHidden/>
          </w:rPr>
          <w:instrText xml:space="preserve"> PAGEREF _Toc241618977 \h </w:instrText>
        </w:r>
        <w:r>
          <w:rPr>
            <w:noProof/>
            <w:webHidden/>
          </w:rPr>
        </w:r>
        <w:r>
          <w:rPr>
            <w:noProof/>
            <w:webHidden/>
          </w:rPr>
          <w:fldChar w:fldCharType="separate"/>
        </w:r>
        <w:r>
          <w:rPr>
            <w:noProof/>
            <w:webHidden/>
          </w:rPr>
          <w:t>34</w:t>
        </w:r>
        <w:r>
          <w:rPr>
            <w:noProof/>
            <w:webHidden/>
          </w:rPr>
          <w:fldChar w:fldCharType="end"/>
        </w:r>
      </w:hyperlink>
    </w:p>
    <w:p w14:paraId="5DF18AD9" w14:textId="121CABC7"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78" w:history="1">
        <w:r w:rsidRPr="00BE1711">
          <w:rPr>
            <w:rStyle w:val="Hyperlink"/>
            <w:rFonts w:ascii="Arial" w:hAnsi="Arial" w:cs="Arial"/>
            <w:b/>
            <w:bCs/>
            <w:noProof/>
            <w:lang w:val="en-US"/>
          </w:rPr>
          <w:t>3.9 Method for Reporting the Frequency of Findings</w:t>
        </w:r>
        <w:r>
          <w:rPr>
            <w:noProof/>
            <w:webHidden/>
          </w:rPr>
          <w:tab/>
        </w:r>
        <w:r>
          <w:rPr>
            <w:noProof/>
            <w:webHidden/>
          </w:rPr>
          <w:fldChar w:fldCharType="begin"/>
        </w:r>
        <w:r>
          <w:rPr>
            <w:noProof/>
            <w:webHidden/>
          </w:rPr>
          <w:instrText xml:space="preserve"> PAGEREF _Toc241618978 \h </w:instrText>
        </w:r>
        <w:r>
          <w:rPr>
            <w:noProof/>
            <w:webHidden/>
          </w:rPr>
        </w:r>
        <w:r>
          <w:rPr>
            <w:noProof/>
            <w:webHidden/>
          </w:rPr>
          <w:fldChar w:fldCharType="separate"/>
        </w:r>
        <w:r>
          <w:rPr>
            <w:noProof/>
            <w:webHidden/>
          </w:rPr>
          <w:t>35</w:t>
        </w:r>
        <w:r>
          <w:rPr>
            <w:noProof/>
            <w:webHidden/>
          </w:rPr>
          <w:fldChar w:fldCharType="end"/>
        </w:r>
      </w:hyperlink>
    </w:p>
    <w:p w14:paraId="166898F3" w14:textId="3FE57935" w:rsidR="00875C99" w:rsidRDefault="00875C99">
      <w:pPr>
        <w:pStyle w:val="TOC1"/>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79" w:history="1">
        <w:r w:rsidRPr="00BE1711">
          <w:rPr>
            <w:rStyle w:val="Hyperlink"/>
            <w:rFonts w:ascii="Arial" w:hAnsi="Arial" w:cs="Arial"/>
            <w:b/>
            <w:bCs/>
            <w:noProof/>
          </w:rPr>
          <w:t>CHAPTER FOUR</w:t>
        </w:r>
        <w:r>
          <w:rPr>
            <w:noProof/>
            <w:webHidden/>
          </w:rPr>
          <w:tab/>
        </w:r>
        <w:r>
          <w:rPr>
            <w:noProof/>
            <w:webHidden/>
          </w:rPr>
          <w:fldChar w:fldCharType="begin"/>
        </w:r>
        <w:r>
          <w:rPr>
            <w:noProof/>
            <w:webHidden/>
          </w:rPr>
          <w:instrText xml:space="preserve"> PAGEREF _Toc241618979 \h </w:instrText>
        </w:r>
        <w:r>
          <w:rPr>
            <w:noProof/>
            <w:webHidden/>
          </w:rPr>
        </w:r>
        <w:r>
          <w:rPr>
            <w:noProof/>
            <w:webHidden/>
          </w:rPr>
          <w:fldChar w:fldCharType="separate"/>
        </w:r>
        <w:r>
          <w:rPr>
            <w:noProof/>
            <w:webHidden/>
          </w:rPr>
          <w:t>36</w:t>
        </w:r>
        <w:r>
          <w:rPr>
            <w:noProof/>
            <w:webHidden/>
          </w:rPr>
          <w:fldChar w:fldCharType="end"/>
        </w:r>
      </w:hyperlink>
    </w:p>
    <w:p w14:paraId="45C06E41" w14:textId="61EB454A" w:rsidR="00875C99" w:rsidRDefault="00875C99">
      <w:pPr>
        <w:pStyle w:val="TOC1"/>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80" w:history="1">
        <w:r w:rsidRPr="00BE1711">
          <w:rPr>
            <w:rStyle w:val="Hyperlink"/>
            <w:rFonts w:ascii="Arial" w:hAnsi="Arial" w:cs="Arial"/>
            <w:b/>
            <w:bCs/>
            <w:noProof/>
          </w:rPr>
          <w:t>RESULTS</w:t>
        </w:r>
        <w:r>
          <w:rPr>
            <w:noProof/>
            <w:webHidden/>
          </w:rPr>
          <w:tab/>
        </w:r>
        <w:r>
          <w:rPr>
            <w:noProof/>
            <w:webHidden/>
          </w:rPr>
          <w:fldChar w:fldCharType="begin"/>
        </w:r>
        <w:r>
          <w:rPr>
            <w:noProof/>
            <w:webHidden/>
          </w:rPr>
          <w:instrText xml:space="preserve"> PAGEREF _Toc241618980 \h </w:instrText>
        </w:r>
        <w:r>
          <w:rPr>
            <w:noProof/>
            <w:webHidden/>
          </w:rPr>
        </w:r>
        <w:r>
          <w:rPr>
            <w:noProof/>
            <w:webHidden/>
          </w:rPr>
          <w:fldChar w:fldCharType="separate"/>
        </w:r>
        <w:r>
          <w:rPr>
            <w:noProof/>
            <w:webHidden/>
          </w:rPr>
          <w:t>36</w:t>
        </w:r>
        <w:r>
          <w:rPr>
            <w:noProof/>
            <w:webHidden/>
          </w:rPr>
          <w:fldChar w:fldCharType="end"/>
        </w:r>
      </w:hyperlink>
    </w:p>
    <w:p w14:paraId="02529480" w14:textId="110D91E6"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81" w:history="1">
        <w:r w:rsidRPr="00BE1711">
          <w:rPr>
            <w:rStyle w:val="Hyperlink"/>
            <w:rFonts w:ascii="Arial" w:hAnsi="Arial" w:cs="Arial"/>
            <w:b/>
            <w:bCs/>
            <w:noProof/>
            <w:lang w:val="en-US"/>
          </w:rPr>
          <w:t>4.2 Identification and Critical Appraisal of UK Studies Examining Patient Satisfaction with Telemedicine in Primary Care</w:t>
        </w:r>
        <w:r>
          <w:rPr>
            <w:noProof/>
            <w:webHidden/>
          </w:rPr>
          <w:tab/>
        </w:r>
        <w:r>
          <w:rPr>
            <w:noProof/>
            <w:webHidden/>
          </w:rPr>
          <w:fldChar w:fldCharType="begin"/>
        </w:r>
        <w:r>
          <w:rPr>
            <w:noProof/>
            <w:webHidden/>
          </w:rPr>
          <w:instrText xml:space="preserve"> PAGEREF _Toc241618981 \h </w:instrText>
        </w:r>
        <w:r>
          <w:rPr>
            <w:noProof/>
            <w:webHidden/>
          </w:rPr>
        </w:r>
        <w:r>
          <w:rPr>
            <w:noProof/>
            <w:webHidden/>
          </w:rPr>
          <w:fldChar w:fldCharType="separate"/>
        </w:r>
        <w:r>
          <w:rPr>
            <w:noProof/>
            <w:webHidden/>
          </w:rPr>
          <w:t>40</w:t>
        </w:r>
        <w:r>
          <w:rPr>
            <w:noProof/>
            <w:webHidden/>
          </w:rPr>
          <w:fldChar w:fldCharType="end"/>
        </w:r>
      </w:hyperlink>
    </w:p>
    <w:p w14:paraId="3517A0A8" w14:textId="10B40EB0"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82" w:history="1">
        <w:r w:rsidRPr="00BE1711">
          <w:rPr>
            <w:rStyle w:val="Hyperlink"/>
            <w:rFonts w:ascii="Arial" w:hAnsi="Arial" w:cs="Arial"/>
            <w:b/>
            <w:bCs/>
            <w:noProof/>
          </w:rPr>
          <w:t>4.3 Reported Levels of Perceived Quality of Telemedicine Use in UK Primary Care</w:t>
        </w:r>
        <w:r>
          <w:rPr>
            <w:noProof/>
            <w:webHidden/>
          </w:rPr>
          <w:tab/>
        </w:r>
        <w:r>
          <w:rPr>
            <w:noProof/>
            <w:webHidden/>
          </w:rPr>
          <w:fldChar w:fldCharType="begin"/>
        </w:r>
        <w:r>
          <w:rPr>
            <w:noProof/>
            <w:webHidden/>
          </w:rPr>
          <w:instrText xml:space="preserve"> PAGEREF _Toc241618982 \h </w:instrText>
        </w:r>
        <w:r>
          <w:rPr>
            <w:noProof/>
            <w:webHidden/>
          </w:rPr>
        </w:r>
        <w:r>
          <w:rPr>
            <w:noProof/>
            <w:webHidden/>
          </w:rPr>
          <w:fldChar w:fldCharType="separate"/>
        </w:r>
        <w:r>
          <w:rPr>
            <w:noProof/>
            <w:webHidden/>
          </w:rPr>
          <w:t>43</w:t>
        </w:r>
        <w:r>
          <w:rPr>
            <w:noProof/>
            <w:webHidden/>
          </w:rPr>
          <w:fldChar w:fldCharType="end"/>
        </w:r>
      </w:hyperlink>
    </w:p>
    <w:p w14:paraId="667B22AD" w14:textId="42FDD75F"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83" w:history="1">
        <w:r w:rsidRPr="00BE1711">
          <w:rPr>
            <w:rStyle w:val="Hyperlink"/>
            <w:rFonts w:ascii="Arial" w:hAnsi="Arial" w:cs="Arial"/>
            <w:b/>
            <w:bCs/>
            <w:noProof/>
            <w:lang w:val="en-US"/>
          </w:rPr>
          <w:t>4.4 Comparison of Patient Satisfaction and Perceived Quality Between Telephone and Video Consultations</w:t>
        </w:r>
        <w:r>
          <w:rPr>
            <w:noProof/>
            <w:webHidden/>
          </w:rPr>
          <w:tab/>
        </w:r>
        <w:r>
          <w:rPr>
            <w:noProof/>
            <w:webHidden/>
          </w:rPr>
          <w:fldChar w:fldCharType="begin"/>
        </w:r>
        <w:r>
          <w:rPr>
            <w:noProof/>
            <w:webHidden/>
          </w:rPr>
          <w:instrText xml:space="preserve"> PAGEREF _Toc241618983 \h </w:instrText>
        </w:r>
        <w:r>
          <w:rPr>
            <w:noProof/>
            <w:webHidden/>
          </w:rPr>
        </w:r>
        <w:r>
          <w:rPr>
            <w:noProof/>
            <w:webHidden/>
          </w:rPr>
          <w:fldChar w:fldCharType="separate"/>
        </w:r>
        <w:r>
          <w:rPr>
            <w:noProof/>
            <w:webHidden/>
          </w:rPr>
          <w:t>47</w:t>
        </w:r>
        <w:r>
          <w:rPr>
            <w:noProof/>
            <w:webHidden/>
          </w:rPr>
          <w:fldChar w:fldCharType="end"/>
        </w:r>
      </w:hyperlink>
    </w:p>
    <w:p w14:paraId="1CEE28EE" w14:textId="60473D82"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84" w:history="1">
        <w:r w:rsidRPr="00BE1711">
          <w:rPr>
            <w:rStyle w:val="Hyperlink"/>
            <w:rFonts w:ascii="Arial" w:hAnsi="Arial" w:cs="Arial"/>
            <w:b/>
            <w:bCs/>
            <w:noProof/>
            <w:lang w:val="en-US"/>
          </w:rPr>
          <w:t>4.5 Identification of Literature Gaps and Recommendations for Policy and Practice</w:t>
        </w:r>
        <w:r>
          <w:rPr>
            <w:noProof/>
            <w:webHidden/>
          </w:rPr>
          <w:tab/>
        </w:r>
        <w:r>
          <w:rPr>
            <w:noProof/>
            <w:webHidden/>
          </w:rPr>
          <w:fldChar w:fldCharType="begin"/>
        </w:r>
        <w:r>
          <w:rPr>
            <w:noProof/>
            <w:webHidden/>
          </w:rPr>
          <w:instrText xml:space="preserve"> PAGEREF _Toc241618984 \h </w:instrText>
        </w:r>
        <w:r>
          <w:rPr>
            <w:noProof/>
            <w:webHidden/>
          </w:rPr>
        </w:r>
        <w:r>
          <w:rPr>
            <w:noProof/>
            <w:webHidden/>
          </w:rPr>
          <w:fldChar w:fldCharType="separate"/>
        </w:r>
        <w:r>
          <w:rPr>
            <w:noProof/>
            <w:webHidden/>
          </w:rPr>
          <w:t>48</w:t>
        </w:r>
        <w:r>
          <w:rPr>
            <w:noProof/>
            <w:webHidden/>
          </w:rPr>
          <w:fldChar w:fldCharType="end"/>
        </w:r>
      </w:hyperlink>
    </w:p>
    <w:p w14:paraId="77A50361" w14:textId="7763CCD3" w:rsidR="00875C99" w:rsidRDefault="00875C99">
      <w:pPr>
        <w:pStyle w:val="TOC1"/>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85" w:history="1">
        <w:r w:rsidRPr="00BE1711">
          <w:rPr>
            <w:rStyle w:val="Hyperlink"/>
            <w:rFonts w:ascii="Arial" w:hAnsi="Arial" w:cs="Arial"/>
            <w:b/>
            <w:bCs/>
            <w:noProof/>
          </w:rPr>
          <w:t>CHAPTER FIVE</w:t>
        </w:r>
        <w:r>
          <w:rPr>
            <w:noProof/>
            <w:webHidden/>
          </w:rPr>
          <w:tab/>
        </w:r>
        <w:r>
          <w:rPr>
            <w:noProof/>
            <w:webHidden/>
          </w:rPr>
          <w:fldChar w:fldCharType="begin"/>
        </w:r>
        <w:r>
          <w:rPr>
            <w:noProof/>
            <w:webHidden/>
          </w:rPr>
          <w:instrText xml:space="preserve"> PAGEREF _Toc241618985 \h </w:instrText>
        </w:r>
        <w:r>
          <w:rPr>
            <w:noProof/>
            <w:webHidden/>
          </w:rPr>
        </w:r>
        <w:r>
          <w:rPr>
            <w:noProof/>
            <w:webHidden/>
          </w:rPr>
          <w:fldChar w:fldCharType="separate"/>
        </w:r>
        <w:r>
          <w:rPr>
            <w:noProof/>
            <w:webHidden/>
          </w:rPr>
          <w:t>51</w:t>
        </w:r>
        <w:r>
          <w:rPr>
            <w:noProof/>
            <w:webHidden/>
          </w:rPr>
          <w:fldChar w:fldCharType="end"/>
        </w:r>
      </w:hyperlink>
    </w:p>
    <w:p w14:paraId="107FA70A" w14:textId="380ABE1A" w:rsidR="00875C99" w:rsidRDefault="00875C99">
      <w:pPr>
        <w:pStyle w:val="TOC1"/>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86" w:history="1">
        <w:r w:rsidRPr="00BE1711">
          <w:rPr>
            <w:rStyle w:val="Hyperlink"/>
            <w:rFonts w:ascii="Arial" w:hAnsi="Arial" w:cs="Arial"/>
            <w:b/>
            <w:bCs/>
            <w:noProof/>
          </w:rPr>
          <w:t>DISCUSSION</w:t>
        </w:r>
        <w:r>
          <w:rPr>
            <w:noProof/>
            <w:webHidden/>
          </w:rPr>
          <w:tab/>
        </w:r>
        <w:r>
          <w:rPr>
            <w:noProof/>
            <w:webHidden/>
          </w:rPr>
          <w:fldChar w:fldCharType="begin"/>
        </w:r>
        <w:r>
          <w:rPr>
            <w:noProof/>
            <w:webHidden/>
          </w:rPr>
          <w:instrText xml:space="preserve"> PAGEREF _Toc241618986 \h </w:instrText>
        </w:r>
        <w:r>
          <w:rPr>
            <w:noProof/>
            <w:webHidden/>
          </w:rPr>
        </w:r>
        <w:r>
          <w:rPr>
            <w:noProof/>
            <w:webHidden/>
          </w:rPr>
          <w:fldChar w:fldCharType="separate"/>
        </w:r>
        <w:r>
          <w:rPr>
            <w:noProof/>
            <w:webHidden/>
          </w:rPr>
          <w:t>51</w:t>
        </w:r>
        <w:r>
          <w:rPr>
            <w:noProof/>
            <w:webHidden/>
          </w:rPr>
          <w:fldChar w:fldCharType="end"/>
        </w:r>
      </w:hyperlink>
    </w:p>
    <w:p w14:paraId="0C37D56C" w14:textId="1A3715FC"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87" w:history="1">
        <w:r w:rsidRPr="00BE1711">
          <w:rPr>
            <w:rStyle w:val="Hyperlink"/>
            <w:rFonts w:ascii="Arial" w:hAnsi="Arial" w:cs="Arial"/>
            <w:b/>
            <w:bCs/>
            <w:noProof/>
            <w:lang w:val="en-US"/>
          </w:rPr>
          <w:t>5.1 UK Studies on Patient Satisfaction with Telemedicine</w:t>
        </w:r>
        <w:r>
          <w:rPr>
            <w:noProof/>
            <w:webHidden/>
          </w:rPr>
          <w:tab/>
        </w:r>
        <w:r>
          <w:rPr>
            <w:noProof/>
            <w:webHidden/>
          </w:rPr>
          <w:fldChar w:fldCharType="begin"/>
        </w:r>
        <w:r>
          <w:rPr>
            <w:noProof/>
            <w:webHidden/>
          </w:rPr>
          <w:instrText xml:space="preserve"> PAGEREF _Toc241618987 \h </w:instrText>
        </w:r>
        <w:r>
          <w:rPr>
            <w:noProof/>
            <w:webHidden/>
          </w:rPr>
        </w:r>
        <w:r>
          <w:rPr>
            <w:noProof/>
            <w:webHidden/>
          </w:rPr>
          <w:fldChar w:fldCharType="separate"/>
        </w:r>
        <w:r>
          <w:rPr>
            <w:noProof/>
            <w:webHidden/>
          </w:rPr>
          <w:t>51</w:t>
        </w:r>
        <w:r>
          <w:rPr>
            <w:noProof/>
            <w:webHidden/>
          </w:rPr>
          <w:fldChar w:fldCharType="end"/>
        </w:r>
      </w:hyperlink>
    </w:p>
    <w:p w14:paraId="550338D8" w14:textId="6423D77B"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88" w:history="1">
        <w:r w:rsidRPr="00BE1711">
          <w:rPr>
            <w:rStyle w:val="Hyperlink"/>
            <w:rFonts w:ascii="Arial" w:hAnsi="Arial" w:cs="Arial"/>
            <w:b/>
            <w:bCs/>
            <w:noProof/>
            <w:lang w:val="en-US"/>
          </w:rPr>
          <w:t>5.2 Perceived Quality of Telemedicine</w:t>
        </w:r>
        <w:r>
          <w:rPr>
            <w:noProof/>
            <w:webHidden/>
          </w:rPr>
          <w:tab/>
        </w:r>
        <w:r>
          <w:rPr>
            <w:noProof/>
            <w:webHidden/>
          </w:rPr>
          <w:fldChar w:fldCharType="begin"/>
        </w:r>
        <w:r>
          <w:rPr>
            <w:noProof/>
            <w:webHidden/>
          </w:rPr>
          <w:instrText xml:space="preserve"> PAGEREF _Toc241618988 \h </w:instrText>
        </w:r>
        <w:r>
          <w:rPr>
            <w:noProof/>
            <w:webHidden/>
          </w:rPr>
        </w:r>
        <w:r>
          <w:rPr>
            <w:noProof/>
            <w:webHidden/>
          </w:rPr>
          <w:fldChar w:fldCharType="separate"/>
        </w:r>
        <w:r>
          <w:rPr>
            <w:noProof/>
            <w:webHidden/>
          </w:rPr>
          <w:t>51</w:t>
        </w:r>
        <w:r>
          <w:rPr>
            <w:noProof/>
            <w:webHidden/>
          </w:rPr>
          <w:fldChar w:fldCharType="end"/>
        </w:r>
      </w:hyperlink>
    </w:p>
    <w:p w14:paraId="77A8A18A" w14:textId="1AECE7C2"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89" w:history="1">
        <w:r w:rsidRPr="00BE1711">
          <w:rPr>
            <w:rStyle w:val="Hyperlink"/>
            <w:rFonts w:ascii="Arial" w:hAnsi="Arial" w:cs="Arial"/>
            <w:b/>
            <w:bCs/>
            <w:noProof/>
            <w:lang w:val="en-US"/>
          </w:rPr>
          <w:t>5.3 Comparing Telephone and Video Consultations</w:t>
        </w:r>
        <w:r>
          <w:rPr>
            <w:noProof/>
            <w:webHidden/>
          </w:rPr>
          <w:tab/>
        </w:r>
        <w:r>
          <w:rPr>
            <w:noProof/>
            <w:webHidden/>
          </w:rPr>
          <w:fldChar w:fldCharType="begin"/>
        </w:r>
        <w:r>
          <w:rPr>
            <w:noProof/>
            <w:webHidden/>
          </w:rPr>
          <w:instrText xml:space="preserve"> PAGEREF _Toc241618989 \h </w:instrText>
        </w:r>
        <w:r>
          <w:rPr>
            <w:noProof/>
            <w:webHidden/>
          </w:rPr>
        </w:r>
        <w:r>
          <w:rPr>
            <w:noProof/>
            <w:webHidden/>
          </w:rPr>
          <w:fldChar w:fldCharType="separate"/>
        </w:r>
        <w:r>
          <w:rPr>
            <w:noProof/>
            <w:webHidden/>
          </w:rPr>
          <w:t>52</w:t>
        </w:r>
        <w:r>
          <w:rPr>
            <w:noProof/>
            <w:webHidden/>
          </w:rPr>
          <w:fldChar w:fldCharType="end"/>
        </w:r>
      </w:hyperlink>
    </w:p>
    <w:p w14:paraId="1B4A1AA1" w14:textId="10702F15"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90" w:history="1">
        <w:r w:rsidRPr="00BE1711">
          <w:rPr>
            <w:rStyle w:val="Hyperlink"/>
            <w:rFonts w:ascii="Arial" w:hAnsi="Arial" w:cs="Arial"/>
            <w:b/>
            <w:bCs/>
            <w:noProof/>
            <w:lang w:val="en-US"/>
          </w:rPr>
          <w:t>5.4 Literature Gaps and Implications for Policy and Practice</w:t>
        </w:r>
        <w:r>
          <w:rPr>
            <w:noProof/>
            <w:webHidden/>
          </w:rPr>
          <w:tab/>
        </w:r>
        <w:r>
          <w:rPr>
            <w:noProof/>
            <w:webHidden/>
          </w:rPr>
          <w:fldChar w:fldCharType="begin"/>
        </w:r>
        <w:r>
          <w:rPr>
            <w:noProof/>
            <w:webHidden/>
          </w:rPr>
          <w:instrText xml:space="preserve"> PAGEREF _Toc241618990 \h </w:instrText>
        </w:r>
        <w:r>
          <w:rPr>
            <w:noProof/>
            <w:webHidden/>
          </w:rPr>
        </w:r>
        <w:r>
          <w:rPr>
            <w:noProof/>
            <w:webHidden/>
          </w:rPr>
          <w:fldChar w:fldCharType="separate"/>
        </w:r>
        <w:r>
          <w:rPr>
            <w:noProof/>
            <w:webHidden/>
          </w:rPr>
          <w:t>52</w:t>
        </w:r>
        <w:r>
          <w:rPr>
            <w:noProof/>
            <w:webHidden/>
          </w:rPr>
          <w:fldChar w:fldCharType="end"/>
        </w:r>
      </w:hyperlink>
    </w:p>
    <w:p w14:paraId="04EC50C2" w14:textId="178E2570" w:rsidR="00875C99" w:rsidRDefault="00875C99">
      <w:pPr>
        <w:pStyle w:val="TOC1"/>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91" w:history="1">
        <w:r w:rsidRPr="00BE1711">
          <w:rPr>
            <w:rStyle w:val="Hyperlink"/>
            <w:rFonts w:ascii="Arial" w:hAnsi="Arial" w:cs="Arial"/>
            <w:b/>
            <w:bCs/>
            <w:noProof/>
          </w:rPr>
          <w:t>CHAPTER SIX</w:t>
        </w:r>
        <w:r>
          <w:rPr>
            <w:noProof/>
            <w:webHidden/>
          </w:rPr>
          <w:tab/>
        </w:r>
        <w:r>
          <w:rPr>
            <w:noProof/>
            <w:webHidden/>
          </w:rPr>
          <w:fldChar w:fldCharType="begin"/>
        </w:r>
        <w:r>
          <w:rPr>
            <w:noProof/>
            <w:webHidden/>
          </w:rPr>
          <w:instrText xml:space="preserve"> PAGEREF _Toc241618991 \h </w:instrText>
        </w:r>
        <w:r>
          <w:rPr>
            <w:noProof/>
            <w:webHidden/>
          </w:rPr>
        </w:r>
        <w:r>
          <w:rPr>
            <w:noProof/>
            <w:webHidden/>
          </w:rPr>
          <w:fldChar w:fldCharType="separate"/>
        </w:r>
        <w:r>
          <w:rPr>
            <w:noProof/>
            <w:webHidden/>
          </w:rPr>
          <w:t>54</w:t>
        </w:r>
        <w:r>
          <w:rPr>
            <w:noProof/>
            <w:webHidden/>
          </w:rPr>
          <w:fldChar w:fldCharType="end"/>
        </w:r>
      </w:hyperlink>
    </w:p>
    <w:p w14:paraId="78E2D3C7" w14:textId="620E7F8E" w:rsidR="00875C99" w:rsidRDefault="00875C99">
      <w:pPr>
        <w:pStyle w:val="TOC1"/>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92" w:history="1">
        <w:r w:rsidRPr="00BE171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_Toc241618992 \h </w:instrText>
        </w:r>
        <w:r>
          <w:rPr>
            <w:noProof/>
            <w:webHidden/>
          </w:rPr>
        </w:r>
        <w:r>
          <w:rPr>
            <w:noProof/>
            <w:webHidden/>
          </w:rPr>
          <w:fldChar w:fldCharType="separate"/>
        </w:r>
        <w:r>
          <w:rPr>
            <w:noProof/>
            <w:webHidden/>
          </w:rPr>
          <w:t>54</w:t>
        </w:r>
        <w:r>
          <w:rPr>
            <w:noProof/>
            <w:webHidden/>
          </w:rPr>
          <w:fldChar w:fldCharType="end"/>
        </w:r>
      </w:hyperlink>
    </w:p>
    <w:p w14:paraId="30E36710" w14:textId="7BE0E07F"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93" w:history="1">
        <w:r w:rsidRPr="00BE1711">
          <w:rPr>
            <w:rStyle w:val="Hyperlink"/>
            <w:rFonts w:ascii="Arial" w:eastAsia="Calibri" w:hAnsi="Arial" w:cs="Arial"/>
            <w:b/>
            <w:bCs/>
            <w:noProof/>
            <w:lang w:val="en-US"/>
          </w:rPr>
          <w:t>6.1 Introduction</w:t>
        </w:r>
        <w:r>
          <w:rPr>
            <w:noProof/>
            <w:webHidden/>
          </w:rPr>
          <w:tab/>
        </w:r>
        <w:r>
          <w:rPr>
            <w:noProof/>
            <w:webHidden/>
          </w:rPr>
          <w:fldChar w:fldCharType="begin"/>
        </w:r>
        <w:r>
          <w:rPr>
            <w:noProof/>
            <w:webHidden/>
          </w:rPr>
          <w:instrText xml:space="preserve"> PAGEREF _Toc241618993 \h </w:instrText>
        </w:r>
        <w:r>
          <w:rPr>
            <w:noProof/>
            <w:webHidden/>
          </w:rPr>
        </w:r>
        <w:r>
          <w:rPr>
            <w:noProof/>
            <w:webHidden/>
          </w:rPr>
          <w:fldChar w:fldCharType="separate"/>
        </w:r>
        <w:r>
          <w:rPr>
            <w:noProof/>
            <w:webHidden/>
          </w:rPr>
          <w:t>54</w:t>
        </w:r>
        <w:r>
          <w:rPr>
            <w:noProof/>
            <w:webHidden/>
          </w:rPr>
          <w:fldChar w:fldCharType="end"/>
        </w:r>
      </w:hyperlink>
    </w:p>
    <w:p w14:paraId="1EF5AEB3" w14:textId="1E6F93B4"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94" w:history="1">
        <w:r w:rsidRPr="00BE1711">
          <w:rPr>
            <w:rStyle w:val="Hyperlink"/>
            <w:rFonts w:ascii="Arial" w:eastAsia="Calibri" w:hAnsi="Arial" w:cs="Arial"/>
            <w:b/>
            <w:bCs/>
            <w:noProof/>
            <w:lang w:val="en-US"/>
          </w:rPr>
          <w:t>6.2 Reflection on the Research</w:t>
        </w:r>
        <w:r>
          <w:rPr>
            <w:noProof/>
            <w:webHidden/>
          </w:rPr>
          <w:tab/>
        </w:r>
        <w:r>
          <w:rPr>
            <w:noProof/>
            <w:webHidden/>
          </w:rPr>
          <w:fldChar w:fldCharType="begin"/>
        </w:r>
        <w:r>
          <w:rPr>
            <w:noProof/>
            <w:webHidden/>
          </w:rPr>
          <w:instrText xml:space="preserve"> PAGEREF _Toc241618994 \h </w:instrText>
        </w:r>
        <w:r>
          <w:rPr>
            <w:noProof/>
            <w:webHidden/>
          </w:rPr>
        </w:r>
        <w:r>
          <w:rPr>
            <w:noProof/>
            <w:webHidden/>
          </w:rPr>
          <w:fldChar w:fldCharType="separate"/>
        </w:r>
        <w:r>
          <w:rPr>
            <w:noProof/>
            <w:webHidden/>
          </w:rPr>
          <w:t>54</w:t>
        </w:r>
        <w:r>
          <w:rPr>
            <w:noProof/>
            <w:webHidden/>
          </w:rPr>
          <w:fldChar w:fldCharType="end"/>
        </w:r>
      </w:hyperlink>
    </w:p>
    <w:p w14:paraId="523BD35B" w14:textId="51E4536B"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95" w:history="1">
        <w:r w:rsidRPr="00BE1711">
          <w:rPr>
            <w:rStyle w:val="Hyperlink"/>
            <w:rFonts w:ascii="Arial" w:eastAsia="Calibri" w:hAnsi="Arial" w:cs="Arial"/>
            <w:b/>
            <w:bCs/>
            <w:noProof/>
            <w:lang w:val="en-US"/>
          </w:rPr>
          <w:t>6.3 Recommendations</w:t>
        </w:r>
        <w:r>
          <w:rPr>
            <w:noProof/>
            <w:webHidden/>
          </w:rPr>
          <w:tab/>
        </w:r>
        <w:r>
          <w:rPr>
            <w:noProof/>
            <w:webHidden/>
          </w:rPr>
          <w:fldChar w:fldCharType="begin"/>
        </w:r>
        <w:r>
          <w:rPr>
            <w:noProof/>
            <w:webHidden/>
          </w:rPr>
          <w:instrText xml:space="preserve"> PAGEREF _Toc241618995 \h </w:instrText>
        </w:r>
        <w:r>
          <w:rPr>
            <w:noProof/>
            <w:webHidden/>
          </w:rPr>
        </w:r>
        <w:r>
          <w:rPr>
            <w:noProof/>
            <w:webHidden/>
          </w:rPr>
          <w:fldChar w:fldCharType="separate"/>
        </w:r>
        <w:r>
          <w:rPr>
            <w:noProof/>
            <w:webHidden/>
          </w:rPr>
          <w:t>55</w:t>
        </w:r>
        <w:r>
          <w:rPr>
            <w:noProof/>
            <w:webHidden/>
          </w:rPr>
          <w:fldChar w:fldCharType="end"/>
        </w:r>
      </w:hyperlink>
    </w:p>
    <w:p w14:paraId="5C282B17" w14:textId="09CC90A3" w:rsidR="00875C99" w:rsidRDefault="00875C99">
      <w:pPr>
        <w:pStyle w:val="TOC2"/>
        <w:tabs>
          <w:tab w:val="right" w:leader="dot" w:pos="9016"/>
        </w:tabs>
        <w:rPr>
          <w:rFonts w:asciiTheme="minorHAnsi" w:eastAsiaTheme="minorEastAsia" w:hAnsiTheme="minorHAnsi" w:cstheme="minorBidi"/>
          <w:noProof/>
          <w:sz w:val="24"/>
          <w:szCs w:val="24"/>
          <w:lang w:eastAsia="en-GB"/>
          <w14:ligatures w14:val="standardContextual"/>
        </w:rPr>
      </w:pPr>
      <w:hyperlink w:anchor="_Toc241618996" w:history="1">
        <w:r w:rsidRPr="00BE1711">
          <w:rPr>
            <w:rStyle w:val="Hyperlink"/>
            <w:rFonts w:ascii="Arial" w:eastAsia="Calibri" w:hAnsi="Arial" w:cs="Arial"/>
            <w:b/>
            <w:bCs/>
            <w:noProof/>
            <w:lang w:val="en-US"/>
          </w:rPr>
          <w:t>6.4 Contribution of the Study</w:t>
        </w:r>
        <w:r>
          <w:rPr>
            <w:noProof/>
            <w:webHidden/>
          </w:rPr>
          <w:tab/>
        </w:r>
        <w:r>
          <w:rPr>
            <w:noProof/>
            <w:webHidden/>
          </w:rPr>
          <w:fldChar w:fldCharType="begin"/>
        </w:r>
        <w:r>
          <w:rPr>
            <w:noProof/>
            <w:webHidden/>
          </w:rPr>
          <w:instrText xml:space="preserve"> PAGEREF _Toc241618996 \h </w:instrText>
        </w:r>
        <w:r>
          <w:rPr>
            <w:noProof/>
            <w:webHidden/>
          </w:rPr>
        </w:r>
        <w:r>
          <w:rPr>
            <w:noProof/>
            <w:webHidden/>
          </w:rPr>
          <w:fldChar w:fldCharType="separate"/>
        </w:r>
        <w:r>
          <w:rPr>
            <w:noProof/>
            <w:webHidden/>
          </w:rPr>
          <w:t>55</w:t>
        </w:r>
        <w:r>
          <w:rPr>
            <w:noProof/>
            <w:webHidden/>
          </w:rPr>
          <w:fldChar w:fldCharType="end"/>
        </w:r>
      </w:hyperlink>
    </w:p>
    <w:p w14:paraId="53195205" w14:textId="0C09F3D1" w:rsidR="00EE4FC1" w:rsidRPr="002854DB" w:rsidRDefault="00EE4FC1" w:rsidP="00EE4FC1">
      <w:pPr>
        <w:spacing w:line="259" w:lineRule="auto"/>
        <w:rPr>
          <w:rFonts w:ascii="Calibri" w:eastAsia="PMingLiU" w:hAnsi="Calibri"/>
          <w:noProof/>
          <w:sz w:val="22"/>
          <w:szCs w:val="22"/>
          <w:lang w:eastAsia="zh-CN"/>
        </w:rPr>
      </w:pPr>
      <w:r w:rsidRPr="002854DB">
        <w:rPr>
          <w:rFonts w:ascii="Calibri" w:eastAsia="PMingLiU" w:hAnsi="Calibri"/>
          <w:noProof/>
          <w:sz w:val="22"/>
          <w:szCs w:val="22"/>
          <w:lang w:eastAsia="zh-CN"/>
        </w:rPr>
        <w:fldChar w:fldCharType="end"/>
      </w:r>
    </w:p>
    <w:p w14:paraId="0D6C6F0C" w14:textId="77777777" w:rsidR="00EE4FC1" w:rsidRPr="00EE4FC1" w:rsidRDefault="00EE4FC1" w:rsidP="00EE4FC1">
      <w:pPr>
        <w:spacing w:after="158" w:line="360" w:lineRule="auto"/>
        <w:ind w:left="59"/>
        <w:jc w:val="center"/>
        <w:rPr>
          <w:rFonts w:ascii="Arial" w:eastAsia="DengXian" w:hAnsi="Arial" w:cs="Arial"/>
          <w:sz w:val="22"/>
          <w:szCs w:val="22"/>
          <w:lang w:eastAsia="zh-CN"/>
        </w:rPr>
      </w:pPr>
    </w:p>
    <w:p w14:paraId="13ECE20C" w14:textId="77777777" w:rsidR="00EE4FC1" w:rsidRPr="00EE4FC1" w:rsidRDefault="00EE4FC1" w:rsidP="00EE4FC1">
      <w:pPr>
        <w:spacing w:after="158" w:line="360" w:lineRule="auto"/>
        <w:ind w:left="59"/>
        <w:jc w:val="center"/>
        <w:rPr>
          <w:rFonts w:ascii="Arial" w:eastAsia="DengXian" w:hAnsi="Arial" w:cs="Arial"/>
          <w:sz w:val="22"/>
          <w:szCs w:val="22"/>
          <w:lang w:eastAsia="zh-CN"/>
        </w:rPr>
      </w:pPr>
    </w:p>
    <w:p w14:paraId="01A8B32A" w14:textId="77777777" w:rsidR="00EE4FC1" w:rsidRPr="00EE4FC1" w:rsidRDefault="00EE4FC1" w:rsidP="00EE4FC1">
      <w:pPr>
        <w:spacing w:after="158" w:line="360" w:lineRule="auto"/>
        <w:ind w:left="59"/>
        <w:jc w:val="center"/>
        <w:rPr>
          <w:rFonts w:ascii="Arial" w:eastAsia="DengXian" w:hAnsi="Arial" w:cs="Arial"/>
          <w:sz w:val="22"/>
          <w:szCs w:val="22"/>
          <w:lang w:eastAsia="zh-CN"/>
        </w:rPr>
      </w:pPr>
    </w:p>
    <w:p w14:paraId="3FEE0CB4" w14:textId="77777777" w:rsidR="00EE4FC1" w:rsidRPr="00EE4FC1" w:rsidRDefault="00EE4FC1" w:rsidP="00EE4FC1">
      <w:pPr>
        <w:spacing w:after="158" w:line="360" w:lineRule="auto"/>
        <w:ind w:left="59"/>
        <w:jc w:val="center"/>
        <w:rPr>
          <w:rFonts w:ascii="Arial" w:eastAsia="DengXian" w:hAnsi="Arial" w:cs="Arial"/>
          <w:sz w:val="22"/>
          <w:szCs w:val="22"/>
          <w:lang w:eastAsia="zh-CN"/>
        </w:rPr>
      </w:pPr>
    </w:p>
    <w:p w14:paraId="2A6A22F2" w14:textId="77777777" w:rsidR="00EE4FC1" w:rsidRPr="00EE4FC1" w:rsidRDefault="00EE4FC1" w:rsidP="00EE4FC1">
      <w:pPr>
        <w:spacing w:after="158" w:line="360" w:lineRule="auto"/>
        <w:ind w:left="59"/>
        <w:jc w:val="center"/>
        <w:rPr>
          <w:rFonts w:ascii="Arial" w:eastAsia="DengXian" w:hAnsi="Arial" w:cs="Arial"/>
          <w:sz w:val="22"/>
          <w:szCs w:val="22"/>
          <w:lang w:eastAsia="zh-CN"/>
        </w:rPr>
      </w:pPr>
    </w:p>
    <w:p w14:paraId="44CB5CC7" w14:textId="77777777" w:rsidR="00EE4FC1" w:rsidRPr="00EE4FC1" w:rsidRDefault="00EE4FC1" w:rsidP="00EE4FC1">
      <w:pPr>
        <w:spacing w:after="158" w:line="360" w:lineRule="auto"/>
        <w:ind w:left="59"/>
        <w:jc w:val="center"/>
        <w:rPr>
          <w:rFonts w:ascii="Arial" w:eastAsia="DengXian" w:hAnsi="Arial" w:cs="Arial"/>
          <w:sz w:val="22"/>
          <w:szCs w:val="22"/>
          <w:lang w:eastAsia="zh-CN"/>
        </w:rPr>
      </w:pPr>
    </w:p>
    <w:p w14:paraId="48B32758" w14:textId="77777777" w:rsidR="00EE4FC1" w:rsidRPr="00EE4FC1" w:rsidRDefault="00EE4FC1" w:rsidP="00EE4FC1">
      <w:pPr>
        <w:spacing w:after="158" w:line="360" w:lineRule="auto"/>
        <w:ind w:left="59"/>
        <w:jc w:val="center"/>
        <w:rPr>
          <w:rFonts w:ascii="Arial" w:eastAsia="DengXian" w:hAnsi="Arial" w:cs="Arial"/>
          <w:sz w:val="22"/>
          <w:szCs w:val="22"/>
          <w:lang w:eastAsia="zh-CN"/>
        </w:rPr>
      </w:pPr>
    </w:p>
    <w:p w14:paraId="1BF927C6" w14:textId="77777777" w:rsidR="00EE4FC1" w:rsidRPr="00EE4FC1" w:rsidRDefault="00EE4FC1" w:rsidP="00F9724A">
      <w:pPr>
        <w:spacing w:after="158" w:line="360" w:lineRule="auto"/>
        <w:rPr>
          <w:rFonts w:ascii="Arial" w:eastAsia="DengXian" w:hAnsi="Arial" w:cs="Arial"/>
          <w:sz w:val="22"/>
          <w:szCs w:val="22"/>
          <w:lang w:eastAsia="zh-CN"/>
        </w:rPr>
      </w:pPr>
    </w:p>
    <w:p w14:paraId="40779160" w14:textId="77777777" w:rsidR="00EE4FC1" w:rsidRPr="00EE4FC1" w:rsidRDefault="008A7B71" w:rsidP="00EE4FC1">
      <w:pPr>
        <w:keepNext/>
        <w:keepLines/>
        <w:spacing w:before="360" w:after="80" w:line="360" w:lineRule="auto"/>
        <w:jc w:val="center"/>
        <w:outlineLvl w:val="0"/>
        <w:rPr>
          <w:rFonts w:ascii="Arial" w:eastAsia="Times New Roman" w:hAnsi="Arial" w:cs="Arial"/>
          <w:b/>
          <w:color w:val="000000"/>
          <w:sz w:val="22"/>
          <w:szCs w:val="22"/>
          <w:lang w:eastAsia="zh-CN"/>
        </w:rPr>
      </w:pPr>
      <w:bookmarkStart w:id="9" w:name="_Toc12212"/>
      <w:bookmarkStart w:id="10" w:name="_Toc241618943"/>
      <w:r w:rsidRPr="00EE4FC1">
        <w:rPr>
          <w:rFonts w:ascii="Arial" w:eastAsia="Times New Roman" w:hAnsi="Arial" w:cs="Arial"/>
          <w:b/>
          <w:color w:val="000000"/>
          <w:sz w:val="22"/>
          <w:szCs w:val="22"/>
          <w:lang w:eastAsia="zh-CN"/>
        </w:rPr>
        <w:lastRenderedPageBreak/>
        <w:t>LIST OF FIGURES</w:t>
      </w:r>
      <w:bookmarkEnd w:id="9"/>
      <w:bookmarkEnd w:id="10"/>
    </w:p>
    <w:p w14:paraId="4610DD6D" w14:textId="77777777" w:rsidR="00EE4FC1" w:rsidRPr="006C4473" w:rsidRDefault="00EE4FC1" w:rsidP="00EE4FC1">
      <w:pPr>
        <w:tabs>
          <w:tab w:val="right" w:leader="dot" w:pos="9016"/>
        </w:tabs>
        <w:spacing w:after="0" w:line="360" w:lineRule="auto"/>
        <w:rPr>
          <w:rFonts w:ascii="Calibri" w:eastAsia="PMingLiU" w:hAnsi="Calibri"/>
          <w:noProof/>
          <w:lang w:val="en-US" w:eastAsia="zh-TW"/>
        </w:rPr>
      </w:pPr>
      <w:r w:rsidRPr="006230A8">
        <w:rPr>
          <w:rFonts w:ascii="Arial" w:eastAsia="Times New Roman" w:hAnsi="Arial" w:cs="Arial"/>
          <w:b/>
          <w:sz w:val="22"/>
          <w:szCs w:val="22"/>
          <w:u w:val="single"/>
          <w:lang w:eastAsia="zh-CN"/>
        </w:rPr>
        <w:fldChar w:fldCharType="begin"/>
      </w:r>
      <w:r w:rsidRPr="006230A8">
        <w:rPr>
          <w:rFonts w:ascii="Arial" w:eastAsia="Times New Roman" w:hAnsi="Arial" w:cs="Arial"/>
          <w:b/>
          <w:sz w:val="22"/>
          <w:szCs w:val="22"/>
          <w:u w:val="single"/>
          <w:lang w:eastAsia="zh-CN"/>
        </w:rPr>
        <w:instrText xml:space="preserve"> TOC \h \z \c "Figure" </w:instrText>
      </w:r>
      <w:r w:rsidRPr="006230A8">
        <w:rPr>
          <w:rFonts w:ascii="Arial" w:eastAsia="Times New Roman" w:hAnsi="Arial" w:cs="Arial"/>
          <w:b/>
          <w:sz w:val="22"/>
          <w:szCs w:val="22"/>
          <w:u w:val="single"/>
          <w:lang w:eastAsia="zh-CN"/>
        </w:rPr>
        <w:fldChar w:fldCharType="separate"/>
      </w:r>
      <w:hyperlink w:anchor="_Toc238386416" w:history="1">
        <w:r w:rsidRPr="006C4473">
          <w:rPr>
            <w:rFonts w:ascii="Arial" w:eastAsia="PMingLiU" w:hAnsi="Arial"/>
            <w:noProof/>
            <w:color w:val="0563C1"/>
            <w:sz w:val="22"/>
            <w:szCs w:val="22"/>
            <w:lang w:eastAsia="zh-CN"/>
          </w:rPr>
          <w:t xml:space="preserve">Figure 1: </w:t>
        </w:r>
        <w:r w:rsidRPr="006C4473">
          <w:rPr>
            <w:rFonts w:ascii="Arial" w:eastAsia="PMingLiU" w:hAnsi="Arial"/>
            <w:noProof/>
            <w:color w:val="0563C1"/>
            <w:sz w:val="22"/>
            <w:szCs w:val="22"/>
            <w:lang w:val="en-US" w:eastAsia="zh-CN"/>
          </w:rPr>
          <w:t>The Technology Acceptance Model (Source: Davis, 1989)</w:t>
        </w:r>
        <w:r w:rsidRPr="006C4473">
          <w:rPr>
            <w:rFonts w:ascii="Arial" w:eastAsia="PMingLiU" w:hAnsi="Arial"/>
            <w:noProof/>
            <w:webHidden/>
            <w:sz w:val="22"/>
            <w:szCs w:val="22"/>
            <w:lang w:eastAsia="zh-CN"/>
          </w:rPr>
          <w:tab/>
        </w:r>
        <w:r w:rsidRPr="006C4473">
          <w:rPr>
            <w:rFonts w:ascii="Arial" w:eastAsia="PMingLiU" w:hAnsi="Arial"/>
            <w:noProof/>
            <w:webHidden/>
            <w:sz w:val="22"/>
            <w:szCs w:val="22"/>
            <w:lang w:eastAsia="zh-CN"/>
          </w:rPr>
          <w:fldChar w:fldCharType="begin"/>
        </w:r>
        <w:r w:rsidRPr="006C4473">
          <w:rPr>
            <w:rFonts w:ascii="Arial" w:eastAsia="PMingLiU" w:hAnsi="Arial"/>
            <w:noProof/>
            <w:webHidden/>
            <w:sz w:val="22"/>
            <w:szCs w:val="22"/>
            <w:lang w:eastAsia="zh-CN"/>
          </w:rPr>
          <w:instrText xml:space="preserve"> PAGEREF _Toc238386416 \h </w:instrText>
        </w:r>
        <w:r w:rsidRPr="006C4473">
          <w:rPr>
            <w:rFonts w:ascii="Arial" w:eastAsia="PMingLiU" w:hAnsi="Arial"/>
            <w:noProof/>
            <w:webHidden/>
            <w:sz w:val="22"/>
            <w:szCs w:val="22"/>
            <w:lang w:eastAsia="zh-CN"/>
          </w:rPr>
        </w:r>
        <w:r w:rsidRPr="006C4473">
          <w:rPr>
            <w:rFonts w:ascii="Arial" w:eastAsia="PMingLiU" w:hAnsi="Arial"/>
            <w:noProof/>
            <w:webHidden/>
            <w:sz w:val="22"/>
            <w:szCs w:val="22"/>
            <w:lang w:eastAsia="zh-CN"/>
          </w:rPr>
          <w:fldChar w:fldCharType="separate"/>
        </w:r>
        <w:r w:rsidRPr="006C4473">
          <w:rPr>
            <w:rFonts w:ascii="Arial" w:eastAsia="PMingLiU" w:hAnsi="Arial"/>
            <w:noProof/>
            <w:webHidden/>
            <w:sz w:val="22"/>
            <w:szCs w:val="22"/>
            <w:lang w:eastAsia="zh-CN"/>
          </w:rPr>
          <w:t>2</w:t>
        </w:r>
        <w:r w:rsidRPr="006C4473">
          <w:rPr>
            <w:rFonts w:ascii="Arial" w:eastAsia="PMingLiU" w:hAnsi="Arial"/>
            <w:noProof/>
            <w:webHidden/>
            <w:sz w:val="22"/>
            <w:szCs w:val="22"/>
            <w:lang w:eastAsia="zh-CN"/>
          </w:rPr>
          <w:fldChar w:fldCharType="end"/>
        </w:r>
      </w:hyperlink>
      <w:r w:rsidR="00AC7633" w:rsidRPr="006C4473">
        <w:rPr>
          <w:rFonts w:ascii="Arial" w:eastAsia="PMingLiU" w:hAnsi="Arial"/>
          <w:sz w:val="22"/>
          <w:szCs w:val="22"/>
          <w:lang w:eastAsia="zh-CN"/>
        </w:rPr>
        <w:t>4</w:t>
      </w:r>
    </w:p>
    <w:p w14:paraId="100B785D" w14:textId="77777777" w:rsidR="00EE4FC1" w:rsidRPr="006C4473" w:rsidRDefault="00EE4FC1" w:rsidP="00EE4FC1">
      <w:pPr>
        <w:tabs>
          <w:tab w:val="right" w:leader="dot" w:pos="9016"/>
        </w:tabs>
        <w:spacing w:after="0" w:line="360" w:lineRule="auto"/>
        <w:rPr>
          <w:rFonts w:ascii="Calibri" w:eastAsia="PMingLiU" w:hAnsi="Calibri"/>
          <w:noProof/>
          <w:lang w:val="en-US" w:eastAsia="zh-TW"/>
        </w:rPr>
      </w:pPr>
      <w:hyperlink w:anchor="_Toc238386417" w:history="1">
        <w:r w:rsidRPr="006C4473">
          <w:rPr>
            <w:rFonts w:ascii="Arial" w:eastAsia="PMingLiU" w:hAnsi="Arial"/>
            <w:noProof/>
            <w:color w:val="0563C1"/>
            <w:sz w:val="22"/>
            <w:szCs w:val="22"/>
            <w:lang w:eastAsia="zh-CN"/>
          </w:rPr>
          <w:t xml:space="preserve">Figure 2: </w:t>
        </w:r>
        <w:r w:rsidRPr="006C4473">
          <w:rPr>
            <w:rFonts w:ascii="Arial" w:eastAsia="PMingLiU" w:hAnsi="Arial"/>
            <w:noProof/>
            <w:color w:val="0563C1"/>
            <w:sz w:val="22"/>
            <w:szCs w:val="22"/>
            <w:lang w:val="en-US" w:eastAsia="zh-CN"/>
          </w:rPr>
          <w:t>Donabedian Quality of Care Framework (Source: Donabedian, 1988)</w:t>
        </w:r>
        <w:r w:rsidRPr="006C4473">
          <w:rPr>
            <w:rFonts w:ascii="Arial" w:eastAsia="PMingLiU" w:hAnsi="Arial"/>
            <w:noProof/>
            <w:webHidden/>
            <w:sz w:val="22"/>
            <w:szCs w:val="22"/>
            <w:lang w:eastAsia="zh-CN"/>
          </w:rPr>
          <w:tab/>
        </w:r>
        <w:r w:rsidRPr="006C4473">
          <w:rPr>
            <w:rFonts w:ascii="Arial" w:eastAsia="PMingLiU" w:hAnsi="Arial"/>
            <w:noProof/>
            <w:webHidden/>
            <w:sz w:val="22"/>
            <w:szCs w:val="22"/>
            <w:lang w:eastAsia="zh-CN"/>
          </w:rPr>
          <w:fldChar w:fldCharType="begin"/>
        </w:r>
        <w:r w:rsidRPr="006C4473">
          <w:rPr>
            <w:rFonts w:ascii="Arial" w:eastAsia="PMingLiU" w:hAnsi="Arial"/>
            <w:noProof/>
            <w:webHidden/>
            <w:sz w:val="22"/>
            <w:szCs w:val="22"/>
            <w:lang w:eastAsia="zh-CN"/>
          </w:rPr>
          <w:instrText xml:space="preserve"> PAGEREF _Toc238386417 \h </w:instrText>
        </w:r>
        <w:r w:rsidRPr="006C4473">
          <w:rPr>
            <w:rFonts w:ascii="Arial" w:eastAsia="PMingLiU" w:hAnsi="Arial"/>
            <w:noProof/>
            <w:webHidden/>
            <w:sz w:val="22"/>
            <w:szCs w:val="22"/>
            <w:lang w:eastAsia="zh-CN"/>
          </w:rPr>
        </w:r>
        <w:r w:rsidRPr="006C4473">
          <w:rPr>
            <w:rFonts w:ascii="Arial" w:eastAsia="PMingLiU" w:hAnsi="Arial"/>
            <w:noProof/>
            <w:webHidden/>
            <w:sz w:val="22"/>
            <w:szCs w:val="22"/>
            <w:lang w:eastAsia="zh-CN"/>
          </w:rPr>
          <w:fldChar w:fldCharType="separate"/>
        </w:r>
        <w:r w:rsidRPr="006C4473">
          <w:rPr>
            <w:rFonts w:ascii="Arial" w:eastAsia="PMingLiU" w:hAnsi="Arial"/>
            <w:noProof/>
            <w:webHidden/>
            <w:sz w:val="22"/>
            <w:szCs w:val="22"/>
            <w:lang w:eastAsia="zh-CN"/>
          </w:rPr>
          <w:t>2</w:t>
        </w:r>
        <w:r w:rsidRPr="006C4473">
          <w:rPr>
            <w:rFonts w:ascii="Arial" w:eastAsia="PMingLiU" w:hAnsi="Arial"/>
            <w:noProof/>
            <w:webHidden/>
            <w:sz w:val="22"/>
            <w:szCs w:val="22"/>
            <w:lang w:eastAsia="zh-CN"/>
          </w:rPr>
          <w:fldChar w:fldCharType="end"/>
        </w:r>
      </w:hyperlink>
      <w:r w:rsidR="00AC7633" w:rsidRPr="006C4473">
        <w:rPr>
          <w:rFonts w:ascii="Arial" w:eastAsia="PMingLiU" w:hAnsi="Arial"/>
          <w:sz w:val="22"/>
          <w:szCs w:val="22"/>
          <w:lang w:eastAsia="zh-CN"/>
        </w:rPr>
        <w:t>5</w:t>
      </w:r>
    </w:p>
    <w:p w14:paraId="2315527E" w14:textId="10A451B6" w:rsidR="00EE4FC1" w:rsidRPr="00343CD3" w:rsidRDefault="00EE4FC1" w:rsidP="00EE4FC1">
      <w:pPr>
        <w:tabs>
          <w:tab w:val="right" w:leader="dot" w:pos="9016"/>
        </w:tabs>
        <w:spacing w:after="0" w:line="360" w:lineRule="auto"/>
        <w:rPr>
          <w:rFonts w:ascii="Calibri" w:eastAsia="PMingLiU" w:hAnsi="Calibri"/>
          <w:noProof/>
          <w:lang w:val="en-US" w:eastAsia="zh-TW"/>
        </w:rPr>
      </w:pPr>
      <w:hyperlink w:anchor="_Toc238386418" w:history="1">
        <w:r w:rsidRPr="00343CD3">
          <w:rPr>
            <w:rFonts w:ascii="Arial" w:eastAsia="PMingLiU" w:hAnsi="Arial"/>
            <w:noProof/>
            <w:color w:val="0563C1"/>
            <w:sz w:val="22"/>
            <w:szCs w:val="22"/>
            <w:lang w:eastAsia="zh-CN"/>
          </w:rPr>
          <w:t>Figure 3: PRISMA Flowchart (Source: The Author)</w:t>
        </w:r>
        <w:r w:rsidRPr="00343CD3">
          <w:rPr>
            <w:rFonts w:ascii="Arial" w:eastAsia="PMingLiU" w:hAnsi="Arial"/>
            <w:noProof/>
            <w:webHidden/>
            <w:sz w:val="22"/>
            <w:szCs w:val="22"/>
            <w:lang w:eastAsia="zh-CN"/>
          </w:rPr>
          <w:tab/>
        </w:r>
        <w:r w:rsidRPr="00343CD3">
          <w:rPr>
            <w:rFonts w:ascii="Arial" w:eastAsia="PMingLiU" w:hAnsi="Arial"/>
            <w:noProof/>
            <w:webHidden/>
            <w:sz w:val="22"/>
            <w:szCs w:val="22"/>
            <w:lang w:eastAsia="zh-CN"/>
          </w:rPr>
          <w:fldChar w:fldCharType="begin"/>
        </w:r>
        <w:r w:rsidRPr="00343CD3">
          <w:rPr>
            <w:rFonts w:ascii="Arial" w:eastAsia="PMingLiU" w:hAnsi="Arial"/>
            <w:noProof/>
            <w:webHidden/>
            <w:sz w:val="22"/>
            <w:szCs w:val="22"/>
            <w:lang w:eastAsia="zh-CN"/>
          </w:rPr>
          <w:instrText xml:space="preserve"> PAGEREF _Toc238386418 \h </w:instrText>
        </w:r>
        <w:r w:rsidRPr="00343CD3">
          <w:rPr>
            <w:rFonts w:ascii="Arial" w:eastAsia="PMingLiU" w:hAnsi="Arial"/>
            <w:noProof/>
            <w:webHidden/>
            <w:sz w:val="22"/>
            <w:szCs w:val="22"/>
            <w:lang w:eastAsia="zh-CN"/>
          </w:rPr>
        </w:r>
        <w:r w:rsidRPr="00343CD3">
          <w:rPr>
            <w:rFonts w:ascii="Arial" w:eastAsia="PMingLiU" w:hAnsi="Arial"/>
            <w:noProof/>
            <w:webHidden/>
            <w:sz w:val="22"/>
            <w:szCs w:val="22"/>
            <w:lang w:eastAsia="zh-CN"/>
          </w:rPr>
          <w:fldChar w:fldCharType="separate"/>
        </w:r>
        <w:r w:rsidRPr="00343CD3">
          <w:rPr>
            <w:rFonts w:ascii="Arial" w:eastAsia="PMingLiU" w:hAnsi="Arial"/>
            <w:noProof/>
            <w:webHidden/>
            <w:sz w:val="22"/>
            <w:szCs w:val="22"/>
            <w:lang w:eastAsia="zh-CN"/>
          </w:rPr>
          <w:t>3</w:t>
        </w:r>
        <w:r w:rsidRPr="00343CD3">
          <w:rPr>
            <w:rFonts w:ascii="Arial" w:eastAsia="PMingLiU" w:hAnsi="Arial"/>
            <w:noProof/>
            <w:webHidden/>
            <w:sz w:val="22"/>
            <w:szCs w:val="22"/>
            <w:lang w:eastAsia="zh-CN"/>
          </w:rPr>
          <w:fldChar w:fldCharType="end"/>
        </w:r>
      </w:hyperlink>
      <w:r w:rsidR="006C4473">
        <w:t>2</w:t>
      </w:r>
    </w:p>
    <w:p w14:paraId="040A62ED" w14:textId="77777777" w:rsidR="00EE4FC1" w:rsidRPr="006230A8" w:rsidRDefault="00EE4FC1" w:rsidP="00EE4FC1">
      <w:pPr>
        <w:spacing w:after="179" w:line="360" w:lineRule="auto"/>
        <w:ind w:left="59"/>
        <w:jc w:val="center"/>
        <w:rPr>
          <w:rFonts w:ascii="Arial" w:eastAsia="DengXian" w:hAnsi="Arial" w:cs="Arial"/>
          <w:sz w:val="22"/>
          <w:szCs w:val="22"/>
          <w:u w:val="single"/>
          <w:lang w:eastAsia="zh-CN"/>
        </w:rPr>
      </w:pPr>
      <w:r w:rsidRPr="006230A8">
        <w:rPr>
          <w:rFonts w:ascii="Arial" w:eastAsia="Times New Roman" w:hAnsi="Arial" w:cs="Arial"/>
          <w:b/>
          <w:sz w:val="22"/>
          <w:szCs w:val="22"/>
          <w:u w:val="single"/>
          <w:lang w:eastAsia="zh-CN"/>
        </w:rPr>
        <w:fldChar w:fldCharType="end"/>
      </w:r>
      <w:r w:rsidRPr="006230A8">
        <w:rPr>
          <w:rFonts w:ascii="Arial" w:eastAsia="Times New Roman" w:hAnsi="Arial" w:cs="Arial"/>
          <w:b/>
          <w:sz w:val="22"/>
          <w:szCs w:val="22"/>
          <w:u w:val="single"/>
          <w:lang w:eastAsia="zh-CN"/>
        </w:rPr>
        <w:t xml:space="preserve"> </w:t>
      </w:r>
    </w:p>
    <w:p w14:paraId="1D81C596" w14:textId="77777777" w:rsidR="00EE4FC1" w:rsidRPr="00EE4FC1" w:rsidRDefault="00EE4FC1" w:rsidP="00EE4FC1">
      <w:pPr>
        <w:spacing w:after="156" w:line="360" w:lineRule="auto"/>
        <w:ind w:left="59"/>
        <w:jc w:val="center"/>
        <w:rPr>
          <w:rFonts w:ascii="Arial" w:eastAsia="DengXian" w:hAnsi="Arial" w:cs="Arial"/>
          <w:sz w:val="22"/>
          <w:szCs w:val="22"/>
          <w:lang w:eastAsia="zh-CN"/>
        </w:rPr>
      </w:pPr>
      <w:r w:rsidRPr="00EE4FC1">
        <w:rPr>
          <w:rFonts w:ascii="Arial" w:eastAsia="Times New Roman" w:hAnsi="Arial" w:cs="Arial"/>
          <w:b/>
          <w:sz w:val="22"/>
          <w:szCs w:val="22"/>
          <w:lang w:eastAsia="zh-CN"/>
        </w:rPr>
        <w:t xml:space="preserve"> </w:t>
      </w:r>
    </w:p>
    <w:p w14:paraId="1685DAC5" w14:textId="77777777" w:rsidR="00EE4FC1" w:rsidRPr="00EE4FC1" w:rsidRDefault="00EE4FC1" w:rsidP="008A7B71">
      <w:pPr>
        <w:pStyle w:val="Heading1"/>
        <w:jc w:val="center"/>
        <w:rPr>
          <w:rFonts w:ascii="Arial" w:hAnsi="Arial" w:cs="Arial"/>
          <w:b/>
          <w:color w:val="000000"/>
          <w:sz w:val="22"/>
          <w:szCs w:val="22"/>
          <w:lang w:eastAsia="zh-CN"/>
        </w:rPr>
      </w:pPr>
      <w:bookmarkStart w:id="11" w:name="_Toc12213"/>
      <w:r w:rsidRPr="00EE4FC1">
        <w:rPr>
          <w:rFonts w:ascii="Arial" w:eastAsia="DengXian" w:hAnsi="Arial" w:cs="Arial"/>
          <w:sz w:val="22"/>
          <w:szCs w:val="22"/>
          <w:lang w:eastAsia="zh-CN"/>
        </w:rPr>
        <w:br w:type="page"/>
      </w:r>
      <w:bookmarkStart w:id="12" w:name="_Toc241618944"/>
      <w:r w:rsidR="00625EAC" w:rsidRPr="00EE4FC1">
        <w:rPr>
          <w:rFonts w:ascii="Arial" w:hAnsi="Arial" w:cs="Arial"/>
          <w:b/>
          <w:color w:val="000000"/>
          <w:sz w:val="22"/>
          <w:szCs w:val="22"/>
          <w:lang w:eastAsia="zh-CN"/>
        </w:rPr>
        <w:lastRenderedPageBreak/>
        <w:t>LIST OF TABLES</w:t>
      </w:r>
      <w:bookmarkEnd w:id="12"/>
      <w:r w:rsidR="00625EAC" w:rsidRPr="00EE4FC1">
        <w:rPr>
          <w:rFonts w:ascii="Arial" w:hAnsi="Arial" w:cs="Arial"/>
          <w:b/>
          <w:color w:val="000000"/>
          <w:sz w:val="22"/>
          <w:szCs w:val="22"/>
          <w:lang w:eastAsia="zh-CN"/>
        </w:rPr>
        <w:t xml:space="preserve"> </w:t>
      </w:r>
      <w:bookmarkStart w:id="13" w:name="_Toc12214"/>
      <w:bookmarkEnd w:id="11"/>
      <w:r w:rsidRPr="00EE4FC1">
        <w:rPr>
          <w:rFonts w:ascii="Arial" w:eastAsia="Calibri" w:hAnsi="Arial" w:cs="Arial"/>
          <w:sz w:val="22"/>
          <w:szCs w:val="22"/>
          <w:lang w:eastAsia="zh-CN"/>
        </w:rPr>
        <w:fldChar w:fldCharType="begin"/>
      </w:r>
      <w:r w:rsidRPr="00EE4FC1">
        <w:rPr>
          <w:rFonts w:ascii="Arial" w:eastAsia="Calibri" w:hAnsi="Arial" w:cs="Arial"/>
          <w:sz w:val="22"/>
          <w:szCs w:val="22"/>
          <w:lang w:eastAsia="zh-CN"/>
        </w:rPr>
        <w:instrText xml:space="preserve"> TOC \h \z \c "Table" </w:instrText>
      </w:r>
      <w:r w:rsidRPr="00EE4FC1">
        <w:rPr>
          <w:rFonts w:ascii="Arial" w:eastAsia="Calibri" w:hAnsi="Arial" w:cs="Arial"/>
          <w:sz w:val="22"/>
          <w:szCs w:val="22"/>
          <w:lang w:eastAsia="zh-CN"/>
        </w:rPr>
        <w:fldChar w:fldCharType="separate"/>
      </w:r>
    </w:p>
    <w:p w14:paraId="282671CA" w14:textId="3991CE52" w:rsidR="00EE4FC1" w:rsidRPr="00EE4FC1" w:rsidRDefault="00EE4FC1" w:rsidP="00EE4FC1">
      <w:pPr>
        <w:tabs>
          <w:tab w:val="right" w:leader="dot" w:pos="9016"/>
        </w:tabs>
        <w:spacing w:after="0" w:line="360" w:lineRule="auto"/>
        <w:rPr>
          <w:rFonts w:ascii="Calibri" w:eastAsia="PMingLiU" w:hAnsi="Calibri"/>
          <w:noProof/>
          <w:lang w:val="en-US" w:eastAsia="zh-TW"/>
        </w:rPr>
      </w:pPr>
      <w:hyperlink w:anchor="_Toc238386937" w:history="1">
        <w:r w:rsidRPr="00EE4FC1">
          <w:rPr>
            <w:rFonts w:ascii="Arial" w:eastAsia="PMingLiU" w:hAnsi="Arial"/>
            <w:noProof/>
            <w:color w:val="0563C1"/>
            <w:sz w:val="22"/>
            <w:szCs w:val="22"/>
            <w:u w:val="single"/>
            <w:lang w:eastAsia="zh-CN"/>
          </w:rPr>
          <w:t xml:space="preserve">Table 1: </w:t>
        </w:r>
        <w:r w:rsidRPr="00EE4FC1">
          <w:rPr>
            <w:rFonts w:ascii="Arial" w:eastAsia="PMingLiU" w:hAnsi="Arial"/>
            <w:noProof/>
            <w:color w:val="0563C1"/>
            <w:sz w:val="22"/>
            <w:szCs w:val="22"/>
            <w:u w:val="single"/>
            <w:lang w:val="en-US" w:eastAsia="zh-CN"/>
          </w:rPr>
          <w:t>PICO Framework for the Study</w:t>
        </w:r>
        <w:r w:rsidRPr="00EE4FC1">
          <w:rPr>
            <w:rFonts w:ascii="Arial" w:eastAsia="PMingLiU" w:hAnsi="Arial"/>
            <w:noProof/>
            <w:webHidden/>
            <w:sz w:val="22"/>
            <w:szCs w:val="22"/>
            <w:lang w:eastAsia="zh-CN"/>
          </w:rPr>
          <w:tab/>
        </w:r>
        <w:r w:rsidRPr="00EE4FC1">
          <w:rPr>
            <w:rFonts w:ascii="Arial" w:eastAsia="PMingLiU" w:hAnsi="Arial"/>
            <w:noProof/>
            <w:webHidden/>
            <w:sz w:val="22"/>
            <w:szCs w:val="22"/>
            <w:lang w:eastAsia="zh-CN"/>
          </w:rPr>
          <w:fldChar w:fldCharType="begin"/>
        </w:r>
        <w:r w:rsidRPr="00EE4FC1">
          <w:rPr>
            <w:rFonts w:ascii="Arial" w:eastAsia="PMingLiU" w:hAnsi="Arial"/>
            <w:noProof/>
            <w:webHidden/>
            <w:sz w:val="22"/>
            <w:szCs w:val="22"/>
            <w:lang w:eastAsia="zh-CN"/>
          </w:rPr>
          <w:instrText xml:space="preserve"> PAGEREF _Toc238386937 \h </w:instrText>
        </w:r>
        <w:r w:rsidRPr="00EE4FC1">
          <w:rPr>
            <w:rFonts w:ascii="Arial" w:eastAsia="PMingLiU" w:hAnsi="Arial"/>
            <w:noProof/>
            <w:webHidden/>
            <w:sz w:val="22"/>
            <w:szCs w:val="22"/>
            <w:lang w:eastAsia="zh-CN"/>
          </w:rPr>
        </w:r>
        <w:r w:rsidRPr="00EE4FC1">
          <w:rPr>
            <w:rFonts w:ascii="Arial" w:eastAsia="PMingLiU" w:hAnsi="Arial"/>
            <w:noProof/>
            <w:webHidden/>
            <w:sz w:val="22"/>
            <w:szCs w:val="22"/>
            <w:lang w:eastAsia="zh-CN"/>
          </w:rPr>
          <w:fldChar w:fldCharType="separate"/>
        </w:r>
        <w:r w:rsidRPr="00EE4FC1">
          <w:rPr>
            <w:rFonts w:ascii="Arial" w:eastAsia="PMingLiU" w:hAnsi="Arial"/>
            <w:noProof/>
            <w:webHidden/>
            <w:sz w:val="22"/>
            <w:szCs w:val="22"/>
            <w:lang w:eastAsia="zh-CN"/>
          </w:rPr>
          <w:t>2</w:t>
        </w:r>
        <w:r w:rsidRPr="00EE4FC1">
          <w:rPr>
            <w:rFonts w:ascii="Arial" w:eastAsia="PMingLiU" w:hAnsi="Arial"/>
            <w:noProof/>
            <w:webHidden/>
            <w:sz w:val="22"/>
            <w:szCs w:val="22"/>
            <w:lang w:eastAsia="zh-CN"/>
          </w:rPr>
          <w:fldChar w:fldCharType="end"/>
        </w:r>
      </w:hyperlink>
      <w:r w:rsidR="006C4473">
        <w:t>8</w:t>
      </w:r>
    </w:p>
    <w:p w14:paraId="65E80B07" w14:textId="0CBB37F3" w:rsidR="00EE4FC1" w:rsidRPr="00EE4FC1" w:rsidRDefault="00EE4FC1" w:rsidP="00EE4FC1">
      <w:pPr>
        <w:tabs>
          <w:tab w:val="right" w:leader="dot" w:pos="9016"/>
        </w:tabs>
        <w:spacing w:after="0" w:line="360" w:lineRule="auto"/>
        <w:rPr>
          <w:rFonts w:ascii="Calibri" w:eastAsia="PMingLiU" w:hAnsi="Calibri"/>
          <w:noProof/>
          <w:lang w:val="en-US" w:eastAsia="zh-TW"/>
        </w:rPr>
      </w:pPr>
      <w:hyperlink w:anchor="_Toc238386938" w:history="1">
        <w:r w:rsidRPr="00EE4FC1">
          <w:rPr>
            <w:rFonts w:ascii="Arial" w:eastAsia="PMingLiU" w:hAnsi="Arial"/>
            <w:noProof/>
            <w:color w:val="0563C1"/>
            <w:sz w:val="22"/>
            <w:szCs w:val="22"/>
            <w:u w:val="single"/>
            <w:lang w:eastAsia="zh-CN"/>
          </w:rPr>
          <w:t xml:space="preserve">Table 2: </w:t>
        </w:r>
        <w:r w:rsidRPr="00EE4FC1">
          <w:rPr>
            <w:rFonts w:ascii="Arial" w:eastAsia="PMingLiU" w:hAnsi="Arial"/>
            <w:noProof/>
            <w:color w:val="0563C1"/>
            <w:sz w:val="22"/>
            <w:szCs w:val="22"/>
            <w:u w:val="single"/>
            <w:lang w:val="en-US" w:eastAsia="zh-CN"/>
          </w:rPr>
          <w:t>Database Search Strategies</w:t>
        </w:r>
        <w:r w:rsidRPr="00EE4FC1">
          <w:rPr>
            <w:rFonts w:ascii="Arial" w:eastAsia="PMingLiU" w:hAnsi="Arial"/>
            <w:noProof/>
            <w:webHidden/>
            <w:sz w:val="22"/>
            <w:szCs w:val="22"/>
            <w:lang w:eastAsia="zh-CN"/>
          </w:rPr>
          <w:tab/>
        </w:r>
      </w:hyperlink>
      <w:r w:rsidR="006C4473">
        <w:t>29</w:t>
      </w:r>
    </w:p>
    <w:p w14:paraId="11FBF1AC" w14:textId="0B02B65A" w:rsidR="00EE4FC1" w:rsidRPr="00EE4FC1" w:rsidRDefault="00EE4FC1" w:rsidP="00EE4FC1">
      <w:pPr>
        <w:tabs>
          <w:tab w:val="right" w:leader="dot" w:pos="9016"/>
        </w:tabs>
        <w:spacing w:after="0" w:line="360" w:lineRule="auto"/>
        <w:rPr>
          <w:rFonts w:ascii="Calibri" w:eastAsia="PMingLiU" w:hAnsi="Calibri"/>
          <w:noProof/>
          <w:lang w:val="en-US" w:eastAsia="zh-TW"/>
        </w:rPr>
      </w:pPr>
      <w:hyperlink w:anchor="_Toc238386939" w:history="1">
        <w:r w:rsidRPr="00EE4FC1">
          <w:rPr>
            <w:rFonts w:ascii="Arial" w:eastAsia="PMingLiU" w:hAnsi="Arial"/>
            <w:noProof/>
            <w:color w:val="0563C1"/>
            <w:sz w:val="22"/>
            <w:szCs w:val="22"/>
            <w:u w:val="single"/>
            <w:lang w:eastAsia="zh-CN"/>
          </w:rPr>
          <w:t>Table 3: Eligibility Criteria for Study Selection</w:t>
        </w:r>
        <w:r w:rsidRPr="00EE4FC1">
          <w:rPr>
            <w:rFonts w:ascii="Arial" w:eastAsia="PMingLiU" w:hAnsi="Arial"/>
            <w:noProof/>
            <w:webHidden/>
            <w:sz w:val="22"/>
            <w:szCs w:val="22"/>
            <w:lang w:eastAsia="zh-CN"/>
          </w:rPr>
          <w:tab/>
        </w:r>
      </w:hyperlink>
      <w:r w:rsidR="004410C0">
        <w:rPr>
          <w:rFonts w:ascii="Arial" w:eastAsia="PMingLiU" w:hAnsi="Arial"/>
          <w:sz w:val="22"/>
          <w:szCs w:val="22"/>
          <w:lang w:eastAsia="zh-CN"/>
        </w:rPr>
        <w:t>3</w:t>
      </w:r>
      <w:r w:rsidR="006C4473">
        <w:rPr>
          <w:rFonts w:ascii="Arial" w:eastAsia="PMingLiU" w:hAnsi="Arial"/>
          <w:sz w:val="22"/>
          <w:szCs w:val="22"/>
          <w:lang w:eastAsia="zh-CN"/>
        </w:rPr>
        <w:t>0</w:t>
      </w:r>
    </w:p>
    <w:p w14:paraId="09731D11" w14:textId="26246D4C" w:rsidR="00EE4FC1" w:rsidRPr="00EE4FC1" w:rsidRDefault="00EE4FC1" w:rsidP="00EE4FC1">
      <w:pPr>
        <w:tabs>
          <w:tab w:val="right" w:leader="dot" w:pos="9016"/>
        </w:tabs>
        <w:spacing w:after="0" w:line="360" w:lineRule="auto"/>
        <w:rPr>
          <w:rFonts w:ascii="Calibri" w:eastAsia="PMingLiU" w:hAnsi="Calibri"/>
          <w:noProof/>
          <w:lang w:val="en-US" w:eastAsia="zh-TW"/>
        </w:rPr>
      </w:pPr>
      <w:hyperlink w:anchor="_Toc238386940" w:history="1">
        <w:r w:rsidRPr="00EE4FC1">
          <w:rPr>
            <w:rFonts w:ascii="Arial" w:eastAsia="PMingLiU" w:hAnsi="Arial"/>
            <w:noProof/>
            <w:color w:val="0563C1"/>
            <w:sz w:val="22"/>
            <w:szCs w:val="22"/>
            <w:u w:val="single"/>
            <w:lang w:eastAsia="zh-CN"/>
          </w:rPr>
          <w:t xml:space="preserve">Table 4: </w:t>
        </w:r>
        <w:r w:rsidRPr="00EE4FC1">
          <w:rPr>
            <w:rFonts w:ascii="Arial" w:eastAsia="PMingLiU" w:hAnsi="Arial"/>
            <w:noProof/>
            <w:color w:val="0563C1"/>
            <w:sz w:val="22"/>
            <w:szCs w:val="22"/>
            <w:u w:val="single"/>
            <w:lang w:val="en-US" w:eastAsia="zh-CN"/>
          </w:rPr>
          <w:t>Summary of Study Designs and Methodologies</w:t>
        </w:r>
        <w:r w:rsidRPr="00EE4FC1">
          <w:rPr>
            <w:rFonts w:ascii="Arial" w:eastAsia="PMingLiU" w:hAnsi="Arial"/>
            <w:noProof/>
            <w:webHidden/>
            <w:sz w:val="22"/>
            <w:szCs w:val="22"/>
            <w:lang w:eastAsia="zh-CN"/>
          </w:rPr>
          <w:tab/>
        </w:r>
        <w:r w:rsidRPr="00EE4FC1">
          <w:rPr>
            <w:rFonts w:ascii="Arial" w:eastAsia="PMingLiU" w:hAnsi="Arial"/>
            <w:noProof/>
            <w:webHidden/>
            <w:sz w:val="22"/>
            <w:szCs w:val="22"/>
            <w:lang w:eastAsia="zh-CN"/>
          </w:rPr>
          <w:fldChar w:fldCharType="begin"/>
        </w:r>
        <w:r w:rsidRPr="00EE4FC1">
          <w:rPr>
            <w:rFonts w:ascii="Arial" w:eastAsia="PMingLiU" w:hAnsi="Arial"/>
            <w:noProof/>
            <w:webHidden/>
            <w:sz w:val="22"/>
            <w:szCs w:val="22"/>
            <w:lang w:eastAsia="zh-CN"/>
          </w:rPr>
          <w:instrText xml:space="preserve"> PAGEREF _Toc238386940 \h </w:instrText>
        </w:r>
        <w:r w:rsidRPr="00EE4FC1">
          <w:rPr>
            <w:rFonts w:ascii="Arial" w:eastAsia="PMingLiU" w:hAnsi="Arial"/>
            <w:noProof/>
            <w:webHidden/>
            <w:sz w:val="22"/>
            <w:szCs w:val="22"/>
            <w:lang w:eastAsia="zh-CN"/>
          </w:rPr>
        </w:r>
        <w:r w:rsidRPr="00EE4FC1">
          <w:rPr>
            <w:rFonts w:ascii="Arial" w:eastAsia="PMingLiU" w:hAnsi="Arial"/>
            <w:noProof/>
            <w:webHidden/>
            <w:sz w:val="22"/>
            <w:szCs w:val="22"/>
            <w:lang w:eastAsia="zh-CN"/>
          </w:rPr>
          <w:fldChar w:fldCharType="separate"/>
        </w:r>
        <w:r w:rsidRPr="00EE4FC1">
          <w:rPr>
            <w:rFonts w:ascii="Arial" w:eastAsia="PMingLiU" w:hAnsi="Arial"/>
            <w:noProof/>
            <w:webHidden/>
            <w:sz w:val="22"/>
            <w:szCs w:val="22"/>
            <w:lang w:eastAsia="zh-CN"/>
          </w:rPr>
          <w:t>3</w:t>
        </w:r>
        <w:r w:rsidRPr="00EE4FC1">
          <w:rPr>
            <w:rFonts w:ascii="Arial" w:eastAsia="PMingLiU" w:hAnsi="Arial"/>
            <w:noProof/>
            <w:webHidden/>
            <w:sz w:val="22"/>
            <w:szCs w:val="22"/>
            <w:lang w:eastAsia="zh-CN"/>
          </w:rPr>
          <w:fldChar w:fldCharType="end"/>
        </w:r>
      </w:hyperlink>
      <w:r w:rsidR="006C4473">
        <w:t>6</w:t>
      </w:r>
      <w:r w:rsidR="004410C0">
        <w:rPr>
          <w:rFonts w:ascii="Arial" w:eastAsia="PMingLiU" w:hAnsi="Arial"/>
          <w:sz w:val="22"/>
          <w:szCs w:val="22"/>
          <w:lang w:eastAsia="zh-CN"/>
        </w:rPr>
        <w:t>-4</w:t>
      </w:r>
      <w:r w:rsidR="006C4473">
        <w:rPr>
          <w:rFonts w:ascii="Arial" w:eastAsia="PMingLiU" w:hAnsi="Arial"/>
          <w:sz w:val="22"/>
          <w:szCs w:val="22"/>
          <w:lang w:eastAsia="zh-CN"/>
        </w:rPr>
        <w:t>0</w:t>
      </w:r>
    </w:p>
    <w:p w14:paraId="202ED6E4" w14:textId="357FF1CA" w:rsidR="00EE4FC1" w:rsidRPr="00EE4FC1" w:rsidRDefault="00EE4FC1" w:rsidP="00EE4FC1">
      <w:pPr>
        <w:tabs>
          <w:tab w:val="right" w:leader="dot" w:pos="9016"/>
        </w:tabs>
        <w:spacing w:after="0" w:line="360" w:lineRule="auto"/>
        <w:rPr>
          <w:rFonts w:ascii="Calibri" w:eastAsia="PMingLiU" w:hAnsi="Calibri"/>
          <w:noProof/>
          <w:lang w:val="en-US" w:eastAsia="zh-TW"/>
        </w:rPr>
      </w:pPr>
      <w:hyperlink w:anchor="_Toc238386942" w:history="1">
        <w:r w:rsidRPr="00EE4FC1">
          <w:rPr>
            <w:rFonts w:ascii="Arial" w:eastAsia="PMingLiU" w:hAnsi="Arial"/>
            <w:noProof/>
            <w:color w:val="0563C1"/>
            <w:sz w:val="22"/>
            <w:szCs w:val="22"/>
            <w:u w:val="single"/>
            <w:lang w:eastAsia="zh-CN"/>
          </w:rPr>
          <w:t xml:space="preserve">Table </w:t>
        </w:r>
        <w:r w:rsidR="00F167B9">
          <w:rPr>
            <w:rFonts w:ascii="Arial" w:eastAsia="PMingLiU" w:hAnsi="Arial"/>
            <w:noProof/>
            <w:color w:val="0563C1"/>
            <w:sz w:val="22"/>
            <w:szCs w:val="22"/>
            <w:u w:val="single"/>
            <w:lang w:eastAsia="zh-CN"/>
          </w:rPr>
          <w:t>5</w:t>
        </w:r>
        <w:r w:rsidRPr="00EE4FC1">
          <w:rPr>
            <w:rFonts w:ascii="Arial" w:eastAsia="PMingLiU" w:hAnsi="Arial"/>
            <w:noProof/>
            <w:color w:val="0563C1"/>
            <w:sz w:val="22"/>
            <w:szCs w:val="22"/>
            <w:u w:val="single"/>
            <w:lang w:eastAsia="zh-CN"/>
          </w:rPr>
          <w:t xml:space="preserve">: </w:t>
        </w:r>
        <w:r w:rsidRPr="00EE4FC1">
          <w:rPr>
            <w:rFonts w:ascii="Arial" w:eastAsia="PMingLiU" w:hAnsi="Arial"/>
            <w:noProof/>
            <w:color w:val="0563C1"/>
            <w:sz w:val="22"/>
            <w:szCs w:val="22"/>
            <w:u w:val="single"/>
            <w:lang w:val="en-US" w:eastAsia="zh-CN"/>
          </w:rPr>
          <w:t>Key Sources of Dissatisfaction Identified Across Studies</w:t>
        </w:r>
        <w:r w:rsidRPr="00EE4FC1">
          <w:rPr>
            <w:rFonts w:ascii="Arial" w:eastAsia="PMingLiU" w:hAnsi="Arial"/>
            <w:noProof/>
            <w:webHidden/>
            <w:sz w:val="22"/>
            <w:szCs w:val="22"/>
            <w:lang w:eastAsia="zh-CN"/>
          </w:rPr>
          <w:tab/>
        </w:r>
        <w:r w:rsidRPr="00EE4FC1">
          <w:rPr>
            <w:rFonts w:ascii="Arial" w:eastAsia="PMingLiU" w:hAnsi="Arial"/>
            <w:noProof/>
            <w:webHidden/>
            <w:sz w:val="22"/>
            <w:szCs w:val="22"/>
            <w:lang w:eastAsia="zh-CN"/>
          </w:rPr>
          <w:fldChar w:fldCharType="begin"/>
        </w:r>
        <w:r w:rsidRPr="00EE4FC1">
          <w:rPr>
            <w:rFonts w:ascii="Arial" w:eastAsia="PMingLiU" w:hAnsi="Arial"/>
            <w:noProof/>
            <w:webHidden/>
            <w:sz w:val="22"/>
            <w:szCs w:val="22"/>
            <w:lang w:eastAsia="zh-CN"/>
          </w:rPr>
          <w:instrText xml:space="preserve"> PAGEREF _Toc238386942 \h </w:instrText>
        </w:r>
        <w:r w:rsidRPr="00EE4FC1">
          <w:rPr>
            <w:rFonts w:ascii="Arial" w:eastAsia="PMingLiU" w:hAnsi="Arial"/>
            <w:noProof/>
            <w:webHidden/>
            <w:sz w:val="22"/>
            <w:szCs w:val="22"/>
            <w:lang w:eastAsia="zh-CN"/>
          </w:rPr>
        </w:r>
        <w:r w:rsidRPr="00EE4FC1">
          <w:rPr>
            <w:rFonts w:ascii="Arial" w:eastAsia="PMingLiU" w:hAnsi="Arial"/>
            <w:noProof/>
            <w:webHidden/>
            <w:sz w:val="22"/>
            <w:szCs w:val="22"/>
            <w:lang w:eastAsia="zh-CN"/>
          </w:rPr>
          <w:fldChar w:fldCharType="separate"/>
        </w:r>
        <w:r w:rsidRPr="00EE4FC1">
          <w:rPr>
            <w:rFonts w:ascii="Arial" w:eastAsia="PMingLiU" w:hAnsi="Arial"/>
            <w:noProof/>
            <w:webHidden/>
            <w:sz w:val="22"/>
            <w:szCs w:val="22"/>
            <w:lang w:eastAsia="zh-CN"/>
          </w:rPr>
          <w:t>4</w:t>
        </w:r>
        <w:r w:rsidRPr="00EE4FC1">
          <w:rPr>
            <w:rFonts w:ascii="Arial" w:eastAsia="PMingLiU" w:hAnsi="Arial"/>
            <w:noProof/>
            <w:webHidden/>
            <w:sz w:val="22"/>
            <w:szCs w:val="22"/>
            <w:lang w:eastAsia="zh-CN"/>
          </w:rPr>
          <w:fldChar w:fldCharType="end"/>
        </w:r>
      </w:hyperlink>
      <w:r w:rsidR="006C4473">
        <w:t>2</w:t>
      </w:r>
    </w:p>
    <w:p w14:paraId="3FF6A7C5" w14:textId="216DE9EA" w:rsidR="00EE4FC1" w:rsidRPr="00EE4FC1" w:rsidRDefault="00EE4FC1" w:rsidP="00EE4FC1">
      <w:pPr>
        <w:tabs>
          <w:tab w:val="right" w:leader="dot" w:pos="9016"/>
        </w:tabs>
        <w:spacing w:after="0" w:line="360" w:lineRule="auto"/>
        <w:rPr>
          <w:rFonts w:ascii="Calibri" w:eastAsia="PMingLiU" w:hAnsi="Calibri"/>
          <w:noProof/>
          <w:lang w:val="en-US" w:eastAsia="zh-TW"/>
        </w:rPr>
      </w:pPr>
      <w:hyperlink w:anchor="_Toc238386943" w:history="1">
        <w:r w:rsidRPr="00EE4FC1">
          <w:rPr>
            <w:rFonts w:ascii="Arial" w:eastAsia="PMingLiU" w:hAnsi="Arial"/>
            <w:noProof/>
            <w:color w:val="0563C1"/>
            <w:sz w:val="22"/>
            <w:szCs w:val="22"/>
            <w:u w:val="single"/>
            <w:lang w:eastAsia="zh-CN"/>
          </w:rPr>
          <w:t xml:space="preserve">Table </w:t>
        </w:r>
        <w:r w:rsidR="00F167B9">
          <w:rPr>
            <w:rFonts w:ascii="Arial" w:eastAsia="PMingLiU" w:hAnsi="Arial"/>
            <w:noProof/>
            <w:color w:val="0563C1"/>
            <w:sz w:val="22"/>
            <w:szCs w:val="22"/>
            <w:u w:val="single"/>
            <w:lang w:eastAsia="zh-CN"/>
          </w:rPr>
          <w:t>6</w:t>
        </w:r>
        <w:r w:rsidRPr="00EE4FC1">
          <w:rPr>
            <w:rFonts w:ascii="Arial" w:eastAsia="PMingLiU" w:hAnsi="Arial"/>
            <w:noProof/>
            <w:color w:val="0563C1"/>
            <w:sz w:val="22"/>
            <w:szCs w:val="22"/>
            <w:u w:val="single"/>
            <w:lang w:eastAsia="zh-CN"/>
          </w:rPr>
          <w:t>: Reported Positive Quality Indicators of Telemedicine in UK Primary Care</w:t>
        </w:r>
        <w:r w:rsidRPr="00EE4FC1">
          <w:rPr>
            <w:rFonts w:ascii="Arial" w:eastAsia="PMingLiU" w:hAnsi="Arial"/>
            <w:noProof/>
            <w:webHidden/>
            <w:sz w:val="22"/>
            <w:szCs w:val="22"/>
            <w:lang w:eastAsia="zh-CN"/>
          </w:rPr>
          <w:tab/>
        </w:r>
        <w:r w:rsidRPr="00EE4FC1">
          <w:rPr>
            <w:rFonts w:ascii="Arial" w:eastAsia="PMingLiU" w:hAnsi="Arial"/>
            <w:noProof/>
            <w:webHidden/>
            <w:sz w:val="22"/>
            <w:szCs w:val="22"/>
            <w:lang w:eastAsia="zh-CN"/>
          </w:rPr>
          <w:fldChar w:fldCharType="begin"/>
        </w:r>
        <w:r w:rsidRPr="00EE4FC1">
          <w:rPr>
            <w:rFonts w:ascii="Arial" w:eastAsia="PMingLiU" w:hAnsi="Arial"/>
            <w:noProof/>
            <w:webHidden/>
            <w:sz w:val="22"/>
            <w:szCs w:val="22"/>
            <w:lang w:eastAsia="zh-CN"/>
          </w:rPr>
          <w:instrText xml:space="preserve"> PAGEREF _Toc238386943 \h </w:instrText>
        </w:r>
        <w:r w:rsidRPr="00EE4FC1">
          <w:rPr>
            <w:rFonts w:ascii="Arial" w:eastAsia="PMingLiU" w:hAnsi="Arial"/>
            <w:noProof/>
            <w:webHidden/>
            <w:sz w:val="22"/>
            <w:szCs w:val="22"/>
            <w:lang w:eastAsia="zh-CN"/>
          </w:rPr>
        </w:r>
        <w:r w:rsidRPr="00EE4FC1">
          <w:rPr>
            <w:rFonts w:ascii="Arial" w:eastAsia="PMingLiU" w:hAnsi="Arial"/>
            <w:noProof/>
            <w:webHidden/>
            <w:sz w:val="22"/>
            <w:szCs w:val="22"/>
            <w:lang w:eastAsia="zh-CN"/>
          </w:rPr>
          <w:fldChar w:fldCharType="separate"/>
        </w:r>
        <w:r w:rsidRPr="00EE4FC1">
          <w:rPr>
            <w:rFonts w:ascii="Arial" w:eastAsia="PMingLiU" w:hAnsi="Arial"/>
            <w:noProof/>
            <w:webHidden/>
            <w:sz w:val="22"/>
            <w:szCs w:val="22"/>
            <w:lang w:eastAsia="zh-CN"/>
          </w:rPr>
          <w:t>4</w:t>
        </w:r>
        <w:r w:rsidRPr="00EE4FC1">
          <w:rPr>
            <w:rFonts w:ascii="Arial" w:eastAsia="PMingLiU" w:hAnsi="Arial"/>
            <w:noProof/>
            <w:webHidden/>
            <w:sz w:val="22"/>
            <w:szCs w:val="22"/>
            <w:lang w:eastAsia="zh-CN"/>
          </w:rPr>
          <w:fldChar w:fldCharType="end"/>
        </w:r>
      </w:hyperlink>
      <w:r w:rsidR="006C4473">
        <w:t>4</w:t>
      </w:r>
    </w:p>
    <w:p w14:paraId="748EFA38" w14:textId="04521014" w:rsidR="00EE4FC1" w:rsidRPr="00EE4FC1" w:rsidRDefault="00EE4FC1" w:rsidP="00EE4FC1">
      <w:pPr>
        <w:tabs>
          <w:tab w:val="right" w:leader="dot" w:pos="9016"/>
        </w:tabs>
        <w:spacing w:after="0" w:line="360" w:lineRule="auto"/>
        <w:rPr>
          <w:rFonts w:ascii="Calibri" w:eastAsia="PMingLiU" w:hAnsi="Calibri"/>
          <w:noProof/>
          <w:lang w:val="en-US" w:eastAsia="zh-TW"/>
        </w:rPr>
      </w:pPr>
      <w:hyperlink w:anchor="_Toc238386944" w:history="1">
        <w:r w:rsidRPr="00EE4FC1">
          <w:rPr>
            <w:rFonts w:ascii="Arial" w:eastAsia="PMingLiU" w:hAnsi="Arial"/>
            <w:noProof/>
            <w:color w:val="0563C1"/>
            <w:sz w:val="22"/>
            <w:szCs w:val="22"/>
            <w:u w:val="single"/>
            <w:lang w:eastAsia="zh-CN"/>
          </w:rPr>
          <w:t xml:space="preserve">Table </w:t>
        </w:r>
        <w:r w:rsidR="00F167B9">
          <w:rPr>
            <w:rFonts w:ascii="Arial" w:eastAsia="PMingLiU" w:hAnsi="Arial"/>
            <w:noProof/>
            <w:color w:val="0563C1"/>
            <w:sz w:val="22"/>
            <w:szCs w:val="22"/>
            <w:u w:val="single"/>
            <w:lang w:eastAsia="zh-CN"/>
          </w:rPr>
          <w:t>7</w:t>
        </w:r>
        <w:r w:rsidRPr="00EE4FC1">
          <w:rPr>
            <w:rFonts w:ascii="Arial" w:eastAsia="PMingLiU" w:hAnsi="Arial"/>
            <w:noProof/>
            <w:color w:val="0563C1"/>
            <w:sz w:val="22"/>
            <w:szCs w:val="22"/>
            <w:u w:val="single"/>
            <w:lang w:eastAsia="zh-CN"/>
          </w:rPr>
          <w:t>: Reported Challenges Affecting Perceived Quality of Telemedicine</w:t>
        </w:r>
        <w:r w:rsidRPr="00EE4FC1">
          <w:rPr>
            <w:rFonts w:ascii="Arial" w:eastAsia="PMingLiU" w:hAnsi="Arial"/>
            <w:noProof/>
            <w:webHidden/>
            <w:sz w:val="22"/>
            <w:szCs w:val="22"/>
            <w:lang w:eastAsia="zh-CN"/>
          </w:rPr>
          <w:tab/>
        </w:r>
        <w:r w:rsidRPr="00EE4FC1">
          <w:rPr>
            <w:rFonts w:ascii="Arial" w:eastAsia="PMingLiU" w:hAnsi="Arial"/>
            <w:noProof/>
            <w:webHidden/>
            <w:sz w:val="22"/>
            <w:szCs w:val="22"/>
            <w:lang w:eastAsia="zh-CN"/>
          </w:rPr>
          <w:fldChar w:fldCharType="begin"/>
        </w:r>
        <w:r w:rsidRPr="00EE4FC1">
          <w:rPr>
            <w:rFonts w:ascii="Arial" w:eastAsia="PMingLiU" w:hAnsi="Arial"/>
            <w:noProof/>
            <w:webHidden/>
            <w:sz w:val="22"/>
            <w:szCs w:val="22"/>
            <w:lang w:eastAsia="zh-CN"/>
          </w:rPr>
          <w:instrText xml:space="preserve"> PAGEREF _Toc238386944 \h </w:instrText>
        </w:r>
        <w:r w:rsidRPr="00EE4FC1">
          <w:rPr>
            <w:rFonts w:ascii="Arial" w:eastAsia="PMingLiU" w:hAnsi="Arial"/>
            <w:noProof/>
            <w:webHidden/>
            <w:sz w:val="22"/>
            <w:szCs w:val="22"/>
            <w:lang w:eastAsia="zh-CN"/>
          </w:rPr>
        </w:r>
        <w:r w:rsidRPr="00EE4FC1">
          <w:rPr>
            <w:rFonts w:ascii="Arial" w:eastAsia="PMingLiU" w:hAnsi="Arial"/>
            <w:noProof/>
            <w:webHidden/>
            <w:sz w:val="22"/>
            <w:szCs w:val="22"/>
            <w:lang w:eastAsia="zh-CN"/>
          </w:rPr>
          <w:fldChar w:fldCharType="separate"/>
        </w:r>
        <w:r w:rsidRPr="00EE4FC1">
          <w:rPr>
            <w:rFonts w:ascii="Arial" w:eastAsia="PMingLiU" w:hAnsi="Arial"/>
            <w:noProof/>
            <w:webHidden/>
            <w:sz w:val="22"/>
            <w:szCs w:val="22"/>
            <w:lang w:eastAsia="zh-CN"/>
          </w:rPr>
          <w:t>4</w:t>
        </w:r>
        <w:r w:rsidRPr="00EE4FC1">
          <w:rPr>
            <w:rFonts w:ascii="Arial" w:eastAsia="PMingLiU" w:hAnsi="Arial"/>
            <w:noProof/>
            <w:webHidden/>
            <w:sz w:val="22"/>
            <w:szCs w:val="22"/>
            <w:lang w:eastAsia="zh-CN"/>
          </w:rPr>
          <w:fldChar w:fldCharType="end"/>
        </w:r>
      </w:hyperlink>
      <w:r w:rsidR="00FF458F">
        <w:t>6</w:t>
      </w:r>
    </w:p>
    <w:p w14:paraId="2C222564" w14:textId="2DAFEE65" w:rsidR="00EE4FC1" w:rsidRPr="00EE4FC1" w:rsidRDefault="00EE4FC1" w:rsidP="00EE4FC1">
      <w:pPr>
        <w:tabs>
          <w:tab w:val="right" w:leader="dot" w:pos="9016"/>
        </w:tabs>
        <w:spacing w:after="0" w:line="360" w:lineRule="auto"/>
        <w:rPr>
          <w:rFonts w:ascii="Calibri" w:eastAsia="PMingLiU" w:hAnsi="Calibri"/>
          <w:noProof/>
          <w:lang w:val="en-US" w:eastAsia="zh-TW"/>
        </w:rPr>
      </w:pPr>
      <w:hyperlink w:anchor="_Toc238386945" w:history="1">
        <w:r w:rsidRPr="00EE4FC1">
          <w:rPr>
            <w:rFonts w:ascii="Arial" w:eastAsia="PMingLiU" w:hAnsi="Arial"/>
            <w:noProof/>
            <w:color w:val="0563C1"/>
            <w:sz w:val="22"/>
            <w:szCs w:val="22"/>
            <w:u w:val="single"/>
            <w:lang w:eastAsia="zh-CN"/>
          </w:rPr>
          <w:t xml:space="preserve">Table </w:t>
        </w:r>
        <w:r w:rsidR="00F167B9">
          <w:rPr>
            <w:rFonts w:ascii="Arial" w:eastAsia="PMingLiU" w:hAnsi="Arial"/>
            <w:noProof/>
            <w:color w:val="0563C1"/>
            <w:sz w:val="22"/>
            <w:szCs w:val="22"/>
            <w:u w:val="single"/>
            <w:lang w:eastAsia="zh-CN"/>
          </w:rPr>
          <w:t>8</w:t>
        </w:r>
        <w:r w:rsidRPr="00EE4FC1">
          <w:rPr>
            <w:rFonts w:ascii="Arial" w:eastAsia="PMingLiU" w:hAnsi="Arial"/>
            <w:noProof/>
            <w:color w:val="0563C1"/>
            <w:sz w:val="22"/>
            <w:szCs w:val="22"/>
            <w:u w:val="single"/>
            <w:lang w:eastAsia="zh-CN"/>
          </w:rPr>
          <w:t xml:space="preserve">: </w:t>
        </w:r>
        <w:r w:rsidRPr="00EE4FC1">
          <w:rPr>
            <w:rFonts w:ascii="Arial" w:eastAsia="PMingLiU" w:hAnsi="Arial"/>
            <w:noProof/>
            <w:color w:val="0563C1"/>
            <w:sz w:val="22"/>
            <w:szCs w:val="22"/>
            <w:u w:val="single"/>
            <w:lang w:val="en-US" w:eastAsia="zh-CN"/>
          </w:rPr>
          <w:t>Reported Strengths and Limitations of Telephone Versus Video Consultations</w:t>
        </w:r>
        <w:r w:rsidRPr="00EE4FC1">
          <w:rPr>
            <w:rFonts w:ascii="Arial" w:eastAsia="PMingLiU" w:hAnsi="Arial"/>
            <w:noProof/>
            <w:webHidden/>
            <w:sz w:val="22"/>
            <w:szCs w:val="22"/>
            <w:lang w:eastAsia="zh-CN"/>
          </w:rPr>
          <w:tab/>
        </w:r>
        <w:r w:rsidRPr="00EE4FC1">
          <w:rPr>
            <w:rFonts w:ascii="Arial" w:eastAsia="PMingLiU" w:hAnsi="Arial"/>
            <w:noProof/>
            <w:webHidden/>
            <w:sz w:val="22"/>
            <w:szCs w:val="22"/>
            <w:lang w:eastAsia="zh-CN"/>
          </w:rPr>
          <w:fldChar w:fldCharType="begin"/>
        </w:r>
        <w:r w:rsidRPr="00EE4FC1">
          <w:rPr>
            <w:rFonts w:ascii="Arial" w:eastAsia="PMingLiU" w:hAnsi="Arial"/>
            <w:noProof/>
            <w:webHidden/>
            <w:sz w:val="22"/>
            <w:szCs w:val="22"/>
            <w:lang w:eastAsia="zh-CN"/>
          </w:rPr>
          <w:instrText xml:space="preserve"> PAGEREF _Toc238386945 \h </w:instrText>
        </w:r>
        <w:r w:rsidRPr="00EE4FC1">
          <w:rPr>
            <w:rFonts w:ascii="Arial" w:eastAsia="PMingLiU" w:hAnsi="Arial"/>
            <w:noProof/>
            <w:webHidden/>
            <w:sz w:val="22"/>
            <w:szCs w:val="22"/>
            <w:lang w:eastAsia="zh-CN"/>
          </w:rPr>
        </w:r>
        <w:r w:rsidRPr="00EE4FC1">
          <w:rPr>
            <w:rFonts w:ascii="Arial" w:eastAsia="PMingLiU" w:hAnsi="Arial"/>
            <w:noProof/>
            <w:webHidden/>
            <w:sz w:val="22"/>
            <w:szCs w:val="22"/>
            <w:lang w:eastAsia="zh-CN"/>
          </w:rPr>
          <w:fldChar w:fldCharType="separate"/>
        </w:r>
        <w:r w:rsidRPr="00EE4FC1">
          <w:rPr>
            <w:rFonts w:ascii="Arial" w:eastAsia="PMingLiU" w:hAnsi="Arial"/>
            <w:noProof/>
            <w:webHidden/>
            <w:sz w:val="22"/>
            <w:szCs w:val="22"/>
            <w:lang w:eastAsia="zh-CN"/>
          </w:rPr>
          <w:t>4</w:t>
        </w:r>
        <w:r w:rsidRPr="00EE4FC1">
          <w:rPr>
            <w:rFonts w:ascii="Arial" w:eastAsia="PMingLiU" w:hAnsi="Arial"/>
            <w:noProof/>
            <w:webHidden/>
            <w:sz w:val="22"/>
            <w:szCs w:val="22"/>
            <w:lang w:eastAsia="zh-CN"/>
          </w:rPr>
          <w:fldChar w:fldCharType="end"/>
        </w:r>
      </w:hyperlink>
      <w:r w:rsidR="00FF458F">
        <w:t>8</w:t>
      </w:r>
    </w:p>
    <w:p w14:paraId="35012826" w14:textId="3EE6DFC2" w:rsidR="00EE4FC1" w:rsidRPr="00EE4FC1" w:rsidRDefault="00EE4FC1" w:rsidP="00EE4FC1">
      <w:pPr>
        <w:tabs>
          <w:tab w:val="right" w:leader="dot" w:pos="9016"/>
        </w:tabs>
        <w:spacing w:after="0" w:line="360" w:lineRule="auto"/>
        <w:rPr>
          <w:rFonts w:ascii="Calibri" w:eastAsia="PMingLiU" w:hAnsi="Calibri"/>
          <w:noProof/>
          <w:lang w:val="en-US" w:eastAsia="zh-TW"/>
        </w:rPr>
      </w:pPr>
      <w:hyperlink w:anchor="_Toc238386946" w:history="1">
        <w:r w:rsidRPr="00EE4FC1">
          <w:rPr>
            <w:rFonts w:ascii="Arial" w:eastAsia="PMingLiU" w:hAnsi="Arial"/>
            <w:noProof/>
            <w:color w:val="0563C1"/>
            <w:sz w:val="22"/>
            <w:szCs w:val="22"/>
            <w:u w:val="single"/>
            <w:lang w:eastAsia="zh-CN"/>
          </w:rPr>
          <w:t xml:space="preserve">Table </w:t>
        </w:r>
        <w:r w:rsidR="00F167B9">
          <w:rPr>
            <w:rFonts w:ascii="Arial" w:eastAsia="PMingLiU" w:hAnsi="Arial"/>
            <w:noProof/>
            <w:color w:val="0563C1"/>
            <w:sz w:val="22"/>
            <w:szCs w:val="22"/>
            <w:u w:val="single"/>
            <w:lang w:eastAsia="zh-CN"/>
          </w:rPr>
          <w:t>9</w:t>
        </w:r>
        <w:r w:rsidRPr="00EE4FC1">
          <w:rPr>
            <w:rFonts w:ascii="Arial" w:eastAsia="PMingLiU" w:hAnsi="Arial"/>
            <w:noProof/>
            <w:color w:val="0563C1"/>
            <w:sz w:val="22"/>
            <w:szCs w:val="22"/>
            <w:u w:val="single"/>
            <w:lang w:eastAsia="zh-CN"/>
          </w:rPr>
          <w:t>: Major Literature Gaps Identified Across Reviewed Studies</w:t>
        </w:r>
        <w:r w:rsidRPr="00EE4FC1">
          <w:rPr>
            <w:rFonts w:ascii="Arial" w:eastAsia="PMingLiU" w:hAnsi="Arial"/>
            <w:noProof/>
            <w:webHidden/>
            <w:sz w:val="22"/>
            <w:szCs w:val="22"/>
            <w:lang w:eastAsia="zh-CN"/>
          </w:rPr>
          <w:tab/>
        </w:r>
      </w:hyperlink>
      <w:r w:rsidR="00FF458F">
        <w:rPr>
          <w:rFonts w:ascii="Arial" w:eastAsia="PMingLiU" w:hAnsi="Arial"/>
          <w:sz w:val="22"/>
          <w:szCs w:val="22"/>
          <w:lang w:eastAsia="zh-CN"/>
        </w:rPr>
        <w:t>49</w:t>
      </w:r>
      <w:r w:rsidR="004410C0">
        <w:rPr>
          <w:rFonts w:ascii="Arial" w:eastAsia="PMingLiU" w:hAnsi="Arial"/>
          <w:sz w:val="22"/>
          <w:szCs w:val="22"/>
          <w:lang w:eastAsia="zh-CN"/>
        </w:rPr>
        <w:t>-5</w:t>
      </w:r>
      <w:r w:rsidR="00FF458F">
        <w:rPr>
          <w:rFonts w:ascii="Arial" w:eastAsia="PMingLiU" w:hAnsi="Arial"/>
          <w:sz w:val="22"/>
          <w:szCs w:val="22"/>
          <w:lang w:eastAsia="zh-CN"/>
        </w:rPr>
        <w:t>0</w:t>
      </w:r>
    </w:p>
    <w:p w14:paraId="086E03D6" w14:textId="77777777" w:rsidR="00EE4FC1" w:rsidRPr="00EE4FC1" w:rsidRDefault="00EE4FC1" w:rsidP="00EE4FC1">
      <w:pPr>
        <w:spacing w:after="172" w:line="360" w:lineRule="auto"/>
        <w:rPr>
          <w:rFonts w:ascii="Arial" w:eastAsia="DengXian" w:hAnsi="Arial" w:cs="Arial"/>
          <w:sz w:val="22"/>
          <w:szCs w:val="22"/>
          <w:lang w:eastAsia="zh-CN"/>
        </w:rPr>
      </w:pPr>
      <w:r w:rsidRPr="00EE4FC1">
        <w:rPr>
          <w:rFonts w:ascii="Arial" w:eastAsia="Calibri" w:hAnsi="Arial" w:cs="Arial"/>
          <w:sz w:val="22"/>
          <w:szCs w:val="22"/>
          <w:lang w:eastAsia="zh-CN"/>
        </w:rPr>
        <w:fldChar w:fldCharType="end"/>
      </w:r>
    </w:p>
    <w:p w14:paraId="7F95EDE6" w14:textId="77777777" w:rsidR="00EE4FC1" w:rsidRPr="00EE4FC1" w:rsidRDefault="00EE4FC1" w:rsidP="00EE4FC1">
      <w:pPr>
        <w:spacing w:after="172" w:line="360" w:lineRule="auto"/>
        <w:rPr>
          <w:rFonts w:ascii="Arial" w:eastAsia="DengXian" w:hAnsi="Arial" w:cs="Arial"/>
          <w:sz w:val="22"/>
          <w:szCs w:val="22"/>
          <w:lang w:eastAsia="zh-CN"/>
        </w:rPr>
      </w:pPr>
    </w:p>
    <w:p w14:paraId="35D4837F" w14:textId="77777777" w:rsidR="00EE4FC1" w:rsidRPr="00EE4FC1" w:rsidRDefault="00EE4FC1" w:rsidP="00EE4FC1">
      <w:pPr>
        <w:spacing w:after="172" w:line="360" w:lineRule="auto"/>
        <w:rPr>
          <w:rFonts w:ascii="Arial" w:eastAsia="DengXian" w:hAnsi="Arial" w:cs="Arial"/>
          <w:sz w:val="22"/>
          <w:szCs w:val="22"/>
          <w:lang w:eastAsia="zh-CN"/>
        </w:rPr>
      </w:pPr>
    </w:p>
    <w:p w14:paraId="34C56B0A" w14:textId="77777777" w:rsidR="00EE4FC1" w:rsidRPr="00EE4FC1" w:rsidRDefault="00EE4FC1" w:rsidP="00EE4FC1">
      <w:pPr>
        <w:spacing w:after="172" w:line="360" w:lineRule="auto"/>
        <w:rPr>
          <w:rFonts w:ascii="Arial" w:eastAsia="DengXian" w:hAnsi="Arial" w:cs="Arial"/>
          <w:sz w:val="22"/>
          <w:szCs w:val="22"/>
          <w:lang w:eastAsia="zh-CN"/>
        </w:rPr>
      </w:pPr>
    </w:p>
    <w:p w14:paraId="14A8388D" w14:textId="77777777" w:rsidR="00EE4FC1" w:rsidRPr="00EE4FC1" w:rsidRDefault="00EE4FC1" w:rsidP="00EE4FC1">
      <w:pPr>
        <w:spacing w:after="172" w:line="360" w:lineRule="auto"/>
        <w:rPr>
          <w:rFonts w:ascii="Arial" w:eastAsia="DengXian" w:hAnsi="Arial" w:cs="Arial"/>
          <w:sz w:val="22"/>
          <w:szCs w:val="22"/>
          <w:lang w:eastAsia="zh-CN"/>
        </w:rPr>
      </w:pPr>
    </w:p>
    <w:p w14:paraId="148E2B81" w14:textId="77777777" w:rsidR="00EE4FC1" w:rsidRPr="00EE4FC1" w:rsidRDefault="00EE4FC1" w:rsidP="00EE4FC1">
      <w:pPr>
        <w:spacing w:after="172" w:line="360" w:lineRule="auto"/>
        <w:rPr>
          <w:rFonts w:ascii="Arial" w:eastAsia="DengXian" w:hAnsi="Arial" w:cs="Arial"/>
          <w:sz w:val="22"/>
          <w:szCs w:val="22"/>
          <w:lang w:eastAsia="zh-CN"/>
        </w:rPr>
      </w:pPr>
    </w:p>
    <w:p w14:paraId="2D27A2C5" w14:textId="77777777" w:rsidR="00EE4FC1" w:rsidRPr="00EE4FC1" w:rsidRDefault="00EE4FC1" w:rsidP="00EE4FC1">
      <w:pPr>
        <w:spacing w:after="172" w:line="360" w:lineRule="auto"/>
        <w:rPr>
          <w:rFonts w:ascii="Arial" w:eastAsia="DengXian" w:hAnsi="Arial" w:cs="Arial"/>
          <w:sz w:val="22"/>
          <w:szCs w:val="22"/>
          <w:lang w:eastAsia="zh-CN"/>
        </w:rPr>
      </w:pPr>
    </w:p>
    <w:p w14:paraId="649C2E2A" w14:textId="77777777" w:rsidR="00EE4FC1" w:rsidRPr="00EE4FC1" w:rsidRDefault="00EE4FC1" w:rsidP="00EE4FC1">
      <w:pPr>
        <w:spacing w:after="172" w:line="360" w:lineRule="auto"/>
        <w:rPr>
          <w:rFonts w:ascii="Arial" w:eastAsia="DengXian" w:hAnsi="Arial" w:cs="Arial"/>
          <w:sz w:val="22"/>
          <w:szCs w:val="22"/>
          <w:lang w:eastAsia="zh-CN"/>
        </w:rPr>
      </w:pPr>
    </w:p>
    <w:p w14:paraId="56A3EFDA" w14:textId="77777777" w:rsidR="00EE4FC1" w:rsidRPr="00EE4FC1" w:rsidRDefault="00EE4FC1" w:rsidP="00EE4FC1">
      <w:pPr>
        <w:spacing w:after="172" w:line="360" w:lineRule="auto"/>
        <w:rPr>
          <w:rFonts w:ascii="Arial" w:eastAsia="DengXian" w:hAnsi="Arial" w:cs="Arial"/>
          <w:sz w:val="22"/>
          <w:szCs w:val="22"/>
          <w:lang w:eastAsia="zh-CN"/>
        </w:rPr>
      </w:pPr>
    </w:p>
    <w:p w14:paraId="6A355BEE" w14:textId="77777777" w:rsidR="00EE4FC1" w:rsidRPr="00EE4FC1" w:rsidRDefault="00EE4FC1" w:rsidP="00EE4FC1">
      <w:pPr>
        <w:spacing w:after="172" w:line="360" w:lineRule="auto"/>
        <w:rPr>
          <w:rFonts w:ascii="Arial" w:eastAsia="DengXian" w:hAnsi="Arial" w:cs="Arial"/>
          <w:sz w:val="22"/>
          <w:szCs w:val="22"/>
          <w:lang w:eastAsia="zh-CN"/>
        </w:rPr>
      </w:pPr>
    </w:p>
    <w:p w14:paraId="1C149C38" w14:textId="77777777" w:rsidR="00EE4FC1" w:rsidRPr="00EE4FC1" w:rsidRDefault="00EE4FC1" w:rsidP="00EE4FC1">
      <w:pPr>
        <w:spacing w:after="172" w:line="360" w:lineRule="auto"/>
        <w:rPr>
          <w:rFonts w:ascii="Arial" w:eastAsia="DengXian" w:hAnsi="Arial" w:cs="Arial"/>
          <w:sz w:val="22"/>
          <w:szCs w:val="22"/>
          <w:lang w:eastAsia="zh-CN"/>
        </w:rPr>
      </w:pPr>
    </w:p>
    <w:p w14:paraId="5DB9D341" w14:textId="77777777" w:rsidR="00EE4FC1" w:rsidRPr="00EE4FC1" w:rsidRDefault="00EE4FC1" w:rsidP="00EE4FC1">
      <w:pPr>
        <w:spacing w:after="172" w:line="360" w:lineRule="auto"/>
        <w:rPr>
          <w:rFonts w:ascii="Arial" w:eastAsia="DengXian" w:hAnsi="Arial" w:cs="Arial"/>
          <w:sz w:val="22"/>
          <w:szCs w:val="22"/>
          <w:lang w:eastAsia="zh-CN"/>
        </w:rPr>
      </w:pPr>
    </w:p>
    <w:p w14:paraId="3CEA4652" w14:textId="77777777" w:rsidR="00EE4FC1" w:rsidRPr="00EE4FC1" w:rsidRDefault="00EE4FC1" w:rsidP="00EE4FC1">
      <w:pPr>
        <w:spacing w:after="172" w:line="360" w:lineRule="auto"/>
        <w:rPr>
          <w:rFonts w:ascii="Arial" w:eastAsia="DengXian" w:hAnsi="Arial" w:cs="Arial"/>
          <w:sz w:val="22"/>
          <w:szCs w:val="22"/>
          <w:lang w:eastAsia="zh-CN"/>
        </w:rPr>
      </w:pPr>
    </w:p>
    <w:p w14:paraId="02988C3D" w14:textId="77777777" w:rsidR="00EE4FC1" w:rsidRPr="00EE4FC1" w:rsidRDefault="00EE4FC1" w:rsidP="00EE4FC1">
      <w:pPr>
        <w:spacing w:after="172" w:line="360" w:lineRule="auto"/>
        <w:rPr>
          <w:rFonts w:ascii="Arial" w:eastAsia="DengXian" w:hAnsi="Arial" w:cs="Arial"/>
          <w:sz w:val="22"/>
          <w:szCs w:val="22"/>
          <w:lang w:eastAsia="zh-CN"/>
        </w:rPr>
      </w:pPr>
    </w:p>
    <w:p w14:paraId="3148A879" w14:textId="77777777" w:rsidR="00EE4FC1" w:rsidRPr="00EE4FC1" w:rsidRDefault="00EE4FC1" w:rsidP="00EE4FC1">
      <w:pPr>
        <w:spacing w:after="172" w:line="360" w:lineRule="auto"/>
        <w:rPr>
          <w:rFonts w:ascii="Arial" w:eastAsia="DengXian" w:hAnsi="Arial" w:cs="Arial"/>
          <w:sz w:val="22"/>
          <w:szCs w:val="22"/>
          <w:lang w:eastAsia="zh-CN"/>
        </w:rPr>
      </w:pPr>
    </w:p>
    <w:p w14:paraId="4B73F929" w14:textId="77777777" w:rsidR="00EE4FC1" w:rsidRPr="00EE4FC1" w:rsidRDefault="00EE4FC1" w:rsidP="00EE4FC1">
      <w:pPr>
        <w:spacing w:after="172" w:line="360" w:lineRule="auto"/>
        <w:rPr>
          <w:rFonts w:ascii="Arial" w:eastAsia="DengXian" w:hAnsi="Arial" w:cs="Arial"/>
          <w:sz w:val="22"/>
          <w:szCs w:val="22"/>
          <w:lang w:eastAsia="zh-CN"/>
        </w:rPr>
      </w:pPr>
    </w:p>
    <w:p w14:paraId="3B2A6426" w14:textId="77777777" w:rsidR="00EE4FC1" w:rsidRPr="00EE4FC1" w:rsidRDefault="00EE4FC1" w:rsidP="00EE4FC1">
      <w:pPr>
        <w:spacing w:after="172" w:line="360" w:lineRule="auto"/>
        <w:rPr>
          <w:rFonts w:ascii="Arial" w:eastAsia="DengXian" w:hAnsi="Arial" w:cs="Arial"/>
          <w:sz w:val="22"/>
          <w:szCs w:val="22"/>
          <w:lang w:eastAsia="zh-CN"/>
        </w:rPr>
      </w:pPr>
    </w:p>
    <w:p w14:paraId="6450DFDE" w14:textId="77777777" w:rsidR="00EE4FC1" w:rsidRPr="004B1FCF" w:rsidRDefault="008A7B71" w:rsidP="004B1FCF">
      <w:pPr>
        <w:keepNext/>
        <w:keepLines/>
        <w:spacing w:after="169" w:line="360" w:lineRule="auto"/>
        <w:ind w:left="10" w:hanging="10"/>
        <w:jc w:val="center"/>
        <w:outlineLvl w:val="0"/>
        <w:rPr>
          <w:rFonts w:ascii="Arial" w:eastAsia="Times New Roman" w:hAnsi="Arial" w:cs="Arial"/>
          <w:b/>
          <w:color w:val="000000"/>
          <w:sz w:val="22"/>
          <w:szCs w:val="22"/>
          <w:lang w:eastAsia="zh-CN"/>
        </w:rPr>
      </w:pPr>
      <w:bookmarkStart w:id="14" w:name="_Toc241618945"/>
      <w:r w:rsidRPr="00EE4FC1">
        <w:rPr>
          <w:rFonts w:ascii="Arial" w:eastAsia="Times New Roman" w:hAnsi="Arial" w:cs="Arial"/>
          <w:b/>
          <w:color w:val="000000"/>
          <w:sz w:val="22"/>
          <w:szCs w:val="22"/>
          <w:lang w:eastAsia="zh-CN"/>
        </w:rPr>
        <w:lastRenderedPageBreak/>
        <w:t>LIST OF ABBREVIATIONS</w:t>
      </w:r>
      <w:bookmarkEnd w:id="13"/>
      <w:bookmarkEnd w:id="14"/>
    </w:p>
    <w:tbl>
      <w:tblPr>
        <w:tblW w:w="9324" w:type="dxa"/>
        <w:tblCellSpacing w:w="15" w:type="dxa"/>
        <w:tblCellMar>
          <w:top w:w="15" w:type="dxa"/>
          <w:left w:w="15" w:type="dxa"/>
          <w:bottom w:w="15" w:type="dxa"/>
          <w:right w:w="15" w:type="dxa"/>
        </w:tblCellMar>
        <w:tblLook w:val="04A0" w:firstRow="1" w:lastRow="0" w:firstColumn="1" w:lastColumn="0" w:noHBand="0" w:noVBand="1"/>
      </w:tblPr>
      <w:tblGrid>
        <w:gridCol w:w="1588"/>
        <w:gridCol w:w="7736"/>
      </w:tblGrid>
      <w:tr w:rsidR="00EE4FC1" w:rsidRPr="00EE4FC1" w14:paraId="155E726F" w14:textId="77777777" w:rsidTr="00725F03">
        <w:trPr>
          <w:trHeight w:val="259"/>
          <w:tblHeader/>
          <w:tblCellSpacing w:w="15" w:type="dxa"/>
        </w:trPr>
        <w:tc>
          <w:tcPr>
            <w:tcW w:w="0" w:type="auto"/>
            <w:vAlign w:val="center"/>
            <w:hideMark/>
          </w:tcPr>
          <w:p w14:paraId="0DA92E3B" w14:textId="77777777" w:rsidR="00EE4FC1" w:rsidRPr="00EE4FC1" w:rsidRDefault="00EE4FC1" w:rsidP="00EE4FC1">
            <w:pPr>
              <w:spacing w:after="0" w:line="240" w:lineRule="auto"/>
              <w:jc w:val="center"/>
              <w:rPr>
                <w:rFonts w:ascii="Arial" w:eastAsia="Times New Roman" w:hAnsi="Arial" w:cs="Arial"/>
                <w:b/>
                <w:bCs/>
                <w:kern w:val="0"/>
                <w:sz w:val="22"/>
                <w:szCs w:val="22"/>
                <w:lang w:eastAsia="en-GB"/>
              </w:rPr>
            </w:pPr>
            <w:r w:rsidRPr="00EE4FC1">
              <w:rPr>
                <w:rFonts w:ascii="Arial" w:eastAsia="Times New Roman" w:hAnsi="Arial" w:cs="Arial"/>
                <w:b/>
                <w:bCs/>
                <w:kern w:val="0"/>
                <w:sz w:val="22"/>
                <w:szCs w:val="22"/>
                <w:lang w:eastAsia="en-GB"/>
              </w:rPr>
              <w:t>Abbreviation</w:t>
            </w:r>
          </w:p>
        </w:tc>
        <w:tc>
          <w:tcPr>
            <w:tcW w:w="0" w:type="auto"/>
            <w:vAlign w:val="center"/>
            <w:hideMark/>
          </w:tcPr>
          <w:p w14:paraId="2E5F3419" w14:textId="2FBA2801" w:rsidR="00EE4FC1" w:rsidRPr="00EE4FC1" w:rsidRDefault="00EE4FC1" w:rsidP="00EA0CD3">
            <w:pPr>
              <w:spacing w:after="0" w:line="240" w:lineRule="auto"/>
              <w:rPr>
                <w:rFonts w:ascii="Arial" w:eastAsia="Times New Roman" w:hAnsi="Arial" w:cs="Arial"/>
                <w:b/>
                <w:bCs/>
                <w:kern w:val="0"/>
                <w:sz w:val="22"/>
                <w:szCs w:val="22"/>
                <w:lang w:eastAsia="en-GB"/>
              </w:rPr>
            </w:pPr>
            <w:r w:rsidRPr="00EE4FC1">
              <w:rPr>
                <w:rFonts w:ascii="Arial" w:eastAsia="Times New Roman" w:hAnsi="Arial" w:cs="Arial"/>
                <w:b/>
                <w:bCs/>
                <w:kern w:val="0"/>
                <w:sz w:val="22"/>
                <w:szCs w:val="22"/>
                <w:lang w:eastAsia="en-GB"/>
              </w:rPr>
              <w:t>Full Term</w:t>
            </w:r>
            <w:r w:rsidR="00EA0CD3">
              <w:rPr>
                <w:rFonts w:ascii="Arial" w:eastAsia="Times New Roman" w:hAnsi="Arial" w:cs="Arial"/>
                <w:b/>
                <w:bCs/>
                <w:kern w:val="0"/>
                <w:sz w:val="22"/>
                <w:szCs w:val="22"/>
                <w:lang w:eastAsia="en-GB"/>
              </w:rPr>
              <w:t>inology</w:t>
            </w:r>
          </w:p>
        </w:tc>
      </w:tr>
      <w:tr w:rsidR="00EE4FC1" w:rsidRPr="00EE4FC1" w14:paraId="4B662FD2" w14:textId="77777777" w:rsidTr="00725F03">
        <w:trPr>
          <w:trHeight w:val="250"/>
          <w:tblCellSpacing w:w="15" w:type="dxa"/>
        </w:trPr>
        <w:tc>
          <w:tcPr>
            <w:tcW w:w="0" w:type="auto"/>
            <w:vAlign w:val="center"/>
            <w:hideMark/>
          </w:tcPr>
          <w:p w14:paraId="6358CD83"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b/>
                <w:bCs/>
                <w:kern w:val="0"/>
                <w:sz w:val="22"/>
                <w:szCs w:val="22"/>
                <w:lang w:eastAsia="en-GB"/>
              </w:rPr>
              <w:t>CASP</w:t>
            </w:r>
          </w:p>
        </w:tc>
        <w:tc>
          <w:tcPr>
            <w:tcW w:w="0" w:type="auto"/>
            <w:vAlign w:val="center"/>
            <w:hideMark/>
          </w:tcPr>
          <w:p w14:paraId="60D0F57A"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kern w:val="0"/>
                <w:sz w:val="22"/>
                <w:szCs w:val="22"/>
                <w:lang w:eastAsia="en-GB"/>
              </w:rPr>
              <w:t>Critical Appraisal Skills Programme</w:t>
            </w:r>
          </w:p>
        </w:tc>
      </w:tr>
      <w:tr w:rsidR="00EE4FC1" w:rsidRPr="00EE4FC1" w14:paraId="2ECFE5AB" w14:textId="77777777" w:rsidTr="00725F03">
        <w:trPr>
          <w:trHeight w:val="259"/>
          <w:tblCellSpacing w:w="15" w:type="dxa"/>
        </w:trPr>
        <w:tc>
          <w:tcPr>
            <w:tcW w:w="0" w:type="auto"/>
            <w:vAlign w:val="center"/>
            <w:hideMark/>
          </w:tcPr>
          <w:p w14:paraId="2A4577B6"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b/>
                <w:bCs/>
                <w:kern w:val="0"/>
                <w:sz w:val="22"/>
                <w:szCs w:val="22"/>
                <w:lang w:eastAsia="en-GB"/>
              </w:rPr>
              <w:t>COVID-19</w:t>
            </w:r>
          </w:p>
        </w:tc>
        <w:tc>
          <w:tcPr>
            <w:tcW w:w="0" w:type="auto"/>
            <w:vAlign w:val="center"/>
            <w:hideMark/>
          </w:tcPr>
          <w:p w14:paraId="460E5496"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kern w:val="0"/>
                <w:sz w:val="22"/>
                <w:szCs w:val="22"/>
                <w:lang w:eastAsia="en-GB"/>
              </w:rPr>
              <w:t>Coronavirus Disease 2019</w:t>
            </w:r>
          </w:p>
        </w:tc>
      </w:tr>
      <w:tr w:rsidR="00EE4FC1" w:rsidRPr="00EE4FC1" w14:paraId="365DA16E" w14:textId="77777777" w:rsidTr="00725F03">
        <w:trPr>
          <w:trHeight w:val="259"/>
          <w:tblCellSpacing w:w="15" w:type="dxa"/>
        </w:trPr>
        <w:tc>
          <w:tcPr>
            <w:tcW w:w="0" w:type="auto"/>
            <w:vAlign w:val="center"/>
            <w:hideMark/>
          </w:tcPr>
          <w:p w14:paraId="78AAAF87"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b/>
                <w:bCs/>
                <w:kern w:val="0"/>
                <w:sz w:val="22"/>
                <w:szCs w:val="22"/>
                <w:lang w:eastAsia="en-GB"/>
              </w:rPr>
              <w:t>GP</w:t>
            </w:r>
          </w:p>
        </w:tc>
        <w:tc>
          <w:tcPr>
            <w:tcW w:w="0" w:type="auto"/>
            <w:vAlign w:val="center"/>
            <w:hideMark/>
          </w:tcPr>
          <w:p w14:paraId="471CC926"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kern w:val="0"/>
                <w:sz w:val="22"/>
                <w:szCs w:val="22"/>
                <w:lang w:eastAsia="en-GB"/>
              </w:rPr>
              <w:t>General Practitioner</w:t>
            </w:r>
          </w:p>
        </w:tc>
      </w:tr>
      <w:tr w:rsidR="00EE4FC1" w:rsidRPr="00EE4FC1" w14:paraId="55C7243E" w14:textId="77777777" w:rsidTr="00725F03">
        <w:trPr>
          <w:trHeight w:val="259"/>
          <w:tblCellSpacing w:w="15" w:type="dxa"/>
        </w:trPr>
        <w:tc>
          <w:tcPr>
            <w:tcW w:w="0" w:type="auto"/>
            <w:vAlign w:val="center"/>
            <w:hideMark/>
          </w:tcPr>
          <w:p w14:paraId="4106BEA5"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b/>
                <w:bCs/>
                <w:kern w:val="0"/>
                <w:sz w:val="22"/>
                <w:szCs w:val="22"/>
                <w:lang w:eastAsia="en-GB"/>
              </w:rPr>
              <w:t>HCP</w:t>
            </w:r>
          </w:p>
        </w:tc>
        <w:tc>
          <w:tcPr>
            <w:tcW w:w="0" w:type="auto"/>
            <w:vAlign w:val="center"/>
            <w:hideMark/>
          </w:tcPr>
          <w:p w14:paraId="3ACC96EF"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kern w:val="0"/>
                <w:sz w:val="22"/>
                <w:szCs w:val="22"/>
                <w:lang w:eastAsia="en-GB"/>
              </w:rPr>
              <w:t>Health Care Professional</w:t>
            </w:r>
          </w:p>
        </w:tc>
      </w:tr>
      <w:tr w:rsidR="00EE4FC1" w:rsidRPr="00EE4FC1" w14:paraId="545D5AF5" w14:textId="77777777" w:rsidTr="00725F03">
        <w:trPr>
          <w:trHeight w:val="259"/>
          <w:tblCellSpacing w:w="15" w:type="dxa"/>
        </w:trPr>
        <w:tc>
          <w:tcPr>
            <w:tcW w:w="0" w:type="auto"/>
            <w:vAlign w:val="center"/>
            <w:hideMark/>
          </w:tcPr>
          <w:p w14:paraId="53C63B0F"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b/>
                <w:bCs/>
                <w:kern w:val="0"/>
                <w:sz w:val="22"/>
                <w:szCs w:val="22"/>
                <w:lang w:eastAsia="en-GB"/>
              </w:rPr>
              <w:t>JBI</w:t>
            </w:r>
          </w:p>
        </w:tc>
        <w:tc>
          <w:tcPr>
            <w:tcW w:w="0" w:type="auto"/>
            <w:vAlign w:val="center"/>
            <w:hideMark/>
          </w:tcPr>
          <w:p w14:paraId="76D494CC"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kern w:val="0"/>
                <w:sz w:val="22"/>
                <w:szCs w:val="22"/>
                <w:lang w:eastAsia="en-GB"/>
              </w:rPr>
              <w:t>Joanna Briggs Institute</w:t>
            </w:r>
          </w:p>
        </w:tc>
      </w:tr>
      <w:tr w:rsidR="00EE4FC1" w:rsidRPr="00EE4FC1" w14:paraId="062041A1" w14:textId="77777777" w:rsidTr="00725F03">
        <w:trPr>
          <w:trHeight w:val="259"/>
          <w:tblCellSpacing w:w="15" w:type="dxa"/>
        </w:trPr>
        <w:tc>
          <w:tcPr>
            <w:tcW w:w="0" w:type="auto"/>
            <w:vAlign w:val="center"/>
            <w:hideMark/>
          </w:tcPr>
          <w:p w14:paraId="1C7744CB"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b/>
                <w:bCs/>
                <w:kern w:val="0"/>
                <w:sz w:val="22"/>
                <w:szCs w:val="22"/>
                <w:lang w:eastAsia="en-GB"/>
              </w:rPr>
              <w:t>MMAT</w:t>
            </w:r>
          </w:p>
        </w:tc>
        <w:tc>
          <w:tcPr>
            <w:tcW w:w="0" w:type="auto"/>
            <w:vAlign w:val="center"/>
            <w:hideMark/>
          </w:tcPr>
          <w:p w14:paraId="2696E6C8"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kern w:val="0"/>
                <w:sz w:val="22"/>
                <w:szCs w:val="22"/>
                <w:lang w:eastAsia="en-GB"/>
              </w:rPr>
              <w:t>Mixed Methods Appraisal Tool</w:t>
            </w:r>
          </w:p>
        </w:tc>
      </w:tr>
      <w:tr w:rsidR="00EE4FC1" w:rsidRPr="00EE4FC1" w14:paraId="6E0E428A" w14:textId="77777777" w:rsidTr="00725F03">
        <w:trPr>
          <w:trHeight w:val="259"/>
          <w:tblCellSpacing w:w="15" w:type="dxa"/>
        </w:trPr>
        <w:tc>
          <w:tcPr>
            <w:tcW w:w="0" w:type="auto"/>
            <w:vAlign w:val="center"/>
            <w:hideMark/>
          </w:tcPr>
          <w:p w14:paraId="1E826F18"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b/>
                <w:bCs/>
                <w:kern w:val="0"/>
                <w:sz w:val="22"/>
                <w:szCs w:val="22"/>
                <w:lang w:eastAsia="en-GB"/>
              </w:rPr>
              <w:t>NHS</w:t>
            </w:r>
          </w:p>
        </w:tc>
        <w:tc>
          <w:tcPr>
            <w:tcW w:w="0" w:type="auto"/>
            <w:vAlign w:val="center"/>
            <w:hideMark/>
          </w:tcPr>
          <w:p w14:paraId="0CECA8A4"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kern w:val="0"/>
                <w:sz w:val="22"/>
                <w:szCs w:val="22"/>
                <w:lang w:eastAsia="en-GB"/>
              </w:rPr>
              <w:t>National Health Service</w:t>
            </w:r>
          </w:p>
        </w:tc>
      </w:tr>
      <w:tr w:rsidR="00EE4FC1" w:rsidRPr="00EE4FC1" w14:paraId="53FC44E2" w14:textId="77777777" w:rsidTr="00725F03">
        <w:trPr>
          <w:trHeight w:val="259"/>
          <w:tblCellSpacing w:w="15" w:type="dxa"/>
        </w:trPr>
        <w:tc>
          <w:tcPr>
            <w:tcW w:w="0" w:type="auto"/>
            <w:vAlign w:val="center"/>
            <w:hideMark/>
          </w:tcPr>
          <w:p w14:paraId="341B935B"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b/>
                <w:bCs/>
                <w:kern w:val="0"/>
                <w:sz w:val="22"/>
                <w:szCs w:val="22"/>
                <w:lang w:eastAsia="en-GB"/>
              </w:rPr>
              <w:t>PICO</w:t>
            </w:r>
          </w:p>
        </w:tc>
        <w:tc>
          <w:tcPr>
            <w:tcW w:w="0" w:type="auto"/>
            <w:vAlign w:val="center"/>
            <w:hideMark/>
          </w:tcPr>
          <w:p w14:paraId="20F0E134"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kern w:val="0"/>
                <w:sz w:val="22"/>
                <w:szCs w:val="22"/>
                <w:lang w:eastAsia="en-GB"/>
              </w:rPr>
              <w:t>Population, Intervention, Comparison and Outcome</w:t>
            </w:r>
          </w:p>
        </w:tc>
      </w:tr>
      <w:tr w:rsidR="00EE4FC1" w:rsidRPr="00EE4FC1" w14:paraId="01D19E31" w14:textId="77777777" w:rsidTr="00725F03">
        <w:trPr>
          <w:trHeight w:val="259"/>
          <w:tblCellSpacing w:w="15" w:type="dxa"/>
        </w:trPr>
        <w:tc>
          <w:tcPr>
            <w:tcW w:w="0" w:type="auto"/>
            <w:vAlign w:val="center"/>
            <w:hideMark/>
          </w:tcPr>
          <w:p w14:paraId="0FEB6666"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b/>
                <w:bCs/>
                <w:kern w:val="0"/>
                <w:sz w:val="22"/>
                <w:szCs w:val="22"/>
                <w:lang w:eastAsia="en-GB"/>
              </w:rPr>
              <w:t>PRISMA</w:t>
            </w:r>
          </w:p>
        </w:tc>
        <w:tc>
          <w:tcPr>
            <w:tcW w:w="0" w:type="auto"/>
            <w:vAlign w:val="center"/>
            <w:hideMark/>
          </w:tcPr>
          <w:p w14:paraId="54C417CB"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kern w:val="0"/>
                <w:sz w:val="22"/>
                <w:szCs w:val="22"/>
                <w:lang w:eastAsia="en-GB"/>
              </w:rPr>
              <w:t>Preferred Reporting Items for Systematic Reviews and Meta-Analyses</w:t>
            </w:r>
          </w:p>
        </w:tc>
      </w:tr>
      <w:tr w:rsidR="00EE4FC1" w:rsidRPr="00EE4FC1" w14:paraId="1ED29F0C" w14:textId="77777777" w:rsidTr="00725F03">
        <w:trPr>
          <w:trHeight w:val="259"/>
          <w:tblCellSpacing w:w="15" w:type="dxa"/>
        </w:trPr>
        <w:tc>
          <w:tcPr>
            <w:tcW w:w="0" w:type="auto"/>
            <w:vAlign w:val="center"/>
            <w:hideMark/>
          </w:tcPr>
          <w:p w14:paraId="61AE704D"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b/>
                <w:bCs/>
                <w:kern w:val="0"/>
                <w:sz w:val="22"/>
                <w:szCs w:val="22"/>
                <w:lang w:eastAsia="en-GB"/>
              </w:rPr>
              <w:t>SWiM</w:t>
            </w:r>
          </w:p>
        </w:tc>
        <w:tc>
          <w:tcPr>
            <w:tcW w:w="0" w:type="auto"/>
            <w:vAlign w:val="center"/>
            <w:hideMark/>
          </w:tcPr>
          <w:p w14:paraId="7C172425"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kern w:val="0"/>
                <w:sz w:val="22"/>
                <w:szCs w:val="22"/>
                <w:lang w:eastAsia="en-GB"/>
              </w:rPr>
              <w:t>Synthesis Without Meta-analysis</w:t>
            </w:r>
          </w:p>
        </w:tc>
      </w:tr>
      <w:tr w:rsidR="00EE4FC1" w:rsidRPr="00EE4FC1" w14:paraId="21E62A18" w14:textId="77777777" w:rsidTr="00725F03">
        <w:trPr>
          <w:trHeight w:val="250"/>
          <w:tblCellSpacing w:w="15" w:type="dxa"/>
        </w:trPr>
        <w:tc>
          <w:tcPr>
            <w:tcW w:w="0" w:type="auto"/>
            <w:vAlign w:val="center"/>
            <w:hideMark/>
          </w:tcPr>
          <w:p w14:paraId="112C4FBA"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b/>
                <w:bCs/>
                <w:kern w:val="0"/>
                <w:sz w:val="22"/>
                <w:szCs w:val="22"/>
                <w:lang w:eastAsia="en-GB"/>
              </w:rPr>
              <w:t>UK</w:t>
            </w:r>
          </w:p>
        </w:tc>
        <w:tc>
          <w:tcPr>
            <w:tcW w:w="0" w:type="auto"/>
            <w:vAlign w:val="center"/>
            <w:hideMark/>
          </w:tcPr>
          <w:p w14:paraId="6BFB472B" w14:textId="77777777" w:rsidR="00EE4FC1" w:rsidRPr="00EE4FC1" w:rsidRDefault="00EE4FC1" w:rsidP="00EE4FC1">
            <w:pPr>
              <w:spacing w:after="0" w:line="360" w:lineRule="auto"/>
              <w:rPr>
                <w:rFonts w:ascii="Arial" w:eastAsia="Times New Roman" w:hAnsi="Arial" w:cs="Arial"/>
                <w:kern w:val="0"/>
                <w:sz w:val="22"/>
                <w:szCs w:val="22"/>
                <w:lang w:eastAsia="en-GB"/>
              </w:rPr>
            </w:pPr>
            <w:r w:rsidRPr="00EE4FC1">
              <w:rPr>
                <w:rFonts w:ascii="Arial" w:eastAsia="Times New Roman" w:hAnsi="Arial" w:cs="Arial"/>
                <w:kern w:val="0"/>
                <w:sz w:val="22"/>
                <w:szCs w:val="22"/>
                <w:lang w:eastAsia="en-GB"/>
              </w:rPr>
              <w:t>United Kingdom</w:t>
            </w:r>
          </w:p>
        </w:tc>
      </w:tr>
    </w:tbl>
    <w:p w14:paraId="15E99CBC" w14:textId="77777777" w:rsidR="00EE4FC1" w:rsidRPr="00EE4FC1" w:rsidRDefault="00EE4FC1" w:rsidP="00EE4FC1">
      <w:pPr>
        <w:spacing w:after="0" w:line="360" w:lineRule="auto"/>
        <w:rPr>
          <w:rFonts w:ascii="Arial" w:eastAsia="Times New Roman" w:hAnsi="Arial" w:cs="Arial"/>
          <w:b/>
          <w:i/>
          <w:sz w:val="22"/>
          <w:szCs w:val="22"/>
          <w:lang w:eastAsia="zh-CN"/>
        </w:rPr>
      </w:pPr>
    </w:p>
    <w:p w14:paraId="3E2E8CBF" w14:textId="77777777" w:rsidR="00EE4FC1" w:rsidRPr="00EE4FC1" w:rsidRDefault="00EE4FC1" w:rsidP="00EE4FC1">
      <w:pPr>
        <w:spacing w:line="360" w:lineRule="auto"/>
        <w:jc w:val="center"/>
        <w:rPr>
          <w:rFonts w:ascii="Arial" w:eastAsia="PMingLiU" w:hAnsi="Arial" w:cs="Arial"/>
          <w:b/>
          <w:bCs/>
          <w:sz w:val="22"/>
          <w:szCs w:val="22"/>
          <w:lang w:eastAsia="zh-CN"/>
        </w:rPr>
      </w:pPr>
    </w:p>
    <w:p w14:paraId="1ADA5AEC" w14:textId="77777777" w:rsidR="00EE4FC1" w:rsidRPr="00EE4FC1" w:rsidRDefault="00EE4FC1" w:rsidP="00EE4FC1">
      <w:pPr>
        <w:spacing w:line="360" w:lineRule="auto"/>
        <w:jc w:val="center"/>
        <w:rPr>
          <w:rFonts w:ascii="Arial" w:eastAsia="PMingLiU" w:hAnsi="Arial" w:cs="Arial"/>
          <w:b/>
          <w:bCs/>
          <w:sz w:val="22"/>
          <w:szCs w:val="22"/>
          <w:lang w:eastAsia="zh-CN"/>
        </w:rPr>
      </w:pPr>
    </w:p>
    <w:p w14:paraId="45DED9EA" w14:textId="77777777" w:rsidR="00EE4FC1" w:rsidRPr="00EE4FC1" w:rsidRDefault="00EE4FC1" w:rsidP="00EE4FC1">
      <w:pPr>
        <w:spacing w:line="360" w:lineRule="auto"/>
        <w:jc w:val="center"/>
        <w:rPr>
          <w:rFonts w:ascii="Arial" w:eastAsia="PMingLiU" w:hAnsi="Arial" w:cs="Arial"/>
          <w:b/>
          <w:bCs/>
          <w:sz w:val="22"/>
          <w:szCs w:val="22"/>
          <w:lang w:eastAsia="zh-CN"/>
        </w:rPr>
      </w:pPr>
    </w:p>
    <w:p w14:paraId="115AB91B" w14:textId="77777777" w:rsidR="00EE4FC1" w:rsidRPr="00EE4FC1" w:rsidRDefault="00EE4FC1" w:rsidP="00EE4FC1">
      <w:pPr>
        <w:spacing w:line="360" w:lineRule="auto"/>
        <w:jc w:val="center"/>
        <w:rPr>
          <w:rFonts w:ascii="Arial" w:eastAsia="PMingLiU" w:hAnsi="Arial" w:cs="Arial"/>
          <w:b/>
          <w:bCs/>
          <w:sz w:val="22"/>
          <w:szCs w:val="22"/>
          <w:lang w:eastAsia="zh-CN"/>
        </w:rPr>
      </w:pPr>
    </w:p>
    <w:p w14:paraId="607C0524" w14:textId="77777777" w:rsidR="00EE4FC1" w:rsidRPr="00EE4FC1" w:rsidRDefault="00EE4FC1" w:rsidP="00EE4FC1">
      <w:pPr>
        <w:spacing w:line="360" w:lineRule="auto"/>
        <w:jc w:val="center"/>
        <w:rPr>
          <w:rFonts w:ascii="Arial" w:eastAsia="PMingLiU" w:hAnsi="Arial" w:cs="Arial"/>
          <w:b/>
          <w:bCs/>
          <w:sz w:val="22"/>
          <w:szCs w:val="22"/>
          <w:lang w:eastAsia="zh-CN"/>
        </w:rPr>
      </w:pPr>
    </w:p>
    <w:p w14:paraId="10DE2919" w14:textId="77777777" w:rsidR="00EE4FC1" w:rsidRPr="00EE4FC1" w:rsidRDefault="00EE4FC1" w:rsidP="00EE4FC1">
      <w:pPr>
        <w:spacing w:line="360" w:lineRule="auto"/>
        <w:jc w:val="center"/>
        <w:rPr>
          <w:rFonts w:ascii="Arial" w:eastAsia="PMingLiU" w:hAnsi="Arial" w:cs="Arial"/>
          <w:b/>
          <w:bCs/>
          <w:sz w:val="22"/>
          <w:szCs w:val="22"/>
          <w:lang w:eastAsia="zh-CN"/>
        </w:rPr>
      </w:pPr>
    </w:p>
    <w:p w14:paraId="35DB5097" w14:textId="77777777" w:rsidR="00EE4FC1" w:rsidRPr="00EE4FC1" w:rsidRDefault="00EE4FC1" w:rsidP="00EE4FC1">
      <w:pPr>
        <w:spacing w:line="360" w:lineRule="auto"/>
        <w:jc w:val="center"/>
        <w:rPr>
          <w:rFonts w:ascii="Arial" w:eastAsia="PMingLiU" w:hAnsi="Arial" w:cs="Arial"/>
          <w:b/>
          <w:bCs/>
          <w:sz w:val="22"/>
          <w:szCs w:val="22"/>
          <w:lang w:eastAsia="zh-CN"/>
        </w:rPr>
      </w:pPr>
    </w:p>
    <w:p w14:paraId="39AF86A6" w14:textId="77777777" w:rsidR="00EE4FC1" w:rsidRPr="00EE4FC1" w:rsidRDefault="00EE4FC1" w:rsidP="00EE4FC1">
      <w:pPr>
        <w:spacing w:line="360" w:lineRule="auto"/>
        <w:jc w:val="center"/>
        <w:rPr>
          <w:rFonts w:ascii="Arial" w:eastAsia="PMingLiU" w:hAnsi="Arial" w:cs="Arial"/>
          <w:b/>
          <w:bCs/>
          <w:sz w:val="22"/>
          <w:szCs w:val="22"/>
          <w:lang w:eastAsia="zh-CN"/>
        </w:rPr>
      </w:pPr>
    </w:p>
    <w:p w14:paraId="1DCD6752" w14:textId="77777777" w:rsidR="00EE4FC1" w:rsidRPr="00EE4FC1" w:rsidRDefault="00EE4FC1" w:rsidP="00EE4FC1">
      <w:pPr>
        <w:spacing w:line="360" w:lineRule="auto"/>
        <w:jc w:val="center"/>
        <w:rPr>
          <w:rFonts w:ascii="Arial" w:eastAsia="PMingLiU" w:hAnsi="Arial" w:cs="Arial"/>
          <w:b/>
          <w:bCs/>
          <w:sz w:val="22"/>
          <w:szCs w:val="22"/>
          <w:lang w:eastAsia="zh-CN"/>
        </w:rPr>
      </w:pPr>
    </w:p>
    <w:p w14:paraId="6C018689" w14:textId="77777777" w:rsidR="00EE4FC1" w:rsidRPr="00EE4FC1" w:rsidRDefault="00EE4FC1" w:rsidP="00EE4FC1">
      <w:pPr>
        <w:spacing w:line="360" w:lineRule="auto"/>
        <w:jc w:val="center"/>
        <w:rPr>
          <w:rFonts w:ascii="Arial" w:eastAsia="PMingLiU" w:hAnsi="Arial" w:cs="Arial"/>
          <w:b/>
          <w:bCs/>
          <w:sz w:val="22"/>
          <w:szCs w:val="22"/>
          <w:lang w:eastAsia="zh-CN"/>
        </w:rPr>
      </w:pPr>
    </w:p>
    <w:p w14:paraId="11931621" w14:textId="77777777" w:rsidR="00EE4FC1" w:rsidRPr="00EE4FC1" w:rsidRDefault="00EE4FC1" w:rsidP="00EE4FC1">
      <w:pPr>
        <w:spacing w:line="360" w:lineRule="auto"/>
        <w:jc w:val="center"/>
        <w:rPr>
          <w:rFonts w:ascii="Arial" w:eastAsia="PMingLiU" w:hAnsi="Arial" w:cs="Arial"/>
          <w:b/>
          <w:bCs/>
          <w:sz w:val="22"/>
          <w:szCs w:val="22"/>
          <w:lang w:eastAsia="zh-CN"/>
        </w:rPr>
      </w:pPr>
    </w:p>
    <w:p w14:paraId="52C4BA17" w14:textId="77777777" w:rsidR="00EE4FC1" w:rsidRPr="00EE4FC1" w:rsidRDefault="00EE4FC1" w:rsidP="00EE4FC1">
      <w:pPr>
        <w:spacing w:line="360" w:lineRule="auto"/>
        <w:jc w:val="center"/>
        <w:rPr>
          <w:rFonts w:ascii="Arial" w:eastAsia="PMingLiU" w:hAnsi="Arial" w:cs="Arial"/>
          <w:b/>
          <w:bCs/>
          <w:sz w:val="22"/>
          <w:szCs w:val="22"/>
          <w:lang w:eastAsia="zh-CN"/>
        </w:rPr>
      </w:pPr>
    </w:p>
    <w:p w14:paraId="6023F6D8" w14:textId="77777777" w:rsidR="00EE4FC1" w:rsidRPr="00EE4FC1" w:rsidRDefault="00EE4FC1" w:rsidP="00EE4FC1">
      <w:pPr>
        <w:spacing w:line="360" w:lineRule="auto"/>
        <w:jc w:val="center"/>
        <w:rPr>
          <w:rFonts w:ascii="Arial" w:eastAsia="PMingLiU" w:hAnsi="Arial" w:cs="Arial"/>
          <w:b/>
          <w:bCs/>
          <w:sz w:val="22"/>
          <w:szCs w:val="22"/>
          <w:lang w:eastAsia="zh-CN"/>
        </w:rPr>
      </w:pPr>
    </w:p>
    <w:p w14:paraId="5EC1AB49" w14:textId="77777777" w:rsidR="00EE4FC1" w:rsidRPr="00EE4FC1" w:rsidRDefault="00EE4FC1" w:rsidP="00EE4FC1">
      <w:pPr>
        <w:keepNext/>
        <w:keepLines/>
        <w:spacing w:before="360" w:after="80" w:line="360" w:lineRule="auto"/>
        <w:jc w:val="center"/>
        <w:outlineLvl w:val="0"/>
        <w:rPr>
          <w:rFonts w:ascii="Arial" w:eastAsia="PMingLiU" w:hAnsi="Arial" w:cs="Arial"/>
          <w:b/>
          <w:bCs/>
          <w:sz w:val="22"/>
          <w:szCs w:val="22"/>
          <w:lang w:eastAsia="zh-CN"/>
        </w:rPr>
      </w:pPr>
      <w:bookmarkStart w:id="15" w:name="_Toc241618946"/>
      <w:r w:rsidRPr="00EE4FC1">
        <w:rPr>
          <w:rFonts w:ascii="Arial" w:eastAsia="PMingLiU" w:hAnsi="Arial" w:cs="Arial"/>
          <w:b/>
          <w:bCs/>
          <w:sz w:val="22"/>
          <w:szCs w:val="22"/>
          <w:lang w:eastAsia="zh-CN"/>
        </w:rPr>
        <w:lastRenderedPageBreak/>
        <w:t>CHAPTER ONE</w:t>
      </w:r>
      <w:bookmarkEnd w:id="15"/>
    </w:p>
    <w:p w14:paraId="46D50229" w14:textId="77777777" w:rsidR="00EE4FC1" w:rsidRPr="00EE4FC1" w:rsidRDefault="00EE4FC1" w:rsidP="00EE4FC1">
      <w:pPr>
        <w:keepNext/>
        <w:keepLines/>
        <w:spacing w:before="360" w:after="80" w:line="360" w:lineRule="auto"/>
        <w:jc w:val="center"/>
        <w:outlineLvl w:val="0"/>
        <w:rPr>
          <w:rFonts w:ascii="Arial" w:eastAsia="PMingLiU" w:hAnsi="Arial" w:cs="Arial"/>
          <w:b/>
          <w:bCs/>
          <w:sz w:val="22"/>
          <w:szCs w:val="22"/>
          <w:lang w:eastAsia="zh-CN"/>
        </w:rPr>
      </w:pPr>
      <w:bookmarkStart w:id="16" w:name="_Toc241618947"/>
      <w:r w:rsidRPr="00EE4FC1">
        <w:rPr>
          <w:rFonts w:ascii="Arial" w:eastAsia="PMingLiU" w:hAnsi="Arial" w:cs="Arial"/>
          <w:b/>
          <w:bCs/>
          <w:sz w:val="22"/>
          <w:szCs w:val="22"/>
          <w:lang w:eastAsia="zh-CN"/>
        </w:rPr>
        <w:t>INTRODUCTION</w:t>
      </w:r>
      <w:bookmarkEnd w:id="0"/>
      <w:bookmarkEnd w:id="16"/>
    </w:p>
    <w:p w14:paraId="74C0B549" w14:textId="77777777" w:rsidR="00EE4FC1" w:rsidRPr="00EE4FC1" w:rsidRDefault="00EE4FC1" w:rsidP="00EE4FC1">
      <w:pPr>
        <w:numPr>
          <w:ilvl w:val="1"/>
          <w:numId w:val="1"/>
        </w:numPr>
        <w:spacing w:after="0" w:line="360" w:lineRule="auto"/>
        <w:contextualSpacing/>
        <w:outlineLvl w:val="1"/>
        <w:rPr>
          <w:rFonts w:ascii="Arial" w:eastAsia="PMingLiU" w:hAnsi="Arial" w:cs="Arial"/>
          <w:b/>
          <w:bCs/>
          <w:sz w:val="22"/>
          <w:szCs w:val="22"/>
          <w:lang w:eastAsia="zh-CN"/>
        </w:rPr>
      </w:pPr>
      <w:bookmarkStart w:id="17" w:name="_Toc12217"/>
      <w:bookmarkStart w:id="18" w:name="_Toc241618948"/>
      <w:r w:rsidRPr="00EE4FC1">
        <w:rPr>
          <w:rFonts w:ascii="Arial" w:eastAsia="PMingLiU" w:hAnsi="Arial" w:cs="Arial"/>
          <w:b/>
          <w:bCs/>
          <w:sz w:val="22"/>
          <w:szCs w:val="22"/>
          <w:lang w:eastAsia="zh-CN"/>
        </w:rPr>
        <w:t>Background of the Study</w:t>
      </w:r>
      <w:bookmarkEnd w:id="18"/>
    </w:p>
    <w:p w14:paraId="1FF79BEC"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The rapid advancement of digital technologies has transformed healthcare delivery systems worldwide, driving the adoption of telemedicine as an alternative to face-to-face consultation (Salman et al., 2024). Telemedicine is generally defined as the use of information and communication technologies to enable remote assessment, diagnosis, monitoring, and management of patients (NHS England, 2025). Kruse et al. (2017) argue that telemedicine improves access, convenience, and service efficiency; however, much of the evidence underpinning this claim predates the COVID-19 pandemic and reflects a period when telemedicine was used selectively rather than as a default model of care. Whether these early findings still hold under the scale and normalisation of remote consultation seen in contemporary UK primary care is not something Kruse et al. (2017)'s review can speak to directly, which is part of the rationale for re-examining satisfaction evidence in a post-pandemic context.</w:t>
      </w:r>
    </w:p>
    <w:p w14:paraId="79255D82"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The COVID-19 pandemic accelerated telemedicine adoption considerably, as healthcare systems restricted physical contact to limit transmission while attempting to sustain continuity of care (Smith et al., 2020). Murphy et al. (2021) describe remote consulting as having rapidly become the default model within UK primary care during this period. This shift was driven primarily by infection control necessity rather than by evidence of patient preference or superior outcomes, which raises a question the early pandemic literature does not resolve: whether the rapid, compulsory uptake of telemedicine reflects genuine patient acceptance or simply the absence of alternatives at the time (Nittari et al., 2022).</w:t>
      </w:r>
    </w:p>
    <w:p w14:paraId="29814DF2"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In the UK specifically, the NHS actively expanded digital and remote consultation systems across general practice, framing this as a means of improving access, efficiency, and patient-centred care (NHS England, 2023). Salisbury et al. (2020) similarly position digital-first consultation models as a response to rising demand and constrained primary care capacity. These accounts are broadly consistent with one another, but they are largely policy- and provider-oriented; they describe why telemedicine was expanded rather than whether patients experienced the resulting services positively (Garcia-Huidobro et al., 2020). This distinction matters, since operational efficiency for a practice does not necessarily correspond to satisfaction for the patient receiving care.</w:t>
      </w:r>
    </w:p>
    <w:p w14:paraId="60981135"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Since pandemic restrictions have been lifted, telemedicine has continued to be used in primary care in the UK. NHS England's GP Patient Survey (2024) also reveals that 28.9% of patients' </w:t>
      </w:r>
      <w:r w:rsidRPr="00EE4FC1">
        <w:rPr>
          <w:rFonts w:ascii="Arial" w:eastAsia="PMingLiU" w:hAnsi="Arial" w:cs="Arial"/>
          <w:sz w:val="22"/>
          <w:szCs w:val="22"/>
          <w:lang w:eastAsia="zh-CN"/>
        </w:rPr>
        <w:lastRenderedPageBreak/>
        <w:t>latest appointments took place over the telephone, while smaller numbers used online messaging (3.0%) and video consultation (2.1%) and contacted practices through online platforms (11.1%) or the NHS App (3.9%). These numbers suggest that telemedicine is now an integral part of the healthcare system instead of just a last-resort option. Use statistics, however, are not the only indicator of satisfaction with the use of these services or whether there have been limited availability of alternatives; the present review aims to fill this gap.</w:t>
      </w:r>
    </w:p>
    <w:p w14:paraId="44D9055B"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The literature is more divided on the benefits and limitations of telemedicine than the policy narrative above might suggest. Kruse et al. (2017) and Ilali et al. (2023) both reported improved accessibility, reduced travel burden, and lower cost, with Ilali et al. (2023) emphasising particular value for older adults with mobility limitations or chronic conditions. Yet this apparent consensus on accessibility coexists with consistent evidence of unequal benefit, Ilali et al. (2023) also note that older adults face barriers from limited digital skills, sensory impairment, and inconsistent device or internet access, meaning the same population identified as benefiting most from telemedicine is also the one most likely to be excluded from it. This tension is rarely reconciled within the individual studies that report it, suggesting that accessibility gains and digital exclusion need to be evaluated together rather than as separate findings (Mills et al., 2020).</w:t>
      </w:r>
    </w:p>
    <w:p w14:paraId="54AF4B80"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Patient satisfaction is a key indicator of healthcare quality, shaping treatment adherence, continuity of care, and health outcomes (Mason, 2022). Alashek and Ali (2024) found that satisfaction during the pandemic was generally positive but varied considerably across population groups and clinical contexts, a finding that is difficult to interpret precisely because "satisfaction" is measured inconsistently across the literature, sometimes as a single global rating and sometimes as a composite of communication quality, convenience, and clinical confidence. This inconsistency limits direct comparison between studies and makes it difficult to determine whether reported variation reflects genuine differences in patient experience or differences in how satisfaction was operationalised.</w:t>
      </w:r>
    </w:p>
    <w:p w14:paraId="63F0465D"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Clinical opinion adds a further layer of disagreement. Murphy et al. (2021) report that healthcare professionals questioned the suitability of remote consultation for certain patient groups and clinical presentations, while patients themselves are divided: some value the convenience and flexibility of telemedicine, while others prefer face-to-face contact for reasons related to communication and relationship-building. The literature therefore does not converge on a single view of telemedicine's acceptability; instead, it suggests that satisfaction is context-dependent in ways that have not been systematically mapped for UK primary care specifically.</w:t>
      </w:r>
    </w:p>
    <w:p w14:paraId="13C847F6"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Evidence establishes that telemedicine is now embedded in UK primary care and that it carries both benefits and risks of exclusion, but it does not offer a coherent, UK-specific account of </w:t>
      </w:r>
      <w:r w:rsidRPr="00EE4FC1">
        <w:rPr>
          <w:rFonts w:ascii="Arial" w:eastAsia="PMingLiU" w:hAnsi="Arial" w:cs="Arial"/>
          <w:sz w:val="22"/>
          <w:szCs w:val="22"/>
          <w:lang w:eastAsia="zh-CN"/>
        </w:rPr>
        <w:lastRenderedPageBreak/>
        <w:t>adult patient satisfaction that accounts for these tensions, between accessibility and exclusion, between provider rationale and patient experience, and between inconsistent satisfaction measures across studies. Much of the most-cited literature is also either pre-pandemic, drawn from non-UK health systems, or focused on clinician rather than patient perspectives, limiting its direct applicability to the current UK context. A systematic review that critically synthesises this fragmented evidence is therefore needed to clarify what is known, where the evidence conflicts, and what remains unresolved regarding patient satisfaction with telemedicine in UK primary care.</w:t>
      </w:r>
    </w:p>
    <w:p w14:paraId="376F85AA" w14:textId="5AA0867C" w:rsidR="00EE4FC1" w:rsidRPr="009E69CA" w:rsidRDefault="00EE4FC1" w:rsidP="009E69CA">
      <w:pPr>
        <w:spacing w:before="100" w:beforeAutospacing="1" w:after="100" w:afterAutospacing="1" w:line="360" w:lineRule="auto"/>
        <w:jc w:val="both"/>
        <w:outlineLvl w:val="1"/>
        <w:rPr>
          <w:rFonts w:ascii="Arial" w:eastAsia="Times New Roman" w:hAnsi="Arial" w:cs="Arial"/>
          <w:kern w:val="0"/>
          <w:sz w:val="22"/>
          <w:szCs w:val="22"/>
          <w:lang w:eastAsia="en-GB"/>
        </w:rPr>
      </w:pPr>
      <w:bookmarkStart w:id="19" w:name="_Toc241618949"/>
      <w:r w:rsidRPr="00EE4FC1">
        <w:rPr>
          <w:rFonts w:ascii="Arial" w:eastAsia="Times New Roman" w:hAnsi="Arial" w:cs="Arial"/>
          <w:b/>
          <w:bCs/>
          <w:kern w:val="0"/>
          <w:sz w:val="22"/>
          <w:szCs w:val="22"/>
          <w:lang w:eastAsia="en-GB"/>
        </w:rPr>
        <w:t>1.2 Problem Statement</w:t>
      </w:r>
      <w:r w:rsidR="009E69CA">
        <w:rPr>
          <w:rFonts w:ascii="Arial" w:eastAsia="Times New Roman" w:hAnsi="Arial" w:cs="Arial"/>
          <w:kern w:val="0"/>
          <w:sz w:val="22"/>
          <w:szCs w:val="22"/>
          <w:lang w:eastAsia="en-GB"/>
        </w:rPr>
        <w:tab/>
      </w:r>
      <w:r w:rsidR="009E69CA">
        <w:rPr>
          <w:rFonts w:ascii="Arial" w:eastAsia="Times New Roman" w:hAnsi="Arial" w:cs="Arial"/>
          <w:kern w:val="0"/>
          <w:sz w:val="22"/>
          <w:szCs w:val="22"/>
          <w:lang w:eastAsia="en-GB"/>
        </w:rPr>
        <w:tab/>
      </w:r>
      <w:r w:rsidR="009E69CA">
        <w:rPr>
          <w:rFonts w:ascii="Arial" w:eastAsia="Times New Roman" w:hAnsi="Arial" w:cs="Arial"/>
          <w:kern w:val="0"/>
          <w:sz w:val="22"/>
          <w:szCs w:val="22"/>
          <w:lang w:eastAsia="en-GB"/>
        </w:rPr>
        <w:tab/>
      </w:r>
      <w:r w:rsidR="009E69CA">
        <w:rPr>
          <w:rFonts w:ascii="Arial" w:eastAsia="Times New Roman" w:hAnsi="Arial" w:cs="Arial"/>
          <w:kern w:val="0"/>
          <w:sz w:val="22"/>
          <w:szCs w:val="22"/>
          <w:lang w:eastAsia="en-GB"/>
        </w:rPr>
        <w:tab/>
      </w:r>
      <w:r w:rsidR="009E69CA">
        <w:rPr>
          <w:rFonts w:ascii="Arial" w:eastAsia="Times New Roman" w:hAnsi="Arial" w:cs="Arial"/>
          <w:kern w:val="0"/>
          <w:sz w:val="22"/>
          <w:szCs w:val="22"/>
          <w:lang w:eastAsia="en-GB"/>
        </w:rPr>
        <w:tab/>
      </w:r>
      <w:r w:rsidR="009E69CA">
        <w:rPr>
          <w:rFonts w:ascii="Arial" w:eastAsia="Times New Roman" w:hAnsi="Arial" w:cs="Arial"/>
          <w:kern w:val="0"/>
          <w:sz w:val="22"/>
          <w:szCs w:val="22"/>
          <w:lang w:eastAsia="en-GB"/>
        </w:rPr>
        <w:tab/>
      </w:r>
      <w:r w:rsidR="009E69CA">
        <w:rPr>
          <w:rFonts w:ascii="Arial" w:eastAsia="Times New Roman" w:hAnsi="Arial" w:cs="Arial"/>
          <w:kern w:val="0"/>
          <w:sz w:val="22"/>
          <w:szCs w:val="22"/>
          <w:lang w:eastAsia="en-GB"/>
        </w:rPr>
        <w:tab/>
      </w:r>
      <w:r w:rsidR="009E69CA">
        <w:rPr>
          <w:rFonts w:ascii="Arial" w:eastAsia="Times New Roman" w:hAnsi="Arial" w:cs="Arial"/>
          <w:kern w:val="0"/>
          <w:sz w:val="22"/>
          <w:szCs w:val="22"/>
          <w:lang w:eastAsia="en-GB"/>
        </w:rPr>
        <w:tab/>
        <w:t xml:space="preserve">          </w:t>
      </w:r>
      <w:r w:rsidRPr="00EE4FC1">
        <w:rPr>
          <w:rFonts w:ascii="Arial" w:eastAsia="PMingLiU" w:hAnsi="Arial" w:cs="Arial"/>
          <w:sz w:val="22"/>
          <w:szCs w:val="22"/>
          <w:lang w:val="en-US" w:eastAsia="zh-CN"/>
        </w:rPr>
        <w:t xml:space="preserve">While telemedicine has now become an integral part of UK primary care, </w:t>
      </w:r>
      <w:r w:rsidR="00FA0317" w:rsidRPr="00FA0317">
        <w:rPr>
          <w:rFonts w:ascii="Arial" w:eastAsia="PMingLiU" w:hAnsi="Arial" w:cs="Arial"/>
          <w:sz w:val="22"/>
          <w:szCs w:val="22"/>
          <w:lang w:val="en-US" w:eastAsia="zh-CN"/>
        </w:rPr>
        <w:t>the evidence regarding its effectiveness in meeting patient needs remains limited</w:t>
      </w:r>
      <w:r w:rsidRPr="00EE4FC1">
        <w:rPr>
          <w:rFonts w:ascii="Arial" w:eastAsia="PMingLiU" w:hAnsi="Arial" w:cs="Arial"/>
          <w:sz w:val="22"/>
          <w:szCs w:val="22"/>
          <w:lang w:val="en-US" w:eastAsia="zh-CN"/>
        </w:rPr>
        <w:t xml:space="preserve">. Patient satisfaction is seen as a crucial measure of healthcare quality, influencing engagement, treatment adherence, health outcomes (Mason, 2022), and various studies have presented conflicting conclusions about patient satisfaction levels and reasons (McLean et al., 2016; Sohrabi et al., 2020; </w:t>
      </w:r>
      <w:r w:rsidRPr="00EE4FC1">
        <w:rPr>
          <w:rFonts w:ascii="Arial" w:eastAsia="PMingLiU" w:hAnsi="Arial" w:cs="Arial"/>
          <w:sz w:val="22"/>
          <w:szCs w:val="22"/>
          <w:lang w:eastAsia="zh-CN"/>
        </w:rPr>
        <w:t>Stoll, Sadler and Trachsel, 2020</w:t>
      </w:r>
      <w:r w:rsidRPr="00EE4FC1">
        <w:rPr>
          <w:rFonts w:ascii="Arial" w:eastAsia="PMingLiU" w:hAnsi="Arial" w:cs="Arial"/>
          <w:sz w:val="22"/>
          <w:szCs w:val="22"/>
          <w:lang w:val="en-US" w:eastAsia="zh-CN"/>
        </w:rPr>
        <w:t xml:space="preserve">; Benis et al., 2021). </w:t>
      </w:r>
      <w:r w:rsidR="00FA0317" w:rsidRPr="00FA0317">
        <w:rPr>
          <w:rFonts w:ascii="Arial" w:eastAsia="PMingLiU" w:hAnsi="Arial" w:cs="Arial"/>
          <w:sz w:val="22"/>
          <w:szCs w:val="22"/>
          <w:lang w:val="en-US" w:eastAsia="zh-CN"/>
        </w:rPr>
        <w:t>The available evidence suggests that telemedicine is associated with broadly positive patient experiences</w:t>
      </w:r>
      <w:r w:rsidRPr="00EE4FC1">
        <w:rPr>
          <w:rFonts w:ascii="Arial" w:eastAsia="PMingLiU" w:hAnsi="Arial" w:cs="Arial"/>
          <w:sz w:val="22"/>
          <w:szCs w:val="22"/>
          <w:lang w:val="en-US" w:eastAsia="zh-CN"/>
        </w:rPr>
        <w:t>, albeit again, largely from pre-pandemic (non-UK) studies and opt-in consultations, which are no longer the norm for the use of telemedicine in UK general practice. This positive relationship remains to be seen in the current context where it is becoming commonplace to have a consultation remote rather than face-to-face.</w:t>
      </w:r>
      <w:bookmarkEnd w:id="19"/>
    </w:p>
    <w:p w14:paraId="4C679DEE" w14:textId="6D426A96"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This picture is made even murkier by more recent, UK-specific evidence. Lifford et al. (2023) noted that satisfaction with remote consultations was found to vary based on the type of consultation and communication effectiveness among UK adults, and Alashek and Ali (2024) reported mixed results on satisfaction before and after the pandemic. It is unclear if these inconsistencies are due to real differences in patient experience, due to differences in measurement and reporting of "satisfaction", or due to differences between telephone and video modalities that have not been systematically compared. The additional complication posed by Ilali et al. (2023) is that there are specific barriers to digital literacy and access that exist for older adults, thus any overall satisfaction result could mask meaningful differences among population groups.</w:t>
      </w:r>
    </w:p>
    <w:p w14:paraId="3E227EC4" w14:textId="77777777" w:rsidR="00EE4FC1" w:rsidRPr="00EE4FC1" w:rsidRDefault="00EE4FC1" w:rsidP="00EE4FC1">
      <w:pPr>
        <w:keepNext/>
        <w:keepLines/>
        <w:spacing w:before="160" w:after="80" w:line="360" w:lineRule="auto"/>
        <w:outlineLvl w:val="1"/>
        <w:rPr>
          <w:rFonts w:ascii="Arial" w:eastAsia="PMingLiU" w:hAnsi="Arial" w:cs="Arial"/>
          <w:sz w:val="22"/>
          <w:szCs w:val="22"/>
          <w:lang w:eastAsia="zh-CN"/>
        </w:rPr>
      </w:pPr>
      <w:bookmarkStart w:id="20" w:name="_Toc241618950"/>
      <w:r w:rsidRPr="00EE4FC1">
        <w:rPr>
          <w:rFonts w:ascii="Arial" w:eastAsia="PMingLiU" w:hAnsi="Arial" w:cs="Arial"/>
          <w:b/>
          <w:bCs/>
          <w:sz w:val="22"/>
          <w:szCs w:val="22"/>
          <w:lang w:eastAsia="zh-CN"/>
        </w:rPr>
        <w:t>1.3 Scope of the Study</w:t>
      </w:r>
      <w:bookmarkEnd w:id="20"/>
    </w:p>
    <w:p w14:paraId="4C65EDBC" w14:textId="280C4541"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This study focuses on evaluating patient satisfaction with telemedicine services among adult patients within United Kingdom (UK) primary care settings. The review is limited to studies conducted in the UK, including England, Scotland, Wales, and Northern Ireland, to ensure relevance to the NHS healthcare context. The population of interest comprises adults aged 18 </w:t>
      </w:r>
      <w:r w:rsidRPr="00EE4FC1">
        <w:rPr>
          <w:rFonts w:ascii="Arial" w:eastAsia="PMingLiU" w:hAnsi="Arial" w:cs="Arial"/>
          <w:sz w:val="22"/>
          <w:szCs w:val="22"/>
          <w:lang w:val="en-US" w:eastAsia="zh-CN"/>
        </w:rPr>
        <w:lastRenderedPageBreak/>
        <w:t>years and above who have utilised telemedicine services, including telephone, video, and online consultations, within primary care environments such as general practice and family medicine services. The review considers peer-reviewed qualitative, quantitative, and mixed</w:t>
      </w:r>
      <w:r w:rsidR="00FA0317">
        <w:rPr>
          <w:rFonts w:ascii="Arial" w:eastAsia="PMingLiU" w:hAnsi="Arial" w:cs="Arial"/>
          <w:sz w:val="22"/>
          <w:szCs w:val="22"/>
          <w:lang w:val="en-US" w:eastAsia="zh-CN"/>
        </w:rPr>
        <w:t>-</w:t>
      </w:r>
      <w:r w:rsidRPr="00EE4FC1">
        <w:rPr>
          <w:rFonts w:ascii="Arial" w:eastAsia="PMingLiU" w:hAnsi="Arial" w:cs="Arial"/>
          <w:sz w:val="22"/>
          <w:szCs w:val="22"/>
          <w:lang w:val="en-US" w:eastAsia="zh-CN"/>
        </w:rPr>
        <w:t>methods studies published in English between 2016 and 2026. Studies conducted in secondary or tertiary healthcare settings, involving participants below 18 years of age, focusing solely on healthcare professionals, or published outside the UK are excluded from the review.</w:t>
      </w:r>
    </w:p>
    <w:p w14:paraId="7D5E188A"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eastAsia="zh-CN"/>
        </w:rPr>
      </w:pPr>
      <w:bookmarkStart w:id="21" w:name="_Toc241618951"/>
      <w:r w:rsidRPr="00EE4FC1">
        <w:rPr>
          <w:rFonts w:ascii="Arial" w:eastAsia="PMingLiU" w:hAnsi="Arial" w:cs="Arial"/>
          <w:b/>
          <w:bCs/>
          <w:sz w:val="22"/>
          <w:szCs w:val="22"/>
          <w:lang w:eastAsia="zh-CN"/>
        </w:rPr>
        <w:t>1.4 Research Aim and Objectives</w:t>
      </w:r>
      <w:bookmarkEnd w:id="21"/>
      <w:r w:rsidRPr="00EE4FC1">
        <w:rPr>
          <w:rFonts w:ascii="Arial" w:eastAsia="PMingLiU" w:hAnsi="Arial" w:cs="Arial"/>
          <w:b/>
          <w:bCs/>
          <w:sz w:val="22"/>
          <w:szCs w:val="22"/>
          <w:lang w:eastAsia="zh-CN"/>
        </w:rPr>
        <w:t xml:space="preserve"> </w:t>
      </w:r>
    </w:p>
    <w:p w14:paraId="1DE05EC5" w14:textId="77777777" w:rsidR="00EE4FC1" w:rsidRPr="00EE4FC1" w:rsidRDefault="00EE4FC1" w:rsidP="00EE4FC1">
      <w:pPr>
        <w:keepNext/>
        <w:keepLines/>
        <w:spacing w:before="160" w:after="80" w:line="360" w:lineRule="auto"/>
        <w:outlineLvl w:val="2"/>
        <w:rPr>
          <w:rFonts w:ascii="Arial" w:eastAsia="PMingLiU" w:hAnsi="Arial" w:cs="Arial"/>
          <w:b/>
          <w:bCs/>
          <w:sz w:val="22"/>
          <w:szCs w:val="22"/>
          <w:lang w:eastAsia="zh-CN"/>
        </w:rPr>
      </w:pPr>
      <w:bookmarkStart w:id="22" w:name="_Hlk239241471"/>
      <w:bookmarkStart w:id="23" w:name="_Toc241618952"/>
      <w:r w:rsidRPr="00EE4FC1">
        <w:rPr>
          <w:rFonts w:ascii="Arial" w:eastAsia="PMingLiU" w:hAnsi="Arial" w:cs="Arial"/>
          <w:b/>
          <w:bCs/>
          <w:sz w:val="22"/>
          <w:szCs w:val="22"/>
          <w:lang w:eastAsia="zh-CN"/>
        </w:rPr>
        <w:t>1.4.1 Research Aim</w:t>
      </w:r>
      <w:bookmarkEnd w:id="23"/>
    </w:p>
    <w:p w14:paraId="43A06FFA"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The aim of this study is to evaluate patient satisfaction with telemedicine services among adult patients in UK primary care and to identify factors influencing patient experiences and highlight gaps in the existing literature.</w:t>
      </w:r>
    </w:p>
    <w:p w14:paraId="7CF49D70" w14:textId="77777777" w:rsidR="00EE4FC1" w:rsidRPr="00EE4FC1" w:rsidRDefault="00EE4FC1" w:rsidP="00EE4FC1">
      <w:pPr>
        <w:keepNext/>
        <w:keepLines/>
        <w:spacing w:before="160" w:after="80" w:line="360" w:lineRule="auto"/>
        <w:outlineLvl w:val="2"/>
        <w:rPr>
          <w:rFonts w:ascii="Arial" w:eastAsia="PMingLiU" w:hAnsi="Arial" w:cs="Arial"/>
          <w:b/>
          <w:bCs/>
          <w:sz w:val="22"/>
          <w:szCs w:val="22"/>
          <w:lang w:eastAsia="zh-CN"/>
        </w:rPr>
      </w:pPr>
      <w:bookmarkStart w:id="24" w:name="_Toc241618953"/>
      <w:r w:rsidRPr="00EE4FC1">
        <w:rPr>
          <w:rFonts w:ascii="Arial" w:eastAsia="PMingLiU" w:hAnsi="Arial" w:cs="Arial"/>
          <w:b/>
          <w:bCs/>
          <w:sz w:val="22"/>
          <w:szCs w:val="22"/>
          <w:lang w:eastAsia="zh-CN"/>
        </w:rPr>
        <w:t>1.4.2 Research Objectives</w:t>
      </w:r>
      <w:bookmarkEnd w:id="24"/>
      <w:r w:rsidRPr="00EE4FC1">
        <w:rPr>
          <w:rFonts w:ascii="Arial" w:eastAsia="PMingLiU" w:hAnsi="Arial" w:cs="Arial"/>
          <w:b/>
          <w:bCs/>
          <w:sz w:val="22"/>
          <w:szCs w:val="22"/>
          <w:lang w:eastAsia="zh-CN"/>
        </w:rPr>
        <w:t xml:space="preserve"> </w:t>
      </w:r>
    </w:p>
    <w:bookmarkEnd w:id="22"/>
    <w:p w14:paraId="4F48C6CD"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The specific objectives of this study are:</w:t>
      </w:r>
    </w:p>
    <w:p w14:paraId="35FF7CB7" w14:textId="77777777" w:rsidR="00EE4FC1" w:rsidRPr="00EE4FC1" w:rsidRDefault="00EE4FC1" w:rsidP="00EE4FC1">
      <w:pPr>
        <w:numPr>
          <w:ilvl w:val="0"/>
          <w:numId w:val="2"/>
        </w:numPr>
        <w:spacing w:line="480" w:lineRule="auto"/>
        <w:contextualSpacing/>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To identify and critically appraise UK studies examining patient satisfaction with telemedicine in primary care.</w:t>
      </w:r>
    </w:p>
    <w:p w14:paraId="256054F2" w14:textId="3A59669B" w:rsidR="00EE4FC1" w:rsidRPr="00EE4FC1" w:rsidRDefault="00EE4FC1" w:rsidP="00EE4FC1">
      <w:pPr>
        <w:numPr>
          <w:ilvl w:val="0"/>
          <w:numId w:val="2"/>
        </w:numPr>
        <w:spacing w:line="480" w:lineRule="auto"/>
        <w:contextualSpacing/>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To determine </w:t>
      </w:r>
      <w:r w:rsidR="00FA0317">
        <w:rPr>
          <w:rFonts w:ascii="Arial" w:eastAsia="PMingLiU" w:hAnsi="Arial" w:cs="Arial"/>
          <w:sz w:val="22"/>
          <w:szCs w:val="22"/>
          <w:lang w:val="en-US" w:eastAsia="zh-CN"/>
        </w:rPr>
        <w:t xml:space="preserve">the </w:t>
      </w:r>
      <w:r w:rsidRPr="00EE4FC1">
        <w:rPr>
          <w:rFonts w:ascii="Arial" w:eastAsia="PMingLiU" w:hAnsi="Arial" w:cs="Arial"/>
          <w:sz w:val="22"/>
          <w:szCs w:val="22"/>
          <w:lang w:val="en-US" w:eastAsia="zh-CN"/>
        </w:rPr>
        <w:t>reported levels of perceived quality of telemedicine use in primary care</w:t>
      </w:r>
      <w:r w:rsidR="00BA6E96">
        <w:rPr>
          <w:rFonts w:ascii="Arial" w:eastAsia="PMingLiU" w:hAnsi="Arial" w:cs="Arial"/>
          <w:sz w:val="22"/>
          <w:szCs w:val="22"/>
          <w:lang w:val="en-US" w:eastAsia="zh-CN"/>
        </w:rPr>
        <w:t>.</w:t>
      </w:r>
    </w:p>
    <w:p w14:paraId="7BA780EE" w14:textId="77777777" w:rsidR="00EE4FC1" w:rsidRPr="00EE4FC1" w:rsidRDefault="00EE4FC1" w:rsidP="00EE4FC1">
      <w:pPr>
        <w:numPr>
          <w:ilvl w:val="0"/>
          <w:numId w:val="2"/>
        </w:numPr>
        <w:spacing w:line="480" w:lineRule="auto"/>
        <w:contextualSpacing/>
        <w:jc w:val="both"/>
        <w:rPr>
          <w:rFonts w:ascii="Arial" w:eastAsia="PMingLiU" w:hAnsi="Arial" w:cs="Arial"/>
          <w:sz w:val="22"/>
          <w:szCs w:val="22"/>
          <w:lang w:val="en-US" w:eastAsia="zh-CN"/>
        </w:rPr>
      </w:pPr>
      <w:proofErr w:type="gramStart"/>
      <w:r w:rsidRPr="00EE4FC1">
        <w:rPr>
          <w:rFonts w:ascii="Arial" w:eastAsia="PMingLiU" w:hAnsi="Arial" w:cs="Arial"/>
          <w:sz w:val="22"/>
          <w:szCs w:val="22"/>
          <w:lang w:val="en-US" w:eastAsia="zh-CN"/>
        </w:rPr>
        <w:t>To compare</w:t>
      </w:r>
      <w:proofErr w:type="gramEnd"/>
      <w:r w:rsidRPr="00EE4FC1">
        <w:rPr>
          <w:rFonts w:ascii="Arial" w:eastAsia="PMingLiU" w:hAnsi="Arial" w:cs="Arial"/>
          <w:sz w:val="22"/>
          <w:szCs w:val="22"/>
          <w:lang w:val="en-US" w:eastAsia="zh-CN"/>
        </w:rPr>
        <w:t xml:space="preserve"> adult patients' satisfaction and perceived quality between telephone and</w:t>
      </w:r>
      <w:r w:rsidRPr="00EE4FC1">
        <w:rPr>
          <w:rFonts w:ascii="Arial" w:eastAsia="PMingLiU" w:hAnsi="Arial" w:cs="Arial"/>
          <w:sz w:val="22"/>
          <w:szCs w:val="22"/>
          <w:lang w:val="en-US" w:eastAsia="zh-CN"/>
        </w:rPr>
        <w:br/>
        <w:t>video consultations where comparative evidence is available.</w:t>
      </w:r>
    </w:p>
    <w:p w14:paraId="640A336E" w14:textId="77777777" w:rsidR="00EE4FC1" w:rsidRPr="00EE4FC1" w:rsidRDefault="00EE4FC1" w:rsidP="00EE4FC1">
      <w:pPr>
        <w:numPr>
          <w:ilvl w:val="0"/>
          <w:numId w:val="2"/>
        </w:numPr>
        <w:spacing w:line="480" w:lineRule="auto"/>
        <w:contextualSpacing/>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To identify literature gaps and offer recommendations for policy and practice.</w:t>
      </w:r>
    </w:p>
    <w:p w14:paraId="7663DE4C"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eastAsia="zh-CN"/>
        </w:rPr>
      </w:pPr>
      <w:bookmarkStart w:id="25" w:name="_Toc241618954"/>
      <w:r w:rsidRPr="00EE4FC1">
        <w:rPr>
          <w:rFonts w:ascii="Arial" w:eastAsia="PMingLiU" w:hAnsi="Arial" w:cs="Arial"/>
          <w:b/>
          <w:bCs/>
          <w:sz w:val="22"/>
          <w:szCs w:val="22"/>
          <w:lang w:eastAsia="zh-CN"/>
        </w:rPr>
        <w:t>1.5 Research Question</w:t>
      </w:r>
      <w:bookmarkEnd w:id="25"/>
    </w:p>
    <w:p w14:paraId="7053F38E"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1. What are the factors affecting adult patients' satisfaction with telemedicine consultations in UK primary care and how do patient satisfaction and perceived quality compare between telephone and video consultations?</w:t>
      </w:r>
    </w:p>
    <w:p w14:paraId="5FB388A4"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eastAsia="zh-CN"/>
        </w:rPr>
      </w:pPr>
      <w:bookmarkStart w:id="26" w:name="_Toc241618955"/>
      <w:r w:rsidRPr="00EE4FC1">
        <w:rPr>
          <w:rFonts w:ascii="Arial" w:eastAsia="PMingLiU" w:hAnsi="Arial" w:cs="Arial"/>
          <w:b/>
          <w:bCs/>
          <w:sz w:val="22"/>
          <w:szCs w:val="22"/>
          <w:lang w:eastAsia="zh-CN"/>
        </w:rPr>
        <w:t>1.6 Significance of the Study</w:t>
      </w:r>
      <w:bookmarkEnd w:id="26"/>
    </w:p>
    <w:p w14:paraId="058DF7BD"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The importance of this study is that it is a thorough review of the current evidence of the satisfaction of adult patients with telemedicine services in primary healthcare in the UK. However, with the use of telemedicine for health care delivery becoming more prevalent, it is critical to know the patient's experience in order to assess the quality, effectiveness, and acceptability of telehealth services. The results of this systematic review will add to the expanding knowledge base of telemedicine because they will help ascertain what factors may affect patient satisfaction and the perception of quality of care.</w:t>
      </w:r>
    </w:p>
    <w:p w14:paraId="3265C050"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lastRenderedPageBreak/>
        <w:t>The study is also relevant to healthcare policy makers, NHS decision makers and primary care practitioners as it will provide evidence to support the development and improvement of patient-centred telemedicine services. The review can help inform discussions on improving the accessibility, communication, and quality of services provided for telephone and video consultations.</w:t>
      </w:r>
    </w:p>
    <w:p w14:paraId="048F8ED0"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In addition, the study will provide input to public health practice regarding disparities in access to telemedicine and groups that may face challenges accessing telemedicine services. Lastly, gaps in the current literature will be highlighted and recommendations for future research made to continue the development of effective, equitable and sustainable telemedicine services in the UK healthcare system.</w:t>
      </w:r>
    </w:p>
    <w:p w14:paraId="12667B8F"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eastAsia="zh-CN"/>
        </w:rPr>
      </w:pPr>
      <w:bookmarkStart w:id="27" w:name="_Toc241618956"/>
      <w:r w:rsidRPr="00EE4FC1">
        <w:rPr>
          <w:rFonts w:ascii="Arial" w:eastAsia="PMingLiU" w:hAnsi="Arial" w:cs="Arial"/>
          <w:b/>
          <w:bCs/>
          <w:sz w:val="22"/>
          <w:szCs w:val="22"/>
          <w:lang w:eastAsia="zh-CN"/>
        </w:rPr>
        <w:t>1.7 Dissertation Structure</w:t>
      </w:r>
      <w:bookmarkEnd w:id="27"/>
    </w:p>
    <w:p w14:paraId="009EE70F"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The dissertation has been logically structured into six chapters. The study is presented in the introduction of Chapter One, which includes the background of the study on telemedicine in primary care of the United Kingdom, the problem statement, purpose of the study, objectives, research question, scope and significance of the study. Chapter Two summarises the related literature pertaining to telemedicine, patient satisfaction, factors that influence patient satisfaction and the theories used to support the study. The methodology used in the systematic review is described in Chapter Three, and covers the design of the systematic review, search strategy, selection of studies, inclusion and exclusion criteria, quality appraisal, and data synthesis. The results of the systematic review are reported in Chapter Four and the themes are reported from the selected studies. The results of the study are discussed in terms of existing literature and their implications for healthcare practice and policy in Chapter Five. Finally, Chapter Six offers the study's conclusions, recommendations, limitations and suggestions for further studies.</w:t>
      </w:r>
    </w:p>
    <w:p w14:paraId="6B12D036" w14:textId="77777777" w:rsidR="00EE4FC1" w:rsidRDefault="00EE4FC1" w:rsidP="00EE4FC1">
      <w:pPr>
        <w:spacing w:line="360" w:lineRule="auto"/>
        <w:jc w:val="both"/>
        <w:rPr>
          <w:rFonts w:ascii="Arial" w:eastAsia="PMingLiU" w:hAnsi="Arial" w:cs="Arial"/>
          <w:sz w:val="22"/>
          <w:szCs w:val="22"/>
          <w:lang w:eastAsia="zh-CN"/>
        </w:rPr>
      </w:pPr>
    </w:p>
    <w:p w14:paraId="78F2CBF3" w14:textId="77777777" w:rsidR="009E69CA" w:rsidRDefault="009E69CA" w:rsidP="00EE4FC1">
      <w:pPr>
        <w:spacing w:line="360" w:lineRule="auto"/>
        <w:jc w:val="both"/>
        <w:rPr>
          <w:rFonts w:ascii="Arial" w:eastAsia="PMingLiU" w:hAnsi="Arial" w:cs="Arial"/>
          <w:sz w:val="22"/>
          <w:szCs w:val="22"/>
          <w:lang w:eastAsia="zh-CN"/>
        </w:rPr>
      </w:pPr>
    </w:p>
    <w:p w14:paraId="7A9D4477" w14:textId="77777777" w:rsidR="009E69CA" w:rsidRPr="00EE4FC1" w:rsidRDefault="009E69CA" w:rsidP="00EE4FC1">
      <w:pPr>
        <w:spacing w:line="360" w:lineRule="auto"/>
        <w:jc w:val="both"/>
        <w:rPr>
          <w:rFonts w:ascii="Arial" w:eastAsia="PMingLiU" w:hAnsi="Arial" w:cs="Arial"/>
          <w:sz w:val="22"/>
          <w:szCs w:val="22"/>
          <w:lang w:eastAsia="zh-CN"/>
        </w:rPr>
      </w:pPr>
    </w:p>
    <w:p w14:paraId="4BCA9670" w14:textId="77777777" w:rsidR="00EE4FC1" w:rsidRPr="00EE4FC1" w:rsidRDefault="00EE4FC1" w:rsidP="00EE4FC1">
      <w:pPr>
        <w:spacing w:line="360" w:lineRule="auto"/>
        <w:jc w:val="both"/>
        <w:rPr>
          <w:rFonts w:ascii="Arial" w:eastAsia="PMingLiU" w:hAnsi="Arial" w:cs="Arial"/>
          <w:sz w:val="22"/>
          <w:szCs w:val="22"/>
          <w:lang w:eastAsia="zh-CN"/>
        </w:rPr>
      </w:pPr>
    </w:p>
    <w:p w14:paraId="35FA1E6E" w14:textId="77777777" w:rsidR="00EE4FC1" w:rsidRPr="00EE4FC1" w:rsidRDefault="00EE4FC1" w:rsidP="00EE4FC1">
      <w:pPr>
        <w:keepNext/>
        <w:keepLines/>
        <w:spacing w:before="360" w:after="80" w:line="360" w:lineRule="auto"/>
        <w:jc w:val="center"/>
        <w:outlineLvl w:val="0"/>
        <w:rPr>
          <w:rFonts w:ascii="Arial" w:eastAsia="PMingLiU" w:hAnsi="Arial" w:cs="Arial"/>
          <w:b/>
          <w:bCs/>
          <w:sz w:val="22"/>
          <w:szCs w:val="22"/>
          <w:lang w:eastAsia="zh-CN"/>
        </w:rPr>
      </w:pPr>
      <w:bookmarkStart w:id="28" w:name="_Toc241618957"/>
      <w:r w:rsidRPr="00EE4FC1">
        <w:rPr>
          <w:rFonts w:ascii="Arial" w:eastAsia="PMingLiU" w:hAnsi="Arial" w:cs="Arial"/>
          <w:b/>
          <w:bCs/>
          <w:sz w:val="22"/>
          <w:szCs w:val="22"/>
          <w:lang w:eastAsia="zh-CN"/>
        </w:rPr>
        <w:lastRenderedPageBreak/>
        <w:t>CHAPTER TWO</w:t>
      </w:r>
      <w:bookmarkEnd w:id="28"/>
    </w:p>
    <w:p w14:paraId="576E3056" w14:textId="77777777" w:rsidR="00EE4FC1" w:rsidRPr="00EE4FC1" w:rsidRDefault="00EE4FC1" w:rsidP="00EE4FC1">
      <w:pPr>
        <w:keepNext/>
        <w:keepLines/>
        <w:spacing w:before="360" w:after="80" w:line="360" w:lineRule="auto"/>
        <w:jc w:val="center"/>
        <w:outlineLvl w:val="0"/>
        <w:rPr>
          <w:rFonts w:ascii="Arial" w:eastAsia="PMingLiU" w:hAnsi="Arial" w:cs="Arial"/>
          <w:b/>
          <w:bCs/>
          <w:sz w:val="22"/>
          <w:szCs w:val="22"/>
          <w:lang w:eastAsia="zh-CN"/>
        </w:rPr>
      </w:pPr>
      <w:bookmarkStart w:id="29" w:name="_Toc241618958"/>
      <w:r w:rsidRPr="00EE4FC1">
        <w:rPr>
          <w:rFonts w:ascii="Arial" w:eastAsia="PMingLiU" w:hAnsi="Arial" w:cs="Arial"/>
          <w:b/>
          <w:bCs/>
          <w:sz w:val="22"/>
          <w:szCs w:val="22"/>
          <w:lang w:eastAsia="zh-CN"/>
        </w:rPr>
        <w:t>LITERATURE REVIEW/THEORETICAL FRAMEWORK</w:t>
      </w:r>
      <w:bookmarkEnd w:id="17"/>
      <w:bookmarkEnd w:id="29"/>
    </w:p>
    <w:p w14:paraId="39412CEF"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eastAsia="zh-CN"/>
        </w:rPr>
      </w:pPr>
      <w:bookmarkStart w:id="30" w:name="_Toc12218"/>
      <w:bookmarkStart w:id="31" w:name="_Toc241618959"/>
      <w:r w:rsidRPr="00EE4FC1">
        <w:rPr>
          <w:rFonts w:ascii="Arial" w:eastAsia="PMingLiU" w:hAnsi="Arial" w:cs="Arial"/>
          <w:b/>
          <w:bCs/>
          <w:sz w:val="22"/>
          <w:szCs w:val="22"/>
          <w:lang w:eastAsia="zh-CN"/>
        </w:rPr>
        <w:t>2.1 Introduction</w:t>
      </w:r>
      <w:bookmarkEnd w:id="31"/>
    </w:p>
    <w:p w14:paraId="14659090"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This chapter discusses and critically examines the current literature on telemedicine and patient satisfaction in primary healthcare in the UK. This review explores research on important concepts, theories, and empirical studies related to the use of telemedicine, experiences of remote consultations, and satisfaction with telemedicine compared to in-person care. The chapter also highlights some gaps in existing literature and sets the groundwork for a systematic review conducted in this study.</w:t>
      </w:r>
    </w:p>
    <w:p w14:paraId="17679F95"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eastAsia="zh-CN"/>
        </w:rPr>
      </w:pPr>
      <w:bookmarkStart w:id="32" w:name="_Toc241618960"/>
      <w:r w:rsidRPr="00EE4FC1">
        <w:rPr>
          <w:rFonts w:ascii="Arial" w:eastAsia="PMingLiU" w:hAnsi="Arial" w:cs="Arial"/>
          <w:b/>
          <w:bCs/>
          <w:sz w:val="22"/>
          <w:szCs w:val="22"/>
          <w:lang w:eastAsia="zh-CN"/>
        </w:rPr>
        <w:t>2.2 Concept of Telemedicine</w:t>
      </w:r>
      <w:bookmarkEnd w:id="32"/>
    </w:p>
    <w:p w14:paraId="7D61E49A"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The use of information and communication technologies to provide healthcare services without the presence of healthcare professionals and patients has become a paradigm shift in health services delivery, known as telemedicine (Mason, 2022). It includes many types of remote healthcare activities such as consultation, diagnosis, monitoring, treatment and health education. Hayıroğlu (2019) described telemedicine as the combination of telecommunications and medical practice and the efficient delivery of healthcare services across geographical boundaries. With the continuous development of digital technologies and connectivity, the potential and use of telemedicine in today's healthcare systems has been greatly increased.</w:t>
      </w:r>
    </w:p>
    <w:p w14:paraId="2F8BE11B"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The implementation of Telemedicine is linked to the Health 4.0 and the concept of Digital Health. The concept of Health 4.0 was defined by Dubgorn et al. (2018), as the use of advanced digital technologies including artificial intelligence, cloud computing, big data and connected health systems to transform how health is delivered and lived. Telemedicine is a crucial part of this digital revolution, enabling instant communication and data sharing between patients and healthcare providers. According to Dubgorn et al. (2018), the modern telemedicine systems are intended to deliver accessible, integrated, patient-centred healthcare services which can be operated efficiently in various healthcare settings.</w:t>
      </w:r>
    </w:p>
    <w:p w14:paraId="244797B6" w14:textId="3BE3064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Telemedicine's importance gained </w:t>
      </w:r>
      <w:r w:rsidR="009A716A" w:rsidRPr="009A716A">
        <w:rPr>
          <w:rFonts w:ascii="Arial" w:eastAsia="PMingLiU" w:hAnsi="Arial" w:cs="Arial"/>
          <w:sz w:val="22"/>
          <w:szCs w:val="22"/>
          <w:lang w:eastAsia="zh-CN"/>
        </w:rPr>
        <w:t>significant prominence</w:t>
      </w:r>
      <w:r w:rsidR="009A716A" w:rsidRPr="009A716A">
        <w:rPr>
          <w:rFonts w:ascii="Arial" w:eastAsia="PMingLiU" w:hAnsi="Arial" w:cs="Arial"/>
          <w:sz w:val="22"/>
          <w:szCs w:val="22"/>
          <w:lang w:eastAsia="zh-CN"/>
        </w:rPr>
        <w:t xml:space="preserve"> </w:t>
      </w:r>
      <w:r w:rsidRPr="00EE4FC1">
        <w:rPr>
          <w:rFonts w:ascii="Arial" w:eastAsia="PMingLiU" w:hAnsi="Arial" w:cs="Arial"/>
          <w:sz w:val="22"/>
          <w:szCs w:val="22"/>
          <w:lang w:eastAsia="zh-CN"/>
        </w:rPr>
        <w:t>during the COVID-19 pandemic, as health systems across the globe had to implement strategies to limit in-person contact while ensuring continuity of care. Murphy et al. (2021) noted that during the pandemic, telemedicine was a</w:t>
      </w:r>
      <w:r w:rsidR="00EA7C99">
        <w:rPr>
          <w:rFonts w:ascii="Arial" w:eastAsia="PMingLiU" w:hAnsi="Arial" w:cs="Arial"/>
          <w:sz w:val="22"/>
          <w:szCs w:val="22"/>
          <w:lang w:eastAsia="zh-CN"/>
        </w:rPr>
        <w:t xml:space="preserve">n essential </w:t>
      </w:r>
      <w:r w:rsidRPr="00EE4FC1">
        <w:rPr>
          <w:rFonts w:ascii="Arial" w:eastAsia="PMingLiU" w:hAnsi="Arial" w:cs="Arial"/>
          <w:sz w:val="22"/>
          <w:szCs w:val="22"/>
          <w:lang w:eastAsia="zh-CN"/>
        </w:rPr>
        <w:t xml:space="preserve">healthcare strategy to limit the spread of COVID-19 and maintain access to health care. The authors also found that telemedicine was a means for healthcare providers to conduct consultations, do remote monitoring, and manage healthcare resources during </w:t>
      </w:r>
      <w:r w:rsidRPr="00EE4FC1">
        <w:rPr>
          <w:rFonts w:ascii="Arial" w:eastAsia="PMingLiU" w:hAnsi="Arial" w:cs="Arial"/>
          <w:sz w:val="22"/>
          <w:szCs w:val="22"/>
          <w:lang w:eastAsia="zh-CN"/>
        </w:rPr>
        <w:lastRenderedPageBreak/>
        <w:t>crises. The pandemic brought telemedicine to the forefront and showed its ability to become a viable way of delivering healthcare in the future.</w:t>
      </w:r>
    </w:p>
    <w:p w14:paraId="6993DEDB"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Telemedicine can take many forms, such as telephone consultations, video consultations, online messages, and remote monitoring systems. In their study, Keesara, Jonas and Schulman (2020) identified that telemedicine is utilised in a variety of medical services, including specialist consultations, diagnostics, tele-remote patient monitoring and cooperative clinical decision making, all of which enhance access to healthcare and service delivery. This shows that telemedicine is not just about patient consultations; it can help enhance the quality of health care, coordination, and clinical decisions for various medical specialities.</w:t>
      </w:r>
    </w:p>
    <w:p w14:paraId="68D96B2C"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One of the key factors in understanding the effectiveness of telemedicine services is patient experience and satisfaction. As noted by Allen (2022), patients who receive care from a telemedicine service may find this form of consultation to be convenient, time-saving, and accessible, especially for non-emergency or routine health care needs. Lifford et al. (2023) also noted that many UK adults experienced positive outcomes from using remote consultations during the COVID-19 pandemic with convenience and ease of access being the primary positive benefits. But the study also suggested that patient satisfaction can be different because of some factors like communication quality, technical reliability, and the appropriateness of telemedicine for certain health conditions.</w:t>
      </w:r>
    </w:p>
    <w:p w14:paraId="77F15B3C"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sz w:val="22"/>
          <w:szCs w:val="22"/>
          <w:lang w:eastAsia="zh-CN"/>
        </w:rPr>
        <w:t>Although telemedicine has its benefits, there are drawbacks. Patients may be unhappy with the use of telemedicine because it does not allow them to get to know their healthcare professional, is not suitable for physical examination, has issues with technology, or feels that there is not enough remote care. Murphy et al. (2021) found that in-person consultations are still preferred by some patients, as they feel that the personal interaction and reassurance provided during an in-person consultation outweigh the benefits of an online one. Furthermore, Medvedeva et al. (2022) pointed out that digital literacy, trust in technology and privacy and healthcare quality concerns are social factors influencing attitudes towards telemedicine.</w:t>
      </w:r>
    </w:p>
    <w:p w14:paraId="01460E5A"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33" w:name="_Toc241618961"/>
      <w:r w:rsidRPr="00EE4FC1">
        <w:rPr>
          <w:rFonts w:ascii="Arial" w:eastAsia="PMingLiU" w:hAnsi="Arial" w:cs="Arial"/>
          <w:b/>
          <w:bCs/>
          <w:sz w:val="22"/>
          <w:szCs w:val="22"/>
          <w:lang w:val="en-US" w:eastAsia="zh-CN"/>
        </w:rPr>
        <w:t>2.3 Evolution of Telemedicine in the United Kingdom</w:t>
      </w:r>
      <w:bookmarkEnd w:id="33"/>
    </w:p>
    <w:p w14:paraId="77A1486A"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Telemedicine in the United Kingdom (UK) is an example of the larger trend of digital health and technological innovation making healthcare a different experience over the last few decades (Geifman et al., 2023). Originally telemedicine was a fairly niche service, mostly for remote clinical consultation, but has recently become a vital part of healthcare services within the National Health Service (NHS), especially since the pandemic of COVID-19 and the rapid growth of remote consulting (Murphy et al., 2021). Martin-Khan et al. (2017) argue that the growth of the telehealth sector is due to the advancement of communication technology, the </w:t>
      </w:r>
      <w:r w:rsidRPr="00EE4FC1">
        <w:rPr>
          <w:rFonts w:ascii="Arial" w:eastAsia="PMingLiU" w:hAnsi="Arial" w:cs="Arial"/>
          <w:sz w:val="22"/>
          <w:szCs w:val="22"/>
          <w:lang w:val="en-US" w:eastAsia="zh-CN"/>
        </w:rPr>
        <w:lastRenderedPageBreak/>
        <w:t>rising demands of healthcare and the need for access to healthcare services for a variety of populations. All the above has helped to make telemedicine a part of regular health care.</w:t>
      </w:r>
    </w:p>
    <w:p w14:paraId="016413C8"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In the past, telemedicine was first used to address geographic access issues and to enhance access to specialist medical care. The development of new technology made telemedicine more possible, and by the end of the twentieth century, it became a large part of global interest, as noted by Wang et al. (2017). The authors showed that the number of research and implementation studies of telemedicine grew significantly from 1962 to 2015, illustrating the growing awareness of the potential benefits of telemedicine for improving healthcare access and efficiency. In the UK, early telemedicine projects included mainly remote monitoring, specialist consultations and healthcare support for those who live in rural or less well served areas.</w:t>
      </w:r>
    </w:p>
    <w:p w14:paraId="775795AD" w14:textId="1A8E7EEC"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sz w:val="22"/>
          <w:szCs w:val="22"/>
          <w:lang w:val="en-US" w:eastAsia="zh-CN"/>
        </w:rPr>
        <w:t xml:space="preserve">The adoption of digital health strategies and policy initiatives further expedited the evolution of telemedicine within the UK healthcare system. Geifman et al. (2023) noted that the UK's digital health market has significantly evolved over the past decade, with investments in digital infrastructure, electronic health records, artificial intelligence, and virtual healthcare services. The authors noted the shift towards digital innovation as part of overall healthcare modernisation initiatives. According to Geifman et al. (2023) telemedicine has had the potential to become a major factor in digital healthcare delivery in the NHS from its emergence as a complement to healthcare services to its current central status. The COVID-19 pandemic marked an important milestone in the development of telemedicine. The need to alter healthcare delivery models because of public health prohibitions and concerns about the spread of infection. Neves et al. (2024) reported that the pandemic has had a considerable impact on the UK's shift to virtual primary care and that virtual methods such as telephone consultations, video consultations, and online health services are now commonplace. </w:t>
      </w:r>
      <w:r w:rsidRPr="00EE4FC1">
        <w:rPr>
          <w:rFonts w:ascii="Arial" w:eastAsia="PMingLiU" w:hAnsi="Arial" w:cs="Arial"/>
          <w:sz w:val="22"/>
          <w:szCs w:val="22"/>
          <w:lang w:eastAsia="zh-CN"/>
        </w:rPr>
        <w:t xml:space="preserve">Murphy et al. (2021) </w:t>
      </w:r>
      <w:r w:rsidRPr="00EE4FC1">
        <w:rPr>
          <w:rFonts w:ascii="Arial" w:eastAsia="PMingLiU" w:hAnsi="Arial" w:cs="Arial"/>
          <w:sz w:val="22"/>
          <w:szCs w:val="22"/>
          <w:lang w:val="en-US" w:eastAsia="zh-CN"/>
        </w:rPr>
        <w:t>found that many patients who used to attend face-to-face appointments started using distance-based health services for the first time. As a result, telemedicine became a vital tool for ensuring continuity of care and minimising risks of face-to-face healthcare interactions.</w:t>
      </w:r>
    </w:p>
    <w:p w14:paraId="76160CA0"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As telemedicine became more prevalent during the COVID-19 pandemic, there has been an increasing focus on patient experiences and service quality. In the study published by Jokisch et al. (2022), many older people had a positive attitude towards digital health services, finding them convenient and beneficial for access to health care, but concerns about digital skills and technology use remained. The study also found concerns about technology use, effectiveness of communication and lack of physical exams. These results indicated that in addition to improving healthcare access, patient acceptance of telemedicine was dependent on the type of individual and healthcare. Similarly, Martinez et al. (2018) found that patient satisfaction </w:t>
      </w:r>
      <w:r w:rsidRPr="00EE4FC1">
        <w:rPr>
          <w:rFonts w:ascii="Arial" w:eastAsia="PMingLiU" w:hAnsi="Arial" w:cs="Arial"/>
          <w:sz w:val="22"/>
          <w:szCs w:val="22"/>
          <w:lang w:val="en-US" w:eastAsia="zh-CN"/>
        </w:rPr>
        <w:lastRenderedPageBreak/>
        <w:t xml:space="preserve">with telemedicine services was generally high, particularly when consultations were convenient, accessible, and responsive to patient concerns. The authors revealed that ease of use and timely access to healthcare professionals were important determinants of positive patient experiences. Furthermore, </w:t>
      </w:r>
      <w:r w:rsidRPr="00EE4FC1">
        <w:rPr>
          <w:rFonts w:ascii="Arial" w:eastAsia="PMingLiU" w:hAnsi="Arial" w:cs="Arial"/>
          <w:sz w:val="22"/>
          <w:szCs w:val="22"/>
          <w:lang w:eastAsia="zh-CN"/>
        </w:rPr>
        <w:t>McFarland</w:t>
      </w:r>
      <w:r w:rsidRPr="00EE4FC1">
        <w:rPr>
          <w:rFonts w:ascii="Arial" w:eastAsia="PMingLiU" w:hAnsi="Arial" w:cs="Arial"/>
          <w:b/>
          <w:bCs/>
          <w:sz w:val="22"/>
          <w:szCs w:val="22"/>
          <w:lang w:val="en-US" w:eastAsia="zh-CN"/>
        </w:rPr>
        <w:t xml:space="preserve"> </w:t>
      </w:r>
      <w:r w:rsidRPr="00EE4FC1">
        <w:rPr>
          <w:rFonts w:ascii="Arial" w:eastAsia="PMingLiU" w:hAnsi="Arial" w:cs="Arial"/>
          <w:sz w:val="22"/>
          <w:szCs w:val="22"/>
          <w:lang w:val="en-US" w:eastAsia="zh-CN"/>
        </w:rPr>
        <w:t xml:space="preserve">et al. (2021) reported that telemedicine consultations could achieve levels of patient satisfaction comparable to traditional face-to-face care when communication quality and clinical needs were adequately addressed. </w:t>
      </w:r>
    </w:p>
    <w:p w14:paraId="46EF4864"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More recently, telemedicine has become embedded within routine UK primary care services. According to Neves et al. (2024), public perceptions of virtual primary care indicate increasing acceptance of remote healthcare delivery, although concerns regarding quality, safety, digital exclusion, and continuity of care remain. As revealed by Geifman et al. (2023), ongoing technological advancements continue to shape the future direction of telemedicine, with greater integration of digital tools expected across healthcare services.</w:t>
      </w:r>
    </w:p>
    <w:p w14:paraId="64B8FE51"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eastAsia="zh-CN"/>
        </w:rPr>
      </w:pPr>
      <w:bookmarkStart w:id="34" w:name="_Toc241618962"/>
      <w:r w:rsidRPr="00EE4FC1">
        <w:rPr>
          <w:rFonts w:ascii="Arial" w:eastAsia="PMingLiU" w:hAnsi="Arial" w:cs="Arial"/>
          <w:b/>
          <w:bCs/>
          <w:sz w:val="22"/>
          <w:szCs w:val="22"/>
          <w:lang w:eastAsia="zh-CN"/>
        </w:rPr>
        <w:t>2.4 Telemedicine in UK Primary Care</w:t>
      </w:r>
      <w:bookmarkEnd w:id="34"/>
    </w:p>
    <w:p w14:paraId="28014909" w14:textId="12C20BAC"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Primary care is the initial healthcare service where many patients seeking treatment within public healthcare system, the National Health Service (NHS), first access to care, indicating its importance in the context of implementing telemedicine services. Primary care is a key setting through which a majority of the population seeking healthcare within the public healthcare system, the National Health Service (NHS), access care, and is therefore an important context for the rollout of telemedicine services, according to Pilbery et al., (2024). Mulugeta et al. (2019) report that telemedicine has been adopted in the UK to an unprecedented level </w:t>
      </w:r>
      <w:r w:rsidR="00CC564B" w:rsidRPr="00EE4FC1">
        <w:rPr>
          <w:rFonts w:ascii="Arial" w:eastAsia="PMingLiU" w:hAnsi="Arial" w:cs="Arial"/>
          <w:sz w:val="22"/>
          <w:szCs w:val="22"/>
          <w:lang w:val="en-US" w:eastAsia="zh-CN"/>
        </w:rPr>
        <w:t>because of</w:t>
      </w:r>
      <w:r w:rsidRPr="00EE4FC1">
        <w:rPr>
          <w:rFonts w:ascii="Arial" w:eastAsia="PMingLiU" w:hAnsi="Arial" w:cs="Arial"/>
          <w:sz w:val="22"/>
          <w:szCs w:val="22"/>
          <w:lang w:val="en-US" w:eastAsia="zh-CN"/>
        </w:rPr>
        <w:t xml:space="preserve"> the COVID-19 pandemic with what was termed as “10 years of change in one week” at healthcare systems. This quick change fundamentally transformed access to and provision of healthcare services in GP practices.</w:t>
      </w:r>
    </w:p>
    <w:p w14:paraId="545BAF6A"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Expansion of digital health infrastructure and healthcare policies have facilitated the adoption of telemedicine in UK primary healthcare. Over the last ten years, digital health innovations have increased significantly in the UK, and telemedicine has become a key component of the healthcare modernisation process (Geifman et al., 2023). Neves et al. (2024) found that the adoption of remote consultations in primary care settings has been widespread thanks to the advances of digital technologies, as well as to the growing demand for effective and efficient healthcare provision.</w:t>
      </w:r>
    </w:p>
    <w:p w14:paraId="5C656AD8"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The following methods are some of the more typical forms of telemedicine in primary care: Telephone Consultation, Video Consultation, Electronic Messaging, and Remote Monitoring System. According to Li et al. (2022), general practitioners (GPs) viewed virtual primary care as a valuable approach for maintaining healthcare access during the COVID-19 pandemic while reducing unnecessary face-to-face interactions. The study revealed that telemedicine </w:t>
      </w:r>
      <w:r w:rsidRPr="00EE4FC1">
        <w:rPr>
          <w:rFonts w:ascii="Arial" w:eastAsia="PMingLiU" w:hAnsi="Arial" w:cs="Arial"/>
          <w:sz w:val="22"/>
          <w:szCs w:val="22"/>
          <w:lang w:val="en-US" w:eastAsia="zh-CN"/>
        </w:rPr>
        <w:lastRenderedPageBreak/>
        <w:t>enhanced service flexibility, improved accessibility for many patients, and enabled healthcare providers to continue delivering care during periods of significant healthcare disruption. However, GPs also expressed concerns regarding clinical assessment limitations, communication challenges, and the suitability of remote consultations for complex health conditions.</w:t>
      </w:r>
    </w:p>
    <w:p w14:paraId="39C0CB8B" w14:textId="3FCCCCAC" w:rsidR="00EE4FC1" w:rsidRPr="00EE4FC1" w:rsidRDefault="00EE4FC1" w:rsidP="00EE4FC1">
      <w:pPr>
        <w:spacing w:line="360" w:lineRule="auto"/>
        <w:jc w:val="both"/>
        <w:rPr>
          <w:rFonts w:ascii="Arial" w:eastAsia="PMingLiU" w:hAnsi="Arial" w:cs="Arial"/>
          <w:sz w:val="22"/>
          <w:szCs w:val="22"/>
          <w:highlight w:val="green"/>
          <w:lang w:eastAsia="zh-CN"/>
        </w:rPr>
      </w:pPr>
      <w:r w:rsidRPr="00EE4FC1">
        <w:rPr>
          <w:rFonts w:ascii="Arial" w:eastAsia="PMingLiU" w:hAnsi="Arial" w:cs="Arial"/>
          <w:sz w:val="22"/>
          <w:szCs w:val="22"/>
          <w:lang w:eastAsia="zh-CN"/>
        </w:rPr>
        <w:t>Additional UK evidence shows that online and remote access has developed through several models rather than a single standardised pathway. Evaluations in English general practice found that online consultation systems could improve convenience and access for some patients, while often generating follow-up telephone or face-to-face work and requiring careful integration into practice workflows (Farr et al.</w:t>
      </w:r>
      <w:r w:rsidR="003810A5">
        <w:rPr>
          <w:rFonts w:ascii="Arial" w:eastAsia="PMingLiU" w:hAnsi="Arial" w:cs="Arial"/>
          <w:sz w:val="22"/>
          <w:szCs w:val="22"/>
          <w:lang w:eastAsia="zh-CN"/>
        </w:rPr>
        <w:t>,</w:t>
      </w:r>
      <w:r w:rsidRPr="00EE4FC1">
        <w:rPr>
          <w:rFonts w:ascii="Arial" w:eastAsia="PMingLiU" w:hAnsi="Arial" w:cs="Arial"/>
          <w:sz w:val="22"/>
          <w:szCs w:val="22"/>
          <w:lang w:eastAsia="zh-CN"/>
        </w:rPr>
        <w:t xml:space="preserve"> 2018; Carter et al., 2018; Mold et al., 2019; Marshall, Shah and Stokes-Lampard, 2018; Peters et al., 2018).</w:t>
      </w:r>
    </w:p>
    <w:p w14:paraId="344D5CA1" w14:textId="27FFFA86"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The effectiveness of telemedicine within primary care has also been demonstrated in the management of chronic diseases. According to Alfarwan et al. (2024), telemedicine interventions for patients with type 2 diabetes in primary care settings were associated with improved clinical outcomes and represented a cost-effective approach to healthcare delivery. The results indicate that telemedicine could be a useful tool to manage chronic diseases as well as lower the burden of health care systems. Patient acceptance is a key in the successful implementation of telemedicine. Murphy et al. (2021) found that many older adults are aware of the convenience and ease to access telehealth services, especially for routine healthcare or follow-up visits. Likewise, Guo et al. (2026) found that existing experience with digital services, confidence in technology, ease of use, and perceived usefulness are contributing factors to the adoption of digital health technologies. The results suggest that although there are clear advantages to telemedicine, some population groups may not use it because of digital literacy and technology access issues.</w:t>
      </w:r>
    </w:p>
    <w:p w14:paraId="16E74AC2"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2.4.1 Policy Context and Scale of Digital-First Primary Care in England</w:t>
      </w:r>
    </w:p>
    <w:p w14:paraId="422BA5C8"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Telemedicine growth in primary care in the UK is by no means policy-free; it was supported by a clear national directive. In its NHS Long Term Plan (NHS England, 2019), the NHS have pledged that, within the next ten years, every patient in England will be able to access a 'digital first' approach in their primary care, through a combination of telephone, online and video consultation services, and that the right will be in place by 2023/24. The plan envisioned digital first access, but not as an alternative to in-person care, but rather as a way to free up clinician time for patients who might have more complex needs and envisioned remote consultations as one layer of a multimodal approach to access. This rephrasing of patient satisfaction with telemedicine is important for the purposes of this review as it moves patient satisfaction away </w:t>
      </w:r>
      <w:r w:rsidRPr="00EE4FC1">
        <w:rPr>
          <w:rFonts w:ascii="Arial" w:eastAsia="PMingLiU" w:hAnsi="Arial" w:cs="Arial"/>
          <w:sz w:val="22"/>
          <w:szCs w:val="22"/>
          <w:lang w:val="en-US" w:eastAsia="zh-CN"/>
        </w:rPr>
        <w:lastRenderedPageBreak/>
        <w:t>from being a technology-adoption issue and towards the degree to which a service model which is centrally desired is realised and experienced in the clinical setting.</w:t>
      </w:r>
    </w:p>
    <w:p w14:paraId="1F83B111"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Large population-level data demonstrates the scale of this mandate which has since been fulfilled. To date, Fonseca et al. (2024) have performed a retrospective cohort study of online consultation and remote-consulting usage in the primary care records of some 53 million patients in England using the OpenSAFELY platform. Given that the scale of analysis is orders of magnitude greater than the individual empirical studies that are usually synthesised in qualitative or mixed-methods reviews of telemedicine satisfaction, this study is a testament that the use of teleconsultation is no longer a peripheral or experimental service but has become regular and system-wide practice of NHS general practice. It also suggests that the preliminary findings of variation in satisfaction with remote consultation in smaller studies (Sections 2.5 and 2.6) is not an artifact of a small amount of digital infrastructure but is occurring in the context of near-universal structural availability of remote consultation.</w:t>
      </w:r>
    </w:p>
    <w:p w14:paraId="1A2C90A0"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eastAsia="zh-CN"/>
        </w:rPr>
      </w:pPr>
      <w:bookmarkStart w:id="35" w:name="_Toc241618963"/>
      <w:r w:rsidRPr="00EE4FC1">
        <w:rPr>
          <w:rFonts w:ascii="Arial" w:eastAsia="PMingLiU" w:hAnsi="Arial" w:cs="Arial"/>
          <w:b/>
          <w:bCs/>
          <w:sz w:val="22"/>
          <w:szCs w:val="22"/>
          <w:lang w:eastAsia="zh-CN"/>
        </w:rPr>
        <w:t>2.5 Factors Influencing Patient Satisfaction</w:t>
      </w:r>
      <w:bookmarkEnd w:id="35"/>
    </w:p>
    <w:p w14:paraId="3AB50D7C" w14:textId="0DFCF7EE" w:rsidR="00EE4FC1" w:rsidRPr="00EE4FC1" w:rsidRDefault="00EE4FC1" w:rsidP="00EE4FC1">
      <w:pPr>
        <w:spacing w:line="360" w:lineRule="auto"/>
        <w:jc w:val="both"/>
        <w:rPr>
          <w:rFonts w:ascii="Arial" w:eastAsia="PMingLiU" w:hAnsi="Arial" w:cs="Arial"/>
          <w:sz w:val="22"/>
          <w:szCs w:val="22"/>
          <w:highlight w:val="green"/>
          <w:lang w:eastAsia="zh-CN"/>
        </w:rPr>
      </w:pPr>
      <w:r w:rsidRPr="00EE4FC1">
        <w:rPr>
          <w:rFonts w:ascii="Arial" w:eastAsia="PMingLiU" w:hAnsi="Arial" w:cs="Arial"/>
          <w:sz w:val="22"/>
          <w:szCs w:val="22"/>
          <w:lang w:eastAsia="zh-CN"/>
        </w:rPr>
        <w:t xml:space="preserve">There is also some evidence from the UK that satisfaction is closely associated with communication and patient choice and continuity and clinical appropriateness of mode of consultation. While remote care can be efficient and convenient, some groups may lose confidence and satisfaction due to loss of visual and interpersonal information, language barriers and unequal digital </w:t>
      </w:r>
      <w:r w:rsidRPr="0084650B">
        <w:rPr>
          <w:rFonts w:ascii="Arial" w:eastAsia="PMingLiU" w:hAnsi="Arial" w:cs="Arial"/>
          <w:color w:val="000000" w:themeColor="text1"/>
          <w:sz w:val="22"/>
          <w:szCs w:val="22"/>
          <w:lang w:eastAsia="zh-CN"/>
        </w:rPr>
        <w:t>access (Greenhalgh, Koh and Car, 2020a; Knights et al. 2021a; Knights et al., 2021b; Chappell et al.</w:t>
      </w:r>
      <w:r w:rsidR="0084650B">
        <w:rPr>
          <w:rFonts w:ascii="Arial" w:eastAsia="PMingLiU" w:hAnsi="Arial" w:cs="Arial"/>
          <w:color w:val="000000" w:themeColor="text1"/>
          <w:sz w:val="22"/>
          <w:szCs w:val="22"/>
          <w:lang w:eastAsia="zh-CN"/>
        </w:rPr>
        <w:t>,</w:t>
      </w:r>
      <w:r w:rsidRPr="0084650B">
        <w:rPr>
          <w:rFonts w:ascii="Arial" w:eastAsia="PMingLiU" w:hAnsi="Arial" w:cs="Arial"/>
          <w:color w:val="000000" w:themeColor="text1"/>
          <w:sz w:val="22"/>
          <w:szCs w:val="22"/>
          <w:lang w:eastAsia="zh-CN"/>
        </w:rPr>
        <w:t xml:space="preserve"> 2023; de Visser et al., 2024).</w:t>
      </w:r>
    </w:p>
    <w:p w14:paraId="4ED33333"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Patient satisfaction is a well-known measure of the effectiveness and quality of care. It is a mirror of patients' perceptions of the care they receive and impacted by a range of factors relating to the delivery of health care, communication, accessibility, responsiveness and outcomes of treatment. Patient satisfaction is a multidimensional phenomenon that is influenced by patient characteristics, the behaviour of the healthcare providers, organisational factors, and the performance of the healthcare system (Batbaatar et al., 2017). </w:t>
      </w:r>
      <w:r w:rsidRPr="00EE4FC1">
        <w:rPr>
          <w:rFonts w:ascii="Arial" w:eastAsia="PMingLiU" w:hAnsi="Arial" w:cs="Arial"/>
          <w:sz w:val="22"/>
          <w:szCs w:val="22"/>
          <w:lang w:val="en-US" w:eastAsia="zh-CN"/>
        </w:rPr>
        <w:t xml:space="preserve">Neves et al. (2024) </w:t>
      </w:r>
      <w:r w:rsidRPr="00EE4FC1">
        <w:rPr>
          <w:rFonts w:ascii="Arial" w:eastAsia="PMingLiU" w:hAnsi="Arial" w:cs="Arial"/>
          <w:sz w:val="22"/>
          <w:szCs w:val="22"/>
          <w:lang w:eastAsia="zh-CN"/>
        </w:rPr>
        <w:t>discovered that patient satisfaction is not just about the clinical outcome, but it is also about what patients have experienced during the entire care process.</w:t>
      </w:r>
    </w:p>
    <w:p w14:paraId="17600D9C"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Communication between health care providers and patients is one of the most important factors that contributes to patient satisfaction. As cited by Mularczyk-Tomczewska et al. (2025), effective communication cultivates trust, aids in patient understanding of their health state, and boosts views of the quality of care. Likewise, Adhikary et al. (2018) indicated that patients who are given explanations, will be treated with respect and be given opportunities to voice their concerns, will be more satisfied. The results indicate that the interpersonal dimensions of care are integral to patient experiences, across all health care settings.</w:t>
      </w:r>
    </w:p>
    <w:p w14:paraId="5AF6EA98"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lastRenderedPageBreak/>
        <w:t>The ease of access to health services and the promptness of access also have a huge impact on patient satisfaction. Gavurova et al. (2021) states that satisfaction is increased when health services are easily available and waiting time is reduced. Similarly, Pilbery et al. (2024) noted the increasing need for primary care services in the NHS and the urgency for access to health professionals to help meet patients' expectations. When patients do not receive the care they need in a timely fashion or experience barriers to care, these experiences may impact patient satisfaction and perceptions. The quality of supportive and nursing care has also been highlighted as one of the factors affecting satisfaction. Nurses are usually the first healthcare providers that patients encounter during treatment, thus the quality of nursing care is often equated with high-quality treatment, according to Mulugeta et al. (2019). The authors found that four aspects of nurse responsiveness—involving empathy, competence, emotional support of healthcare staff—add up to the satisfaction of patients.</w:t>
      </w:r>
    </w:p>
    <w:p w14:paraId="4D92A9A7" w14:textId="223AAE3D"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eastAsia="zh-CN"/>
        </w:rPr>
        <w:t>In a telemedicine environment, there are other factors that affect patient satisfaction. Patients appreciate telemedicine, as it enhances the ease, flexibility and accessibility of health care services, according to Li et al. (2022). The authors found that healthcare professionals believed virtual consultations could improve the continuity of care for patients and help to limit unnecessary travel and waiting times. Likewise, Mulugeta et al. (2019) found that the fast growth of telemedicine in the UK made the access to healthcare more convenient, providing many patients with the opportunity to access healthcare remotely. This has had a positive impact on patient experiences of telemedicine services. But, technological factors are also associated with satisfaction with telemedicine. Middle and Welch (2022) found that a good degree of acceptance of digital health technology relies on the ease of use, digital competency and trust in technology. Those patients who have technical issues or are not familiar with digital platforms may have less satisfaction.</w:t>
      </w:r>
      <w:r w:rsidRPr="00EE4FC1">
        <w:rPr>
          <w:rFonts w:ascii="Arial" w:eastAsia="PMingLiU" w:hAnsi="Arial" w:cs="Arial"/>
          <w:sz w:val="22"/>
          <w:szCs w:val="22"/>
          <w:lang w:val="en-US" w:eastAsia="zh-CN"/>
        </w:rPr>
        <w:t xml:space="preserve"> Jokisch et al. (2022) noted that while older adults are often interested in telehealth, they may have issues with technology use, internet access, and digital skills. These barriers may hinder their access to effective interactions with remote health care.</w:t>
      </w:r>
    </w:p>
    <w:p w14:paraId="0E833CBE"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Another key factor in measuring patient satisfaction is the effectiveness of care. Alfarwan et al. (2024) have found that telemedicine interventions are effective in enhancing clinical outcomes, and they are cost-effective for patients with chronic diseases like type 2 diabetes. A patient's satisfaction is likely to rise if they feel that telemedicine meets their health care needs. On the other hand, less physical examinations, diagnostic judgement and communication issues can lead to dissatisfaction with virtual consultation.</w:t>
      </w:r>
    </w:p>
    <w:p w14:paraId="5BBE0D07"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eastAsia="zh-CN"/>
        </w:rPr>
      </w:pPr>
      <w:bookmarkStart w:id="36" w:name="_Toc241618964"/>
      <w:r w:rsidRPr="00EE4FC1">
        <w:rPr>
          <w:rFonts w:ascii="Arial" w:eastAsia="PMingLiU" w:hAnsi="Arial" w:cs="Arial"/>
          <w:b/>
          <w:bCs/>
          <w:sz w:val="22"/>
          <w:szCs w:val="22"/>
          <w:lang w:eastAsia="zh-CN"/>
        </w:rPr>
        <w:lastRenderedPageBreak/>
        <w:t>2.6 Telephone versus Video Consultations</w:t>
      </w:r>
      <w:bookmarkEnd w:id="36"/>
    </w:p>
    <w:p w14:paraId="2506B4BD"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A recent study in the UK supports the role of modality matching to patient need, not one modality being necessarily better. Research on mental health and general primary care provider experiences shows that video and telephone consultations can be acceptable but preferences differ based on the complexity of the consultation, privacy and digital confidence, continuity and need for non-verbal information (Antonio et al, 2024; Anderson et al, 2021; Chaloner et al, 2025; Burch et al, 2026; Healthwatch England, 2021).</w:t>
      </w:r>
    </w:p>
    <w:p w14:paraId="0D507F6B"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eastAsia="zh-CN"/>
        </w:rPr>
        <w:t>The two most common types of telemedicine services used in primary care and other healthcare services are telephone consultations and video consultations. Both modalities allow for delivery of care remotely, and have become more significant in recent years, especially after the rapid growth of telemedicine in the COVID-19 pandemic (Hammersley et al., 2019). Historically, telephone consultations have been the most prevalent type of telemedicine, because they are easy to use, convenient and relatively low-tech.</w:t>
      </w:r>
      <w:r w:rsidRPr="00EE4FC1">
        <w:rPr>
          <w:rFonts w:ascii="Arial" w:eastAsia="PMingLiU" w:hAnsi="Arial" w:cs="Arial"/>
          <w:sz w:val="22"/>
          <w:szCs w:val="22"/>
          <w:lang w:val="en-US" w:eastAsia="zh-CN"/>
        </w:rPr>
        <w:t xml:space="preserve"> According to </w:t>
      </w:r>
      <w:r w:rsidRPr="00EE4FC1">
        <w:rPr>
          <w:rFonts w:ascii="Arial" w:eastAsia="PMingLiU" w:hAnsi="Arial" w:cs="Arial"/>
          <w:sz w:val="22"/>
          <w:szCs w:val="22"/>
          <w:lang w:eastAsia="zh-CN"/>
        </w:rPr>
        <w:t xml:space="preserve">van Galen, L. S. and Car, J. </w:t>
      </w:r>
      <w:r w:rsidRPr="00EE4FC1">
        <w:rPr>
          <w:rFonts w:ascii="Arial" w:eastAsia="PMingLiU" w:hAnsi="Arial" w:cs="Arial"/>
          <w:sz w:val="22"/>
          <w:szCs w:val="22"/>
          <w:lang w:val="en-US" w:eastAsia="zh-CN"/>
        </w:rPr>
        <w:t>(2018), telephone consultations provide a convenient means of delivering healthcare while reducing travel requirements and improving access to medical advice. The authors highlighted that telephone consultations are particularly valuable for follow-up appointments, medication reviews, and the management of less complex health conditions. Similarly, Byambasuren et al. (2023) revealed that telephone consultations are often preferred because they require minimal technical expertise and can be accessed by patients who may lack internet connectivity or digital devices.</w:t>
      </w:r>
    </w:p>
    <w:p w14:paraId="6434EDA8"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Despite these advantages, telephone consultations have limitations, and according to Hammersley et al. (2019), the absence of visual interaction can restrict clinicians’ ability to observe non-verbal cues, assess patient appearance, and establish rapport. As stated by Caffery et al. (2024), the lack of visual information may reduce diagnostic confidence in certain clinical situations and limit opportunities for comprehensive patient assessment. Telephone consultations, therefore, might not be the best approach for patients with more complex healthcare needs or more complex conditions that need to be examined visually. On the other hand, video consultations offer both audio and visual communication, enabling clinicians and patients to interact to explore the disease process more closely than they could over the phone. According to Car et al. (2020), video consultations offer a more personalised healthcare experience by enabling healthcare professionals to observe facial expressions, body language, and visible symptoms. Similarly, Greenhalgh et al. (2020b) argued that video consultations can improve communication quality and support more effective clinical decision-making because visual interaction enhances understanding between patients and healthcare providers.</w:t>
      </w:r>
    </w:p>
    <w:p w14:paraId="5D8E324D"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lastRenderedPageBreak/>
        <w:t xml:space="preserve">Evidence suggests that video consultations may result in higher levels of patient satisfaction in some healthcare contexts. According to Rush et al. (2018), patients often report greater satisfaction with videoconferencing compared with telephone consultations because visual contact promotes stronger therapeutic relationships and enhances perceptions of care quality. Likewise, Barsom et al. (2020) found that both patients and healthcare providers perceived video consultations as offering advantages over telephone consultations, particularly in relation to communication effectiveness and patient engagement. However, video consultations also present challenges. According to </w:t>
      </w:r>
      <w:r w:rsidRPr="00EE4FC1">
        <w:rPr>
          <w:rFonts w:ascii="Arial" w:eastAsia="PMingLiU" w:hAnsi="Arial" w:cs="Arial"/>
          <w:sz w:val="22"/>
          <w:szCs w:val="22"/>
          <w:lang w:eastAsia="zh-CN"/>
        </w:rPr>
        <w:t>Sutherland, Stickland and Wee</w:t>
      </w:r>
      <w:r w:rsidRPr="00EE4FC1">
        <w:rPr>
          <w:rFonts w:ascii="Arial" w:eastAsia="PMingLiU" w:hAnsi="Arial" w:cs="Arial"/>
          <w:sz w:val="22"/>
          <w:szCs w:val="22"/>
          <w:lang w:val="en-US" w:eastAsia="zh-CN"/>
        </w:rPr>
        <w:t xml:space="preserve"> (2020), technical difficulties, poor internet connectivity, and limited digital literacy can hinder the effectiveness of video-based healthcare interactions. These barriers may disproportionately affect older adults and socially disadvantaged populations. As revealed by Byambasuren et al. (2023), while video consultations provide additional clinical and communication benefits, they often require greater technological resources and digital competence than telephone consultations.</w:t>
      </w:r>
    </w:p>
    <w:p w14:paraId="332C9FDF"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Recent comparative evidence indicates that neither modality is universally superior. According to Caffery et al. (2024), the choice between telephone and video consultations should depend on patient preferences, clinical requirements, technological access, and the purpose of the consultation. Similarly, Hammersley et al. (2019) found that both consultation methods can deliver high-quality care when appropriately matched to patient needs. Therefore, the effectiveness of telemedicine may depend less on the specific technology used and more on how well the chosen modality aligns with the characteristics, expectations, and circumstances of individual patients.</w:t>
      </w:r>
    </w:p>
    <w:p w14:paraId="51FDF711"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eastAsia="zh-CN"/>
        </w:rPr>
      </w:pPr>
      <w:bookmarkStart w:id="37" w:name="_Toc241618965"/>
      <w:r w:rsidRPr="00EE4FC1">
        <w:rPr>
          <w:rFonts w:ascii="Arial" w:eastAsia="PMingLiU" w:hAnsi="Arial" w:cs="Arial"/>
          <w:b/>
          <w:bCs/>
          <w:sz w:val="22"/>
          <w:szCs w:val="22"/>
          <w:lang w:val="en-US" w:eastAsia="zh-CN"/>
        </w:rPr>
        <w:t xml:space="preserve">2.7 </w:t>
      </w:r>
      <w:r w:rsidRPr="00EE4FC1">
        <w:rPr>
          <w:rFonts w:ascii="Arial" w:eastAsia="PMingLiU" w:hAnsi="Arial" w:cs="Arial"/>
          <w:b/>
          <w:bCs/>
          <w:sz w:val="22"/>
          <w:szCs w:val="22"/>
          <w:lang w:eastAsia="zh-CN"/>
        </w:rPr>
        <w:t>Theoretical Framework</w:t>
      </w:r>
      <w:bookmarkEnd w:id="37"/>
      <w:r w:rsidRPr="00EE4FC1">
        <w:rPr>
          <w:rFonts w:ascii="Arial" w:eastAsia="PMingLiU" w:hAnsi="Arial" w:cs="Arial"/>
          <w:b/>
          <w:bCs/>
          <w:sz w:val="22"/>
          <w:szCs w:val="22"/>
          <w:lang w:eastAsia="zh-CN"/>
        </w:rPr>
        <w:t xml:space="preserve"> </w:t>
      </w:r>
    </w:p>
    <w:p w14:paraId="16FC24D7"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Theoretical frameworks allow us to gain insight into the factors that affect patient experiences and satisfaction with telemedicine services. Since the provision of healthcare services through telemedicine involves digital technology, it is crucial to analyse technology acceptance and healthcare quality aspects. The Technology Acceptance Model (TAM) and the Donabedian Quality of Care Framework are the bases of this study. The Donabedian Framework is a tool for measuring healthcare quality by looking at the three components: structure, process, and outcome, and the Technology Acceptance Model describes the perceptions and adoption of technology by users.</w:t>
      </w:r>
    </w:p>
    <w:p w14:paraId="621E0187"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2.7.1 Technology Acceptance Model (TAM)</w:t>
      </w:r>
    </w:p>
    <w:p w14:paraId="342D8570"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eastAsia="zh-CN"/>
        </w:rPr>
        <w:t xml:space="preserve">This trend is well established and is evident above: patient responses to the telephone consultation were that it was easier to access, while those to the video consultation were that it communicated more. Mapping onto TAM's two constructs, this is the case as shown above </w:t>
      </w:r>
      <w:r w:rsidRPr="00EE4FC1">
        <w:rPr>
          <w:rFonts w:ascii="Arial" w:eastAsia="PMingLiU" w:hAnsi="Arial" w:cs="Arial"/>
          <w:sz w:val="22"/>
          <w:szCs w:val="22"/>
          <w:lang w:eastAsia="zh-CN"/>
        </w:rPr>
        <w:lastRenderedPageBreak/>
        <w:t>in Figure 1. Davis (1989) states that perceived usefulness, the belief that the technology will increase the organisation's outcomes, and perceived ease of use, the belief that the technology is easy to use, are the greatest factors in determining a user's intention to adopt the technology. When used in telemedicine, this means that patients might prefer a telephone consultation despite its lack of the video option if it is less technically demanding, which may be one reason for the conflicting results noted in Section 2.6.</w:t>
      </w:r>
    </w:p>
    <w:p w14:paraId="29FEC6C9" w14:textId="77777777" w:rsidR="00EE4FC1" w:rsidRPr="00EE4FC1" w:rsidRDefault="00722D8E" w:rsidP="00EE4FC1">
      <w:pPr>
        <w:spacing w:line="360" w:lineRule="auto"/>
        <w:jc w:val="both"/>
        <w:rPr>
          <w:rFonts w:ascii="Arial" w:eastAsia="PMingLiU" w:hAnsi="Arial" w:cs="Arial"/>
          <w:sz w:val="22"/>
          <w:szCs w:val="22"/>
          <w:lang w:val="en-US" w:eastAsia="zh-CN"/>
        </w:rPr>
      </w:pPr>
      <w:r w:rsidRPr="00EE4FC1">
        <w:rPr>
          <w:rFonts w:ascii="Arial" w:eastAsia="PMingLiU" w:hAnsi="Arial" w:cs="Arial"/>
          <w:noProof/>
          <w:sz w:val="22"/>
          <w:szCs w:val="22"/>
          <w:lang w:eastAsia="zh-CN"/>
        </w:rPr>
        <w:drawing>
          <wp:inline distT="0" distB="0" distL="0" distR="0" wp14:anchorId="394B7537" wp14:editId="1EDCA064">
            <wp:extent cx="5945505" cy="2327275"/>
            <wp:effectExtent l="0" t="0" r="0" b="0"/>
            <wp:docPr id="1" name="Picture 2" descr="Technology acceptance model as the theoretical framework elements of this model.TAM is a revision of the Theory of Reasoned Action (TRA) in the area of Information System (IS). TAM considers that an individual's intention to use a system will be verified by perceived usefulness and perceived ease of use of that system. TRA and TAM presume that when someone develops an objective to perform, that they will be free to execute without restraint. Although some of limitations such as limited skill, time, environmental or organizational limits and unconscious habits will limit the liberty to take action. This model implies that when a new software package is given to the users, Perceived Usefulness and Perceived Ease of Use will impact their determinations about how and when they will use the new software. Various studies have been carried out by using the TAM in order to investigate the usage of IT. Davis et al. (1992) examined the Theory of Reasoned Action (TRA) with TAM to find out &quot;combination factors of the two models with the purpose of being delivered more complete sight of what will determine the users' acceptance.&quot; Information systems use, takes a variety of theoretical perspective. Of all the theories, the Technology Acceptance Model (TAM) is considered the most influential and commonly employed theory for describing an individual's acceptance of information systems. TAM, assumes that an individual's information systems acceptance is determined by these major variables (Appendix 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Technology acceptance model as the theoretical framework elements of this model.TAM is a revision of the Theory of Reasoned Action (TRA) in the area of Information System (IS). TAM considers that an individual's intention to use a system will be verified by perceived usefulness and perceived ease of use of that system. TRA and TAM presume that when someone develops an objective to perform, that they will be free to execute without restraint. Although some of limitations such as limited skill, time, environmental or organizational limits and unconscious habits will limit the liberty to take action. This model implies that when a new software package is given to the users, Perceived Usefulness and Perceived Ease of Use will impact their determinations about how and when they will use the new software. Various studies have been carried out by using the TAM in order to investigate the usage of IT. Davis et al. (1992) examined the Theory of Reasoned Action (TRA) with TAM to find out &quot;combination factors of the two models with the purpose of being delivered more complete sight of what will determine the users' acceptance.&quot; Information systems use, takes a variety of theoretical perspective. Of all the theories, the Technology Acceptance Model (TAM) is considered the most influential and commonly employed theory for describing an individual's acceptance of information systems. TAM, assumes that an individual's information systems acceptance is determined by these major variables (Appendix A):"/>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5505" cy="2327275"/>
                    </a:xfrm>
                    <a:prstGeom prst="rect">
                      <a:avLst/>
                    </a:prstGeom>
                    <a:noFill/>
                    <a:ln>
                      <a:noFill/>
                    </a:ln>
                  </pic:spPr>
                </pic:pic>
              </a:graphicData>
            </a:graphic>
          </wp:inline>
        </w:drawing>
      </w:r>
    </w:p>
    <w:p w14:paraId="2E1CC9F0" w14:textId="77777777" w:rsidR="00EE4FC1" w:rsidRPr="00EE4FC1" w:rsidRDefault="00F9724A" w:rsidP="00EE4FC1">
      <w:pPr>
        <w:spacing w:line="360" w:lineRule="auto"/>
        <w:jc w:val="center"/>
        <w:rPr>
          <w:rFonts w:ascii="Arial" w:eastAsia="PMingLiU" w:hAnsi="Arial" w:cs="Arial"/>
          <w:sz w:val="22"/>
          <w:szCs w:val="22"/>
          <w:lang w:val="en-US" w:eastAsia="zh-CN"/>
        </w:rPr>
      </w:pPr>
      <w:r w:rsidRPr="00F9724A">
        <w:rPr>
          <w:rFonts w:ascii="Arial" w:eastAsia="PMingLiU" w:hAnsi="Arial" w:cs="Arial"/>
          <w:sz w:val="22"/>
          <w:szCs w:val="22"/>
          <w:lang w:eastAsia="zh-CN"/>
        </w:rPr>
        <w:t>Figure 1: The Technology Acceptance Model (Source: Davis, 1989)</w:t>
      </w:r>
    </w:p>
    <w:p w14:paraId="217BC984" w14:textId="77777777" w:rsid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This lens also sheds light on the digital exclusion tension mentioned earlier: patients with lower digital confidence are overrepresented in the older age brackets (Ilali et al., 2023; Jokisch et al., 2022) and might find even an idealised modality less useful if it is more complex in its operation. Ease of use, on the other hand, has been found to correlate highly with willingness to engage in other research, such as that done </w:t>
      </w:r>
      <w:r w:rsidRPr="00EE4FC1">
        <w:rPr>
          <w:rFonts w:ascii="Arial" w:eastAsia="PMingLiU" w:hAnsi="Arial" w:cs="Arial"/>
          <w:sz w:val="22"/>
          <w:szCs w:val="22"/>
          <w:lang w:eastAsia="zh-CN"/>
        </w:rPr>
        <w:t>Wardlow, Roberts and Archbald-Pannone</w:t>
      </w:r>
      <w:r w:rsidRPr="00EE4FC1">
        <w:rPr>
          <w:rFonts w:ascii="Arial" w:eastAsia="PMingLiU" w:hAnsi="Arial" w:cs="Arial"/>
          <w:sz w:val="22"/>
          <w:szCs w:val="22"/>
          <w:lang w:val="en-US" w:eastAsia="zh-CN"/>
        </w:rPr>
        <w:t xml:space="preserve"> (2022) and Li et al. (2022). TAM thus provides a foundation for understanding differences in reading satisfaction by modality, in part because of differences in access to the modality, and not simply because of differences in preferences.</w:t>
      </w:r>
    </w:p>
    <w:p w14:paraId="6F5CAFA0"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2.7.2 Donabedian Quality of Care Framework</w:t>
      </w:r>
    </w:p>
    <w:p w14:paraId="51CA8FE0"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The explanation for patients' choice of a modality provided by TAM remains relatively descriptive of the situation prior to the consultation and does not say much about the quality of the consultation, which is foundational for satisfaction (Section 2.5). The Donabedian Framework expresses that dimension, as illustrated in Figure 2. Donabedian (1988) identifies three dimensions of health care quality: structure, process and outcome. Mapped onto the telephone-versus-video comparison presented in Section 2.6, the three components are: structure: the technological infrastructure each modality requires; process: the communication that Hammersley et al. (2019) </w:t>
      </w:r>
      <w:r w:rsidRPr="0046380A">
        <w:rPr>
          <w:rFonts w:ascii="Arial" w:eastAsia="PMingLiU" w:hAnsi="Arial" w:cs="Arial"/>
          <w:sz w:val="22"/>
          <w:szCs w:val="22"/>
          <w:lang w:val="en-US" w:eastAsia="zh-CN"/>
        </w:rPr>
        <w:t>and Greenhalgh et al. (2020a) found</w:t>
      </w:r>
      <w:r w:rsidRPr="00EE4FC1">
        <w:rPr>
          <w:rFonts w:ascii="Arial" w:eastAsia="PMingLiU" w:hAnsi="Arial" w:cs="Arial"/>
          <w:sz w:val="22"/>
          <w:szCs w:val="22"/>
          <w:lang w:val="en-US" w:eastAsia="zh-CN"/>
        </w:rPr>
        <w:t xml:space="preserve"> to differ between the modalities; and outcome: the satisfaction evidence this review seeks to synthesise.</w:t>
      </w:r>
    </w:p>
    <w:p w14:paraId="62FE5CDD" w14:textId="77777777" w:rsidR="00EE4FC1" w:rsidRPr="00EE4FC1" w:rsidRDefault="00722D8E" w:rsidP="00EE4FC1">
      <w:pPr>
        <w:spacing w:line="360" w:lineRule="auto"/>
        <w:jc w:val="both"/>
        <w:rPr>
          <w:rFonts w:ascii="Arial" w:eastAsia="PMingLiU" w:hAnsi="Arial" w:cs="Arial"/>
          <w:sz w:val="22"/>
          <w:szCs w:val="22"/>
          <w:lang w:val="en-US" w:eastAsia="zh-CN"/>
        </w:rPr>
      </w:pPr>
      <w:r w:rsidRPr="00EE4FC1">
        <w:rPr>
          <w:rFonts w:ascii="Arial" w:eastAsia="PMingLiU" w:hAnsi="Arial" w:cs="Arial"/>
          <w:noProof/>
          <w:sz w:val="22"/>
          <w:szCs w:val="22"/>
          <w:lang w:eastAsia="zh-CN"/>
        </w:rPr>
        <w:lastRenderedPageBreak/>
        <w:drawing>
          <wp:inline distT="0" distB="0" distL="0" distR="0" wp14:anchorId="1101D4E7" wp14:editId="0E515AB8">
            <wp:extent cx="5823585" cy="2051050"/>
            <wp:effectExtent l="0" t="0" r="0" b="0"/>
            <wp:docPr id="2" name="Picture 3" descr="Donabedian’s Model for Health care Quality Management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Donabedian’s Model for Health care Quality Management "/>
                    <pic:cNvPicPr>
                      <a:picLocks/>
                    </pic:cNvPicPr>
                  </pic:nvPicPr>
                  <pic:blipFill>
                    <a:blip r:embed="rId16">
                      <a:extLst>
                        <a:ext uri="{28A0092B-C50C-407E-A947-70E740481C1C}">
                          <a14:useLocalDpi xmlns:a14="http://schemas.microsoft.com/office/drawing/2010/main" val="0"/>
                        </a:ext>
                      </a:extLst>
                    </a:blip>
                    <a:srcRect t="10826" b="12820"/>
                    <a:stretch>
                      <a:fillRect/>
                    </a:stretch>
                  </pic:blipFill>
                  <pic:spPr bwMode="auto">
                    <a:xfrm>
                      <a:off x="0" y="0"/>
                      <a:ext cx="5823585" cy="2051050"/>
                    </a:xfrm>
                    <a:prstGeom prst="rect">
                      <a:avLst/>
                    </a:prstGeom>
                    <a:noFill/>
                    <a:ln>
                      <a:noFill/>
                    </a:ln>
                  </pic:spPr>
                </pic:pic>
              </a:graphicData>
            </a:graphic>
          </wp:inline>
        </w:drawing>
      </w:r>
    </w:p>
    <w:p w14:paraId="533D77FB" w14:textId="77777777" w:rsidR="00EE4FC1" w:rsidRPr="00EE4FC1" w:rsidRDefault="00EE4FC1" w:rsidP="00EE4FC1">
      <w:pPr>
        <w:spacing w:after="200" w:line="360" w:lineRule="auto"/>
        <w:jc w:val="center"/>
        <w:rPr>
          <w:rFonts w:ascii="Arial" w:eastAsia="Arial" w:hAnsi="Arial" w:cs="Arial"/>
          <w:kern w:val="0"/>
          <w:sz w:val="22"/>
          <w:szCs w:val="22"/>
          <w:lang w:val="en-US"/>
        </w:rPr>
      </w:pPr>
      <w:bookmarkStart w:id="38" w:name="_Toc238386417"/>
      <w:r w:rsidRPr="00EE4FC1">
        <w:rPr>
          <w:rFonts w:ascii="Arial" w:eastAsia="Arial" w:hAnsi="Arial" w:cs="Arial"/>
          <w:kern w:val="0"/>
          <w:sz w:val="22"/>
          <w:szCs w:val="22"/>
        </w:rPr>
        <w:t xml:space="preserve">Figure </w:t>
      </w:r>
      <w:r w:rsidRPr="00EE4FC1">
        <w:rPr>
          <w:rFonts w:ascii="Arial" w:eastAsia="Arial" w:hAnsi="Arial" w:cs="Arial"/>
          <w:kern w:val="0"/>
          <w:sz w:val="22"/>
          <w:szCs w:val="22"/>
        </w:rPr>
        <w:fldChar w:fldCharType="begin"/>
      </w:r>
      <w:r w:rsidRPr="00EE4FC1">
        <w:rPr>
          <w:rFonts w:ascii="Arial" w:eastAsia="Arial" w:hAnsi="Arial" w:cs="Arial"/>
          <w:kern w:val="0"/>
          <w:sz w:val="22"/>
          <w:szCs w:val="22"/>
        </w:rPr>
        <w:instrText xml:space="preserve"> SEQ Figure \* ARABIC </w:instrText>
      </w:r>
      <w:r w:rsidRPr="00EE4FC1">
        <w:rPr>
          <w:rFonts w:ascii="Arial" w:eastAsia="Arial" w:hAnsi="Arial" w:cs="Arial"/>
          <w:kern w:val="0"/>
          <w:sz w:val="22"/>
          <w:szCs w:val="22"/>
        </w:rPr>
        <w:fldChar w:fldCharType="separate"/>
      </w:r>
      <w:r w:rsidRPr="00EE4FC1">
        <w:rPr>
          <w:rFonts w:ascii="Arial" w:eastAsia="Arial" w:hAnsi="Arial" w:cs="Arial"/>
          <w:noProof/>
          <w:kern w:val="0"/>
          <w:sz w:val="22"/>
          <w:szCs w:val="22"/>
        </w:rPr>
        <w:t>2</w:t>
      </w:r>
      <w:r w:rsidRPr="00EE4FC1">
        <w:rPr>
          <w:rFonts w:ascii="Arial" w:eastAsia="Arial" w:hAnsi="Arial" w:cs="Arial"/>
          <w:kern w:val="0"/>
          <w:sz w:val="22"/>
          <w:szCs w:val="22"/>
        </w:rPr>
        <w:fldChar w:fldCharType="end"/>
      </w:r>
      <w:r w:rsidRPr="00EE4FC1">
        <w:rPr>
          <w:rFonts w:ascii="Arial" w:eastAsia="Arial" w:hAnsi="Arial" w:cs="Arial"/>
          <w:kern w:val="0"/>
          <w:sz w:val="22"/>
          <w:szCs w:val="22"/>
        </w:rPr>
        <w:t xml:space="preserve">: </w:t>
      </w:r>
      <w:r w:rsidRPr="00EE4FC1">
        <w:rPr>
          <w:rFonts w:ascii="Arial" w:eastAsia="Arial" w:hAnsi="Arial" w:cs="Arial"/>
          <w:kern w:val="0"/>
          <w:sz w:val="22"/>
          <w:szCs w:val="22"/>
          <w:lang w:val="en-US"/>
        </w:rPr>
        <w:t>Donabedian Quality of Care Framework (Source: Donabedian, 1988)</w:t>
      </w:r>
      <w:bookmarkEnd w:id="38"/>
    </w:p>
    <w:p w14:paraId="7830AF06"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Applied to this study's objectives, structural factors, connectivity, platform reliability, and device access, are expected to affect the two modalities unevenly, since video imposes greater technical demands. Process factors, communication quality and responsiveness, are most likely to distinguish them, given that Rush et al. (2018) and Barsom et al. (2020) found video associated with stronger rapport. Outcome factors, satisfaction and adherence, are this review's central concern. Batbaatar et al. (2017) identify communication and responsiveness as key determinants of satisfaction, while Alfarwan et al. (2024) showed effective telemedicine can improve outcomes; read through Donabedian, satisfaction differences may originate primarily at the process stage. </w:t>
      </w:r>
    </w:p>
    <w:p w14:paraId="7EB76705"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39" w:name="_Toc241618966"/>
      <w:r w:rsidRPr="00EE4FC1">
        <w:rPr>
          <w:rFonts w:ascii="Arial" w:eastAsia="PMingLiU" w:hAnsi="Arial" w:cs="Arial"/>
          <w:b/>
          <w:bCs/>
          <w:sz w:val="22"/>
          <w:szCs w:val="22"/>
          <w:lang w:val="en-US" w:eastAsia="zh-CN"/>
        </w:rPr>
        <w:t>2.8 Literature Gap</w:t>
      </w:r>
      <w:bookmarkEnd w:id="39"/>
    </w:p>
    <w:p w14:paraId="5CF835F5" w14:textId="1C6FABD0"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Policy and service evidence also indicates that digital access should be considered in the context of the larger organisation of UK general practice. National plans have highlighted the importance of digital routes, as well as integrated and personalised access to health and social care, and assessments have emphasised that hybrid provision and alternative routes to access services are equally important for people who are not able to or do not want to use online systems (Chappell et al.</w:t>
      </w:r>
      <w:r w:rsidR="0084650B">
        <w:rPr>
          <w:rFonts w:ascii="Arial" w:eastAsia="PMingLiU" w:hAnsi="Arial" w:cs="Arial"/>
          <w:sz w:val="22"/>
          <w:szCs w:val="22"/>
          <w:lang w:eastAsia="zh-CN"/>
        </w:rPr>
        <w:t xml:space="preserve">, </w:t>
      </w:r>
      <w:r w:rsidRPr="00EE4FC1">
        <w:rPr>
          <w:rFonts w:ascii="Arial" w:eastAsia="PMingLiU" w:hAnsi="Arial" w:cs="Arial"/>
          <w:sz w:val="22"/>
          <w:szCs w:val="22"/>
          <w:lang w:eastAsia="zh-CN"/>
        </w:rPr>
        <w:t>2023; NHS England, 2019; NHS England, 2022; NHS England, 2023a; NHS England Digital, 2026).</w:t>
      </w:r>
    </w:p>
    <w:p w14:paraId="393ADDAF" w14:textId="72B75C6E"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The literature on telemedicine has been well researched, but there are a number of gaps, especially in the patient satisfaction literature in UK primary care. The current research has been mainly directed toward implementing, the advantages, and the barriers to accessing TMT instead of a detailed review that summarises the factors affecting patient satisfaction. Murphy et al. (2021), for instance, have investigated how remote consulting has been rolled out in primary care settings in the UK after COVID-19, and Salisbury et al. (2020) have looked at the effect of implementing digital-first consultations on general practice workload. These studies </w:t>
      </w:r>
      <w:r w:rsidRPr="00EE4FC1">
        <w:rPr>
          <w:rFonts w:ascii="Arial" w:eastAsia="PMingLiU" w:hAnsi="Arial" w:cs="Arial"/>
          <w:sz w:val="22"/>
          <w:szCs w:val="22"/>
          <w:lang w:eastAsia="zh-CN"/>
        </w:rPr>
        <w:lastRenderedPageBreak/>
        <w:t xml:space="preserve">provide useful information about the adoption of </w:t>
      </w:r>
      <w:r w:rsidR="003F2B59" w:rsidRPr="00EE4FC1">
        <w:rPr>
          <w:rFonts w:ascii="Arial" w:eastAsia="PMingLiU" w:hAnsi="Arial" w:cs="Arial"/>
          <w:sz w:val="22"/>
          <w:szCs w:val="22"/>
          <w:lang w:eastAsia="zh-CN"/>
        </w:rPr>
        <w:t>telemedicine but</w:t>
      </w:r>
      <w:r w:rsidRPr="00EE4FC1">
        <w:rPr>
          <w:rFonts w:ascii="Arial" w:eastAsia="PMingLiU" w:hAnsi="Arial" w:cs="Arial"/>
          <w:sz w:val="22"/>
          <w:szCs w:val="22"/>
          <w:lang w:eastAsia="zh-CN"/>
        </w:rPr>
        <w:t xml:space="preserve"> lack the evaluation of patient satisfaction results.</w:t>
      </w:r>
    </w:p>
    <w:p w14:paraId="225748B6" w14:textId="663D513B"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sz w:val="22"/>
          <w:szCs w:val="22"/>
          <w:lang w:eastAsia="zh-CN"/>
        </w:rPr>
        <w:t xml:space="preserve">Additionally, there is limited evidence of patient satisfaction that has been obtained from a wider telehealth setting, not specific to UK primary care. For example, Kruse et al. (2017) performed a systematic review of telehealth and patient satisfaction in different health-care contexts, and Alashek and Ali (2024) did a review on satisfaction with telemedicine during the COVID-19 pandemic. These reviews, however, were conducted in a wide range of healthcare settings and patient </w:t>
      </w:r>
      <w:r w:rsidR="003F2B59" w:rsidRPr="00EE4FC1">
        <w:rPr>
          <w:rFonts w:ascii="Arial" w:eastAsia="PMingLiU" w:hAnsi="Arial" w:cs="Arial"/>
          <w:sz w:val="22"/>
          <w:szCs w:val="22"/>
          <w:lang w:eastAsia="zh-CN"/>
        </w:rPr>
        <w:t>groups and</w:t>
      </w:r>
      <w:r w:rsidRPr="00EE4FC1">
        <w:rPr>
          <w:rFonts w:ascii="Arial" w:eastAsia="PMingLiU" w:hAnsi="Arial" w:cs="Arial"/>
          <w:sz w:val="22"/>
          <w:szCs w:val="22"/>
          <w:lang w:eastAsia="zh-CN"/>
        </w:rPr>
        <w:t xml:space="preserve"> therefore cannot be directly applied to adults in primary care in the UK.</w:t>
      </w:r>
    </w:p>
    <w:p w14:paraId="098D2232"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Furthermore, there have been studies investigating patients' satisfaction with remote consultations in the UK, including Lifford et al. (2023), and the evidence is varied in terms of what factors impact satisfaction with remote consultations and the differences between experiences of telephone and video consultations. There are important differences between the consultation modalities identified in Caffery et al. (2024) and Byambasuren et al. (2023) but there is a need to carry out a focused synthesis of existing evidence within the UK primary care setting. This systematic review aims to review critically and synthesise the evidence relating to satisfaction of adult patients with telemedicine services in primary care in the UK, identify the key factors that explain patient satisfaction and compare patient experience across the various modalities of telemedicine.</w:t>
      </w:r>
    </w:p>
    <w:p w14:paraId="066594DC"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40" w:name="_Toc241618967"/>
      <w:r w:rsidRPr="00EE4FC1">
        <w:rPr>
          <w:rFonts w:ascii="Arial" w:eastAsia="PMingLiU" w:hAnsi="Arial" w:cs="Arial"/>
          <w:b/>
          <w:bCs/>
          <w:sz w:val="22"/>
          <w:szCs w:val="22"/>
          <w:lang w:val="en-US" w:eastAsia="zh-CN"/>
        </w:rPr>
        <w:t>2.9 Chapter Summary</w:t>
      </w:r>
      <w:bookmarkEnd w:id="40"/>
    </w:p>
    <w:p w14:paraId="020C7459" w14:textId="296BB8D6"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In this chapter the literature pertaining to telemedicine and patient satisfaction in UK primary care was reviewed. It examined the concept and development of telemedicine and how its use had grown in healthcare delivery – specifically, after the COVID-19 pandemic. The chapter also reviewed the use of telemedicine in primary care in the UK and looked at the factors that affect patient satisfaction such as communication, accessibility, usability of the technology, and care effectiveness. In addition, </w:t>
      </w:r>
      <w:r w:rsidR="003F2B59" w:rsidRPr="00EE4FC1">
        <w:rPr>
          <w:rFonts w:ascii="Arial" w:eastAsia="PMingLiU" w:hAnsi="Arial" w:cs="Arial"/>
          <w:sz w:val="22"/>
          <w:szCs w:val="22"/>
          <w:lang w:val="en-US" w:eastAsia="zh-CN"/>
        </w:rPr>
        <w:t>telephone</w:t>
      </w:r>
      <w:r w:rsidRPr="00EE4FC1">
        <w:rPr>
          <w:rFonts w:ascii="Arial" w:eastAsia="PMingLiU" w:hAnsi="Arial" w:cs="Arial"/>
          <w:sz w:val="22"/>
          <w:szCs w:val="22"/>
          <w:lang w:val="en-US" w:eastAsia="zh-CN"/>
        </w:rPr>
        <w:t xml:space="preserve"> and video consultation were compared, revealing different advantages and disadvantages that could impact patient experiences. The theoretical frameworks used in this study were Technology Acceptance Model and Donabedian Quality of Care Framework. Lastly, it was noted that there was a lack of research to address certain gaps in the literature which served as rationale for the systematic review conducted in this study.</w:t>
      </w:r>
    </w:p>
    <w:p w14:paraId="32D82531" w14:textId="77777777" w:rsidR="00EE4FC1" w:rsidRDefault="00EE4FC1" w:rsidP="00EE4FC1">
      <w:pPr>
        <w:spacing w:line="360" w:lineRule="auto"/>
        <w:rPr>
          <w:rFonts w:ascii="Arial" w:eastAsia="PMingLiU" w:hAnsi="Arial" w:cs="Arial"/>
          <w:sz w:val="22"/>
          <w:szCs w:val="22"/>
          <w:lang w:eastAsia="zh-CN"/>
        </w:rPr>
      </w:pPr>
    </w:p>
    <w:p w14:paraId="159C36C3" w14:textId="77777777" w:rsidR="00EE4FC1" w:rsidRPr="00EE4FC1" w:rsidRDefault="00EE4FC1" w:rsidP="00EE4FC1">
      <w:pPr>
        <w:keepNext/>
        <w:keepLines/>
        <w:spacing w:before="360" w:after="80" w:line="360" w:lineRule="auto"/>
        <w:jc w:val="center"/>
        <w:outlineLvl w:val="0"/>
        <w:rPr>
          <w:rFonts w:ascii="Arial" w:eastAsia="PMingLiU" w:hAnsi="Arial" w:cs="Arial"/>
          <w:b/>
          <w:bCs/>
          <w:sz w:val="22"/>
          <w:szCs w:val="22"/>
          <w:lang w:eastAsia="zh-CN"/>
        </w:rPr>
      </w:pPr>
      <w:bookmarkStart w:id="41" w:name="_Toc241618968"/>
      <w:r w:rsidRPr="00EE4FC1">
        <w:rPr>
          <w:rFonts w:ascii="Arial" w:eastAsia="PMingLiU" w:hAnsi="Arial" w:cs="Arial"/>
          <w:b/>
          <w:bCs/>
          <w:sz w:val="22"/>
          <w:szCs w:val="22"/>
          <w:lang w:eastAsia="zh-CN"/>
        </w:rPr>
        <w:lastRenderedPageBreak/>
        <w:t>CHAPTER THREE</w:t>
      </w:r>
      <w:bookmarkEnd w:id="41"/>
    </w:p>
    <w:p w14:paraId="24ED83B9" w14:textId="77777777" w:rsidR="00EE4FC1" w:rsidRPr="00EE4FC1" w:rsidRDefault="00EE4FC1" w:rsidP="00EE4FC1">
      <w:pPr>
        <w:keepNext/>
        <w:keepLines/>
        <w:spacing w:before="360" w:after="80" w:line="360" w:lineRule="auto"/>
        <w:jc w:val="center"/>
        <w:outlineLvl w:val="0"/>
        <w:rPr>
          <w:rFonts w:ascii="Arial" w:eastAsia="PMingLiU" w:hAnsi="Arial" w:cs="Arial"/>
          <w:b/>
          <w:bCs/>
          <w:sz w:val="22"/>
          <w:szCs w:val="22"/>
          <w:lang w:eastAsia="zh-CN"/>
        </w:rPr>
      </w:pPr>
      <w:bookmarkStart w:id="42" w:name="_Toc241618969"/>
      <w:r w:rsidRPr="00EE4FC1">
        <w:rPr>
          <w:rFonts w:ascii="Arial" w:eastAsia="PMingLiU" w:hAnsi="Arial" w:cs="Arial"/>
          <w:b/>
          <w:bCs/>
          <w:sz w:val="22"/>
          <w:szCs w:val="22"/>
          <w:lang w:eastAsia="zh-CN"/>
        </w:rPr>
        <w:t>RESEARCH METHODOLOGY</w:t>
      </w:r>
      <w:bookmarkEnd w:id="42"/>
    </w:p>
    <w:p w14:paraId="46E3227A"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The method employed in answering the research question and ensuring the objectives of the study were attained is presented in this chapter. It outlines the design of the systematic review, the research paradigm, the search process, the process of selecting studies, the inclusion and exclusion criteria, the quality appraisal process, and the process of synthesising the data. Ethical issues and methodological constraints are also discussed to ensure the transparency, rigour and reliability of the review process throughout the chapter.</w:t>
      </w:r>
    </w:p>
    <w:p w14:paraId="12AE8D19"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43" w:name="_Toc241618970"/>
      <w:r w:rsidRPr="00EE4FC1">
        <w:rPr>
          <w:rFonts w:ascii="Arial" w:eastAsia="PMingLiU" w:hAnsi="Arial" w:cs="Arial"/>
          <w:b/>
          <w:bCs/>
          <w:sz w:val="22"/>
          <w:szCs w:val="22"/>
          <w:lang w:val="en-US" w:eastAsia="zh-CN"/>
        </w:rPr>
        <w:t xml:space="preserve">3.1 </w:t>
      </w:r>
      <w:r w:rsidRPr="00EE4FC1">
        <w:rPr>
          <w:rFonts w:ascii="Arial" w:eastAsia="PMingLiU" w:hAnsi="Arial" w:cs="Arial"/>
          <w:b/>
          <w:bCs/>
          <w:sz w:val="22"/>
          <w:szCs w:val="22"/>
          <w:lang w:eastAsia="zh-CN"/>
        </w:rPr>
        <w:t>Research Design</w:t>
      </w:r>
      <w:bookmarkEnd w:id="43"/>
    </w:p>
    <w:p w14:paraId="4D67A557"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The study used systematic literature review research design to review and analyse the satisfaction of adult patients regarding the use of telemedicine services in the primary care settings in the United Kingdom (UK). To identify, appraise and synthesise existing evidence in a transparent, rigorous and reproducible way, a systematic review was considered as appropriate. According to Pati and Lorusso (2018), systematic reviews provide a structured approach for summarising and critically evaluating available literature on a specific research topic. Similarly, Gupta et al. (2018) stated that systematic reviews minimise bias through the use of predefined search strategies, inclusion criteria, and study selection procedures.</w:t>
      </w:r>
    </w:p>
    <w:p w14:paraId="1C3EC95C"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The systematic review design was selected because the study aims to consolidate evidence from multiple studies examining patient satisfaction with telemedicine rather than generating new primary data. According to Booth et al. (2022), systematic reviews are particularly useful for identifying patterns, inconsistencies, and gaps within existing research while providing evidence-based conclusions. Furthermore, Chen (2017) revealed that systematic approaches to literature synthesis facilitate a comprehensive understanding of developments within a research field by integrating findings from diverse sources.</w:t>
      </w:r>
    </w:p>
    <w:p w14:paraId="2FBF7E3A"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sz w:val="22"/>
          <w:szCs w:val="22"/>
          <w:lang w:val="en-US" w:eastAsia="zh-CN"/>
        </w:rPr>
        <w:t xml:space="preserve">The review followed a structured process involving database searching, study screening, quality appraisal, data extraction, and thematic synthesis of findings (Check Appendix 1). As stated by Gupta et al. (2018), the systematic review method enhances the reliability and credibility of research findings by ensuring that evidence is collected and analysed using consistent procedures. </w:t>
      </w:r>
      <w:r w:rsidRPr="00EE4FC1">
        <w:rPr>
          <w:rFonts w:ascii="Arial" w:eastAsia="PMingLiU" w:hAnsi="Arial" w:cs="Arial"/>
          <w:sz w:val="22"/>
          <w:szCs w:val="22"/>
          <w:lang w:eastAsia="zh-CN"/>
        </w:rPr>
        <w:t>As a result, this design was deemed appropriate for the study aims and to provide an overall picture of the satisfaction of the telemedicine service among primary care patients in the UK.</w:t>
      </w:r>
    </w:p>
    <w:p w14:paraId="605A4C90"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44" w:name="_Toc241618971"/>
      <w:r w:rsidRPr="00EE4FC1">
        <w:rPr>
          <w:rFonts w:ascii="Arial" w:eastAsia="PMingLiU" w:hAnsi="Arial" w:cs="Arial"/>
          <w:b/>
          <w:bCs/>
          <w:sz w:val="22"/>
          <w:szCs w:val="22"/>
          <w:lang w:eastAsia="zh-CN"/>
        </w:rPr>
        <w:lastRenderedPageBreak/>
        <w:t>3.2 Search Strategy</w:t>
      </w:r>
      <w:bookmarkEnd w:id="44"/>
    </w:p>
    <w:p w14:paraId="033813D2" w14:textId="1BD6BB85" w:rsidR="00EE4FC1" w:rsidRPr="00EE4FC1" w:rsidRDefault="00EE4FC1" w:rsidP="00EE4FC1">
      <w:pPr>
        <w:spacing w:after="158" w:line="360" w:lineRule="auto"/>
        <w:jc w:val="both"/>
        <w:rPr>
          <w:rFonts w:ascii="Arial" w:eastAsia="DengXian" w:hAnsi="Arial" w:cs="Arial"/>
          <w:bCs/>
          <w:sz w:val="22"/>
          <w:szCs w:val="22"/>
          <w:lang w:val="en-US" w:eastAsia="zh-CN"/>
        </w:rPr>
      </w:pPr>
      <w:r w:rsidRPr="00EE4FC1">
        <w:rPr>
          <w:rFonts w:ascii="Arial" w:eastAsia="PMingLiU" w:hAnsi="Arial" w:cs="Arial"/>
          <w:sz w:val="22"/>
          <w:szCs w:val="22"/>
          <w:lang w:val="en-US" w:eastAsia="zh-CN"/>
        </w:rPr>
        <w:t>An extensive and systematic search process was used to find studies that included adult patients and their satisfaction with telemedicine in primary care in the United Kingdom. A literature search was performed in three electronic databases</w:t>
      </w:r>
      <w:r w:rsidR="007A2C5D">
        <w:rPr>
          <w:rFonts w:ascii="Arial" w:eastAsia="PMingLiU" w:hAnsi="Arial" w:cs="Arial"/>
          <w:sz w:val="22"/>
          <w:szCs w:val="22"/>
          <w:lang w:val="en-US" w:eastAsia="zh-CN"/>
        </w:rPr>
        <w:t>:</w:t>
      </w:r>
      <w:r w:rsidRPr="00EE4FC1">
        <w:rPr>
          <w:rFonts w:ascii="Arial" w:eastAsia="PMingLiU" w:hAnsi="Arial" w:cs="Arial"/>
          <w:sz w:val="22"/>
          <w:szCs w:val="22"/>
          <w:lang w:val="en-US" w:eastAsia="zh-CN"/>
        </w:rPr>
        <w:t xml:space="preserve"> </w:t>
      </w:r>
      <w:r w:rsidRPr="00EE4FC1">
        <w:rPr>
          <w:rFonts w:ascii="Arial" w:eastAsia="DengXian" w:hAnsi="Arial" w:cs="Arial"/>
          <w:bCs/>
          <w:sz w:val="22"/>
          <w:szCs w:val="22"/>
          <w:lang w:val="en-US" w:eastAsia="zh-CN"/>
        </w:rPr>
        <w:t>PubMed, CINAHL and Google Scholar</w:t>
      </w:r>
      <w:r w:rsidR="007A2C5D">
        <w:rPr>
          <w:rFonts w:ascii="Arial" w:eastAsia="PMingLiU" w:hAnsi="Arial" w:cs="Arial"/>
          <w:sz w:val="22"/>
          <w:szCs w:val="22"/>
          <w:lang w:val="en-US" w:eastAsia="zh-CN"/>
        </w:rPr>
        <w:t>. T</w:t>
      </w:r>
      <w:r w:rsidRPr="00EE4FC1">
        <w:rPr>
          <w:rFonts w:ascii="Arial" w:eastAsia="DengXian" w:hAnsi="Arial" w:cs="Arial"/>
          <w:bCs/>
          <w:sz w:val="22"/>
          <w:szCs w:val="22"/>
          <w:lang w:eastAsia="zh-CN"/>
        </w:rPr>
        <w:t>hese databases were searched using a PICO-informed search strategy. The searches were conducted on 12</w:t>
      </w:r>
      <w:r w:rsidRPr="00EE4FC1">
        <w:rPr>
          <w:rFonts w:ascii="Arial" w:eastAsia="DengXian" w:hAnsi="Arial" w:cs="Arial"/>
          <w:bCs/>
          <w:sz w:val="22"/>
          <w:szCs w:val="22"/>
          <w:vertAlign w:val="superscript"/>
          <w:lang w:eastAsia="zh-CN"/>
        </w:rPr>
        <w:t>th</w:t>
      </w:r>
      <w:r w:rsidRPr="00EE4FC1">
        <w:rPr>
          <w:rFonts w:ascii="Arial" w:eastAsia="DengXian" w:hAnsi="Arial" w:cs="Arial"/>
          <w:bCs/>
          <w:sz w:val="22"/>
          <w:szCs w:val="22"/>
          <w:lang w:eastAsia="zh-CN"/>
        </w:rPr>
        <w:t xml:space="preserve"> of June, 2026, 15</w:t>
      </w:r>
      <w:r w:rsidRPr="00EE4FC1">
        <w:rPr>
          <w:rFonts w:ascii="Arial" w:eastAsia="DengXian" w:hAnsi="Arial" w:cs="Arial"/>
          <w:bCs/>
          <w:sz w:val="22"/>
          <w:szCs w:val="22"/>
          <w:vertAlign w:val="superscript"/>
          <w:lang w:eastAsia="zh-CN"/>
        </w:rPr>
        <w:t>th</w:t>
      </w:r>
      <w:r w:rsidRPr="00EE4FC1">
        <w:rPr>
          <w:rFonts w:ascii="Arial" w:eastAsia="DengXian" w:hAnsi="Arial" w:cs="Arial"/>
          <w:bCs/>
          <w:sz w:val="22"/>
          <w:szCs w:val="22"/>
          <w:lang w:eastAsia="zh-CN"/>
        </w:rPr>
        <w:t xml:space="preserve"> June, 2026 and 18</w:t>
      </w:r>
      <w:r w:rsidRPr="00EE4FC1">
        <w:rPr>
          <w:rFonts w:ascii="Arial" w:eastAsia="DengXian" w:hAnsi="Arial" w:cs="Arial"/>
          <w:bCs/>
          <w:sz w:val="22"/>
          <w:szCs w:val="22"/>
          <w:vertAlign w:val="superscript"/>
          <w:lang w:eastAsia="zh-CN"/>
        </w:rPr>
        <w:t>th</w:t>
      </w:r>
      <w:r w:rsidRPr="00EE4FC1">
        <w:rPr>
          <w:rFonts w:ascii="Arial" w:eastAsia="DengXian" w:hAnsi="Arial" w:cs="Arial"/>
          <w:bCs/>
          <w:sz w:val="22"/>
          <w:szCs w:val="22"/>
          <w:lang w:eastAsia="zh-CN"/>
        </w:rPr>
        <w:t xml:space="preserve"> June, 2026, respectively, retrieving 20 records from PubMed, 19 records from CINAHL and 38 records from Google Scholar, giving a total of 77 records. </w:t>
      </w:r>
      <w:r w:rsidRPr="00EE4FC1">
        <w:rPr>
          <w:rFonts w:ascii="Arial" w:eastAsia="DengXian" w:hAnsi="Arial" w:cs="Arial"/>
          <w:bCs/>
          <w:sz w:val="22"/>
          <w:szCs w:val="22"/>
          <w:lang w:val="en-US" w:eastAsia="zh-CN"/>
        </w:rPr>
        <w:t>After screening and eligibility, 12 studies were included.</w:t>
      </w:r>
    </w:p>
    <w:p w14:paraId="195D1B29"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 xml:space="preserve">These databases were chosen because they cover a wide range of healthcare, nursing, public health and medical research literature. </w:t>
      </w:r>
      <w:r w:rsidRPr="00EE4FC1">
        <w:rPr>
          <w:rFonts w:ascii="Arial" w:eastAsia="PMingLiU" w:hAnsi="Arial" w:cs="Arial"/>
          <w:sz w:val="22"/>
          <w:szCs w:val="22"/>
          <w:lang w:eastAsia="zh-CN"/>
        </w:rPr>
        <w:t xml:space="preserve">Boland, Cherry and Dickson </w:t>
      </w:r>
      <w:r w:rsidRPr="00EE4FC1">
        <w:rPr>
          <w:rFonts w:ascii="Arial" w:eastAsia="PMingLiU" w:hAnsi="Arial" w:cs="Arial"/>
          <w:sz w:val="22"/>
          <w:szCs w:val="22"/>
          <w:lang w:val="en-US" w:eastAsia="zh-CN"/>
        </w:rPr>
        <w:t>(2017) suggest that multiple databases supplement the comprehensiveness of systematic reviews, and minimise the risk of excluding relevant studies.</w:t>
      </w:r>
    </w:p>
    <w:p w14:paraId="23E7AC65"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It used a Population, Intervention, Comparison, Outcome (PICO) framework (see Table 1) to direct the search process and keep it focused and structured. The PICO framework is designed to enhance the quality and accuracy of literature search by clearly outlining the main concepts of a research (Eriksen and Frandsen, 2018). </w:t>
      </w:r>
    </w:p>
    <w:p w14:paraId="09CD6786" w14:textId="77777777" w:rsidR="00EE4FC1" w:rsidRPr="00EE4FC1" w:rsidRDefault="00EE4FC1" w:rsidP="00EE4FC1">
      <w:pPr>
        <w:spacing w:after="200" w:line="360" w:lineRule="auto"/>
        <w:rPr>
          <w:rFonts w:ascii="Arial" w:eastAsia="Arial" w:hAnsi="Arial" w:cs="Arial"/>
          <w:kern w:val="0"/>
          <w:sz w:val="22"/>
          <w:szCs w:val="22"/>
          <w:lang w:val="en-US"/>
        </w:rPr>
      </w:pPr>
      <w:bookmarkStart w:id="45" w:name="_Toc238386923"/>
      <w:bookmarkStart w:id="46" w:name="_Toc238386937"/>
      <w:r w:rsidRPr="00EE4FC1">
        <w:rPr>
          <w:rFonts w:ascii="Arial" w:eastAsia="Arial" w:hAnsi="Arial" w:cs="Arial"/>
          <w:kern w:val="0"/>
          <w:sz w:val="22"/>
          <w:szCs w:val="22"/>
        </w:rPr>
        <w:t xml:space="preserve">Table </w:t>
      </w:r>
      <w:r w:rsidRPr="00EE4FC1">
        <w:rPr>
          <w:rFonts w:ascii="Arial" w:eastAsia="Arial" w:hAnsi="Arial" w:cs="Arial"/>
          <w:kern w:val="0"/>
          <w:sz w:val="22"/>
          <w:szCs w:val="22"/>
        </w:rPr>
        <w:fldChar w:fldCharType="begin"/>
      </w:r>
      <w:r w:rsidRPr="00EE4FC1">
        <w:rPr>
          <w:rFonts w:ascii="Arial" w:eastAsia="Arial" w:hAnsi="Arial" w:cs="Arial"/>
          <w:kern w:val="0"/>
          <w:sz w:val="22"/>
          <w:szCs w:val="22"/>
        </w:rPr>
        <w:instrText xml:space="preserve"> SEQ Table \* ARABIC </w:instrText>
      </w:r>
      <w:r w:rsidRPr="00EE4FC1">
        <w:rPr>
          <w:rFonts w:ascii="Arial" w:eastAsia="Arial" w:hAnsi="Arial" w:cs="Arial"/>
          <w:kern w:val="0"/>
          <w:sz w:val="22"/>
          <w:szCs w:val="22"/>
        </w:rPr>
        <w:fldChar w:fldCharType="separate"/>
      </w:r>
      <w:r w:rsidRPr="00EE4FC1">
        <w:rPr>
          <w:rFonts w:ascii="Arial" w:eastAsia="Arial" w:hAnsi="Arial" w:cs="Arial"/>
          <w:noProof/>
          <w:kern w:val="0"/>
          <w:sz w:val="22"/>
          <w:szCs w:val="22"/>
        </w:rPr>
        <w:t>1</w:t>
      </w:r>
      <w:r w:rsidRPr="00EE4FC1">
        <w:rPr>
          <w:rFonts w:ascii="Arial" w:eastAsia="Arial" w:hAnsi="Arial" w:cs="Arial"/>
          <w:kern w:val="0"/>
          <w:sz w:val="22"/>
          <w:szCs w:val="22"/>
        </w:rPr>
        <w:fldChar w:fldCharType="end"/>
      </w:r>
      <w:r w:rsidRPr="00EE4FC1">
        <w:rPr>
          <w:rFonts w:ascii="Arial" w:eastAsia="Arial" w:hAnsi="Arial" w:cs="Arial"/>
          <w:kern w:val="0"/>
          <w:sz w:val="22"/>
          <w:szCs w:val="22"/>
        </w:rPr>
        <w:t xml:space="preserve">: </w:t>
      </w:r>
      <w:r w:rsidRPr="00EE4FC1">
        <w:rPr>
          <w:rFonts w:ascii="Arial" w:eastAsia="Arial" w:hAnsi="Arial" w:cs="Arial"/>
          <w:b/>
          <w:bCs/>
          <w:kern w:val="0"/>
          <w:sz w:val="22"/>
          <w:szCs w:val="22"/>
          <w:lang w:val="en-US"/>
        </w:rPr>
        <w:t>PICO Framework for the Study</w:t>
      </w:r>
      <w:bookmarkEnd w:id="45"/>
      <w:bookmarkEnd w:id="46"/>
    </w:p>
    <w:tbl>
      <w:tblPr>
        <w:tblW w:w="112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30"/>
        <w:gridCol w:w="8820"/>
      </w:tblGrid>
      <w:tr w:rsidR="00EE4FC1" w:rsidRPr="00EE4FC1" w14:paraId="58C7B83A" w14:textId="77777777" w:rsidTr="00725F03">
        <w:trPr>
          <w:jc w:val="center"/>
        </w:trPr>
        <w:tc>
          <w:tcPr>
            <w:tcW w:w="2430" w:type="dxa"/>
            <w:vAlign w:val="center"/>
          </w:tcPr>
          <w:p w14:paraId="28094870" w14:textId="77777777" w:rsidR="00EE4FC1" w:rsidRPr="00EE4FC1" w:rsidRDefault="00EE4FC1" w:rsidP="00EE4FC1">
            <w:pPr>
              <w:spacing w:after="0" w:line="360" w:lineRule="auto"/>
              <w:jc w:val="center"/>
              <w:rPr>
                <w:rFonts w:ascii="Arial" w:eastAsia="Calibri" w:hAnsi="Arial" w:cs="Arial"/>
                <w:sz w:val="22"/>
                <w:szCs w:val="22"/>
                <w:lang w:eastAsia="zh-CN"/>
              </w:rPr>
            </w:pPr>
            <w:r w:rsidRPr="00EE4FC1">
              <w:rPr>
                <w:rFonts w:ascii="Arial" w:eastAsia="Calibri" w:hAnsi="Arial" w:cs="Arial"/>
                <w:b/>
                <w:bCs/>
                <w:sz w:val="22"/>
                <w:szCs w:val="22"/>
                <w:lang w:val="en-US" w:eastAsia="zh-CN"/>
              </w:rPr>
              <w:t>PICO Element</w:t>
            </w:r>
          </w:p>
        </w:tc>
        <w:tc>
          <w:tcPr>
            <w:tcW w:w="8820" w:type="dxa"/>
            <w:vAlign w:val="center"/>
          </w:tcPr>
          <w:p w14:paraId="072CB27A" w14:textId="77777777" w:rsidR="00EE4FC1" w:rsidRPr="00EE4FC1" w:rsidRDefault="00EE4FC1" w:rsidP="00EE4FC1">
            <w:pPr>
              <w:spacing w:after="0" w:line="360" w:lineRule="auto"/>
              <w:jc w:val="center"/>
              <w:rPr>
                <w:rFonts w:ascii="Arial" w:eastAsia="Calibri" w:hAnsi="Arial" w:cs="Arial"/>
                <w:sz w:val="22"/>
                <w:szCs w:val="22"/>
                <w:lang w:eastAsia="zh-CN"/>
              </w:rPr>
            </w:pPr>
            <w:r w:rsidRPr="00EE4FC1">
              <w:rPr>
                <w:rFonts w:ascii="Arial" w:eastAsia="Calibri" w:hAnsi="Arial" w:cs="Arial"/>
                <w:b/>
                <w:bCs/>
                <w:sz w:val="22"/>
                <w:szCs w:val="22"/>
                <w:lang w:val="en-US" w:eastAsia="zh-CN"/>
              </w:rPr>
              <w:t>Description</w:t>
            </w:r>
          </w:p>
        </w:tc>
      </w:tr>
      <w:tr w:rsidR="00EE4FC1" w:rsidRPr="00EE4FC1" w14:paraId="6E13EA77" w14:textId="77777777" w:rsidTr="00725F03">
        <w:trPr>
          <w:jc w:val="center"/>
        </w:trPr>
        <w:tc>
          <w:tcPr>
            <w:tcW w:w="2430" w:type="dxa"/>
            <w:vAlign w:val="center"/>
          </w:tcPr>
          <w:p w14:paraId="00F374F9"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b/>
                <w:bCs/>
                <w:sz w:val="22"/>
                <w:szCs w:val="22"/>
                <w:lang w:val="en-US" w:eastAsia="zh-CN"/>
              </w:rPr>
              <w:t>P (Population)</w:t>
            </w:r>
          </w:p>
        </w:tc>
        <w:tc>
          <w:tcPr>
            <w:tcW w:w="8820" w:type="dxa"/>
            <w:vAlign w:val="center"/>
          </w:tcPr>
          <w:p w14:paraId="16DB1727"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sz w:val="22"/>
                <w:szCs w:val="22"/>
                <w:lang w:val="en-US" w:eastAsia="zh-CN"/>
              </w:rPr>
              <w:t>Adult patients (aged 18 years and above) who have utilised telemedicine services within the UK primary care settings</w:t>
            </w:r>
          </w:p>
        </w:tc>
      </w:tr>
      <w:tr w:rsidR="00EE4FC1" w:rsidRPr="00EE4FC1" w14:paraId="262BAD72" w14:textId="77777777" w:rsidTr="00725F03">
        <w:trPr>
          <w:jc w:val="center"/>
        </w:trPr>
        <w:tc>
          <w:tcPr>
            <w:tcW w:w="2430" w:type="dxa"/>
            <w:vAlign w:val="center"/>
          </w:tcPr>
          <w:p w14:paraId="0D16BE86"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b/>
                <w:bCs/>
                <w:sz w:val="22"/>
                <w:szCs w:val="22"/>
                <w:lang w:val="en-US" w:eastAsia="zh-CN"/>
              </w:rPr>
              <w:t>I (Intervention)</w:t>
            </w:r>
          </w:p>
        </w:tc>
        <w:tc>
          <w:tcPr>
            <w:tcW w:w="8820" w:type="dxa"/>
            <w:vAlign w:val="center"/>
          </w:tcPr>
          <w:p w14:paraId="3C97C9F6"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sz w:val="22"/>
                <w:szCs w:val="22"/>
                <w:lang w:val="en-US" w:eastAsia="zh-CN"/>
              </w:rPr>
              <w:t>Telemedicine consultations, including telephone consultations, video consultations, and other virtual primary care services</w:t>
            </w:r>
          </w:p>
        </w:tc>
      </w:tr>
      <w:tr w:rsidR="00EE4FC1" w:rsidRPr="00EE4FC1" w14:paraId="520698B1" w14:textId="77777777" w:rsidTr="00725F03">
        <w:trPr>
          <w:jc w:val="center"/>
        </w:trPr>
        <w:tc>
          <w:tcPr>
            <w:tcW w:w="2430" w:type="dxa"/>
            <w:vAlign w:val="center"/>
          </w:tcPr>
          <w:p w14:paraId="74A9C866"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b/>
                <w:bCs/>
                <w:sz w:val="22"/>
                <w:szCs w:val="22"/>
                <w:lang w:val="en-US" w:eastAsia="zh-CN"/>
              </w:rPr>
              <w:t>C (Comparison)</w:t>
            </w:r>
          </w:p>
        </w:tc>
        <w:tc>
          <w:tcPr>
            <w:tcW w:w="8820" w:type="dxa"/>
            <w:vAlign w:val="center"/>
          </w:tcPr>
          <w:p w14:paraId="3079F707"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sz w:val="22"/>
                <w:szCs w:val="22"/>
                <w:lang w:val="en-US" w:eastAsia="zh-CN"/>
              </w:rPr>
              <w:t>Comparison between telephone and video consultations, or where applicable, comparison with traditional face-to-face consultations</w:t>
            </w:r>
          </w:p>
        </w:tc>
      </w:tr>
      <w:tr w:rsidR="00EE4FC1" w:rsidRPr="00EE4FC1" w14:paraId="3B949AFE" w14:textId="77777777" w:rsidTr="00725F03">
        <w:trPr>
          <w:jc w:val="center"/>
        </w:trPr>
        <w:tc>
          <w:tcPr>
            <w:tcW w:w="2430" w:type="dxa"/>
            <w:vAlign w:val="center"/>
          </w:tcPr>
          <w:p w14:paraId="621C8D46"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b/>
                <w:bCs/>
                <w:sz w:val="22"/>
                <w:szCs w:val="22"/>
                <w:lang w:val="en-US" w:eastAsia="zh-CN"/>
              </w:rPr>
              <w:t>O (Outcome)</w:t>
            </w:r>
          </w:p>
        </w:tc>
        <w:tc>
          <w:tcPr>
            <w:tcW w:w="8820" w:type="dxa"/>
            <w:vAlign w:val="center"/>
          </w:tcPr>
          <w:p w14:paraId="7C64A180"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sz w:val="22"/>
                <w:szCs w:val="22"/>
                <w:lang w:val="en-US" w:eastAsia="zh-CN"/>
              </w:rPr>
              <w:t>Patient satisfaction, perceived quality of care, patient experiences, accessibility, communication effectiveness, and acceptability of telemedicine services</w:t>
            </w:r>
          </w:p>
        </w:tc>
      </w:tr>
    </w:tbl>
    <w:p w14:paraId="4F0AE6E7" w14:textId="77777777" w:rsidR="00EE4FC1" w:rsidRPr="00EE4FC1" w:rsidRDefault="00EE4FC1" w:rsidP="00EE4FC1">
      <w:pPr>
        <w:spacing w:line="360" w:lineRule="auto"/>
        <w:jc w:val="center"/>
        <w:rPr>
          <w:rFonts w:ascii="Arial" w:eastAsia="PMingLiU" w:hAnsi="Arial" w:cs="Arial"/>
          <w:sz w:val="22"/>
          <w:szCs w:val="22"/>
          <w:lang w:val="en-US" w:eastAsia="zh-CN"/>
        </w:rPr>
      </w:pPr>
      <w:r w:rsidRPr="00EE4FC1">
        <w:rPr>
          <w:rFonts w:ascii="Arial" w:eastAsia="PMingLiU" w:hAnsi="Arial" w:cs="Arial"/>
          <w:i/>
          <w:iCs/>
          <w:sz w:val="22"/>
          <w:szCs w:val="22"/>
          <w:lang w:val="en-US" w:eastAsia="zh-CN"/>
        </w:rPr>
        <w:t>Source: Author’s database search (2026)</w:t>
      </w:r>
    </w:p>
    <w:p w14:paraId="70490395" w14:textId="77777777" w:rsidR="00EE4FC1" w:rsidRPr="00EE4FC1" w:rsidRDefault="00EE4FC1" w:rsidP="00EE4FC1">
      <w:pPr>
        <w:spacing w:line="360" w:lineRule="auto"/>
        <w:jc w:val="both"/>
        <w:rPr>
          <w:rFonts w:ascii="Calibri" w:eastAsia="PMingLiU" w:hAnsi="Calibri"/>
          <w:i/>
          <w:iCs/>
          <w:sz w:val="22"/>
          <w:szCs w:val="22"/>
          <w:lang w:eastAsia="zh-CN"/>
        </w:rPr>
      </w:pPr>
      <w:r w:rsidRPr="00EE4FC1">
        <w:rPr>
          <w:rFonts w:ascii="Arial" w:eastAsia="PMingLiU" w:hAnsi="Arial" w:cs="Arial"/>
          <w:sz w:val="22"/>
          <w:szCs w:val="22"/>
          <w:lang w:val="en-US" w:eastAsia="zh-CN"/>
        </w:rPr>
        <w:t>The search terms used for the combination of terms pertaining to telemedicine, patient satisfaction, primary care, and the United Kingdom were relevant keywords, Medical Subject Headings (MeSH), and Boolean operands (AND, OR) (Table 2). A systematic search approach to identifying evidence is more efficient and complete, as per Bramer et al. (2018). Moreover, Cooper et al. (2018) stressed the importance of search procedures being transparent and replicable to further ensure rigour and credibility in the conduct of systematic reviews.</w:t>
      </w:r>
      <w:bookmarkStart w:id="47" w:name="_Toc238386924"/>
      <w:bookmarkStart w:id="48" w:name="_Toc238386938"/>
    </w:p>
    <w:p w14:paraId="3C1B58E6" w14:textId="77777777" w:rsidR="00EE4FC1" w:rsidRPr="00EE4FC1" w:rsidRDefault="00EE4FC1" w:rsidP="00EE4FC1">
      <w:pPr>
        <w:spacing w:after="200" w:line="360" w:lineRule="auto"/>
        <w:rPr>
          <w:rFonts w:ascii="Arial" w:eastAsia="Arial" w:hAnsi="Arial" w:cs="Arial"/>
          <w:kern w:val="0"/>
          <w:sz w:val="22"/>
          <w:szCs w:val="22"/>
          <w:lang w:val="en-US"/>
        </w:rPr>
      </w:pPr>
      <w:r w:rsidRPr="00EE4FC1">
        <w:rPr>
          <w:rFonts w:ascii="Arial" w:eastAsia="Arial" w:hAnsi="Arial" w:cs="Arial"/>
          <w:kern w:val="0"/>
          <w:sz w:val="22"/>
          <w:szCs w:val="22"/>
        </w:rPr>
        <w:lastRenderedPageBreak/>
        <w:t xml:space="preserve">Table </w:t>
      </w:r>
      <w:r w:rsidRPr="00EE4FC1">
        <w:rPr>
          <w:rFonts w:ascii="Arial" w:eastAsia="Arial" w:hAnsi="Arial" w:cs="Arial"/>
          <w:kern w:val="0"/>
          <w:sz w:val="22"/>
          <w:szCs w:val="22"/>
        </w:rPr>
        <w:fldChar w:fldCharType="begin"/>
      </w:r>
      <w:r w:rsidRPr="00EE4FC1">
        <w:rPr>
          <w:rFonts w:ascii="Arial" w:eastAsia="Arial" w:hAnsi="Arial" w:cs="Arial"/>
          <w:kern w:val="0"/>
          <w:sz w:val="22"/>
          <w:szCs w:val="22"/>
        </w:rPr>
        <w:instrText xml:space="preserve"> SEQ Table \* ARABIC </w:instrText>
      </w:r>
      <w:r w:rsidRPr="00EE4FC1">
        <w:rPr>
          <w:rFonts w:ascii="Arial" w:eastAsia="Arial" w:hAnsi="Arial" w:cs="Arial"/>
          <w:kern w:val="0"/>
          <w:sz w:val="22"/>
          <w:szCs w:val="22"/>
        </w:rPr>
        <w:fldChar w:fldCharType="separate"/>
      </w:r>
      <w:r w:rsidRPr="00EE4FC1">
        <w:rPr>
          <w:rFonts w:ascii="Arial" w:eastAsia="Arial" w:hAnsi="Arial" w:cs="Arial"/>
          <w:noProof/>
          <w:kern w:val="0"/>
          <w:sz w:val="22"/>
          <w:szCs w:val="22"/>
        </w:rPr>
        <w:t>2</w:t>
      </w:r>
      <w:r w:rsidRPr="00EE4FC1">
        <w:rPr>
          <w:rFonts w:ascii="Arial" w:eastAsia="Arial" w:hAnsi="Arial" w:cs="Arial"/>
          <w:kern w:val="0"/>
          <w:sz w:val="22"/>
          <w:szCs w:val="22"/>
        </w:rPr>
        <w:fldChar w:fldCharType="end"/>
      </w:r>
      <w:r w:rsidRPr="00EE4FC1">
        <w:rPr>
          <w:rFonts w:ascii="Arial" w:eastAsia="Arial" w:hAnsi="Arial" w:cs="Arial"/>
          <w:kern w:val="0"/>
          <w:sz w:val="22"/>
          <w:szCs w:val="22"/>
        </w:rPr>
        <w:t xml:space="preserve">: </w:t>
      </w:r>
      <w:r w:rsidRPr="00EE4FC1">
        <w:rPr>
          <w:rFonts w:ascii="Arial" w:eastAsia="Arial" w:hAnsi="Arial" w:cs="Arial"/>
          <w:b/>
          <w:bCs/>
          <w:kern w:val="0"/>
          <w:sz w:val="22"/>
          <w:szCs w:val="22"/>
          <w:lang w:val="en-US"/>
        </w:rPr>
        <w:t>Database Search Strategies</w:t>
      </w:r>
      <w:bookmarkEnd w:id="47"/>
      <w:bookmarkEnd w:id="48"/>
      <w:r w:rsidRPr="00EE4FC1">
        <w:rPr>
          <w:rFonts w:ascii="Arial" w:eastAsia="Arial" w:hAnsi="Arial" w:cs="Arial"/>
          <w:b/>
          <w:bCs/>
          <w:kern w:val="0"/>
          <w:sz w:val="22"/>
          <w:szCs w:val="22"/>
          <w:lang w:val="en-US"/>
        </w:rPr>
        <w:t xml:space="preserve"> </w:t>
      </w:r>
    </w:p>
    <w:tbl>
      <w:tblPr>
        <w:tblW w:w="11497" w:type="dxa"/>
        <w:tblInd w:w="-12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48"/>
        <w:gridCol w:w="8449"/>
      </w:tblGrid>
      <w:tr w:rsidR="00EE4FC1" w:rsidRPr="00EE4FC1" w14:paraId="24911446" w14:textId="77777777" w:rsidTr="00725F03">
        <w:trPr>
          <w:trHeight w:val="399"/>
        </w:trPr>
        <w:tc>
          <w:tcPr>
            <w:tcW w:w="3048" w:type="dxa"/>
            <w:vAlign w:val="center"/>
          </w:tcPr>
          <w:p w14:paraId="002E4D72" w14:textId="77777777" w:rsidR="00EE4FC1" w:rsidRPr="00EE4FC1" w:rsidRDefault="00EE4FC1" w:rsidP="00EE4FC1">
            <w:pPr>
              <w:spacing w:after="0" w:line="360" w:lineRule="auto"/>
              <w:jc w:val="center"/>
              <w:rPr>
                <w:rFonts w:ascii="Arial" w:eastAsia="Calibri" w:hAnsi="Arial" w:cs="Arial"/>
                <w:sz w:val="22"/>
                <w:szCs w:val="22"/>
                <w:lang w:eastAsia="zh-CN"/>
              </w:rPr>
            </w:pPr>
            <w:r w:rsidRPr="00EE4FC1">
              <w:rPr>
                <w:rFonts w:ascii="Arial" w:eastAsia="Calibri" w:hAnsi="Arial" w:cs="Arial"/>
                <w:b/>
                <w:bCs/>
                <w:sz w:val="22"/>
                <w:szCs w:val="22"/>
                <w:lang w:val="en-US" w:eastAsia="zh-CN"/>
              </w:rPr>
              <w:t>Search Engine</w:t>
            </w:r>
          </w:p>
        </w:tc>
        <w:tc>
          <w:tcPr>
            <w:tcW w:w="8449" w:type="dxa"/>
            <w:vAlign w:val="center"/>
          </w:tcPr>
          <w:p w14:paraId="0B5DB262" w14:textId="77777777" w:rsidR="00EE4FC1" w:rsidRPr="00EE4FC1" w:rsidRDefault="00EE4FC1" w:rsidP="00EE4FC1">
            <w:pPr>
              <w:spacing w:after="0" w:line="360" w:lineRule="auto"/>
              <w:jc w:val="center"/>
              <w:rPr>
                <w:rFonts w:ascii="Arial" w:eastAsia="Calibri" w:hAnsi="Arial" w:cs="Arial"/>
                <w:sz w:val="22"/>
                <w:szCs w:val="22"/>
                <w:lang w:eastAsia="zh-CN"/>
              </w:rPr>
            </w:pPr>
            <w:r w:rsidRPr="00EE4FC1">
              <w:rPr>
                <w:rFonts w:ascii="Arial" w:eastAsia="Calibri" w:hAnsi="Arial" w:cs="Arial"/>
                <w:b/>
                <w:bCs/>
                <w:sz w:val="22"/>
                <w:szCs w:val="22"/>
                <w:lang w:val="en-US" w:eastAsia="zh-CN"/>
              </w:rPr>
              <w:t>Search Key String</w:t>
            </w:r>
          </w:p>
        </w:tc>
      </w:tr>
      <w:tr w:rsidR="00EE4FC1" w:rsidRPr="00EE4FC1" w14:paraId="7A5B2A3F" w14:textId="77777777" w:rsidTr="00725F03">
        <w:trPr>
          <w:trHeight w:val="1187"/>
        </w:trPr>
        <w:tc>
          <w:tcPr>
            <w:tcW w:w="3048" w:type="dxa"/>
            <w:vAlign w:val="center"/>
          </w:tcPr>
          <w:p w14:paraId="6CC38BE6" w14:textId="77777777" w:rsidR="00EE4FC1" w:rsidRPr="00042674" w:rsidRDefault="00EE4FC1" w:rsidP="00EE4FC1">
            <w:pPr>
              <w:spacing w:after="0" w:line="360" w:lineRule="auto"/>
              <w:jc w:val="center"/>
              <w:rPr>
                <w:rFonts w:ascii="Arial" w:eastAsia="Calibri" w:hAnsi="Arial" w:cs="Arial"/>
                <w:color w:val="000000"/>
                <w:sz w:val="22"/>
                <w:szCs w:val="22"/>
                <w:lang w:eastAsia="zh-CN"/>
              </w:rPr>
            </w:pPr>
            <w:r w:rsidRPr="00042674">
              <w:rPr>
                <w:rFonts w:ascii="Arial" w:eastAsia="Calibri" w:hAnsi="Arial" w:cs="Arial"/>
                <w:color w:val="000000"/>
                <w:sz w:val="22"/>
                <w:szCs w:val="22"/>
                <w:lang w:val="en-US" w:eastAsia="zh-CN"/>
              </w:rPr>
              <w:t>PubMed</w:t>
            </w:r>
          </w:p>
        </w:tc>
        <w:tc>
          <w:tcPr>
            <w:tcW w:w="8449" w:type="dxa"/>
            <w:vAlign w:val="center"/>
          </w:tcPr>
          <w:p w14:paraId="24DAD647"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sz w:val="22"/>
                <w:szCs w:val="22"/>
                <w:lang w:val="en-US" w:eastAsia="zh-CN"/>
              </w:rPr>
              <w:t>("telemedicine" OR "telehealth" OR "remote consultation" OR "virtual consultation") AND ("patient satisfaction" OR "patient experience") AND ("primary care" OR "general practice") AND ("United Kingdom" OR "UK")</w:t>
            </w:r>
          </w:p>
        </w:tc>
      </w:tr>
      <w:tr w:rsidR="00EE4FC1" w:rsidRPr="00EE4FC1" w14:paraId="41E946B9" w14:textId="77777777" w:rsidTr="00725F03">
        <w:trPr>
          <w:trHeight w:val="1187"/>
        </w:trPr>
        <w:tc>
          <w:tcPr>
            <w:tcW w:w="3048" w:type="dxa"/>
            <w:vAlign w:val="center"/>
          </w:tcPr>
          <w:p w14:paraId="1670A588" w14:textId="77777777" w:rsidR="00EE4FC1" w:rsidRPr="00042674" w:rsidRDefault="00EE4FC1" w:rsidP="00EE4FC1">
            <w:pPr>
              <w:spacing w:after="0" w:line="360" w:lineRule="auto"/>
              <w:jc w:val="center"/>
              <w:rPr>
                <w:rFonts w:ascii="Arial" w:eastAsia="Calibri" w:hAnsi="Arial" w:cs="Arial"/>
                <w:color w:val="000000"/>
                <w:sz w:val="22"/>
                <w:szCs w:val="22"/>
                <w:lang w:eastAsia="zh-CN"/>
              </w:rPr>
            </w:pPr>
            <w:r w:rsidRPr="00042674">
              <w:rPr>
                <w:rFonts w:ascii="Arial" w:eastAsia="Calibri" w:hAnsi="Arial" w:cs="Arial"/>
                <w:color w:val="000000"/>
                <w:sz w:val="22"/>
                <w:szCs w:val="22"/>
                <w:lang w:val="en-US" w:eastAsia="zh-CN"/>
              </w:rPr>
              <w:t>CINAHL</w:t>
            </w:r>
          </w:p>
        </w:tc>
        <w:tc>
          <w:tcPr>
            <w:tcW w:w="8449" w:type="dxa"/>
            <w:vAlign w:val="center"/>
          </w:tcPr>
          <w:p w14:paraId="7A8B026F"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sz w:val="22"/>
                <w:szCs w:val="22"/>
                <w:lang w:val="en-US" w:eastAsia="zh-CN"/>
              </w:rPr>
              <w:t>("telemedicine" OR "telehealth" OR "virtual consultation") AND ("patient satisfaction" OR "patient experience") AND ("primary care" OR "general practice") AND ("United Kingdom" OR "UK")</w:t>
            </w:r>
          </w:p>
        </w:tc>
      </w:tr>
      <w:tr w:rsidR="00EE4FC1" w:rsidRPr="00EE4FC1" w14:paraId="478B573B" w14:textId="77777777" w:rsidTr="00725F03">
        <w:trPr>
          <w:trHeight w:val="399"/>
        </w:trPr>
        <w:tc>
          <w:tcPr>
            <w:tcW w:w="3048" w:type="dxa"/>
            <w:vAlign w:val="center"/>
          </w:tcPr>
          <w:p w14:paraId="2D4AFE5A" w14:textId="77777777" w:rsidR="00EE4FC1" w:rsidRPr="00042674" w:rsidRDefault="00EE4FC1" w:rsidP="00EE4FC1">
            <w:pPr>
              <w:spacing w:after="0" w:line="360" w:lineRule="auto"/>
              <w:jc w:val="center"/>
              <w:rPr>
                <w:rFonts w:ascii="Arial" w:eastAsia="Calibri" w:hAnsi="Arial" w:cs="Arial"/>
                <w:color w:val="000000"/>
                <w:sz w:val="22"/>
                <w:szCs w:val="22"/>
                <w:lang w:eastAsia="zh-CN"/>
              </w:rPr>
            </w:pPr>
            <w:r w:rsidRPr="00042674">
              <w:rPr>
                <w:rFonts w:ascii="Arial" w:eastAsia="Calibri" w:hAnsi="Arial" w:cs="Arial"/>
                <w:color w:val="000000"/>
                <w:sz w:val="22"/>
                <w:szCs w:val="22"/>
                <w:lang w:val="en-US" w:eastAsia="zh-CN"/>
              </w:rPr>
              <w:t>Google Scholar</w:t>
            </w:r>
          </w:p>
        </w:tc>
        <w:tc>
          <w:tcPr>
            <w:tcW w:w="8449" w:type="dxa"/>
            <w:vAlign w:val="center"/>
          </w:tcPr>
          <w:p w14:paraId="310C7FB0"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sz w:val="22"/>
                <w:szCs w:val="22"/>
                <w:lang w:val="en-US" w:eastAsia="zh-CN"/>
              </w:rPr>
              <w:t>"telemedicine" AND "patient satisfaction" AND "primary care" AND "United Kingdom"</w:t>
            </w:r>
          </w:p>
        </w:tc>
      </w:tr>
    </w:tbl>
    <w:p w14:paraId="479E5989" w14:textId="77777777" w:rsidR="00EE4FC1" w:rsidRPr="00EE4FC1" w:rsidRDefault="00EE4FC1" w:rsidP="00EE4FC1">
      <w:pPr>
        <w:spacing w:line="360" w:lineRule="auto"/>
        <w:jc w:val="center"/>
        <w:rPr>
          <w:rFonts w:ascii="Arial" w:eastAsia="PMingLiU" w:hAnsi="Arial" w:cs="Arial"/>
          <w:sz w:val="22"/>
          <w:szCs w:val="22"/>
          <w:lang w:val="en-US" w:eastAsia="zh-CN"/>
        </w:rPr>
      </w:pPr>
      <w:r w:rsidRPr="00EE4FC1">
        <w:rPr>
          <w:rFonts w:ascii="Arial" w:eastAsia="PMingLiU" w:hAnsi="Arial" w:cs="Arial"/>
          <w:i/>
          <w:iCs/>
          <w:sz w:val="22"/>
          <w:szCs w:val="22"/>
          <w:lang w:val="en-US" w:eastAsia="zh-CN"/>
        </w:rPr>
        <w:t>Source: Author’s database search (2026).</w:t>
      </w:r>
    </w:p>
    <w:p w14:paraId="20DDB437"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eastAsia="zh-CN"/>
        </w:rPr>
      </w:pPr>
      <w:bookmarkStart w:id="49" w:name="_Toc241618972"/>
      <w:r w:rsidRPr="00EE4FC1">
        <w:rPr>
          <w:rFonts w:ascii="Arial" w:eastAsia="PMingLiU" w:hAnsi="Arial" w:cs="Arial"/>
          <w:b/>
          <w:bCs/>
          <w:sz w:val="22"/>
          <w:szCs w:val="22"/>
          <w:lang w:eastAsia="zh-CN"/>
        </w:rPr>
        <w:t>3.3 Inclusion and Exclusion Criteria</w:t>
      </w:r>
      <w:bookmarkEnd w:id="49"/>
    </w:p>
    <w:p w14:paraId="7457547B"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3.3.1 Inclusion Criteria</w:t>
      </w:r>
    </w:p>
    <w:p w14:paraId="5550DCDB"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The inclusion criteria have been set up to include only studies relevant to the research question in the review. Sanfilippo et al. (2020) noted that using clear inclusion criteria is a way to enhance the validity and reliability of a systematic review by guaranteeing that the studies chosen cover the review objectives. Likewise, Amir-Behghadami and Janati (2020) reported that the PICOS framework offers a framework for determining the eligibility criteria for a study.</w:t>
      </w:r>
    </w:p>
    <w:p w14:paraId="1A35A63C"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The review comprised studies that were peer-reviewed and used a combination of qualitative, quantitative, and mixed-methods designs to explore patients' satisfaction with telemedicine services in the primary care context within the United Kingdom (UK). Adults 18 years and older who had received telemedicine services (phone, video, or other types of virtual primary care) were eligible to participate. To highlight current evidence of the impact of the COVID-19 pandemic and digital healthcare reforms, studies published in English from 2016 to 2026 were invoked. In addition, studies reporting results which were directly related to patient experience, satisfaction, acceptability, accessibility, communication quality and/or perceived quality of patient care were included. Specially defined eligibility criteria increase transparency and systemic reviews' reproducibility, according to Selçuk (2019).</w:t>
      </w:r>
    </w:p>
    <w:p w14:paraId="17371C1F"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3.3.2 Exclusion Criteria</w:t>
      </w:r>
    </w:p>
    <w:p w14:paraId="383EA050"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To exclude studies not directly relevant to the aim of the review, exclusion criteria were set. Gartlehner et al. (2022) state that “exclusion criteria are necessary to keep the systematic review focused and exclude irrelevant evidence”. Likewise, Ahn and Kang (2018) remarked that the exclusion criteria are useful to ensure consistency and quality in selection of studies.</w:t>
      </w:r>
    </w:p>
    <w:p w14:paraId="5598E8BD"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lastRenderedPageBreak/>
        <w:t>The studies were excluded if they were conducted outside United Kingdom as there is a possibility of significant differences in healthcare systems, telemedicine policies, and patient experience across countries. Children and adolescents under the age of 18 years were also not included in the studies, as the study looked at adult patients. Moreover, the studies that investigated the use of telemedicine in secondary care, tertiary care, emergency care or specialist care were not included to keep the focus on primary care. Editorials, commentaries, conference abstracts, opinion papers, dissertations, and unpublished studies were not included since they may not have been as rigorously peer-reviewed as peer-reviewed journals. In addition, the studies that did not report patient satisfaction but reported only on the perspectives of health care professionals were excluded. Using the proper exclusion criteria ensures that high-quality and relevant evidence is included in the results of a systematic review, as mentioned by Selçuk (2019). Table 3 summarises the eligibility criteria employed for the process of selection of the studies.</w:t>
      </w:r>
      <w:r w:rsidRPr="00EE4FC1">
        <w:rPr>
          <w:rFonts w:ascii="Arial" w:eastAsia="PMingLiU" w:hAnsi="Arial" w:cs="Arial"/>
          <w:b/>
          <w:bCs/>
          <w:sz w:val="22"/>
          <w:szCs w:val="22"/>
          <w:lang w:val="en-US" w:eastAsia="zh-CN"/>
        </w:rPr>
        <w:t xml:space="preserve"> </w:t>
      </w:r>
    </w:p>
    <w:p w14:paraId="66258608" w14:textId="77777777" w:rsidR="00EE4FC1" w:rsidRPr="00EE4FC1" w:rsidRDefault="00EE4FC1" w:rsidP="00EE4FC1">
      <w:pPr>
        <w:spacing w:after="200" w:line="360" w:lineRule="auto"/>
        <w:rPr>
          <w:rFonts w:ascii="Arial" w:eastAsia="Arial" w:hAnsi="Arial" w:cs="Arial"/>
          <w:kern w:val="0"/>
          <w:sz w:val="22"/>
          <w:szCs w:val="22"/>
          <w:lang w:val="en-US"/>
        </w:rPr>
      </w:pPr>
      <w:bookmarkStart w:id="50" w:name="_Toc238386925"/>
      <w:bookmarkStart w:id="51" w:name="_Toc238386939"/>
      <w:r w:rsidRPr="00EE4FC1">
        <w:rPr>
          <w:rFonts w:ascii="Arial" w:eastAsia="Arial" w:hAnsi="Arial" w:cs="Arial"/>
          <w:kern w:val="0"/>
          <w:sz w:val="22"/>
          <w:szCs w:val="22"/>
        </w:rPr>
        <w:t xml:space="preserve">Table </w:t>
      </w:r>
      <w:r w:rsidRPr="00EE4FC1">
        <w:rPr>
          <w:rFonts w:ascii="Arial" w:eastAsia="Arial" w:hAnsi="Arial" w:cs="Arial"/>
          <w:kern w:val="0"/>
          <w:sz w:val="22"/>
          <w:szCs w:val="22"/>
        </w:rPr>
        <w:fldChar w:fldCharType="begin"/>
      </w:r>
      <w:r w:rsidRPr="00EE4FC1">
        <w:rPr>
          <w:rFonts w:ascii="Arial" w:eastAsia="Arial" w:hAnsi="Arial" w:cs="Arial"/>
          <w:kern w:val="0"/>
          <w:sz w:val="22"/>
          <w:szCs w:val="22"/>
        </w:rPr>
        <w:instrText xml:space="preserve"> SEQ Table \* ARABIC </w:instrText>
      </w:r>
      <w:r w:rsidRPr="00EE4FC1">
        <w:rPr>
          <w:rFonts w:ascii="Arial" w:eastAsia="Arial" w:hAnsi="Arial" w:cs="Arial"/>
          <w:kern w:val="0"/>
          <w:sz w:val="22"/>
          <w:szCs w:val="22"/>
        </w:rPr>
        <w:fldChar w:fldCharType="separate"/>
      </w:r>
      <w:r w:rsidRPr="00EE4FC1">
        <w:rPr>
          <w:rFonts w:ascii="Arial" w:eastAsia="Arial" w:hAnsi="Arial" w:cs="Arial"/>
          <w:noProof/>
          <w:kern w:val="0"/>
          <w:sz w:val="22"/>
          <w:szCs w:val="22"/>
        </w:rPr>
        <w:t>3</w:t>
      </w:r>
      <w:r w:rsidRPr="00EE4FC1">
        <w:rPr>
          <w:rFonts w:ascii="Arial" w:eastAsia="Arial" w:hAnsi="Arial" w:cs="Arial"/>
          <w:kern w:val="0"/>
          <w:sz w:val="22"/>
          <w:szCs w:val="22"/>
        </w:rPr>
        <w:fldChar w:fldCharType="end"/>
      </w:r>
      <w:r w:rsidRPr="00EE4FC1">
        <w:rPr>
          <w:rFonts w:ascii="Arial" w:eastAsia="Arial" w:hAnsi="Arial" w:cs="Arial"/>
          <w:kern w:val="0"/>
          <w:sz w:val="22"/>
          <w:szCs w:val="22"/>
        </w:rPr>
        <w:t xml:space="preserve">: </w:t>
      </w:r>
      <w:r w:rsidRPr="00EE4FC1">
        <w:rPr>
          <w:rFonts w:ascii="Arial" w:eastAsia="Arial" w:hAnsi="Arial" w:cs="Arial"/>
          <w:b/>
          <w:bCs/>
          <w:kern w:val="0"/>
          <w:sz w:val="22"/>
          <w:szCs w:val="22"/>
        </w:rPr>
        <w:t>Eligibility Criteria for Study Selection</w:t>
      </w:r>
      <w:bookmarkEnd w:id="50"/>
      <w:bookmarkEnd w:id="51"/>
    </w:p>
    <w:tbl>
      <w:tblPr>
        <w:tblW w:w="10714" w:type="dxa"/>
        <w:tblInd w:w="-9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93"/>
        <w:gridCol w:w="3904"/>
        <w:gridCol w:w="4817"/>
      </w:tblGrid>
      <w:tr w:rsidR="00EE4FC1" w:rsidRPr="00EE4FC1" w14:paraId="75CCC78A" w14:textId="77777777" w:rsidTr="00725F03">
        <w:trPr>
          <w:trHeight w:val="492"/>
        </w:trPr>
        <w:tc>
          <w:tcPr>
            <w:tcW w:w="1993" w:type="dxa"/>
            <w:vAlign w:val="center"/>
          </w:tcPr>
          <w:p w14:paraId="4893C5E9" w14:textId="77777777" w:rsidR="00EE4FC1" w:rsidRPr="00EE4FC1" w:rsidRDefault="00EE4FC1" w:rsidP="00EE4FC1">
            <w:pPr>
              <w:spacing w:after="0" w:line="360" w:lineRule="auto"/>
              <w:jc w:val="center"/>
              <w:rPr>
                <w:rFonts w:ascii="Arial" w:eastAsia="Calibri" w:hAnsi="Arial" w:cs="Arial"/>
                <w:sz w:val="22"/>
                <w:szCs w:val="22"/>
                <w:lang w:val="en-US" w:eastAsia="zh-CN"/>
              </w:rPr>
            </w:pPr>
            <w:r w:rsidRPr="00EE4FC1">
              <w:rPr>
                <w:rFonts w:ascii="Arial" w:eastAsia="Calibri" w:hAnsi="Arial" w:cs="Arial"/>
                <w:b/>
                <w:bCs/>
                <w:sz w:val="22"/>
                <w:szCs w:val="22"/>
                <w:lang w:val="en-US" w:eastAsia="zh-CN"/>
              </w:rPr>
              <w:t>Criteria</w:t>
            </w:r>
          </w:p>
        </w:tc>
        <w:tc>
          <w:tcPr>
            <w:tcW w:w="3904" w:type="dxa"/>
            <w:vAlign w:val="center"/>
          </w:tcPr>
          <w:p w14:paraId="681C4FC9" w14:textId="77777777" w:rsidR="00EE4FC1" w:rsidRPr="00EE4FC1" w:rsidRDefault="00EE4FC1" w:rsidP="00EE4FC1">
            <w:pPr>
              <w:spacing w:after="0" w:line="360" w:lineRule="auto"/>
              <w:jc w:val="center"/>
              <w:rPr>
                <w:rFonts w:ascii="Arial" w:eastAsia="Calibri" w:hAnsi="Arial" w:cs="Arial"/>
                <w:sz w:val="22"/>
                <w:szCs w:val="22"/>
                <w:lang w:val="en-US" w:eastAsia="zh-CN"/>
              </w:rPr>
            </w:pPr>
            <w:r w:rsidRPr="00EE4FC1">
              <w:rPr>
                <w:rFonts w:ascii="Arial" w:eastAsia="Calibri" w:hAnsi="Arial" w:cs="Arial"/>
                <w:b/>
                <w:bCs/>
                <w:sz w:val="22"/>
                <w:szCs w:val="22"/>
                <w:lang w:val="en-US" w:eastAsia="zh-CN"/>
              </w:rPr>
              <w:t>Inclusion Criteria</w:t>
            </w:r>
          </w:p>
        </w:tc>
        <w:tc>
          <w:tcPr>
            <w:tcW w:w="4817" w:type="dxa"/>
            <w:vAlign w:val="center"/>
          </w:tcPr>
          <w:p w14:paraId="212DD18D" w14:textId="77777777" w:rsidR="00EE4FC1" w:rsidRPr="00EE4FC1" w:rsidRDefault="00EE4FC1" w:rsidP="00EE4FC1">
            <w:pPr>
              <w:spacing w:after="0" w:line="360" w:lineRule="auto"/>
              <w:jc w:val="center"/>
              <w:rPr>
                <w:rFonts w:ascii="Arial" w:eastAsia="Calibri" w:hAnsi="Arial" w:cs="Arial"/>
                <w:sz w:val="22"/>
                <w:szCs w:val="22"/>
                <w:lang w:val="en-US" w:eastAsia="zh-CN"/>
              </w:rPr>
            </w:pPr>
            <w:r w:rsidRPr="00EE4FC1">
              <w:rPr>
                <w:rFonts w:ascii="Arial" w:eastAsia="Calibri" w:hAnsi="Arial" w:cs="Arial"/>
                <w:b/>
                <w:bCs/>
                <w:sz w:val="22"/>
                <w:szCs w:val="22"/>
                <w:lang w:val="en-US" w:eastAsia="zh-CN"/>
              </w:rPr>
              <w:t>Exclusion Criteria</w:t>
            </w:r>
          </w:p>
        </w:tc>
      </w:tr>
      <w:tr w:rsidR="00EE4FC1" w:rsidRPr="00EE4FC1" w14:paraId="0B4F159F" w14:textId="77777777" w:rsidTr="00725F03">
        <w:trPr>
          <w:trHeight w:val="492"/>
        </w:trPr>
        <w:tc>
          <w:tcPr>
            <w:tcW w:w="1993" w:type="dxa"/>
            <w:vAlign w:val="center"/>
          </w:tcPr>
          <w:p w14:paraId="4C0FF79D" w14:textId="77777777" w:rsidR="00EE4FC1" w:rsidRPr="00EE4FC1" w:rsidRDefault="00EE4FC1" w:rsidP="00EE4FC1">
            <w:pPr>
              <w:spacing w:after="0" w:line="360" w:lineRule="auto"/>
              <w:jc w:val="center"/>
              <w:rPr>
                <w:rFonts w:ascii="Arial" w:eastAsia="Calibri" w:hAnsi="Arial" w:cs="Arial"/>
                <w:sz w:val="22"/>
                <w:szCs w:val="22"/>
                <w:lang w:val="en-US" w:eastAsia="zh-CN"/>
              </w:rPr>
            </w:pPr>
            <w:r w:rsidRPr="00EE4FC1">
              <w:rPr>
                <w:rFonts w:ascii="Arial" w:eastAsia="Calibri" w:hAnsi="Arial" w:cs="Arial"/>
                <w:sz w:val="22"/>
                <w:szCs w:val="22"/>
                <w:lang w:val="en-US" w:eastAsia="zh-CN"/>
              </w:rPr>
              <w:t>Population</w:t>
            </w:r>
          </w:p>
        </w:tc>
        <w:tc>
          <w:tcPr>
            <w:tcW w:w="3904" w:type="dxa"/>
            <w:vAlign w:val="center"/>
          </w:tcPr>
          <w:p w14:paraId="1B9B0CE4"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Adults aged 18 years and above</w:t>
            </w:r>
          </w:p>
        </w:tc>
        <w:tc>
          <w:tcPr>
            <w:tcW w:w="4817" w:type="dxa"/>
            <w:vAlign w:val="center"/>
          </w:tcPr>
          <w:p w14:paraId="264A4BEA"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Individuals below 18 years of age</w:t>
            </w:r>
          </w:p>
        </w:tc>
      </w:tr>
      <w:tr w:rsidR="00EE4FC1" w:rsidRPr="00EE4FC1" w14:paraId="37CB821A" w14:textId="77777777" w:rsidTr="00725F03">
        <w:trPr>
          <w:trHeight w:val="995"/>
        </w:trPr>
        <w:tc>
          <w:tcPr>
            <w:tcW w:w="1993" w:type="dxa"/>
            <w:vAlign w:val="center"/>
          </w:tcPr>
          <w:p w14:paraId="73FD1E6B" w14:textId="77777777" w:rsidR="00EE4FC1" w:rsidRPr="00EE4FC1" w:rsidRDefault="00EE4FC1" w:rsidP="00EE4FC1">
            <w:pPr>
              <w:spacing w:after="0" w:line="360" w:lineRule="auto"/>
              <w:jc w:val="center"/>
              <w:rPr>
                <w:rFonts w:ascii="Arial" w:eastAsia="Calibri" w:hAnsi="Arial" w:cs="Arial"/>
                <w:sz w:val="22"/>
                <w:szCs w:val="22"/>
                <w:lang w:val="en-US" w:eastAsia="zh-CN"/>
              </w:rPr>
            </w:pPr>
            <w:r w:rsidRPr="00EE4FC1">
              <w:rPr>
                <w:rFonts w:ascii="Arial" w:eastAsia="Calibri" w:hAnsi="Arial" w:cs="Arial"/>
                <w:sz w:val="22"/>
                <w:szCs w:val="22"/>
                <w:lang w:val="en-US" w:eastAsia="zh-CN"/>
              </w:rPr>
              <w:t>Setting</w:t>
            </w:r>
          </w:p>
        </w:tc>
        <w:tc>
          <w:tcPr>
            <w:tcW w:w="3904" w:type="dxa"/>
            <w:vAlign w:val="center"/>
          </w:tcPr>
          <w:p w14:paraId="5084EEC6"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UK primary care settings (general practice, family practice)</w:t>
            </w:r>
          </w:p>
        </w:tc>
        <w:tc>
          <w:tcPr>
            <w:tcW w:w="4817" w:type="dxa"/>
            <w:vAlign w:val="center"/>
          </w:tcPr>
          <w:p w14:paraId="16C8FE2B"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Secondary care, tertiary care, specialist care, emergency care settings</w:t>
            </w:r>
          </w:p>
        </w:tc>
      </w:tr>
      <w:tr w:rsidR="00EE4FC1" w:rsidRPr="00EE4FC1" w14:paraId="40001377" w14:textId="77777777" w:rsidTr="00725F03">
        <w:trPr>
          <w:trHeight w:val="995"/>
        </w:trPr>
        <w:tc>
          <w:tcPr>
            <w:tcW w:w="1993" w:type="dxa"/>
            <w:vAlign w:val="center"/>
          </w:tcPr>
          <w:p w14:paraId="154AE80E" w14:textId="77777777" w:rsidR="00EE4FC1" w:rsidRPr="00EE4FC1" w:rsidRDefault="00EE4FC1" w:rsidP="00EE4FC1">
            <w:pPr>
              <w:spacing w:after="0" w:line="360" w:lineRule="auto"/>
              <w:jc w:val="center"/>
              <w:rPr>
                <w:rFonts w:ascii="Arial" w:eastAsia="Calibri" w:hAnsi="Arial" w:cs="Arial"/>
                <w:sz w:val="22"/>
                <w:szCs w:val="22"/>
                <w:lang w:val="en-US" w:eastAsia="zh-CN"/>
              </w:rPr>
            </w:pPr>
            <w:r w:rsidRPr="00EE4FC1">
              <w:rPr>
                <w:rFonts w:ascii="Arial" w:eastAsia="Calibri" w:hAnsi="Arial" w:cs="Arial"/>
                <w:sz w:val="22"/>
                <w:szCs w:val="22"/>
                <w:lang w:val="en-US" w:eastAsia="zh-CN"/>
              </w:rPr>
              <w:t>Intervention</w:t>
            </w:r>
          </w:p>
        </w:tc>
        <w:tc>
          <w:tcPr>
            <w:tcW w:w="3904" w:type="dxa"/>
            <w:vAlign w:val="center"/>
          </w:tcPr>
          <w:p w14:paraId="75B514EF"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Telemedicine services (telephone, video, virtual consultations)</w:t>
            </w:r>
          </w:p>
        </w:tc>
        <w:tc>
          <w:tcPr>
            <w:tcW w:w="4817" w:type="dxa"/>
            <w:vAlign w:val="center"/>
          </w:tcPr>
          <w:p w14:paraId="3EF10957"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Non-telemedicine healthcare interventions</w:t>
            </w:r>
          </w:p>
        </w:tc>
      </w:tr>
      <w:tr w:rsidR="00EE4FC1" w:rsidRPr="00EE4FC1" w14:paraId="280FA273" w14:textId="77777777" w:rsidTr="00725F03">
        <w:trPr>
          <w:trHeight w:val="984"/>
        </w:trPr>
        <w:tc>
          <w:tcPr>
            <w:tcW w:w="1993" w:type="dxa"/>
            <w:vAlign w:val="center"/>
          </w:tcPr>
          <w:p w14:paraId="5DF7934C" w14:textId="77777777" w:rsidR="00EE4FC1" w:rsidRPr="00EE4FC1" w:rsidRDefault="00EE4FC1" w:rsidP="00EE4FC1">
            <w:pPr>
              <w:spacing w:after="0" w:line="360" w:lineRule="auto"/>
              <w:jc w:val="center"/>
              <w:rPr>
                <w:rFonts w:ascii="Arial" w:eastAsia="Calibri" w:hAnsi="Arial" w:cs="Arial"/>
                <w:sz w:val="22"/>
                <w:szCs w:val="22"/>
                <w:lang w:val="en-US" w:eastAsia="zh-CN"/>
              </w:rPr>
            </w:pPr>
            <w:r w:rsidRPr="00EE4FC1">
              <w:rPr>
                <w:rFonts w:ascii="Arial" w:eastAsia="Calibri" w:hAnsi="Arial" w:cs="Arial"/>
                <w:sz w:val="22"/>
                <w:szCs w:val="22"/>
                <w:lang w:val="en-US" w:eastAsia="zh-CN"/>
              </w:rPr>
              <w:t>Outcome</w:t>
            </w:r>
          </w:p>
        </w:tc>
        <w:tc>
          <w:tcPr>
            <w:tcW w:w="3904" w:type="dxa"/>
            <w:vAlign w:val="center"/>
          </w:tcPr>
          <w:p w14:paraId="7DDAA6FE"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Patient satisfaction, patient experience, quality of care, accessibility, acceptability</w:t>
            </w:r>
          </w:p>
        </w:tc>
        <w:tc>
          <w:tcPr>
            <w:tcW w:w="4817" w:type="dxa"/>
            <w:vAlign w:val="center"/>
          </w:tcPr>
          <w:p w14:paraId="48455D0D"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Studies not reporting patient satisfaction or patient experience outcomes</w:t>
            </w:r>
          </w:p>
        </w:tc>
      </w:tr>
      <w:tr w:rsidR="00EE4FC1" w:rsidRPr="00EE4FC1" w14:paraId="084DEC9A" w14:textId="77777777" w:rsidTr="00725F03">
        <w:trPr>
          <w:trHeight w:val="995"/>
        </w:trPr>
        <w:tc>
          <w:tcPr>
            <w:tcW w:w="1993" w:type="dxa"/>
            <w:vAlign w:val="center"/>
          </w:tcPr>
          <w:p w14:paraId="7AD7F0BD" w14:textId="77777777" w:rsidR="00EE4FC1" w:rsidRPr="00EE4FC1" w:rsidRDefault="00EE4FC1" w:rsidP="00EE4FC1">
            <w:pPr>
              <w:spacing w:after="0" w:line="360" w:lineRule="auto"/>
              <w:jc w:val="center"/>
              <w:rPr>
                <w:rFonts w:ascii="Arial" w:eastAsia="Calibri" w:hAnsi="Arial" w:cs="Arial"/>
                <w:sz w:val="22"/>
                <w:szCs w:val="22"/>
                <w:lang w:val="en-US" w:eastAsia="zh-CN"/>
              </w:rPr>
            </w:pPr>
            <w:r w:rsidRPr="00EE4FC1">
              <w:rPr>
                <w:rFonts w:ascii="Arial" w:eastAsia="Calibri" w:hAnsi="Arial" w:cs="Arial"/>
                <w:sz w:val="22"/>
                <w:szCs w:val="22"/>
                <w:lang w:val="en-US" w:eastAsia="zh-CN"/>
              </w:rPr>
              <w:t>Study Design</w:t>
            </w:r>
          </w:p>
        </w:tc>
        <w:tc>
          <w:tcPr>
            <w:tcW w:w="3904" w:type="dxa"/>
            <w:vAlign w:val="center"/>
          </w:tcPr>
          <w:p w14:paraId="493B7021"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Qualitative, quantitative, and mixed-methods studies</w:t>
            </w:r>
          </w:p>
        </w:tc>
        <w:tc>
          <w:tcPr>
            <w:tcW w:w="4817" w:type="dxa"/>
            <w:vAlign w:val="center"/>
          </w:tcPr>
          <w:p w14:paraId="08498A5E"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Editorials, opinion papers, conference abstracts, dissertations, unpublished studies</w:t>
            </w:r>
          </w:p>
        </w:tc>
      </w:tr>
      <w:tr w:rsidR="00EE4FC1" w:rsidRPr="00EE4FC1" w14:paraId="5BE9FC1E" w14:textId="77777777" w:rsidTr="00725F03">
        <w:trPr>
          <w:trHeight w:val="492"/>
        </w:trPr>
        <w:tc>
          <w:tcPr>
            <w:tcW w:w="1993" w:type="dxa"/>
            <w:vAlign w:val="center"/>
          </w:tcPr>
          <w:p w14:paraId="307A891E" w14:textId="77777777" w:rsidR="00EE4FC1" w:rsidRPr="00EE4FC1" w:rsidRDefault="00EE4FC1" w:rsidP="00EE4FC1">
            <w:pPr>
              <w:spacing w:after="0" w:line="360" w:lineRule="auto"/>
              <w:jc w:val="center"/>
              <w:rPr>
                <w:rFonts w:ascii="Arial" w:eastAsia="Calibri" w:hAnsi="Arial" w:cs="Arial"/>
                <w:sz w:val="22"/>
                <w:szCs w:val="22"/>
                <w:lang w:val="en-US" w:eastAsia="zh-CN"/>
              </w:rPr>
            </w:pPr>
            <w:r w:rsidRPr="00EE4FC1">
              <w:rPr>
                <w:rFonts w:ascii="Arial" w:eastAsia="Calibri" w:hAnsi="Arial" w:cs="Arial"/>
                <w:sz w:val="22"/>
                <w:szCs w:val="22"/>
                <w:lang w:val="en-US" w:eastAsia="zh-CN"/>
              </w:rPr>
              <w:t>Country</w:t>
            </w:r>
          </w:p>
        </w:tc>
        <w:tc>
          <w:tcPr>
            <w:tcW w:w="3904" w:type="dxa"/>
            <w:vAlign w:val="center"/>
          </w:tcPr>
          <w:p w14:paraId="67EB0E13"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United Kingdom</w:t>
            </w:r>
          </w:p>
        </w:tc>
        <w:tc>
          <w:tcPr>
            <w:tcW w:w="4817" w:type="dxa"/>
            <w:vAlign w:val="center"/>
          </w:tcPr>
          <w:p w14:paraId="3F87E85D"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Countries outside the United Kingdom</w:t>
            </w:r>
          </w:p>
        </w:tc>
      </w:tr>
      <w:tr w:rsidR="00EE4FC1" w:rsidRPr="00EE4FC1" w14:paraId="6D329F7E" w14:textId="77777777" w:rsidTr="00725F03">
        <w:trPr>
          <w:trHeight w:val="503"/>
        </w:trPr>
        <w:tc>
          <w:tcPr>
            <w:tcW w:w="1993" w:type="dxa"/>
            <w:vAlign w:val="center"/>
          </w:tcPr>
          <w:p w14:paraId="3A79FDEA" w14:textId="77777777" w:rsidR="00EE4FC1" w:rsidRPr="00EE4FC1" w:rsidRDefault="00EE4FC1" w:rsidP="00EE4FC1">
            <w:pPr>
              <w:spacing w:after="0" w:line="360" w:lineRule="auto"/>
              <w:jc w:val="center"/>
              <w:rPr>
                <w:rFonts w:ascii="Arial" w:eastAsia="Calibri" w:hAnsi="Arial" w:cs="Arial"/>
                <w:sz w:val="22"/>
                <w:szCs w:val="22"/>
                <w:lang w:val="en-US" w:eastAsia="zh-CN"/>
              </w:rPr>
            </w:pPr>
            <w:r w:rsidRPr="00EE4FC1">
              <w:rPr>
                <w:rFonts w:ascii="Arial" w:eastAsia="Calibri" w:hAnsi="Arial" w:cs="Arial"/>
                <w:sz w:val="22"/>
                <w:szCs w:val="22"/>
                <w:lang w:val="en-US" w:eastAsia="zh-CN"/>
              </w:rPr>
              <w:t>Language</w:t>
            </w:r>
          </w:p>
        </w:tc>
        <w:tc>
          <w:tcPr>
            <w:tcW w:w="3904" w:type="dxa"/>
            <w:vAlign w:val="center"/>
          </w:tcPr>
          <w:p w14:paraId="750ECCE0"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English language publications</w:t>
            </w:r>
          </w:p>
        </w:tc>
        <w:tc>
          <w:tcPr>
            <w:tcW w:w="4817" w:type="dxa"/>
            <w:vAlign w:val="center"/>
          </w:tcPr>
          <w:p w14:paraId="53D6A988"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Non-English publications</w:t>
            </w:r>
          </w:p>
        </w:tc>
      </w:tr>
      <w:tr w:rsidR="00EE4FC1" w:rsidRPr="00EE4FC1" w14:paraId="723A1170" w14:textId="77777777" w:rsidTr="00725F03">
        <w:trPr>
          <w:trHeight w:val="492"/>
        </w:trPr>
        <w:tc>
          <w:tcPr>
            <w:tcW w:w="1993" w:type="dxa"/>
            <w:vAlign w:val="center"/>
          </w:tcPr>
          <w:p w14:paraId="4A1DA3DA" w14:textId="77777777" w:rsidR="00EE4FC1" w:rsidRPr="00042674" w:rsidRDefault="00EE4FC1" w:rsidP="00EE4FC1">
            <w:pPr>
              <w:spacing w:after="0" w:line="360" w:lineRule="auto"/>
              <w:jc w:val="center"/>
              <w:rPr>
                <w:rFonts w:ascii="Arial" w:eastAsia="Calibri" w:hAnsi="Arial" w:cs="Arial"/>
                <w:color w:val="000000"/>
                <w:sz w:val="22"/>
                <w:szCs w:val="22"/>
                <w:lang w:val="en-US" w:eastAsia="zh-CN"/>
              </w:rPr>
            </w:pPr>
            <w:r w:rsidRPr="00042674">
              <w:rPr>
                <w:rFonts w:ascii="Arial" w:eastAsia="Calibri" w:hAnsi="Arial" w:cs="Arial"/>
                <w:color w:val="000000"/>
                <w:sz w:val="22"/>
                <w:szCs w:val="22"/>
                <w:lang w:val="en-US" w:eastAsia="zh-CN"/>
              </w:rPr>
              <w:t>Publication Period</w:t>
            </w:r>
          </w:p>
        </w:tc>
        <w:tc>
          <w:tcPr>
            <w:tcW w:w="3904" w:type="dxa"/>
            <w:vAlign w:val="center"/>
          </w:tcPr>
          <w:p w14:paraId="6E23BE6E" w14:textId="77777777" w:rsidR="00EE4FC1" w:rsidRPr="00042674" w:rsidRDefault="00EE4FC1" w:rsidP="00EE4FC1">
            <w:pPr>
              <w:spacing w:after="0" w:line="360" w:lineRule="auto"/>
              <w:jc w:val="both"/>
              <w:rPr>
                <w:rFonts w:ascii="Arial" w:eastAsia="Calibri" w:hAnsi="Arial" w:cs="Arial"/>
                <w:color w:val="000000"/>
                <w:sz w:val="22"/>
                <w:szCs w:val="22"/>
                <w:lang w:val="en-US" w:eastAsia="zh-CN"/>
              </w:rPr>
            </w:pPr>
            <w:r w:rsidRPr="00042674">
              <w:rPr>
                <w:rFonts w:ascii="Arial" w:eastAsia="Calibri" w:hAnsi="Arial" w:cs="Arial"/>
                <w:color w:val="000000"/>
                <w:sz w:val="22"/>
                <w:szCs w:val="22"/>
                <w:lang w:val="en-US" w:eastAsia="zh-CN"/>
              </w:rPr>
              <w:t>2016–2026</w:t>
            </w:r>
          </w:p>
        </w:tc>
        <w:tc>
          <w:tcPr>
            <w:tcW w:w="4817" w:type="dxa"/>
            <w:vAlign w:val="center"/>
          </w:tcPr>
          <w:p w14:paraId="6C4D72CD" w14:textId="77777777" w:rsidR="00EE4FC1" w:rsidRPr="00042674" w:rsidRDefault="00EE4FC1" w:rsidP="00EE4FC1">
            <w:pPr>
              <w:spacing w:after="0" w:line="360" w:lineRule="auto"/>
              <w:jc w:val="both"/>
              <w:rPr>
                <w:rFonts w:ascii="Arial" w:eastAsia="Calibri" w:hAnsi="Arial" w:cs="Arial"/>
                <w:color w:val="000000"/>
                <w:sz w:val="22"/>
                <w:szCs w:val="22"/>
                <w:lang w:val="en-US" w:eastAsia="zh-CN"/>
              </w:rPr>
            </w:pPr>
            <w:r w:rsidRPr="00042674">
              <w:rPr>
                <w:rFonts w:ascii="Arial" w:eastAsia="Calibri" w:hAnsi="Arial" w:cs="Arial"/>
                <w:color w:val="000000"/>
                <w:sz w:val="22"/>
                <w:szCs w:val="22"/>
                <w:lang w:val="en-US" w:eastAsia="zh-CN"/>
              </w:rPr>
              <w:t>Studies published before 2016</w:t>
            </w:r>
          </w:p>
        </w:tc>
      </w:tr>
      <w:tr w:rsidR="00EE4FC1" w:rsidRPr="00EE4FC1" w14:paraId="26EF742A" w14:textId="77777777" w:rsidTr="00725F03">
        <w:trPr>
          <w:trHeight w:val="492"/>
        </w:trPr>
        <w:tc>
          <w:tcPr>
            <w:tcW w:w="1993" w:type="dxa"/>
            <w:vAlign w:val="center"/>
          </w:tcPr>
          <w:p w14:paraId="38BBF657" w14:textId="77777777" w:rsidR="00EE4FC1" w:rsidRPr="00EE4FC1" w:rsidRDefault="00EE4FC1" w:rsidP="00EE4FC1">
            <w:pPr>
              <w:spacing w:after="0" w:line="360" w:lineRule="auto"/>
              <w:jc w:val="center"/>
              <w:rPr>
                <w:rFonts w:ascii="Arial" w:eastAsia="Calibri" w:hAnsi="Arial" w:cs="Arial"/>
                <w:sz w:val="22"/>
                <w:szCs w:val="22"/>
                <w:lang w:val="en-US" w:eastAsia="zh-CN"/>
              </w:rPr>
            </w:pPr>
            <w:r w:rsidRPr="00EE4FC1">
              <w:rPr>
                <w:rFonts w:ascii="Arial" w:eastAsia="Calibri" w:hAnsi="Arial" w:cs="Arial"/>
                <w:sz w:val="22"/>
                <w:szCs w:val="22"/>
                <w:lang w:val="en-US" w:eastAsia="zh-CN"/>
              </w:rPr>
              <w:t>Participants</w:t>
            </w:r>
          </w:p>
        </w:tc>
        <w:tc>
          <w:tcPr>
            <w:tcW w:w="3904" w:type="dxa"/>
            <w:vAlign w:val="center"/>
          </w:tcPr>
          <w:p w14:paraId="1DE63CCD"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Patients/service users</w:t>
            </w:r>
          </w:p>
        </w:tc>
        <w:tc>
          <w:tcPr>
            <w:tcW w:w="4817" w:type="dxa"/>
            <w:vAlign w:val="center"/>
          </w:tcPr>
          <w:p w14:paraId="24B74C1B"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Studies focusing solely on healthcare professionals</w:t>
            </w:r>
          </w:p>
        </w:tc>
      </w:tr>
      <w:tr w:rsidR="00EE4FC1" w:rsidRPr="00EE4FC1" w14:paraId="35AF82CE" w14:textId="77777777" w:rsidTr="00725F03">
        <w:trPr>
          <w:trHeight w:val="492"/>
        </w:trPr>
        <w:tc>
          <w:tcPr>
            <w:tcW w:w="1993" w:type="dxa"/>
            <w:vAlign w:val="center"/>
          </w:tcPr>
          <w:p w14:paraId="4B482641" w14:textId="77777777" w:rsidR="00EE4FC1" w:rsidRPr="00EE4FC1" w:rsidRDefault="00EE4FC1" w:rsidP="00EE4FC1">
            <w:pPr>
              <w:spacing w:after="0" w:line="360" w:lineRule="auto"/>
              <w:jc w:val="center"/>
              <w:rPr>
                <w:rFonts w:ascii="Arial" w:eastAsia="Calibri" w:hAnsi="Arial" w:cs="Arial"/>
                <w:sz w:val="22"/>
                <w:szCs w:val="22"/>
                <w:lang w:val="en-US" w:eastAsia="zh-CN"/>
              </w:rPr>
            </w:pPr>
            <w:r w:rsidRPr="00EE4FC1">
              <w:rPr>
                <w:rFonts w:ascii="Arial" w:eastAsia="Calibri" w:hAnsi="Arial" w:cs="Arial"/>
                <w:sz w:val="22"/>
                <w:szCs w:val="22"/>
                <w:lang w:val="en-US" w:eastAsia="zh-CN"/>
              </w:rPr>
              <w:t>Publication Type</w:t>
            </w:r>
          </w:p>
        </w:tc>
        <w:tc>
          <w:tcPr>
            <w:tcW w:w="3904" w:type="dxa"/>
            <w:vAlign w:val="center"/>
          </w:tcPr>
          <w:p w14:paraId="29F071E4"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Peer-reviewed journal articles</w:t>
            </w:r>
          </w:p>
        </w:tc>
        <w:tc>
          <w:tcPr>
            <w:tcW w:w="4817" w:type="dxa"/>
            <w:vAlign w:val="center"/>
          </w:tcPr>
          <w:p w14:paraId="084E0F59" w14:textId="77777777" w:rsidR="00EE4FC1" w:rsidRPr="00EE4FC1" w:rsidRDefault="00EE4FC1" w:rsidP="00EE4FC1">
            <w:pPr>
              <w:spacing w:after="0"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Non-peer-reviewed publications</w:t>
            </w:r>
          </w:p>
        </w:tc>
      </w:tr>
    </w:tbl>
    <w:p w14:paraId="2939D887" w14:textId="77777777" w:rsidR="00EE4FC1" w:rsidRPr="00EE4FC1" w:rsidRDefault="00EE4FC1" w:rsidP="00EE4FC1">
      <w:pPr>
        <w:spacing w:line="360" w:lineRule="auto"/>
        <w:jc w:val="center"/>
        <w:rPr>
          <w:rFonts w:ascii="Arial" w:eastAsia="PMingLiU" w:hAnsi="Arial" w:cs="Arial"/>
          <w:sz w:val="22"/>
          <w:szCs w:val="22"/>
          <w:lang w:val="en-US" w:eastAsia="zh-CN"/>
        </w:rPr>
      </w:pPr>
      <w:r w:rsidRPr="00EE4FC1">
        <w:rPr>
          <w:rFonts w:ascii="Arial" w:eastAsia="PMingLiU" w:hAnsi="Arial" w:cs="Arial"/>
          <w:i/>
          <w:iCs/>
          <w:sz w:val="22"/>
          <w:szCs w:val="22"/>
          <w:lang w:val="en-US" w:eastAsia="zh-CN"/>
        </w:rPr>
        <w:t>Source: Author’s Compilation (2026).</w:t>
      </w:r>
    </w:p>
    <w:p w14:paraId="2B3475A8"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52" w:name="_Toc241618973"/>
      <w:r w:rsidRPr="00EE4FC1">
        <w:rPr>
          <w:rFonts w:ascii="Arial" w:eastAsia="PMingLiU" w:hAnsi="Arial" w:cs="Arial"/>
          <w:b/>
          <w:bCs/>
          <w:sz w:val="22"/>
          <w:szCs w:val="22"/>
          <w:lang w:eastAsia="zh-CN"/>
        </w:rPr>
        <w:lastRenderedPageBreak/>
        <w:t>3.4 Study Selection Process</w:t>
      </w:r>
      <w:bookmarkEnd w:id="52"/>
    </w:p>
    <w:p w14:paraId="169273DE"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The process of selecting studies included only relevant and good quality studies and was done systematically. After conducting a database search in PubMed, CINAHL and Google Scholar, all of the retrieved documents were entered into a reference management system and duplicate studies were eliminated. The rest of the articles have been screened based on the title and abstract to find the articles relevant to the research question. At this stage studies which were not included in the set criteria were excluded.</w:t>
      </w:r>
    </w:p>
    <w:p w14:paraId="0B73CA38" w14:textId="77777777" w:rsidR="00EE4FC1" w:rsidRPr="00EE4FC1" w:rsidRDefault="00EE4FC1" w:rsidP="00EE4FC1">
      <w:pPr>
        <w:spacing w:after="0"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After this, the complete articles were subsequently retrieved for potentially eligible articles and the inclusion and exclusion criteria were checked. For the final review only studies that met all the eligibility criteria were included. Kahale et al. (2022) found that the reliability and reproducibility of systematic reviews can be improved by using a transparent and structured study selection process. The screening and selection process (including identification, screening, eligibility assessment and final inclusion of studies) will be reported in a PRISMA 2020 flow diagram (see Figure 3 below).</w:t>
      </w:r>
    </w:p>
    <w:p w14:paraId="74216D27" w14:textId="77777777" w:rsidR="00EE4FC1" w:rsidRPr="00EE4FC1" w:rsidRDefault="00EE4FC1" w:rsidP="00EE4FC1">
      <w:pPr>
        <w:spacing w:after="0" w:line="360" w:lineRule="auto"/>
        <w:rPr>
          <w:rFonts w:ascii="Calibri" w:eastAsia="PMingLiU" w:hAnsi="Calibri"/>
          <w:sz w:val="22"/>
          <w:szCs w:val="22"/>
          <w:lang w:eastAsia="zh-CN"/>
        </w:rPr>
      </w:pPr>
    </w:p>
    <w:p w14:paraId="416574D1" w14:textId="77777777" w:rsidR="00EE4FC1" w:rsidRPr="00EE4FC1" w:rsidRDefault="00EE4FC1" w:rsidP="00EE4FC1">
      <w:pPr>
        <w:spacing w:after="0" w:line="360" w:lineRule="auto"/>
        <w:rPr>
          <w:rFonts w:ascii="Calibri" w:eastAsia="PMingLiU" w:hAnsi="Calibri"/>
          <w:sz w:val="22"/>
          <w:szCs w:val="22"/>
          <w:lang w:eastAsia="zh-CN"/>
        </w:rPr>
      </w:pPr>
    </w:p>
    <w:p w14:paraId="6C3F554F" w14:textId="77777777" w:rsidR="00EE4FC1" w:rsidRPr="00EE4FC1" w:rsidRDefault="00EE4FC1" w:rsidP="00EE4FC1">
      <w:pPr>
        <w:spacing w:after="0" w:line="360" w:lineRule="auto"/>
        <w:rPr>
          <w:rFonts w:ascii="Calibri" w:eastAsia="PMingLiU" w:hAnsi="Calibri"/>
          <w:sz w:val="22"/>
          <w:szCs w:val="22"/>
          <w:lang w:eastAsia="zh-CN"/>
        </w:rPr>
      </w:pPr>
    </w:p>
    <w:p w14:paraId="54B89A4E" w14:textId="77777777" w:rsidR="00EE4FC1" w:rsidRPr="00EE4FC1" w:rsidRDefault="00EE4FC1" w:rsidP="00EE4FC1">
      <w:pPr>
        <w:spacing w:after="0" w:line="360" w:lineRule="auto"/>
        <w:rPr>
          <w:rFonts w:ascii="Calibri" w:eastAsia="PMingLiU" w:hAnsi="Calibri"/>
          <w:sz w:val="22"/>
          <w:szCs w:val="22"/>
          <w:lang w:eastAsia="zh-CN"/>
        </w:rPr>
      </w:pPr>
    </w:p>
    <w:p w14:paraId="49047DAC" w14:textId="77777777" w:rsidR="00EE4FC1" w:rsidRPr="00EE4FC1" w:rsidRDefault="00EE4FC1" w:rsidP="00EE4FC1">
      <w:pPr>
        <w:spacing w:after="0" w:line="360" w:lineRule="auto"/>
        <w:rPr>
          <w:rFonts w:ascii="Calibri" w:eastAsia="PMingLiU" w:hAnsi="Calibri"/>
          <w:sz w:val="22"/>
          <w:szCs w:val="22"/>
          <w:lang w:eastAsia="zh-CN"/>
        </w:rPr>
      </w:pPr>
    </w:p>
    <w:p w14:paraId="4C56196F" w14:textId="77777777" w:rsidR="00EE4FC1" w:rsidRPr="00EE4FC1" w:rsidRDefault="00EE4FC1" w:rsidP="00EE4FC1">
      <w:pPr>
        <w:spacing w:after="0" w:line="360" w:lineRule="auto"/>
        <w:rPr>
          <w:rFonts w:ascii="Calibri" w:eastAsia="PMingLiU" w:hAnsi="Calibri"/>
          <w:sz w:val="22"/>
          <w:szCs w:val="22"/>
          <w:lang w:eastAsia="zh-CN"/>
        </w:rPr>
      </w:pPr>
    </w:p>
    <w:p w14:paraId="1E1A8B06" w14:textId="77777777" w:rsidR="00EE4FC1" w:rsidRPr="00EE4FC1" w:rsidRDefault="00EE4FC1" w:rsidP="00EE4FC1">
      <w:pPr>
        <w:spacing w:after="0" w:line="360" w:lineRule="auto"/>
        <w:rPr>
          <w:rFonts w:ascii="Calibri" w:eastAsia="PMingLiU" w:hAnsi="Calibri"/>
          <w:sz w:val="22"/>
          <w:szCs w:val="22"/>
          <w:lang w:eastAsia="zh-CN"/>
        </w:rPr>
      </w:pPr>
    </w:p>
    <w:p w14:paraId="7B541488" w14:textId="77777777" w:rsidR="00EE4FC1" w:rsidRPr="00EE4FC1" w:rsidRDefault="00EE4FC1" w:rsidP="00EE4FC1">
      <w:pPr>
        <w:spacing w:after="0" w:line="360" w:lineRule="auto"/>
        <w:rPr>
          <w:rFonts w:ascii="Calibri" w:eastAsia="PMingLiU" w:hAnsi="Calibri"/>
          <w:sz w:val="22"/>
          <w:szCs w:val="22"/>
          <w:lang w:eastAsia="zh-CN"/>
        </w:rPr>
      </w:pPr>
    </w:p>
    <w:p w14:paraId="63A49DD0" w14:textId="77777777" w:rsidR="00EE4FC1" w:rsidRPr="00EE4FC1" w:rsidRDefault="00EE4FC1" w:rsidP="00EE4FC1">
      <w:pPr>
        <w:spacing w:after="0" w:line="360" w:lineRule="auto"/>
        <w:rPr>
          <w:rFonts w:ascii="Calibri" w:eastAsia="PMingLiU" w:hAnsi="Calibri"/>
          <w:sz w:val="22"/>
          <w:szCs w:val="22"/>
          <w:lang w:eastAsia="zh-CN"/>
        </w:rPr>
      </w:pPr>
    </w:p>
    <w:p w14:paraId="3D4730DE" w14:textId="77777777" w:rsidR="00EE4FC1" w:rsidRPr="00EE4FC1" w:rsidRDefault="00EE4FC1" w:rsidP="00EE4FC1">
      <w:pPr>
        <w:spacing w:after="0" w:line="360" w:lineRule="auto"/>
        <w:rPr>
          <w:rFonts w:ascii="Calibri" w:eastAsia="PMingLiU" w:hAnsi="Calibri"/>
          <w:sz w:val="22"/>
          <w:szCs w:val="22"/>
          <w:lang w:eastAsia="zh-CN"/>
        </w:rPr>
      </w:pPr>
    </w:p>
    <w:p w14:paraId="6F2A9B99" w14:textId="77777777" w:rsidR="00EE4FC1" w:rsidRDefault="00EE4FC1" w:rsidP="00EE4FC1">
      <w:pPr>
        <w:spacing w:after="0" w:line="360" w:lineRule="auto"/>
        <w:rPr>
          <w:rFonts w:ascii="Calibri" w:eastAsia="PMingLiU" w:hAnsi="Calibri"/>
          <w:sz w:val="22"/>
          <w:szCs w:val="22"/>
          <w:lang w:eastAsia="zh-CN"/>
        </w:rPr>
      </w:pPr>
    </w:p>
    <w:p w14:paraId="50A02C73" w14:textId="77777777" w:rsidR="00042674" w:rsidRDefault="00042674" w:rsidP="00EE4FC1">
      <w:pPr>
        <w:spacing w:after="0" w:line="360" w:lineRule="auto"/>
        <w:rPr>
          <w:rFonts w:ascii="Calibri" w:eastAsia="PMingLiU" w:hAnsi="Calibri"/>
          <w:sz w:val="22"/>
          <w:szCs w:val="22"/>
          <w:lang w:eastAsia="zh-CN"/>
        </w:rPr>
      </w:pPr>
    </w:p>
    <w:p w14:paraId="2BD618F6" w14:textId="77777777" w:rsidR="00042674" w:rsidRDefault="00042674" w:rsidP="00EE4FC1">
      <w:pPr>
        <w:spacing w:after="0" w:line="360" w:lineRule="auto"/>
        <w:rPr>
          <w:rFonts w:ascii="Calibri" w:eastAsia="PMingLiU" w:hAnsi="Calibri"/>
          <w:sz w:val="22"/>
          <w:szCs w:val="22"/>
          <w:lang w:eastAsia="zh-CN"/>
        </w:rPr>
      </w:pPr>
    </w:p>
    <w:p w14:paraId="6EAF55A9" w14:textId="77777777" w:rsidR="00580FC5" w:rsidRDefault="00580FC5" w:rsidP="00EE4FC1">
      <w:pPr>
        <w:spacing w:after="0" w:line="360" w:lineRule="auto"/>
        <w:rPr>
          <w:rFonts w:ascii="Calibri" w:eastAsia="PMingLiU" w:hAnsi="Calibri"/>
          <w:sz w:val="22"/>
          <w:szCs w:val="22"/>
          <w:lang w:eastAsia="zh-CN"/>
        </w:rPr>
      </w:pPr>
    </w:p>
    <w:p w14:paraId="795A8174" w14:textId="77777777" w:rsidR="003F2B59" w:rsidRDefault="003F2B59" w:rsidP="00EE4FC1">
      <w:pPr>
        <w:spacing w:after="0" w:line="360" w:lineRule="auto"/>
        <w:rPr>
          <w:rFonts w:ascii="Calibri" w:eastAsia="PMingLiU" w:hAnsi="Calibri"/>
          <w:sz w:val="22"/>
          <w:szCs w:val="22"/>
          <w:lang w:eastAsia="zh-CN"/>
        </w:rPr>
      </w:pPr>
    </w:p>
    <w:p w14:paraId="7EF26618" w14:textId="77777777" w:rsidR="003F2B59" w:rsidRDefault="003F2B59" w:rsidP="00EE4FC1">
      <w:pPr>
        <w:spacing w:after="0" w:line="360" w:lineRule="auto"/>
        <w:rPr>
          <w:rFonts w:ascii="Calibri" w:eastAsia="PMingLiU" w:hAnsi="Calibri"/>
          <w:sz w:val="22"/>
          <w:szCs w:val="22"/>
          <w:lang w:eastAsia="zh-CN"/>
        </w:rPr>
      </w:pPr>
    </w:p>
    <w:p w14:paraId="24AF034E" w14:textId="77777777" w:rsidR="003F2B59" w:rsidRPr="00EE4FC1" w:rsidRDefault="003F2B59" w:rsidP="00EE4FC1">
      <w:pPr>
        <w:spacing w:after="0" w:line="360" w:lineRule="auto"/>
        <w:rPr>
          <w:rFonts w:ascii="Calibri" w:eastAsia="PMingLiU" w:hAnsi="Calibri"/>
          <w:sz w:val="22"/>
          <w:szCs w:val="22"/>
          <w:lang w:eastAsia="zh-CN"/>
        </w:rPr>
      </w:pPr>
    </w:p>
    <w:p w14:paraId="4F885F65" w14:textId="77777777" w:rsidR="00EE4FC1" w:rsidRPr="00EE4FC1" w:rsidRDefault="00EE4FC1" w:rsidP="00EE4FC1">
      <w:pPr>
        <w:spacing w:after="0" w:line="360" w:lineRule="auto"/>
        <w:rPr>
          <w:rFonts w:ascii="Calibri" w:eastAsia="PMingLiU" w:hAnsi="Calibri"/>
          <w:sz w:val="22"/>
          <w:szCs w:val="22"/>
          <w:lang w:eastAsia="zh-CN"/>
        </w:rPr>
      </w:pPr>
    </w:p>
    <w:p w14:paraId="3DC09137" w14:textId="77777777" w:rsidR="00042674" w:rsidRPr="00EE4FC1" w:rsidRDefault="00042674" w:rsidP="00042674">
      <w:pPr>
        <w:spacing w:after="0" w:line="360" w:lineRule="auto"/>
        <w:rPr>
          <w:rFonts w:ascii="Calibri" w:eastAsia="PMingLiU" w:hAnsi="Calibri"/>
          <w:sz w:val="22"/>
          <w:szCs w:val="22"/>
          <w:lang w:eastAsia="zh-CN"/>
        </w:rPr>
      </w:pPr>
    </w:p>
    <w:p w14:paraId="1F8FB78F" w14:textId="77777777" w:rsidR="00042674" w:rsidRPr="00EE4FC1" w:rsidRDefault="00042674" w:rsidP="00042674">
      <w:pPr>
        <w:spacing w:after="0" w:line="360" w:lineRule="auto"/>
        <w:rPr>
          <w:rFonts w:ascii="Calibri" w:eastAsia="PMingLiU" w:hAnsi="Calibri"/>
          <w:sz w:val="22"/>
          <w:szCs w:val="22"/>
          <w:lang w:eastAsia="zh-CN"/>
        </w:rPr>
      </w:pPr>
    </w:p>
    <w:p w14:paraId="6781B4D9" w14:textId="77777777" w:rsidR="00042674" w:rsidRPr="00EE4FC1" w:rsidRDefault="00042674" w:rsidP="00042674">
      <w:pPr>
        <w:spacing w:after="0" w:line="360" w:lineRule="auto"/>
        <w:rPr>
          <w:rFonts w:ascii="Calibri" w:eastAsia="PMingLiU" w:hAnsi="Calibri"/>
          <w:sz w:val="22"/>
          <w:szCs w:val="22"/>
          <w:lang w:eastAsia="zh-CN"/>
        </w:rPr>
      </w:pPr>
    </w:p>
    <w:p w14:paraId="7603E91B" w14:textId="77777777" w:rsidR="00042674" w:rsidRPr="00EE4FC1" w:rsidRDefault="00722D8E" w:rsidP="00042674">
      <w:pPr>
        <w:spacing w:after="0" w:line="360" w:lineRule="auto"/>
        <w:rPr>
          <w:rFonts w:ascii="Calibri" w:eastAsia="PMingLiU" w:hAnsi="Calibri"/>
          <w:sz w:val="22"/>
          <w:szCs w:val="22"/>
          <w:lang w:eastAsia="zh-CN"/>
        </w:rPr>
      </w:pPr>
      <w:r>
        <w:rPr>
          <w:noProof/>
        </w:rPr>
        <w:lastRenderedPageBreak/>
        <mc:AlternateContent>
          <mc:Choice Requires="wps">
            <w:drawing>
              <wp:anchor distT="0" distB="0" distL="114300" distR="114300" simplePos="0" relativeHeight="251660800" behindDoc="0" locked="0" layoutInCell="1" allowOverlap="1" wp14:anchorId="6211EC2E" wp14:editId="649E8869">
                <wp:simplePos x="0" y="0"/>
                <wp:positionH relativeFrom="column">
                  <wp:posOffset>567055</wp:posOffset>
                </wp:positionH>
                <wp:positionV relativeFrom="paragraph">
                  <wp:posOffset>74295</wp:posOffset>
                </wp:positionV>
                <wp:extent cx="4345305" cy="262890"/>
                <wp:effectExtent l="0" t="0" r="0" b="3810"/>
                <wp:wrapNone/>
                <wp:docPr id="358375000" name="Flowchart: Alternate Process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345305" cy="262890"/>
                        </a:xfrm>
                        <a:prstGeom prst="flowChartAlternateProcess">
                          <a:avLst/>
                        </a:prstGeom>
                        <a:solidFill>
                          <a:srgbClr val="FFC000"/>
                        </a:solidFill>
                        <a:ln w="12700" cap="flat" cmpd="sng" algn="ctr">
                          <a:solidFill>
                            <a:srgbClr val="FFC000">
                              <a:shade val="50000"/>
                            </a:srgbClr>
                          </a:solidFill>
                          <a:prstDash val="solid"/>
                          <a:miter lim="800000"/>
                        </a:ln>
                        <a:effectLst/>
                      </wps:spPr>
                      <wps:txbx>
                        <w:txbxContent>
                          <w:p w14:paraId="3FA378F9" w14:textId="77777777" w:rsidR="00042674" w:rsidRPr="002D09C3" w:rsidRDefault="00042674" w:rsidP="00042674">
                            <w:pPr>
                              <w:jc w:val="center"/>
                              <w:rPr>
                                <w:rFonts w:ascii="Arial" w:hAnsi="Arial" w:cs="Arial"/>
                                <w:b/>
                                <w:color w:val="000000"/>
                                <w:sz w:val="18"/>
                                <w:szCs w:val="18"/>
                              </w:rPr>
                            </w:pPr>
                            <w:r w:rsidRPr="002D09C3">
                              <w:rPr>
                                <w:rFonts w:ascii="Arial" w:hAnsi="Arial" w:cs="Arial"/>
                                <w:b/>
                                <w:color w:val="000000"/>
                                <w:sz w:val="18"/>
                                <w:szCs w:val="18"/>
                              </w:rPr>
                              <w:t>Identification of studies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11EC2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8" o:spid="_x0000_s1026" type="#_x0000_t176" style="position:absolute;margin-left:44.65pt;margin-top:5.85pt;width:342.15pt;height:20.7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" fillcolor="#ffc000" strokecolor="#bc8c00" strokeweight="1pt">
                <v:path arrowok="t"/>
                <v:textbox>
                  <w:txbxContent>
                    <w:p w14:paraId="3FA378F9" w14:textId="77777777" w:rsidR="00042674" w:rsidRPr="002D09C3" w:rsidRDefault="00042674" w:rsidP="00042674">
                      <w:pPr>
                        <w:jc w:val="center"/>
                        <w:rPr>
                          <w:rFonts w:ascii="Arial" w:hAnsi="Arial" w:cs="Arial"/>
                          <w:b/>
                          <w:color w:val="000000"/>
                          <w:sz w:val="18"/>
                          <w:szCs w:val="18"/>
                        </w:rPr>
                      </w:pPr>
                      <w:r w:rsidRPr="002D09C3">
                        <w:rPr>
                          <w:rFonts w:ascii="Arial" w:hAnsi="Arial" w:cs="Arial"/>
                          <w:b/>
                          <w:color w:val="000000"/>
                          <w:sz w:val="18"/>
                          <w:szCs w:val="18"/>
                        </w:rPr>
                        <w:t>Identification of studies via databases and registers</w:t>
                      </w:r>
                    </w:p>
                  </w:txbxContent>
                </v:textbox>
              </v:shape>
            </w:pict>
          </mc:Fallback>
        </mc:AlternateContent>
      </w:r>
    </w:p>
    <w:p w14:paraId="0F12AFD1" w14:textId="08BA2A4A" w:rsidR="00042674" w:rsidRPr="00EE4FC1" w:rsidRDefault="00042674" w:rsidP="00042674">
      <w:pPr>
        <w:spacing w:after="0" w:line="360" w:lineRule="auto"/>
        <w:rPr>
          <w:rFonts w:ascii="Calibri" w:eastAsia="PMingLiU" w:hAnsi="Calibri"/>
          <w:sz w:val="22"/>
          <w:szCs w:val="22"/>
          <w:lang w:eastAsia="zh-CN"/>
        </w:rPr>
      </w:pPr>
    </w:p>
    <w:p w14:paraId="5AEF93E8" w14:textId="68F50085" w:rsidR="00042674" w:rsidRPr="00EE4FC1" w:rsidRDefault="00B55844" w:rsidP="00042674">
      <w:pPr>
        <w:spacing w:after="0" w:line="360" w:lineRule="auto"/>
        <w:rPr>
          <w:rFonts w:ascii="Calibri" w:eastAsia="PMingLiU" w:hAnsi="Calibri"/>
          <w:sz w:val="22"/>
          <w:szCs w:val="22"/>
          <w:lang w:eastAsia="zh-CN"/>
        </w:rPr>
      </w:pPr>
      <w:r>
        <w:rPr>
          <w:noProof/>
        </w:rPr>
        <mc:AlternateContent>
          <mc:Choice Requires="wps">
            <w:drawing>
              <wp:anchor distT="0" distB="0" distL="114300" distR="114300" simplePos="0" relativeHeight="251661824" behindDoc="0" locked="0" layoutInCell="1" allowOverlap="1" wp14:anchorId="30E40CF8" wp14:editId="29AE1B1E">
                <wp:simplePos x="0" y="0"/>
                <wp:positionH relativeFrom="column">
                  <wp:posOffset>-613091</wp:posOffset>
                </wp:positionH>
                <wp:positionV relativeFrom="paragraph">
                  <wp:posOffset>281623</wp:posOffset>
                </wp:positionV>
                <wp:extent cx="1276985" cy="828038"/>
                <wp:effectExtent l="0" t="3810" r="14605" b="14605"/>
                <wp:wrapNone/>
                <wp:docPr id="1546465208" name="Flowchart: Alternate Process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1276985" cy="828038"/>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1A62731B" w14:textId="77777777" w:rsidR="00042674" w:rsidRPr="002D09C3" w:rsidRDefault="00042674" w:rsidP="00042674">
                            <w:pPr>
                              <w:jc w:val="center"/>
                              <w:rPr>
                                <w:rFonts w:ascii="Arial" w:hAnsi="Arial" w:cs="Arial"/>
                                <w:b/>
                                <w:color w:val="000000"/>
                                <w:sz w:val="18"/>
                                <w:szCs w:val="18"/>
                              </w:rPr>
                            </w:pPr>
                            <w:r w:rsidRPr="002D09C3">
                              <w:rPr>
                                <w:rFonts w:ascii="Arial" w:hAnsi="Arial" w:cs="Arial"/>
                                <w:b/>
                                <w:color w:val="000000"/>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E40CF8" id="Flowchart: Alternate Process 17" o:spid="_x0000_s1027" type="#_x0000_t176" style="position:absolute;margin-left:-48.25pt;margin-top:22.2pt;width:100.55pt;height:65.2pt;rotation:-90;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" fillcolor="#9dc3e6" strokecolor="windowText" strokeweight="1pt">
                <v:path arrowok="t"/>
                <v:textbox>
                  <w:txbxContent>
                    <w:p w14:paraId="1A62731B" w14:textId="77777777" w:rsidR="00042674" w:rsidRPr="002D09C3" w:rsidRDefault="00042674" w:rsidP="00042674">
                      <w:pPr>
                        <w:jc w:val="center"/>
                        <w:rPr>
                          <w:rFonts w:ascii="Arial" w:hAnsi="Arial" w:cs="Arial"/>
                          <w:b/>
                          <w:color w:val="000000"/>
                          <w:sz w:val="18"/>
                          <w:szCs w:val="18"/>
                        </w:rPr>
                      </w:pPr>
                      <w:r w:rsidRPr="002D09C3">
                        <w:rPr>
                          <w:rFonts w:ascii="Arial" w:hAnsi="Arial" w:cs="Arial"/>
                          <w:b/>
                          <w:color w:val="000000"/>
                          <w:sz w:val="18"/>
                          <w:szCs w:val="18"/>
                        </w:rPr>
                        <w:t>Identification</w:t>
                      </w:r>
                    </w:p>
                  </w:txbxContent>
                </v:textbox>
              </v:shape>
            </w:pict>
          </mc:Fallback>
        </mc:AlternateContent>
      </w:r>
      <w:r w:rsidR="00722D8E">
        <w:rPr>
          <w:noProof/>
        </w:rPr>
        <mc:AlternateContent>
          <mc:Choice Requires="wps">
            <w:drawing>
              <wp:anchor distT="0" distB="0" distL="114300" distR="114300" simplePos="0" relativeHeight="251648512" behindDoc="0" locked="0" layoutInCell="1" allowOverlap="1" wp14:anchorId="1D60BDDE" wp14:editId="2360BA14">
                <wp:simplePos x="0" y="0"/>
                <wp:positionH relativeFrom="column">
                  <wp:posOffset>3022600</wp:posOffset>
                </wp:positionH>
                <wp:positionV relativeFrom="paragraph">
                  <wp:posOffset>72390</wp:posOffset>
                </wp:positionV>
                <wp:extent cx="3203575" cy="1328420"/>
                <wp:effectExtent l="0" t="0" r="0" b="5080"/>
                <wp:wrapNone/>
                <wp:docPr id="1816606760"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03575" cy="1328420"/>
                        </a:xfrm>
                        <a:prstGeom prst="rect">
                          <a:avLst/>
                        </a:prstGeom>
                        <a:noFill/>
                        <a:ln w="12700" algn="ctr">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24047ECA" w14:textId="77777777" w:rsidR="00042674" w:rsidRPr="00EC6749" w:rsidRDefault="00042674" w:rsidP="00042674">
                            <w:pPr>
                              <w:spacing w:before="100" w:beforeAutospacing="1" w:after="100" w:afterAutospacing="1" w:line="240" w:lineRule="auto"/>
                              <w:rPr>
                                <w:rFonts w:ascii="Arial" w:eastAsia="Times New Roman" w:hAnsi="Arial" w:cs="Arial"/>
                                <w:kern w:val="0"/>
                                <w:sz w:val="18"/>
                                <w:szCs w:val="18"/>
                                <w:lang w:eastAsia="en-GB"/>
                              </w:rPr>
                            </w:pPr>
                            <w:r w:rsidRPr="00EC6749">
                              <w:rPr>
                                <w:rFonts w:ascii="Arial" w:eastAsia="Times New Roman" w:hAnsi="Arial" w:cs="Arial"/>
                                <w:kern w:val="0"/>
                                <w:sz w:val="18"/>
                                <w:szCs w:val="18"/>
                                <w:lang w:eastAsia="en-GB"/>
                              </w:rPr>
                              <w:t>Records removed before screening:</w:t>
                            </w:r>
                          </w:p>
                          <w:p w14:paraId="5B80E36C" w14:textId="77777777" w:rsidR="00042674" w:rsidRPr="00EC6749" w:rsidRDefault="00042674" w:rsidP="00042674">
                            <w:pPr>
                              <w:spacing w:before="100" w:beforeAutospacing="1" w:after="100" w:afterAutospacing="1" w:line="240" w:lineRule="auto"/>
                              <w:rPr>
                                <w:rFonts w:ascii="Arial" w:eastAsia="Times New Roman" w:hAnsi="Arial" w:cs="Arial"/>
                                <w:kern w:val="0"/>
                                <w:sz w:val="18"/>
                                <w:szCs w:val="18"/>
                                <w:lang w:eastAsia="en-GB"/>
                              </w:rPr>
                            </w:pPr>
                            <w:r w:rsidRPr="00EC6749">
                              <w:rPr>
                                <w:rFonts w:ascii="Arial" w:eastAsia="Times New Roman" w:hAnsi="Arial" w:cs="Arial"/>
                                <w:kern w:val="0"/>
                                <w:sz w:val="18"/>
                                <w:szCs w:val="18"/>
                                <w:lang w:eastAsia="en-GB"/>
                              </w:rPr>
                              <w:t>Duplicate records removed (n = 14)</w:t>
                            </w:r>
                          </w:p>
                          <w:p w14:paraId="7AA1907B" w14:textId="77777777" w:rsidR="00042674" w:rsidRPr="00EC6749" w:rsidRDefault="00042674" w:rsidP="00042674">
                            <w:pPr>
                              <w:spacing w:before="100" w:beforeAutospacing="1" w:after="100" w:afterAutospacing="1" w:line="240" w:lineRule="auto"/>
                              <w:rPr>
                                <w:rFonts w:ascii="Arial" w:eastAsia="Times New Roman" w:hAnsi="Arial" w:cs="Arial"/>
                                <w:kern w:val="0"/>
                                <w:sz w:val="18"/>
                                <w:szCs w:val="18"/>
                                <w:lang w:eastAsia="en-GB"/>
                              </w:rPr>
                            </w:pPr>
                            <w:r w:rsidRPr="00EC6749">
                              <w:rPr>
                                <w:rFonts w:ascii="Arial" w:eastAsia="Times New Roman" w:hAnsi="Arial" w:cs="Arial"/>
                                <w:kern w:val="0"/>
                                <w:sz w:val="18"/>
                                <w:szCs w:val="18"/>
                                <w:lang w:eastAsia="en-GB"/>
                              </w:rPr>
                              <w:t>Records marked as ineligible by automation tools (n = 0)</w:t>
                            </w:r>
                          </w:p>
                          <w:p w14:paraId="2330AE41" w14:textId="77777777" w:rsidR="00042674" w:rsidRPr="00EC6749" w:rsidRDefault="00042674" w:rsidP="00042674">
                            <w:pPr>
                              <w:spacing w:before="100" w:beforeAutospacing="1" w:after="100" w:afterAutospacing="1" w:line="240" w:lineRule="auto"/>
                              <w:rPr>
                                <w:rFonts w:ascii="Arial" w:eastAsia="Times New Roman" w:hAnsi="Arial" w:cs="Arial"/>
                                <w:kern w:val="0"/>
                                <w:sz w:val="18"/>
                                <w:szCs w:val="18"/>
                                <w:lang w:eastAsia="en-GB"/>
                              </w:rPr>
                            </w:pPr>
                            <w:r w:rsidRPr="00EC6749">
                              <w:rPr>
                                <w:rFonts w:ascii="Arial" w:eastAsia="Times New Roman" w:hAnsi="Arial" w:cs="Arial"/>
                                <w:kern w:val="0"/>
                                <w:sz w:val="18"/>
                                <w:szCs w:val="18"/>
                                <w:lang w:eastAsia="en-GB"/>
                              </w:rPr>
                              <w:t xml:space="preserve">Records removed for </w:t>
                            </w:r>
                            <w:r w:rsidR="00F9724A">
                              <w:rPr>
                                <w:rFonts w:ascii="Arial" w:eastAsia="Times New Roman" w:hAnsi="Arial" w:cs="Arial"/>
                                <w:kern w:val="0"/>
                                <w:sz w:val="18"/>
                                <w:szCs w:val="18"/>
                                <w:lang w:eastAsia="en-GB"/>
                              </w:rPr>
                              <w:t xml:space="preserve">wrong publication type and </w:t>
                            </w:r>
                            <w:r w:rsidR="00F9724A" w:rsidRPr="00F9724A">
                              <w:rPr>
                                <w:rFonts w:ascii="Arial" w:eastAsia="Times New Roman" w:hAnsi="Arial" w:cs="Arial"/>
                                <w:kern w:val="0"/>
                                <w:sz w:val="18"/>
                                <w:szCs w:val="18"/>
                                <w:lang w:eastAsia="en-GB"/>
                              </w:rPr>
                              <w:t>not in English at title stage</w:t>
                            </w:r>
                            <w:r w:rsidR="00F9724A">
                              <w:rPr>
                                <w:rFonts w:ascii="Arial" w:eastAsia="Times New Roman" w:hAnsi="Arial" w:cs="Arial"/>
                                <w:kern w:val="0"/>
                                <w:sz w:val="18"/>
                                <w:szCs w:val="18"/>
                                <w:lang w:eastAsia="en-GB"/>
                              </w:rPr>
                              <w:t xml:space="preserve"> </w:t>
                            </w:r>
                            <w:r w:rsidRPr="00EC6749">
                              <w:rPr>
                                <w:rFonts w:ascii="Arial" w:eastAsia="Times New Roman" w:hAnsi="Arial" w:cs="Arial"/>
                                <w:kern w:val="0"/>
                                <w:sz w:val="18"/>
                                <w:szCs w:val="18"/>
                                <w:lang w:eastAsia="en-GB"/>
                              </w:rPr>
                              <w:t>(n = 5)</w:t>
                            </w:r>
                          </w:p>
                          <w:p w14:paraId="1D99B8ED" w14:textId="77777777" w:rsidR="00042674" w:rsidRPr="002D09C3" w:rsidRDefault="00042674" w:rsidP="00042674">
                            <w:pPr>
                              <w:spacing w:line="360" w:lineRule="auto"/>
                              <w:ind w:left="284"/>
                              <w:jc w:val="both"/>
                              <w:rPr>
                                <w:rFonts w:ascii="Arial" w:hAnsi="Arial" w:cs="Arial"/>
                                <w:color w:val="000000"/>
                                <w:sz w:val="18"/>
                              </w:rPr>
                            </w:pPr>
                          </w:p>
                          <w:p w14:paraId="2D581040" w14:textId="77777777" w:rsidR="00042674" w:rsidRDefault="00042674" w:rsidP="00042674"/>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1D60BDDE" id="Rectangle 19" o:spid="_x0000_s1028" style="position:absolute;margin-left:238pt;margin-top:5.7pt;width:252.25pt;height:104.6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" filled="f" strokeweight="1pt">
                <v:path arrowok="t"/>
                <v:textbox>
                  <w:txbxContent>
                    <w:p w14:paraId="24047ECA" w14:textId="77777777" w:rsidR="00042674" w:rsidRPr="00EC6749" w:rsidRDefault="00042674" w:rsidP="00042674">
                      <w:pPr>
                        <w:spacing w:before="100" w:beforeAutospacing="1" w:after="100" w:afterAutospacing="1" w:line="240" w:lineRule="auto"/>
                        <w:rPr>
                          <w:rFonts w:ascii="Arial" w:eastAsia="Times New Roman" w:hAnsi="Arial" w:cs="Arial"/>
                          <w:kern w:val="0"/>
                          <w:sz w:val="18"/>
                          <w:szCs w:val="18"/>
                          <w:lang w:eastAsia="en-GB"/>
                        </w:rPr>
                      </w:pPr>
                      <w:r w:rsidRPr="00EC6749">
                        <w:rPr>
                          <w:rFonts w:ascii="Arial" w:eastAsia="Times New Roman" w:hAnsi="Arial" w:cs="Arial"/>
                          <w:kern w:val="0"/>
                          <w:sz w:val="18"/>
                          <w:szCs w:val="18"/>
                          <w:lang w:eastAsia="en-GB"/>
                        </w:rPr>
                        <w:t>Records removed before screening:</w:t>
                      </w:r>
                    </w:p>
                    <w:p w14:paraId="5B80E36C" w14:textId="77777777" w:rsidR="00042674" w:rsidRPr="00EC6749" w:rsidRDefault="00042674" w:rsidP="00042674">
                      <w:pPr>
                        <w:spacing w:before="100" w:beforeAutospacing="1" w:after="100" w:afterAutospacing="1" w:line="240" w:lineRule="auto"/>
                        <w:rPr>
                          <w:rFonts w:ascii="Arial" w:eastAsia="Times New Roman" w:hAnsi="Arial" w:cs="Arial"/>
                          <w:kern w:val="0"/>
                          <w:sz w:val="18"/>
                          <w:szCs w:val="18"/>
                          <w:lang w:eastAsia="en-GB"/>
                        </w:rPr>
                      </w:pPr>
                      <w:r w:rsidRPr="00EC6749">
                        <w:rPr>
                          <w:rFonts w:ascii="Arial" w:eastAsia="Times New Roman" w:hAnsi="Arial" w:cs="Arial"/>
                          <w:kern w:val="0"/>
                          <w:sz w:val="18"/>
                          <w:szCs w:val="18"/>
                          <w:lang w:eastAsia="en-GB"/>
                        </w:rPr>
                        <w:t>Duplicate records removed (n = 14)</w:t>
                      </w:r>
                    </w:p>
                    <w:p w14:paraId="7AA1907B" w14:textId="77777777" w:rsidR="00042674" w:rsidRPr="00EC6749" w:rsidRDefault="00042674" w:rsidP="00042674">
                      <w:pPr>
                        <w:spacing w:before="100" w:beforeAutospacing="1" w:after="100" w:afterAutospacing="1" w:line="240" w:lineRule="auto"/>
                        <w:rPr>
                          <w:rFonts w:ascii="Arial" w:eastAsia="Times New Roman" w:hAnsi="Arial" w:cs="Arial"/>
                          <w:kern w:val="0"/>
                          <w:sz w:val="18"/>
                          <w:szCs w:val="18"/>
                          <w:lang w:eastAsia="en-GB"/>
                        </w:rPr>
                      </w:pPr>
                      <w:r w:rsidRPr="00EC6749">
                        <w:rPr>
                          <w:rFonts w:ascii="Arial" w:eastAsia="Times New Roman" w:hAnsi="Arial" w:cs="Arial"/>
                          <w:kern w:val="0"/>
                          <w:sz w:val="18"/>
                          <w:szCs w:val="18"/>
                          <w:lang w:eastAsia="en-GB"/>
                        </w:rPr>
                        <w:t>Records marked as ineligible by automation tools (n = 0)</w:t>
                      </w:r>
                    </w:p>
                    <w:p w14:paraId="2330AE41" w14:textId="77777777" w:rsidR="00042674" w:rsidRPr="00EC6749" w:rsidRDefault="00042674" w:rsidP="00042674">
                      <w:pPr>
                        <w:spacing w:before="100" w:beforeAutospacing="1" w:after="100" w:afterAutospacing="1" w:line="240" w:lineRule="auto"/>
                        <w:rPr>
                          <w:rFonts w:ascii="Arial" w:eastAsia="Times New Roman" w:hAnsi="Arial" w:cs="Arial"/>
                          <w:kern w:val="0"/>
                          <w:sz w:val="18"/>
                          <w:szCs w:val="18"/>
                          <w:lang w:eastAsia="en-GB"/>
                        </w:rPr>
                      </w:pPr>
                      <w:r w:rsidRPr="00EC6749">
                        <w:rPr>
                          <w:rFonts w:ascii="Arial" w:eastAsia="Times New Roman" w:hAnsi="Arial" w:cs="Arial"/>
                          <w:kern w:val="0"/>
                          <w:sz w:val="18"/>
                          <w:szCs w:val="18"/>
                          <w:lang w:eastAsia="en-GB"/>
                        </w:rPr>
                        <w:t xml:space="preserve">Records removed for </w:t>
                      </w:r>
                      <w:r w:rsidR="00F9724A">
                        <w:rPr>
                          <w:rFonts w:ascii="Arial" w:eastAsia="Times New Roman" w:hAnsi="Arial" w:cs="Arial"/>
                          <w:kern w:val="0"/>
                          <w:sz w:val="18"/>
                          <w:szCs w:val="18"/>
                          <w:lang w:eastAsia="en-GB"/>
                        </w:rPr>
                        <w:t xml:space="preserve">wrong publication type and </w:t>
                      </w:r>
                      <w:r w:rsidR="00F9724A" w:rsidRPr="00F9724A">
                        <w:rPr>
                          <w:rFonts w:ascii="Arial" w:eastAsia="Times New Roman" w:hAnsi="Arial" w:cs="Arial"/>
                          <w:kern w:val="0"/>
                          <w:sz w:val="18"/>
                          <w:szCs w:val="18"/>
                          <w:lang w:eastAsia="en-GB"/>
                        </w:rPr>
                        <w:t>not in English at title stage</w:t>
                      </w:r>
                      <w:r w:rsidR="00F9724A">
                        <w:rPr>
                          <w:rFonts w:ascii="Arial" w:eastAsia="Times New Roman" w:hAnsi="Arial" w:cs="Arial"/>
                          <w:kern w:val="0"/>
                          <w:sz w:val="18"/>
                          <w:szCs w:val="18"/>
                          <w:lang w:eastAsia="en-GB"/>
                        </w:rPr>
                        <w:t xml:space="preserve"> </w:t>
                      </w:r>
                      <w:r w:rsidRPr="00EC6749">
                        <w:rPr>
                          <w:rFonts w:ascii="Arial" w:eastAsia="Times New Roman" w:hAnsi="Arial" w:cs="Arial"/>
                          <w:kern w:val="0"/>
                          <w:sz w:val="18"/>
                          <w:szCs w:val="18"/>
                          <w:lang w:eastAsia="en-GB"/>
                        </w:rPr>
                        <w:t>(n = 5)</w:t>
                      </w:r>
                    </w:p>
                    <w:p w14:paraId="1D99B8ED" w14:textId="77777777" w:rsidR="00042674" w:rsidRPr="002D09C3" w:rsidRDefault="00042674" w:rsidP="00042674">
                      <w:pPr>
                        <w:spacing w:line="360" w:lineRule="auto"/>
                        <w:ind w:left="284"/>
                        <w:jc w:val="both"/>
                        <w:rPr>
                          <w:rFonts w:ascii="Arial" w:hAnsi="Arial" w:cs="Arial"/>
                          <w:color w:val="000000"/>
                          <w:sz w:val="18"/>
                        </w:rPr>
                      </w:pPr>
                    </w:p>
                    <w:p w14:paraId="2D581040" w14:textId="77777777" w:rsidR="00042674" w:rsidRDefault="00042674" w:rsidP="00042674"/>
                  </w:txbxContent>
                </v:textbox>
              </v:rect>
            </w:pict>
          </mc:Fallback>
        </mc:AlternateContent>
      </w:r>
      <w:r w:rsidR="00722D8E">
        <w:rPr>
          <w:noProof/>
        </w:rPr>
        <mc:AlternateContent>
          <mc:Choice Requires="wps">
            <w:drawing>
              <wp:anchor distT="0" distB="0" distL="114300" distR="114300" simplePos="0" relativeHeight="251647488" behindDoc="0" locked="0" layoutInCell="1" allowOverlap="1" wp14:anchorId="50CF4F3B" wp14:editId="3C1F6C97">
                <wp:simplePos x="0" y="0"/>
                <wp:positionH relativeFrom="column">
                  <wp:posOffset>558800</wp:posOffset>
                </wp:positionH>
                <wp:positionV relativeFrom="paragraph">
                  <wp:posOffset>76835</wp:posOffset>
                </wp:positionV>
                <wp:extent cx="1887220" cy="1181100"/>
                <wp:effectExtent l="0" t="0" r="0" b="0"/>
                <wp:wrapNone/>
                <wp:docPr id="13142329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181100"/>
                        </a:xfrm>
                        <a:prstGeom prst="rect">
                          <a:avLst/>
                        </a:prstGeom>
                        <a:noFill/>
                        <a:ln w="12700" cap="flat" cmpd="sng" algn="ctr">
                          <a:solidFill>
                            <a:sysClr val="windowText" lastClr="000000"/>
                          </a:solidFill>
                          <a:prstDash val="solid"/>
                          <a:miter lim="800000"/>
                        </a:ln>
                        <a:effectLst/>
                      </wps:spPr>
                      <wps:txbx>
                        <w:txbxContent>
                          <w:p w14:paraId="519F074F"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Records identified from*:</w:t>
                            </w:r>
                          </w:p>
                          <w:p w14:paraId="5CE8334B" w14:textId="77777777" w:rsidR="00042674" w:rsidRPr="002D09C3" w:rsidRDefault="00042674" w:rsidP="00042674">
                            <w:pPr>
                              <w:ind w:left="284"/>
                              <w:rPr>
                                <w:rFonts w:ascii="Arial" w:hAnsi="Arial" w:cs="Arial"/>
                                <w:color w:val="000000"/>
                                <w:sz w:val="18"/>
                              </w:rPr>
                            </w:pPr>
                            <w:r w:rsidRPr="002D09C3">
                              <w:rPr>
                                <w:rFonts w:ascii="Arial" w:hAnsi="Arial" w:cs="Arial"/>
                                <w:color w:val="000000"/>
                                <w:sz w:val="18"/>
                              </w:rPr>
                              <w:t>Databases (n =77)</w:t>
                            </w:r>
                          </w:p>
                          <w:p w14:paraId="5304BD08" w14:textId="77777777" w:rsidR="00042674" w:rsidRPr="002D09C3" w:rsidRDefault="00042674" w:rsidP="00042674">
                            <w:pPr>
                              <w:ind w:left="284"/>
                              <w:rPr>
                                <w:color w:val="000000"/>
                                <w:sz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CF4F3B" id="Rectangle 16" o:spid="_x0000_s1029" style="position:absolute;margin-left:44pt;margin-top:6.05pt;width:148.6pt;height:93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" filled="f" strokecolor="windowText" strokeweight="1pt">
                <v:path arrowok="t"/>
                <v:textbox>
                  <w:txbxContent>
                    <w:p w14:paraId="519F074F"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Records identified from*:</w:t>
                      </w:r>
                    </w:p>
                    <w:p w14:paraId="5CE8334B" w14:textId="77777777" w:rsidR="00042674" w:rsidRPr="002D09C3" w:rsidRDefault="00042674" w:rsidP="00042674">
                      <w:pPr>
                        <w:ind w:left="284"/>
                        <w:rPr>
                          <w:rFonts w:ascii="Arial" w:hAnsi="Arial" w:cs="Arial"/>
                          <w:color w:val="000000"/>
                          <w:sz w:val="18"/>
                        </w:rPr>
                      </w:pPr>
                      <w:r w:rsidRPr="002D09C3">
                        <w:rPr>
                          <w:rFonts w:ascii="Arial" w:hAnsi="Arial" w:cs="Arial"/>
                          <w:color w:val="000000"/>
                          <w:sz w:val="18"/>
                        </w:rPr>
                        <w:t>Databases (n =77)</w:t>
                      </w:r>
                    </w:p>
                    <w:p w14:paraId="5304BD08" w14:textId="77777777" w:rsidR="00042674" w:rsidRPr="002D09C3" w:rsidRDefault="00042674" w:rsidP="00042674">
                      <w:pPr>
                        <w:ind w:left="284"/>
                        <w:rPr>
                          <w:color w:val="000000"/>
                          <w:sz w:val="18"/>
                        </w:rPr>
                      </w:pPr>
                    </w:p>
                  </w:txbxContent>
                </v:textbox>
              </v:rect>
            </w:pict>
          </mc:Fallback>
        </mc:AlternateContent>
      </w:r>
    </w:p>
    <w:p w14:paraId="340A00DA" w14:textId="531BE4D1" w:rsidR="00042674" w:rsidRPr="00EE4FC1" w:rsidRDefault="00042674" w:rsidP="00042674">
      <w:pPr>
        <w:spacing w:after="0" w:line="360" w:lineRule="auto"/>
        <w:rPr>
          <w:rFonts w:ascii="Calibri" w:eastAsia="PMingLiU" w:hAnsi="Calibri"/>
          <w:sz w:val="22"/>
          <w:szCs w:val="22"/>
          <w:lang w:eastAsia="zh-CN"/>
        </w:rPr>
      </w:pPr>
    </w:p>
    <w:p w14:paraId="7ECF6F4D" w14:textId="77777777" w:rsidR="00042674" w:rsidRPr="00EE4FC1" w:rsidRDefault="00722D8E" w:rsidP="00042674">
      <w:pPr>
        <w:spacing w:after="0" w:line="360" w:lineRule="auto"/>
        <w:rPr>
          <w:rFonts w:ascii="Calibri" w:eastAsia="PMingLiU" w:hAnsi="Calibri"/>
          <w:sz w:val="22"/>
          <w:szCs w:val="22"/>
          <w:lang w:eastAsia="zh-CN"/>
        </w:rPr>
      </w:pPr>
      <w:r>
        <w:rPr>
          <w:noProof/>
        </w:rPr>
        <mc:AlternateContent>
          <mc:Choice Requires="wps">
            <w:drawing>
              <wp:anchor distT="4294967294" distB="4294967294" distL="114300" distR="114300" simplePos="0" relativeHeight="251656704" behindDoc="0" locked="0" layoutInCell="1" allowOverlap="1" wp14:anchorId="1C95B4C0" wp14:editId="3643DFB3">
                <wp:simplePos x="0" y="0"/>
                <wp:positionH relativeFrom="column">
                  <wp:posOffset>2454275</wp:posOffset>
                </wp:positionH>
                <wp:positionV relativeFrom="paragraph">
                  <wp:posOffset>127634</wp:posOffset>
                </wp:positionV>
                <wp:extent cx="563245" cy="0"/>
                <wp:effectExtent l="0" t="76200" r="0" b="76200"/>
                <wp:wrapNone/>
                <wp:docPr id="1068837422"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type w14:anchorId="5E7D6153" id="_x0000_t32" coordsize="21600,21600" o:spt="32" o:oned="t" path="m,l21600,21600e" filled="f">
                <v:path arrowok="t" fillok="f" o:connecttype="none"/>
                <o:lock v:ext="edit" shapetype="t"/>
              </v:shapetype>
              <v:shape id="Straight Arrow Connector 15" o:spid="_x0000_s1026" type="#_x0000_t32" style="position:absolute;margin-left:193.25pt;margin-top:10.05pt;width:44.35pt;height:0;z-index:251656704;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" strokecolor="windowText" strokeweight=".5pt">
                <v:stroke endarrow="block" joinstyle="miter"/>
                <o:lock v:ext="edit" shapetype="f"/>
              </v:shape>
            </w:pict>
          </mc:Fallback>
        </mc:AlternateContent>
      </w:r>
    </w:p>
    <w:p w14:paraId="76EDE171" w14:textId="77777777" w:rsidR="00042674" w:rsidRPr="00EE4FC1" w:rsidRDefault="00042674" w:rsidP="00042674">
      <w:pPr>
        <w:spacing w:after="0" w:line="360" w:lineRule="auto"/>
        <w:rPr>
          <w:rFonts w:ascii="Calibri" w:eastAsia="PMingLiU" w:hAnsi="Calibri"/>
          <w:sz w:val="22"/>
          <w:szCs w:val="22"/>
          <w:lang w:eastAsia="zh-CN"/>
        </w:rPr>
      </w:pPr>
    </w:p>
    <w:p w14:paraId="1EEEB1A6" w14:textId="77777777" w:rsidR="00042674" w:rsidRPr="00EE4FC1" w:rsidRDefault="00722D8E" w:rsidP="00042674">
      <w:pPr>
        <w:spacing w:after="0" w:line="360" w:lineRule="auto"/>
        <w:rPr>
          <w:rFonts w:ascii="Calibri" w:eastAsia="PMingLiU" w:hAnsi="Calibri"/>
          <w:sz w:val="22"/>
          <w:szCs w:val="22"/>
          <w:lang w:eastAsia="zh-CN"/>
        </w:rPr>
      </w:pPr>
      <w:r>
        <w:rPr>
          <w:noProof/>
        </w:rPr>
        <mc:AlternateContent>
          <mc:Choice Requires="wps">
            <w:drawing>
              <wp:anchor distT="0" distB="0" distL="114298" distR="114298" simplePos="0" relativeHeight="251665920" behindDoc="0" locked="0" layoutInCell="1" allowOverlap="1" wp14:anchorId="64E9A779" wp14:editId="72CAB7CD">
                <wp:simplePos x="0" y="0"/>
                <wp:positionH relativeFrom="column">
                  <wp:posOffset>1454149</wp:posOffset>
                </wp:positionH>
                <wp:positionV relativeFrom="paragraph">
                  <wp:posOffset>233680</wp:posOffset>
                </wp:positionV>
                <wp:extent cx="0" cy="746125"/>
                <wp:effectExtent l="38100" t="0" r="38100" b="34925"/>
                <wp:wrapNone/>
                <wp:docPr id="1533112047" name="Straight Arrow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461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101243F5" id="Straight Arrow Connector 14" o:spid="_x0000_s1026" type="#_x0000_t32" style="position:absolute;margin-left:114.5pt;margin-top:18.4pt;width:0;height:58.75pt;z-index:251665920;visibility:visible;mso-wrap-style:square;mso-width-percent:0;mso-height-percent:0;mso-wrap-distance-left:3.17494mm;mso-wrap-distance-top:0;mso-wrap-distance-right:3.17494mm;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" strokecolor="windowText" strokeweight=".5pt">
                <v:stroke endarrow="block" joinstyle="miter"/>
                <o:lock v:ext="edit" shapetype="f"/>
              </v:shape>
            </w:pict>
          </mc:Fallback>
        </mc:AlternateContent>
      </w:r>
    </w:p>
    <w:p w14:paraId="4622020C" w14:textId="77777777" w:rsidR="00042674" w:rsidRPr="00EE4FC1" w:rsidRDefault="00042674" w:rsidP="00042674">
      <w:pPr>
        <w:spacing w:after="0" w:line="360" w:lineRule="auto"/>
        <w:rPr>
          <w:rFonts w:ascii="Calibri" w:eastAsia="PMingLiU" w:hAnsi="Calibri"/>
          <w:sz w:val="22"/>
          <w:szCs w:val="22"/>
          <w:lang w:eastAsia="zh-CN"/>
        </w:rPr>
      </w:pPr>
    </w:p>
    <w:p w14:paraId="21B570E9" w14:textId="3E17D431" w:rsidR="00042674" w:rsidRPr="00EE4FC1" w:rsidRDefault="00722D8E" w:rsidP="00042674">
      <w:pPr>
        <w:spacing w:after="0" w:line="360" w:lineRule="auto"/>
        <w:rPr>
          <w:rFonts w:ascii="Calibri" w:eastAsia="PMingLiU" w:hAnsi="Calibri"/>
          <w:sz w:val="22"/>
          <w:szCs w:val="22"/>
          <w:lang w:eastAsia="zh-CN"/>
        </w:rPr>
      </w:pPr>
      <w:r>
        <w:rPr>
          <w:noProof/>
        </w:rPr>
        <mc:AlternateContent>
          <mc:Choice Requires="wps">
            <w:drawing>
              <wp:anchor distT="0" distB="0" distL="114300" distR="114300" simplePos="0" relativeHeight="251650560" behindDoc="0" locked="0" layoutInCell="1" allowOverlap="1" wp14:anchorId="5D43DB7B" wp14:editId="5501A420">
                <wp:simplePos x="0" y="0"/>
                <wp:positionH relativeFrom="column">
                  <wp:posOffset>2992755</wp:posOffset>
                </wp:positionH>
                <wp:positionV relativeFrom="paragraph">
                  <wp:posOffset>93345</wp:posOffset>
                </wp:positionV>
                <wp:extent cx="3075940" cy="1294130"/>
                <wp:effectExtent l="0" t="0" r="0" b="1270"/>
                <wp:wrapNone/>
                <wp:docPr id="201349865"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75940" cy="1294130"/>
                        </a:xfrm>
                        <a:prstGeom prst="rect">
                          <a:avLst/>
                        </a:prstGeom>
                        <a:noFill/>
                        <a:ln w="12700" algn="ctr">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72A867BB" w14:textId="77777777" w:rsidR="00042674" w:rsidRPr="00374975" w:rsidRDefault="00042674" w:rsidP="00042674">
                            <w:pPr>
                              <w:pStyle w:val="NormalWeb"/>
                              <w:rPr>
                                <w:rFonts w:ascii="Arial" w:eastAsia="Times New Roman" w:hAnsi="Arial" w:cs="Arial"/>
                                <w:kern w:val="0"/>
                                <w:sz w:val="18"/>
                                <w:szCs w:val="18"/>
                                <w:lang w:eastAsia="en-GB"/>
                              </w:rPr>
                            </w:pPr>
                            <w:r w:rsidRPr="00374975">
                              <w:rPr>
                                <w:rFonts w:ascii="Arial" w:eastAsia="Times New Roman" w:hAnsi="Arial" w:cs="Arial"/>
                                <w:kern w:val="0"/>
                                <w:sz w:val="18"/>
                                <w:szCs w:val="18"/>
                                <w:lang w:eastAsia="en-GB"/>
                              </w:rPr>
                              <w:t>Records excluded</w:t>
                            </w:r>
                          </w:p>
                          <w:p w14:paraId="41A0582F" w14:textId="77777777" w:rsidR="00042674" w:rsidRPr="00374975" w:rsidRDefault="00042674" w:rsidP="00042674">
                            <w:pPr>
                              <w:spacing w:before="100" w:beforeAutospacing="1" w:after="100" w:afterAutospacing="1" w:line="240" w:lineRule="auto"/>
                              <w:rPr>
                                <w:rFonts w:ascii="Arial" w:eastAsia="Times New Roman" w:hAnsi="Arial" w:cs="Arial"/>
                                <w:kern w:val="0"/>
                                <w:sz w:val="18"/>
                                <w:szCs w:val="18"/>
                                <w:lang w:eastAsia="en-GB"/>
                              </w:rPr>
                            </w:pPr>
                            <w:r w:rsidRPr="00374975">
                              <w:rPr>
                                <w:rFonts w:ascii="Arial" w:eastAsia="Times New Roman" w:hAnsi="Arial" w:cs="Arial"/>
                                <w:kern w:val="0"/>
                                <w:sz w:val="18"/>
                                <w:szCs w:val="18"/>
                                <w:lang w:eastAsia="en-GB"/>
                              </w:rPr>
                              <w:t>(n = 18)</w:t>
                            </w:r>
                          </w:p>
                          <w:p w14:paraId="3F63E874" w14:textId="77777777" w:rsidR="00042674" w:rsidRPr="00374975" w:rsidRDefault="00042674" w:rsidP="00042674">
                            <w:pPr>
                              <w:spacing w:before="100" w:beforeAutospacing="1" w:after="100" w:afterAutospacing="1" w:line="240" w:lineRule="auto"/>
                              <w:rPr>
                                <w:rFonts w:ascii="Arial" w:eastAsia="Times New Roman" w:hAnsi="Arial" w:cs="Arial"/>
                                <w:kern w:val="0"/>
                                <w:sz w:val="18"/>
                                <w:szCs w:val="18"/>
                                <w:lang w:eastAsia="en-GB"/>
                              </w:rPr>
                            </w:pPr>
                            <w:r w:rsidRPr="00374975">
                              <w:rPr>
                                <w:rFonts w:ascii="Arial" w:eastAsia="Times New Roman" w:hAnsi="Arial" w:cs="Arial"/>
                                <w:kern w:val="0"/>
                                <w:sz w:val="18"/>
                                <w:szCs w:val="18"/>
                                <w:lang w:eastAsia="en-GB"/>
                              </w:rPr>
                              <w:t xml:space="preserve">These studies were excluded because: </w:t>
                            </w:r>
                            <w:r w:rsidRPr="00374975">
                              <w:rPr>
                                <w:rFonts w:ascii="Arial" w:eastAsia="Times New Roman" w:hAnsi="Arial" w:cs="Arial"/>
                                <w:kern w:val="0"/>
                                <w:sz w:val="18"/>
                                <w:szCs w:val="18"/>
                                <w:lang w:eastAsia="en-GB"/>
                              </w:rPr>
                              <w:tab/>
                            </w:r>
                            <w:r w:rsidRPr="00374975">
                              <w:rPr>
                                <w:rFonts w:ascii="Arial" w:eastAsia="Times New Roman" w:hAnsi="Arial" w:cs="Arial"/>
                                <w:kern w:val="0"/>
                                <w:sz w:val="18"/>
                                <w:szCs w:val="18"/>
                                <w:lang w:eastAsia="en-GB"/>
                              </w:rPr>
                              <w:tab/>
                              <w:t xml:space="preserve">             Some of the titles were not focused on telemedicine services. Some did not address quality of care outcomes.</w:t>
                            </w:r>
                          </w:p>
                          <w:p w14:paraId="76D97AC3" w14:textId="77777777" w:rsidR="00042674" w:rsidRPr="00374975" w:rsidRDefault="00042674" w:rsidP="00042674">
                            <w:pPr>
                              <w:rPr>
                                <w:rFonts w:ascii="Arial" w:hAnsi="Arial" w:cs="Arial"/>
                                <w:color w:val="000000"/>
                                <w:sz w:val="16"/>
                                <w:szCs w:val="16"/>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5D43DB7B" id="Rectangle 14" o:spid="_x0000_s1030" style="position:absolute;margin-left:235.65pt;margin-top:7.35pt;width:242.2pt;height:101.9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" filled="f" strokeweight="1pt">
                <v:path arrowok="t"/>
                <v:textbox>
                  <w:txbxContent>
                    <w:p w14:paraId="72A867BB" w14:textId="77777777" w:rsidR="00042674" w:rsidRPr="00374975" w:rsidRDefault="00042674" w:rsidP="00042674">
                      <w:pPr>
                        <w:pStyle w:val="NormalWeb"/>
                        <w:rPr>
                          <w:rFonts w:ascii="Arial" w:eastAsia="Times New Roman" w:hAnsi="Arial" w:cs="Arial"/>
                          <w:kern w:val="0"/>
                          <w:sz w:val="18"/>
                          <w:szCs w:val="18"/>
                          <w:lang w:eastAsia="en-GB"/>
                        </w:rPr>
                      </w:pPr>
                      <w:r w:rsidRPr="00374975">
                        <w:rPr>
                          <w:rFonts w:ascii="Arial" w:eastAsia="Times New Roman" w:hAnsi="Arial" w:cs="Arial"/>
                          <w:kern w:val="0"/>
                          <w:sz w:val="18"/>
                          <w:szCs w:val="18"/>
                          <w:lang w:eastAsia="en-GB"/>
                        </w:rPr>
                        <w:t>Records excluded</w:t>
                      </w:r>
                    </w:p>
                    <w:p w14:paraId="41A0582F" w14:textId="77777777" w:rsidR="00042674" w:rsidRPr="00374975" w:rsidRDefault="00042674" w:rsidP="00042674">
                      <w:pPr>
                        <w:spacing w:before="100" w:beforeAutospacing="1" w:after="100" w:afterAutospacing="1" w:line="240" w:lineRule="auto"/>
                        <w:rPr>
                          <w:rFonts w:ascii="Arial" w:eastAsia="Times New Roman" w:hAnsi="Arial" w:cs="Arial"/>
                          <w:kern w:val="0"/>
                          <w:sz w:val="18"/>
                          <w:szCs w:val="18"/>
                          <w:lang w:eastAsia="en-GB"/>
                        </w:rPr>
                      </w:pPr>
                      <w:r w:rsidRPr="00374975">
                        <w:rPr>
                          <w:rFonts w:ascii="Arial" w:eastAsia="Times New Roman" w:hAnsi="Arial" w:cs="Arial"/>
                          <w:kern w:val="0"/>
                          <w:sz w:val="18"/>
                          <w:szCs w:val="18"/>
                          <w:lang w:eastAsia="en-GB"/>
                        </w:rPr>
                        <w:t>(n = 18)</w:t>
                      </w:r>
                    </w:p>
                    <w:p w14:paraId="3F63E874" w14:textId="77777777" w:rsidR="00042674" w:rsidRPr="00374975" w:rsidRDefault="00042674" w:rsidP="00042674">
                      <w:pPr>
                        <w:spacing w:before="100" w:beforeAutospacing="1" w:after="100" w:afterAutospacing="1" w:line="240" w:lineRule="auto"/>
                        <w:rPr>
                          <w:rFonts w:ascii="Arial" w:eastAsia="Times New Roman" w:hAnsi="Arial" w:cs="Arial"/>
                          <w:kern w:val="0"/>
                          <w:sz w:val="18"/>
                          <w:szCs w:val="18"/>
                          <w:lang w:eastAsia="en-GB"/>
                        </w:rPr>
                      </w:pPr>
                      <w:r w:rsidRPr="00374975">
                        <w:rPr>
                          <w:rFonts w:ascii="Arial" w:eastAsia="Times New Roman" w:hAnsi="Arial" w:cs="Arial"/>
                          <w:kern w:val="0"/>
                          <w:sz w:val="18"/>
                          <w:szCs w:val="18"/>
                          <w:lang w:eastAsia="en-GB"/>
                        </w:rPr>
                        <w:t xml:space="preserve">These studies were excluded because: </w:t>
                      </w:r>
                      <w:r w:rsidRPr="00374975">
                        <w:rPr>
                          <w:rFonts w:ascii="Arial" w:eastAsia="Times New Roman" w:hAnsi="Arial" w:cs="Arial"/>
                          <w:kern w:val="0"/>
                          <w:sz w:val="18"/>
                          <w:szCs w:val="18"/>
                          <w:lang w:eastAsia="en-GB"/>
                        </w:rPr>
                        <w:tab/>
                      </w:r>
                      <w:r w:rsidRPr="00374975">
                        <w:rPr>
                          <w:rFonts w:ascii="Arial" w:eastAsia="Times New Roman" w:hAnsi="Arial" w:cs="Arial"/>
                          <w:kern w:val="0"/>
                          <w:sz w:val="18"/>
                          <w:szCs w:val="18"/>
                          <w:lang w:eastAsia="en-GB"/>
                        </w:rPr>
                        <w:tab/>
                        <w:t xml:space="preserve">             Some of the titles were not focused on telemedicine services. Some did not address quality of care outcomes.</w:t>
                      </w:r>
                    </w:p>
                    <w:p w14:paraId="76D97AC3" w14:textId="77777777" w:rsidR="00042674" w:rsidRPr="00374975" w:rsidRDefault="00042674" w:rsidP="00042674">
                      <w:pPr>
                        <w:rPr>
                          <w:rFonts w:ascii="Arial" w:hAnsi="Arial" w:cs="Arial"/>
                          <w:color w:val="000000"/>
                          <w:sz w:val="16"/>
                          <w:szCs w:val="16"/>
                        </w:rPr>
                      </w:pPr>
                    </w:p>
                  </w:txbxContent>
                </v:textbox>
              </v:rect>
            </w:pict>
          </mc:Fallback>
        </mc:AlternateContent>
      </w:r>
    </w:p>
    <w:p w14:paraId="48B9595C" w14:textId="77777777" w:rsidR="00042674" w:rsidRPr="00EE4FC1" w:rsidRDefault="00722D8E" w:rsidP="00042674">
      <w:pPr>
        <w:spacing w:after="0" w:line="360" w:lineRule="auto"/>
        <w:rPr>
          <w:rFonts w:ascii="Calibri" w:eastAsia="PMingLiU" w:hAnsi="Calibri"/>
          <w:sz w:val="22"/>
          <w:szCs w:val="22"/>
          <w:lang w:eastAsia="zh-CN"/>
        </w:rPr>
      </w:pPr>
      <w:r>
        <w:rPr>
          <w:noProof/>
        </w:rPr>
        <mc:AlternateContent>
          <mc:Choice Requires="wps">
            <w:drawing>
              <wp:anchor distT="0" distB="0" distL="114300" distR="114300" simplePos="0" relativeHeight="251649536" behindDoc="0" locked="0" layoutInCell="1" allowOverlap="1" wp14:anchorId="5617D3D4" wp14:editId="6B264C99">
                <wp:simplePos x="0" y="0"/>
                <wp:positionH relativeFrom="column">
                  <wp:posOffset>540385</wp:posOffset>
                </wp:positionH>
                <wp:positionV relativeFrom="paragraph">
                  <wp:posOffset>208915</wp:posOffset>
                </wp:positionV>
                <wp:extent cx="1887220" cy="526415"/>
                <wp:effectExtent l="0" t="0" r="0" b="6985"/>
                <wp:wrapNone/>
                <wp:docPr id="1754467196"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207D9B79"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Records screened</w:t>
                            </w:r>
                          </w:p>
                          <w:p w14:paraId="0DC23E70"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(n = 58)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17D3D4" id="Rectangle 12" o:spid="_x0000_s1031" style="position:absolute;margin-left:42.55pt;margin-top:16.45pt;width:148.6pt;height:41.45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" filled="f" strokecolor="windowText" strokeweight="1pt">
                <v:path arrowok="t"/>
                <v:textbox>
                  <w:txbxContent>
                    <w:p w14:paraId="207D9B79"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Records screened</w:t>
                      </w:r>
                    </w:p>
                    <w:p w14:paraId="0DC23E70"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(n = 58)</w:t>
                      </w:r>
                    </w:p>
                  </w:txbxContent>
                </v:textbox>
              </v:rect>
            </w:pict>
          </mc:Fallback>
        </mc:AlternateContent>
      </w:r>
    </w:p>
    <w:p w14:paraId="09A5F98A" w14:textId="77777777" w:rsidR="00042674" w:rsidRPr="00EE4FC1" w:rsidRDefault="00722D8E" w:rsidP="00042674">
      <w:pPr>
        <w:spacing w:after="0" w:line="360" w:lineRule="auto"/>
        <w:rPr>
          <w:rFonts w:ascii="Calibri" w:eastAsia="PMingLiU" w:hAnsi="Calibri"/>
          <w:sz w:val="22"/>
          <w:szCs w:val="22"/>
          <w:lang w:eastAsia="zh-CN"/>
        </w:rPr>
      </w:pPr>
      <w:r>
        <w:rPr>
          <w:noProof/>
        </w:rPr>
        <mc:AlternateContent>
          <mc:Choice Requires="wps">
            <w:drawing>
              <wp:anchor distT="4294967294" distB="4294967294" distL="114300" distR="114300" simplePos="0" relativeHeight="251657728" behindDoc="0" locked="0" layoutInCell="1" allowOverlap="1" wp14:anchorId="37556898" wp14:editId="629A4EFB">
                <wp:simplePos x="0" y="0"/>
                <wp:positionH relativeFrom="column">
                  <wp:posOffset>2429510</wp:posOffset>
                </wp:positionH>
                <wp:positionV relativeFrom="paragraph">
                  <wp:posOffset>221614</wp:posOffset>
                </wp:positionV>
                <wp:extent cx="563245" cy="0"/>
                <wp:effectExtent l="0" t="76200" r="0" b="76200"/>
                <wp:wrapNone/>
                <wp:docPr id="134735677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AA2004A" id="Straight Arrow Connector 11" o:spid="_x0000_s1026" type="#_x0000_t32" style="position:absolute;margin-left:191.3pt;margin-top:17.45pt;width:44.35pt;height:0;z-index:251657728;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" strokecolor="windowText" strokeweight=".5pt">
                <v:stroke endarrow="block" joinstyle="miter"/>
                <o:lock v:ext="edit" shapetype="f"/>
              </v:shape>
            </w:pict>
          </mc:Fallback>
        </mc:AlternateContent>
      </w:r>
    </w:p>
    <w:p w14:paraId="3F62D1D0" w14:textId="77777777" w:rsidR="00042674" w:rsidRPr="00EE4FC1" w:rsidRDefault="00722D8E" w:rsidP="00042674">
      <w:pPr>
        <w:spacing w:after="0" w:line="360" w:lineRule="auto"/>
        <w:rPr>
          <w:rFonts w:ascii="Calibri" w:eastAsia="PMingLiU" w:hAnsi="Calibri"/>
          <w:sz w:val="22"/>
          <w:szCs w:val="22"/>
          <w:lang w:eastAsia="zh-CN"/>
        </w:rPr>
      </w:pPr>
      <w:r>
        <w:rPr>
          <w:noProof/>
        </w:rPr>
        <mc:AlternateContent>
          <mc:Choice Requires="wps">
            <w:drawing>
              <wp:anchor distT="0" distB="0" distL="114298" distR="114298" simplePos="0" relativeHeight="251666944" behindDoc="0" locked="0" layoutInCell="1" allowOverlap="1" wp14:anchorId="54D4E320" wp14:editId="061A2AB4">
                <wp:simplePos x="0" y="0"/>
                <wp:positionH relativeFrom="column">
                  <wp:posOffset>1403349</wp:posOffset>
                </wp:positionH>
                <wp:positionV relativeFrom="paragraph">
                  <wp:posOffset>222250</wp:posOffset>
                </wp:positionV>
                <wp:extent cx="0" cy="746125"/>
                <wp:effectExtent l="38100" t="0" r="38100" b="34925"/>
                <wp:wrapNone/>
                <wp:docPr id="2137029393"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461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95A4A0C" id="Straight Arrow Connector 10" o:spid="_x0000_s1026" type="#_x0000_t32" style="position:absolute;margin-left:110.5pt;margin-top:17.5pt;width:0;height:58.75pt;z-index:251666944;visibility:visible;mso-wrap-style:square;mso-width-percent:0;mso-height-percent:0;mso-wrap-distance-left:3.17494mm;mso-wrap-distance-top:0;mso-wrap-distance-right:3.17494mm;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" strokecolor="windowText" strokeweight=".5pt">
                <v:stroke endarrow="block" joinstyle="miter"/>
                <o:lock v:ext="edit" shapetype="f"/>
              </v:shape>
            </w:pict>
          </mc:Fallback>
        </mc:AlternateContent>
      </w:r>
    </w:p>
    <w:p w14:paraId="4D17F89F" w14:textId="77777777" w:rsidR="00042674" w:rsidRPr="00EE4FC1" w:rsidRDefault="00042674" w:rsidP="00042674">
      <w:pPr>
        <w:spacing w:after="0" w:line="360" w:lineRule="auto"/>
        <w:rPr>
          <w:rFonts w:ascii="Calibri" w:eastAsia="PMingLiU" w:hAnsi="Calibri"/>
          <w:sz w:val="22"/>
          <w:szCs w:val="22"/>
          <w:lang w:eastAsia="zh-CN"/>
        </w:rPr>
      </w:pPr>
    </w:p>
    <w:p w14:paraId="2BA9C05B" w14:textId="0DA1DEE8" w:rsidR="00042674" w:rsidRPr="00EE4FC1" w:rsidRDefault="003F2B59" w:rsidP="00042674">
      <w:pPr>
        <w:spacing w:after="0" w:line="360" w:lineRule="auto"/>
        <w:rPr>
          <w:rFonts w:ascii="Calibri" w:eastAsia="PMingLiU" w:hAnsi="Calibri"/>
          <w:sz w:val="22"/>
          <w:szCs w:val="22"/>
          <w:lang w:eastAsia="zh-CN"/>
        </w:rPr>
      </w:pPr>
      <w:r>
        <w:rPr>
          <w:noProof/>
        </w:rPr>
        <mc:AlternateContent>
          <mc:Choice Requires="wps">
            <w:drawing>
              <wp:anchor distT="0" distB="0" distL="114300" distR="114300" simplePos="0" relativeHeight="251662848" behindDoc="0" locked="0" layoutInCell="1" allowOverlap="1" wp14:anchorId="65FA346C" wp14:editId="33AB039A">
                <wp:simplePos x="0" y="0"/>
                <wp:positionH relativeFrom="column">
                  <wp:posOffset>-1628933</wp:posOffset>
                </wp:positionH>
                <wp:positionV relativeFrom="paragraph">
                  <wp:posOffset>263682</wp:posOffset>
                </wp:positionV>
                <wp:extent cx="3307715" cy="803595"/>
                <wp:effectExtent l="0" t="5080" r="20955" b="20955"/>
                <wp:wrapNone/>
                <wp:docPr id="2013446446" name="Flowchart: Alternate Process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3307715" cy="803595"/>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352DBEFE" w14:textId="77777777" w:rsidR="00042674" w:rsidRPr="002D09C3" w:rsidRDefault="00042674" w:rsidP="00042674">
                            <w:pPr>
                              <w:jc w:val="center"/>
                              <w:rPr>
                                <w:rFonts w:ascii="Arial" w:hAnsi="Arial" w:cs="Arial"/>
                                <w:b/>
                                <w:color w:val="000000"/>
                                <w:sz w:val="18"/>
                                <w:szCs w:val="18"/>
                              </w:rPr>
                            </w:pPr>
                            <w:r w:rsidRPr="002D09C3">
                              <w:rPr>
                                <w:rFonts w:ascii="Arial" w:hAnsi="Arial" w:cs="Arial"/>
                                <w:b/>
                                <w:color w:val="000000"/>
                                <w:sz w:val="18"/>
                                <w:szCs w:val="18"/>
                              </w:rPr>
                              <w:t>Screening</w:t>
                            </w:r>
                          </w:p>
                          <w:p w14:paraId="3704E5C6" w14:textId="77777777" w:rsidR="00042674" w:rsidRPr="002D09C3" w:rsidRDefault="00042674" w:rsidP="00042674">
                            <w:pPr>
                              <w:rPr>
                                <w:rFonts w:ascii="Arial" w:hAnsi="Arial" w:cs="Arial"/>
                                <w:b/>
                                <w:color w:val="000000"/>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FA346C" id="Flowchart: Alternate Process 13" o:spid="_x0000_s1032" type="#_x0000_t176" style="position:absolute;margin-left:-128.25pt;margin-top:20.75pt;width:260.45pt;height:63.3pt;rotation:-90;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" fillcolor="#9dc3e6" strokecolor="windowText" strokeweight="1pt">
                <v:path arrowok="t"/>
                <v:textbox>
                  <w:txbxContent>
                    <w:p w14:paraId="352DBEFE" w14:textId="77777777" w:rsidR="00042674" w:rsidRPr="002D09C3" w:rsidRDefault="00042674" w:rsidP="00042674">
                      <w:pPr>
                        <w:jc w:val="center"/>
                        <w:rPr>
                          <w:rFonts w:ascii="Arial" w:hAnsi="Arial" w:cs="Arial"/>
                          <w:b/>
                          <w:color w:val="000000"/>
                          <w:sz w:val="18"/>
                          <w:szCs w:val="18"/>
                        </w:rPr>
                      </w:pPr>
                      <w:r w:rsidRPr="002D09C3">
                        <w:rPr>
                          <w:rFonts w:ascii="Arial" w:hAnsi="Arial" w:cs="Arial"/>
                          <w:b/>
                          <w:color w:val="000000"/>
                          <w:sz w:val="18"/>
                          <w:szCs w:val="18"/>
                        </w:rPr>
                        <w:t>Screening</w:t>
                      </w:r>
                    </w:p>
                    <w:p w14:paraId="3704E5C6" w14:textId="77777777" w:rsidR="00042674" w:rsidRPr="002D09C3" w:rsidRDefault="00042674" w:rsidP="00042674">
                      <w:pPr>
                        <w:rPr>
                          <w:rFonts w:ascii="Arial" w:hAnsi="Arial" w:cs="Arial"/>
                          <w:b/>
                          <w:color w:val="000000"/>
                          <w:sz w:val="18"/>
                          <w:szCs w:val="18"/>
                        </w:rPr>
                      </w:pPr>
                    </w:p>
                  </w:txbxContent>
                </v:textbox>
              </v:shape>
            </w:pict>
          </mc:Fallback>
        </mc:AlternateContent>
      </w:r>
    </w:p>
    <w:p w14:paraId="2A453FAC" w14:textId="2D8620B7" w:rsidR="00042674" w:rsidRPr="00EE4FC1" w:rsidRDefault="00722D8E" w:rsidP="00042674">
      <w:pPr>
        <w:spacing w:after="0" w:line="360" w:lineRule="auto"/>
        <w:rPr>
          <w:rFonts w:ascii="Calibri" w:eastAsia="PMingLiU" w:hAnsi="Calibri"/>
          <w:sz w:val="22"/>
          <w:szCs w:val="22"/>
          <w:lang w:eastAsia="zh-CN"/>
        </w:rPr>
      </w:pPr>
      <w:r>
        <w:rPr>
          <w:noProof/>
        </w:rPr>
        <mc:AlternateContent>
          <mc:Choice Requires="wps">
            <w:drawing>
              <wp:anchor distT="0" distB="0" distL="114300" distR="114300" simplePos="0" relativeHeight="251652608" behindDoc="0" locked="0" layoutInCell="1" allowOverlap="1" wp14:anchorId="34E4FA55" wp14:editId="4F645888">
                <wp:simplePos x="0" y="0"/>
                <wp:positionH relativeFrom="column">
                  <wp:posOffset>3047365</wp:posOffset>
                </wp:positionH>
                <wp:positionV relativeFrom="paragraph">
                  <wp:posOffset>169545</wp:posOffset>
                </wp:positionV>
                <wp:extent cx="1887220" cy="526415"/>
                <wp:effectExtent l="0" t="0" r="0" b="6985"/>
                <wp:wrapNone/>
                <wp:docPr id="1285791272"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4B6BA316"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Studies not retrieved</w:t>
                            </w:r>
                          </w:p>
                          <w:p w14:paraId="7B5C6020"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(n = 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E4FA55" id="Rectangle 9" o:spid="_x0000_s1033" style="position:absolute;margin-left:239.95pt;margin-top:13.35pt;width:148.6pt;height:41.4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" filled="f" strokecolor="windowText" strokeweight="1pt">
                <v:path arrowok="t"/>
                <v:textbox>
                  <w:txbxContent>
                    <w:p w14:paraId="4B6BA316"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Studies not retrieved</w:t>
                      </w:r>
                    </w:p>
                    <w:p w14:paraId="7B5C6020"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(n = 8)</w:t>
                      </w:r>
                    </w:p>
                  </w:txbxContent>
                </v:textbox>
              </v:rect>
            </w:pict>
          </mc:Fallback>
        </mc:AlternateContent>
      </w:r>
      <w:r>
        <w:rPr>
          <w:noProof/>
        </w:rPr>
        <mc:AlternateContent>
          <mc:Choice Requires="wps">
            <w:drawing>
              <wp:anchor distT="0" distB="0" distL="114300" distR="114300" simplePos="0" relativeHeight="251651584" behindDoc="0" locked="0" layoutInCell="1" allowOverlap="1" wp14:anchorId="57A54873" wp14:editId="7AD944F5">
                <wp:simplePos x="0" y="0"/>
                <wp:positionH relativeFrom="column">
                  <wp:posOffset>597535</wp:posOffset>
                </wp:positionH>
                <wp:positionV relativeFrom="paragraph">
                  <wp:posOffset>200025</wp:posOffset>
                </wp:positionV>
                <wp:extent cx="1887220" cy="526415"/>
                <wp:effectExtent l="0" t="0" r="0" b="6985"/>
                <wp:wrapNone/>
                <wp:docPr id="863191577"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41E7E44D"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Studies sought for retrieval</w:t>
                            </w:r>
                          </w:p>
                          <w:p w14:paraId="782E3CAE"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(n = 40)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A54873" id="Rectangle 8" o:spid="_x0000_s1034" style="position:absolute;margin-left:47.05pt;margin-top:15.75pt;width:148.6pt;height:41.4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" filled="f" strokecolor="windowText" strokeweight="1pt">
                <v:path arrowok="t"/>
                <v:textbox>
                  <w:txbxContent>
                    <w:p w14:paraId="41E7E44D"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Studies sought for retrieval</w:t>
                      </w:r>
                    </w:p>
                    <w:p w14:paraId="782E3CAE"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(n = 40)</w:t>
                      </w:r>
                    </w:p>
                  </w:txbxContent>
                </v:textbox>
              </v:rect>
            </w:pict>
          </mc:Fallback>
        </mc:AlternateContent>
      </w:r>
    </w:p>
    <w:p w14:paraId="3DA87071" w14:textId="77777777" w:rsidR="00042674" w:rsidRPr="00EE4FC1" w:rsidRDefault="00722D8E" w:rsidP="00042674">
      <w:pPr>
        <w:spacing w:after="0" w:line="360" w:lineRule="auto"/>
        <w:rPr>
          <w:rFonts w:ascii="Calibri" w:eastAsia="PMingLiU" w:hAnsi="Calibri"/>
          <w:sz w:val="22"/>
          <w:szCs w:val="22"/>
          <w:lang w:eastAsia="zh-CN"/>
        </w:rPr>
      </w:pPr>
      <w:r>
        <w:rPr>
          <w:noProof/>
        </w:rPr>
        <mc:AlternateContent>
          <mc:Choice Requires="wps">
            <w:drawing>
              <wp:anchor distT="4294967294" distB="4294967294" distL="114300" distR="114300" simplePos="0" relativeHeight="251658752" behindDoc="0" locked="0" layoutInCell="1" allowOverlap="1" wp14:anchorId="7C375B65" wp14:editId="72BA1D36">
                <wp:simplePos x="0" y="0"/>
                <wp:positionH relativeFrom="column">
                  <wp:posOffset>2495550</wp:posOffset>
                </wp:positionH>
                <wp:positionV relativeFrom="paragraph">
                  <wp:posOffset>184784</wp:posOffset>
                </wp:positionV>
                <wp:extent cx="563245" cy="0"/>
                <wp:effectExtent l="0" t="76200" r="0" b="76200"/>
                <wp:wrapNone/>
                <wp:docPr id="134755293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576524AE" id="Straight Arrow Connector 7" o:spid="_x0000_s1026" type="#_x0000_t32" style="position:absolute;margin-left:196.5pt;margin-top:14.55pt;width:44.35pt;height:0;z-index:251658752;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" strokecolor="windowText" strokeweight=".5pt">
                <v:stroke endarrow="block" joinstyle="miter"/>
                <o:lock v:ext="edit" shapetype="f"/>
              </v:shape>
            </w:pict>
          </mc:Fallback>
        </mc:AlternateContent>
      </w:r>
    </w:p>
    <w:p w14:paraId="01EE796B" w14:textId="77777777" w:rsidR="00042674" w:rsidRPr="00EE4FC1" w:rsidRDefault="00722D8E" w:rsidP="00042674">
      <w:pPr>
        <w:spacing w:after="0" w:line="360" w:lineRule="auto"/>
        <w:rPr>
          <w:rFonts w:ascii="Calibri" w:eastAsia="PMingLiU" w:hAnsi="Calibri"/>
          <w:sz w:val="22"/>
          <w:szCs w:val="22"/>
          <w:lang w:eastAsia="zh-CN"/>
        </w:rPr>
      </w:pPr>
      <w:r>
        <w:rPr>
          <w:noProof/>
        </w:rPr>
        <mc:AlternateContent>
          <mc:Choice Requires="wps">
            <w:drawing>
              <wp:anchor distT="0" distB="0" distL="114298" distR="114298" simplePos="0" relativeHeight="251667968" behindDoc="0" locked="0" layoutInCell="1" allowOverlap="1" wp14:anchorId="68FF93A1" wp14:editId="2FCF80CC">
                <wp:simplePos x="0" y="0"/>
                <wp:positionH relativeFrom="column">
                  <wp:posOffset>1403349</wp:posOffset>
                </wp:positionH>
                <wp:positionV relativeFrom="paragraph">
                  <wp:posOffset>213995</wp:posOffset>
                </wp:positionV>
                <wp:extent cx="0" cy="746125"/>
                <wp:effectExtent l="38100" t="0" r="38100" b="34925"/>
                <wp:wrapNone/>
                <wp:docPr id="51015750"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461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77ABFB33" id="Straight Arrow Connector 6" o:spid="_x0000_s1026" type="#_x0000_t32" style="position:absolute;margin-left:110.5pt;margin-top:16.85pt;width:0;height:58.75pt;z-index:251667968;visibility:visible;mso-wrap-style:square;mso-width-percent:0;mso-height-percent:0;mso-wrap-distance-left:3.17494mm;mso-wrap-distance-top:0;mso-wrap-distance-right:3.17494mm;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" strokecolor="windowText" strokeweight=".5pt">
                <v:stroke endarrow="block" joinstyle="miter"/>
                <o:lock v:ext="edit" shapetype="f"/>
              </v:shape>
            </w:pict>
          </mc:Fallback>
        </mc:AlternateContent>
      </w:r>
    </w:p>
    <w:p w14:paraId="34B4B398" w14:textId="77777777" w:rsidR="00042674" w:rsidRPr="00EE4FC1" w:rsidRDefault="00042674" w:rsidP="00042674">
      <w:pPr>
        <w:spacing w:after="0" w:line="360" w:lineRule="auto"/>
        <w:rPr>
          <w:rFonts w:ascii="Calibri" w:eastAsia="PMingLiU" w:hAnsi="Calibri"/>
          <w:sz w:val="22"/>
          <w:szCs w:val="22"/>
          <w:lang w:eastAsia="zh-CN"/>
        </w:rPr>
      </w:pPr>
    </w:p>
    <w:p w14:paraId="135AB121" w14:textId="77777777" w:rsidR="00042674" w:rsidRPr="00EE4FC1" w:rsidRDefault="00722D8E" w:rsidP="00042674">
      <w:pPr>
        <w:spacing w:after="0" w:line="360" w:lineRule="auto"/>
        <w:rPr>
          <w:rFonts w:ascii="Calibri" w:eastAsia="PMingLiU" w:hAnsi="Calibri"/>
          <w:sz w:val="22"/>
          <w:szCs w:val="22"/>
          <w:lang w:eastAsia="zh-CN"/>
        </w:rPr>
      </w:pPr>
      <w:r>
        <w:rPr>
          <w:noProof/>
        </w:rPr>
        <mc:AlternateContent>
          <mc:Choice Requires="wps">
            <w:drawing>
              <wp:anchor distT="0" distB="0" distL="114300" distR="114300" simplePos="0" relativeHeight="251654656" behindDoc="0" locked="0" layoutInCell="1" allowOverlap="1" wp14:anchorId="468CEEDF" wp14:editId="27B4B5E8">
                <wp:simplePos x="0" y="0"/>
                <wp:positionH relativeFrom="column">
                  <wp:posOffset>3059430</wp:posOffset>
                </wp:positionH>
                <wp:positionV relativeFrom="paragraph">
                  <wp:posOffset>173355</wp:posOffset>
                </wp:positionV>
                <wp:extent cx="3440430" cy="1655445"/>
                <wp:effectExtent l="0" t="0" r="7620" b="1905"/>
                <wp:wrapNone/>
                <wp:docPr id="1867472132"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440430" cy="1655445"/>
                        </a:xfrm>
                        <a:prstGeom prst="rect">
                          <a:avLst/>
                        </a:prstGeom>
                        <a:noFill/>
                        <a:ln w="12700" cap="flat" cmpd="sng" algn="ctr">
                          <a:solidFill>
                            <a:sysClr val="windowText" lastClr="000000"/>
                          </a:solidFill>
                          <a:prstDash val="solid"/>
                          <a:miter lim="800000"/>
                        </a:ln>
                        <a:effectLst/>
                      </wps:spPr>
                      <wps:txbx>
                        <w:txbxContent>
                          <w:p w14:paraId="0563D229" w14:textId="77777777" w:rsidR="00042674" w:rsidRPr="00374975" w:rsidRDefault="00042674" w:rsidP="00042674">
                            <w:pPr>
                              <w:ind w:right="310"/>
                              <w:rPr>
                                <w:rFonts w:ascii="Arial" w:hAnsi="Arial" w:cs="Arial"/>
                                <w:noProof/>
                                <w:sz w:val="18"/>
                                <w:szCs w:val="18"/>
                              </w:rPr>
                            </w:pPr>
                            <w:r w:rsidRPr="00374975">
                              <w:rPr>
                                <w:rFonts w:ascii="Arial" w:hAnsi="Arial" w:cs="Arial"/>
                                <w:noProof/>
                                <w:sz w:val="18"/>
                                <w:szCs w:val="18"/>
                              </w:rPr>
                              <w:t>Studies excluded:</w:t>
                            </w:r>
                          </w:p>
                          <w:p w14:paraId="61820FB6" w14:textId="77777777" w:rsidR="00042674" w:rsidRPr="00374975" w:rsidRDefault="00042674" w:rsidP="00042674">
                            <w:pPr>
                              <w:ind w:right="310"/>
                              <w:rPr>
                                <w:rFonts w:ascii="Arial" w:hAnsi="Arial" w:cs="Arial"/>
                                <w:noProof/>
                                <w:sz w:val="18"/>
                                <w:szCs w:val="18"/>
                              </w:rPr>
                            </w:pPr>
                            <w:r w:rsidRPr="00374975">
                              <w:rPr>
                                <w:rFonts w:ascii="Arial" w:hAnsi="Arial" w:cs="Arial"/>
                                <w:noProof/>
                                <w:sz w:val="18"/>
                                <w:szCs w:val="18"/>
                              </w:rPr>
                              <w:t>(n = 20)</w:t>
                            </w:r>
                          </w:p>
                          <w:p w14:paraId="55A1A862" w14:textId="77777777" w:rsidR="00042674" w:rsidRPr="002D09C3" w:rsidRDefault="00F9724A" w:rsidP="00042674">
                            <w:pPr>
                              <w:ind w:right="310"/>
                              <w:rPr>
                                <w:color w:val="000000"/>
                                <w:sz w:val="18"/>
                              </w:rPr>
                            </w:pPr>
                            <w:r w:rsidRPr="00F9724A">
                              <w:rPr>
                                <w:rFonts w:ascii="Arial" w:hAnsi="Arial" w:cs="Arial"/>
                                <w:noProof/>
                                <w:sz w:val="18"/>
                                <w:szCs w:val="18"/>
                              </w:rPr>
                              <w:t>These studies were excluded due to these reasons:</w:t>
                            </w:r>
                            <w:r w:rsidRPr="00F9724A">
                              <w:rPr>
                                <w:rFonts w:ascii="Arial" w:hAnsi="Arial" w:cs="Arial"/>
                                <w:noProof/>
                                <w:sz w:val="18"/>
                                <w:szCs w:val="18"/>
                              </w:rPr>
                              <w:br/>
                              <w:t xml:space="preserve">Conducted outside the United Kingdom (n = </w:t>
                            </w:r>
                            <w:r>
                              <w:rPr>
                                <w:rFonts w:ascii="Arial" w:hAnsi="Arial" w:cs="Arial"/>
                                <w:iCs/>
                                <w:noProof/>
                                <w:sz w:val="18"/>
                                <w:szCs w:val="18"/>
                              </w:rPr>
                              <w:t>10</w:t>
                            </w:r>
                            <w:r w:rsidRPr="00F9724A">
                              <w:rPr>
                                <w:rFonts w:ascii="Arial" w:hAnsi="Arial" w:cs="Arial"/>
                                <w:noProof/>
                                <w:sz w:val="18"/>
                                <w:szCs w:val="18"/>
                              </w:rPr>
                              <w:t>)</w:t>
                            </w:r>
                            <w:r w:rsidRPr="00F9724A">
                              <w:rPr>
                                <w:rFonts w:ascii="Arial" w:hAnsi="Arial" w:cs="Arial"/>
                                <w:noProof/>
                                <w:sz w:val="18"/>
                                <w:szCs w:val="18"/>
                              </w:rPr>
                              <w:br/>
                              <w:t xml:space="preserve">Not available in full-text or not written in English (n = </w:t>
                            </w:r>
                            <w:r>
                              <w:rPr>
                                <w:rFonts w:ascii="Arial" w:hAnsi="Arial" w:cs="Arial"/>
                                <w:iCs/>
                                <w:noProof/>
                                <w:sz w:val="18"/>
                                <w:szCs w:val="18"/>
                              </w:rPr>
                              <w:t>5</w:t>
                            </w:r>
                            <w:r w:rsidRPr="00F9724A">
                              <w:rPr>
                                <w:rFonts w:ascii="Arial" w:hAnsi="Arial" w:cs="Arial"/>
                                <w:noProof/>
                                <w:sz w:val="18"/>
                                <w:szCs w:val="18"/>
                              </w:rPr>
                              <w:t>)</w:t>
                            </w:r>
                            <w:r w:rsidRPr="00F9724A">
                              <w:rPr>
                                <w:rFonts w:ascii="Arial" w:hAnsi="Arial" w:cs="Arial"/>
                                <w:noProof/>
                                <w:sz w:val="18"/>
                                <w:szCs w:val="18"/>
                              </w:rPr>
                              <w:br/>
                              <w:t xml:space="preserve">Published before 2016 (n = </w:t>
                            </w:r>
                            <w:r>
                              <w:rPr>
                                <w:rFonts w:ascii="Arial" w:hAnsi="Arial" w:cs="Arial"/>
                                <w:iCs/>
                                <w:noProof/>
                                <w:sz w:val="18"/>
                                <w:szCs w:val="18"/>
                              </w:rPr>
                              <w:t>5</w:t>
                            </w:r>
                            <w:r w:rsidRPr="00F9724A">
                              <w:rPr>
                                <w:rFonts w:ascii="Arial" w:hAnsi="Arial" w:cs="Arial"/>
                                <w:noProof/>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8CEEDF" id="Rectangle 5" o:spid="_x0000_s1035" style="position:absolute;margin-left:240.9pt;margin-top:13.65pt;width:270.9pt;height:130.3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" filled="f" strokecolor="windowText" strokeweight="1pt">
                <v:path arrowok="t"/>
                <v:textbox>
                  <w:txbxContent>
                    <w:p w14:paraId="0563D229" w14:textId="77777777" w:rsidR="00042674" w:rsidRPr="00374975" w:rsidRDefault="00042674" w:rsidP="00042674">
                      <w:pPr>
                        <w:ind w:right="310"/>
                        <w:rPr>
                          <w:rFonts w:ascii="Arial" w:hAnsi="Arial" w:cs="Arial"/>
                          <w:noProof/>
                          <w:sz w:val="18"/>
                          <w:szCs w:val="18"/>
                        </w:rPr>
                      </w:pPr>
                      <w:r w:rsidRPr="00374975">
                        <w:rPr>
                          <w:rFonts w:ascii="Arial" w:hAnsi="Arial" w:cs="Arial"/>
                          <w:noProof/>
                          <w:sz w:val="18"/>
                          <w:szCs w:val="18"/>
                        </w:rPr>
                        <w:t>Studies excluded:</w:t>
                      </w:r>
                    </w:p>
                    <w:p w14:paraId="61820FB6" w14:textId="77777777" w:rsidR="00042674" w:rsidRPr="00374975" w:rsidRDefault="00042674" w:rsidP="00042674">
                      <w:pPr>
                        <w:ind w:right="310"/>
                        <w:rPr>
                          <w:rFonts w:ascii="Arial" w:hAnsi="Arial" w:cs="Arial"/>
                          <w:noProof/>
                          <w:sz w:val="18"/>
                          <w:szCs w:val="18"/>
                        </w:rPr>
                      </w:pPr>
                      <w:r w:rsidRPr="00374975">
                        <w:rPr>
                          <w:rFonts w:ascii="Arial" w:hAnsi="Arial" w:cs="Arial"/>
                          <w:noProof/>
                          <w:sz w:val="18"/>
                          <w:szCs w:val="18"/>
                        </w:rPr>
                        <w:t>(n = 20)</w:t>
                      </w:r>
                    </w:p>
                    <w:p w14:paraId="55A1A862" w14:textId="77777777" w:rsidR="00042674" w:rsidRPr="002D09C3" w:rsidRDefault="00F9724A" w:rsidP="00042674">
                      <w:pPr>
                        <w:ind w:right="310"/>
                        <w:rPr>
                          <w:color w:val="000000"/>
                          <w:sz w:val="18"/>
                        </w:rPr>
                      </w:pPr>
                      <w:r w:rsidRPr="00F9724A">
                        <w:rPr>
                          <w:rFonts w:ascii="Arial" w:hAnsi="Arial" w:cs="Arial"/>
                          <w:noProof/>
                          <w:sz w:val="18"/>
                          <w:szCs w:val="18"/>
                        </w:rPr>
                        <w:t>These studies were excluded due to these reasons:</w:t>
                      </w:r>
                      <w:r w:rsidRPr="00F9724A">
                        <w:rPr>
                          <w:rFonts w:ascii="Arial" w:hAnsi="Arial" w:cs="Arial"/>
                          <w:noProof/>
                          <w:sz w:val="18"/>
                          <w:szCs w:val="18"/>
                        </w:rPr>
                        <w:br/>
                        <w:t xml:space="preserve">Conducted outside the United Kingdom (n = </w:t>
                      </w:r>
                      <w:r>
                        <w:rPr>
                          <w:rFonts w:ascii="Arial" w:hAnsi="Arial" w:cs="Arial"/>
                          <w:iCs/>
                          <w:noProof/>
                          <w:sz w:val="18"/>
                          <w:szCs w:val="18"/>
                        </w:rPr>
                        <w:t>10</w:t>
                      </w:r>
                      <w:r w:rsidRPr="00F9724A">
                        <w:rPr>
                          <w:rFonts w:ascii="Arial" w:hAnsi="Arial" w:cs="Arial"/>
                          <w:noProof/>
                          <w:sz w:val="18"/>
                          <w:szCs w:val="18"/>
                        </w:rPr>
                        <w:t>)</w:t>
                      </w:r>
                      <w:r w:rsidRPr="00F9724A">
                        <w:rPr>
                          <w:rFonts w:ascii="Arial" w:hAnsi="Arial" w:cs="Arial"/>
                          <w:noProof/>
                          <w:sz w:val="18"/>
                          <w:szCs w:val="18"/>
                        </w:rPr>
                        <w:br/>
                        <w:t xml:space="preserve">Not available in full-text or not written in English (n = </w:t>
                      </w:r>
                      <w:r>
                        <w:rPr>
                          <w:rFonts w:ascii="Arial" w:hAnsi="Arial" w:cs="Arial"/>
                          <w:iCs/>
                          <w:noProof/>
                          <w:sz w:val="18"/>
                          <w:szCs w:val="18"/>
                        </w:rPr>
                        <w:t>5</w:t>
                      </w:r>
                      <w:r w:rsidRPr="00F9724A">
                        <w:rPr>
                          <w:rFonts w:ascii="Arial" w:hAnsi="Arial" w:cs="Arial"/>
                          <w:noProof/>
                          <w:sz w:val="18"/>
                          <w:szCs w:val="18"/>
                        </w:rPr>
                        <w:t>)</w:t>
                      </w:r>
                      <w:r w:rsidRPr="00F9724A">
                        <w:rPr>
                          <w:rFonts w:ascii="Arial" w:hAnsi="Arial" w:cs="Arial"/>
                          <w:noProof/>
                          <w:sz w:val="18"/>
                          <w:szCs w:val="18"/>
                        </w:rPr>
                        <w:br/>
                        <w:t xml:space="preserve">Published before 2016 (n = </w:t>
                      </w:r>
                      <w:r>
                        <w:rPr>
                          <w:rFonts w:ascii="Arial" w:hAnsi="Arial" w:cs="Arial"/>
                          <w:iCs/>
                          <w:noProof/>
                          <w:sz w:val="18"/>
                          <w:szCs w:val="18"/>
                        </w:rPr>
                        <w:t>5</w:t>
                      </w:r>
                      <w:r w:rsidRPr="00F9724A">
                        <w:rPr>
                          <w:rFonts w:ascii="Arial" w:hAnsi="Arial" w:cs="Arial"/>
                          <w:noProof/>
                          <w:sz w:val="18"/>
                          <w:szCs w:val="18"/>
                        </w:rPr>
                        <w:t>)</w:t>
                      </w:r>
                    </w:p>
                  </w:txbxContent>
                </v:textbox>
              </v:rect>
            </w:pict>
          </mc:Fallback>
        </mc:AlternateContent>
      </w:r>
    </w:p>
    <w:p w14:paraId="194A007A" w14:textId="77777777" w:rsidR="00042674" w:rsidRPr="00EE4FC1" w:rsidRDefault="00722D8E" w:rsidP="00042674">
      <w:pPr>
        <w:spacing w:after="0" w:line="360" w:lineRule="auto"/>
        <w:rPr>
          <w:rFonts w:ascii="Calibri" w:eastAsia="PMingLiU" w:hAnsi="Calibri"/>
          <w:sz w:val="22"/>
          <w:szCs w:val="22"/>
          <w:lang w:eastAsia="zh-CN"/>
        </w:rPr>
      </w:pPr>
      <w:r>
        <w:rPr>
          <w:noProof/>
        </w:rPr>
        <mc:AlternateContent>
          <mc:Choice Requires="wps">
            <w:drawing>
              <wp:anchor distT="0" distB="0" distL="114300" distR="114300" simplePos="0" relativeHeight="251653632" behindDoc="0" locked="0" layoutInCell="1" allowOverlap="1" wp14:anchorId="5AB35767" wp14:editId="2D2CE741">
                <wp:simplePos x="0" y="0"/>
                <wp:positionH relativeFrom="column">
                  <wp:posOffset>555625</wp:posOffset>
                </wp:positionH>
                <wp:positionV relativeFrom="paragraph">
                  <wp:posOffset>191135</wp:posOffset>
                </wp:positionV>
                <wp:extent cx="1887220" cy="526415"/>
                <wp:effectExtent l="0" t="0" r="0" b="6985"/>
                <wp:wrapNone/>
                <wp:docPr id="27780150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7BA51CF7"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Studies assessed for eligibility</w:t>
                            </w:r>
                          </w:p>
                          <w:p w14:paraId="08551C61"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(n = 32)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B35767" id="Rectangle 4" o:spid="_x0000_s1036" style="position:absolute;margin-left:43.75pt;margin-top:15.05pt;width:148.6pt;height:41.4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" filled="f" strokecolor="windowText" strokeweight="1pt">
                <v:path arrowok="t"/>
                <v:textbox>
                  <w:txbxContent>
                    <w:p w14:paraId="7BA51CF7"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Studies assessed for eligibility</w:t>
                      </w:r>
                    </w:p>
                    <w:p w14:paraId="08551C61" w14:textId="77777777" w:rsidR="00042674" w:rsidRPr="002D09C3" w:rsidRDefault="00042674" w:rsidP="00042674">
                      <w:pPr>
                        <w:rPr>
                          <w:rFonts w:ascii="Arial" w:hAnsi="Arial" w:cs="Arial"/>
                          <w:color w:val="000000"/>
                          <w:sz w:val="18"/>
                        </w:rPr>
                      </w:pPr>
                      <w:r w:rsidRPr="002D09C3">
                        <w:rPr>
                          <w:rFonts w:ascii="Arial" w:hAnsi="Arial" w:cs="Arial"/>
                          <w:color w:val="000000"/>
                          <w:sz w:val="18"/>
                        </w:rPr>
                        <w:t>(n = 32)</w:t>
                      </w:r>
                    </w:p>
                  </w:txbxContent>
                </v:textbox>
              </v:rect>
            </w:pict>
          </mc:Fallback>
        </mc:AlternateContent>
      </w:r>
    </w:p>
    <w:p w14:paraId="470118B8" w14:textId="77777777" w:rsidR="00042674" w:rsidRPr="00EE4FC1" w:rsidRDefault="00722D8E" w:rsidP="00042674">
      <w:pPr>
        <w:spacing w:after="0" w:line="360" w:lineRule="auto"/>
        <w:rPr>
          <w:rFonts w:ascii="Calibri" w:eastAsia="PMingLiU" w:hAnsi="Calibri"/>
          <w:sz w:val="22"/>
          <w:szCs w:val="22"/>
          <w:lang w:eastAsia="zh-CN"/>
        </w:rPr>
      </w:pPr>
      <w:r>
        <w:rPr>
          <w:noProof/>
        </w:rPr>
        <mc:AlternateContent>
          <mc:Choice Requires="wps">
            <w:drawing>
              <wp:anchor distT="4294967295" distB="4294967295" distL="114300" distR="114300" simplePos="0" relativeHeight="251659776" behindDoc="0" locked="0" layoutInCell="1" allowOverlap="1" wp14:anchorId="2EB0847A" wp14:editId="44D70A52">
                <wp:simplePos x="0" y="0"/>
                <wp:positionH relativeFrom="column">
                  <wp:posOffset>2454275</wp:posOffset>
                </wp:positionH>
                <wp:positionV relativeFrom="paragraph">
                  <wp:posOffset>219075</wp:posOffset>
                </wp:positionV>
                <wp:extent cx="604520" cy="635"/>
                <wp:effectExtent l="0" t="76200" r="0" b="75565"/>
                <wp:wrapNone/>
                <wp:docPr id="880500912"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04520" cy="635"/>
                        </a:xfrm>
                        <a:prstGeom prst="bentConnector3">
                          <a:avLst>
                            <a:gd name="adj1" fmla="val 50000"/>
                          </a:avLst>
                        </a:prstGeom>
                        <a:noFill/>
                        <a:ln w="6350" algn="ctr">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D0B1654" id="_x0000_t34" coordsize="21600,21600" o:spt="34" o:oned="t" adj="10800" path="m,l@0,0@0,21600,21600,21600e" filled="f">
                <v:stroke joinstyle="miter"/>
                <v:formulas>
                  <v:f eqn="val #0"/>
                </v:formulas>
                <v:path arrowok="t" fillok="f" o:connecttype="none"/>
                <v:handles>
                  <v:h position="#0,center"/>
                </v:handles>
                <o:lock v:ext="edit" shapetype="t"/>
              </v:shapetype>
              <v:shape id="Straight Arrow Connector 5" o:spid="_x0000_s1026" type="#_x0000_t34" style="position:absolute;margin-left:193.25pt;margin-top:17.25pt;width:47.6pt;height:.05pt;z-index:25165977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" strokeweight=".5pt">
                <v:stroke endarrow="block"/>
                <o:lock v:ext="edit" shapetype="f"/>
              </v:shape>
            </w:pict>
          </mc:Fallback>
        </mc:AlternateContent>
      </w:r>
    </w:p>
    <w:p w14:paraId="101E20DD" w14:textId="77777777" w:rsidR="00042674" w:rsidRPr="00EE4FC1" w:rsidRDefault="00722D8E" w:rsidP="00042674">
      <w:pPr>
        <w:spacing w:after="0" w:line="360" w:lineRule="auto"/>
        <w:rPr>
          <w:rFonts w:ascii="Calibri" w:eastAsia="PMingLiU" w:hAnsi="Calibri"/>
          <w:sz w:val="22"/>
          <w:szCs w:val="22"/>
          <w:lang w:eastAsia="zh-CN"/>
        </w:rPr>
      </w:pPr>
      <w:r>
        <w:rPr>
          <w:noProof/>
        </w:rPr>
        <mc:AlternateContent>
          <mc:Choice Requires="wps">
            <w:drawing>
              <wp:anchor distT="0" distB="0" distL="114298" distR="114298" simplePos="0" relativeHeight="251664896" behindDoc="0" locked="0" layoutInCell="1" allowOverlap="1" wp14:anchorId="08B3C901" wp14:editId="7432DD56">
                <wp:simplePos x="0" y="0"/>
                <wp:positionH relativeFrom="column">
                  <wp:posOffset>1393824</wp:posOffset>
                </wp:positionH>
                <wp:positionV relativeFrom="paragraph">
                  <wp:posOffset>206375</wp:posOffset>
                </wp:positionV>
                <wp:extent cx="0" cy="746125"/>
                <wp:effectExtent l="38100" t="0" r="38100" b="34925"/>
                <wp:wrapNone/>
                <wp:docPr id="763497562"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461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7942C011" id="Straight Arrow Connector 3" o:spid="_x0000_s1026" type="#_x0000_t32" style="position:absolute;margin-left:109.75pt;margin-top:16.25pt;width:0;height:58.75pt;z-index:251664896;visibility:visible;mso-wrap-style:square;mso-width-percent:0;mso-height-percent:0;mso-wrap-distance-left:3.17494mm;mso-wrap-distance-top:0;mso-wrap-distance-right:3.17494mm;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" strokecolor="windowText" strokeweight=".5pt">
                <v:stroke endarrow="block" joinstyle="miter"/>
                <o:lock v:ext="edit" shapetype="f"/>
              </v:shape>
            </w:pict>
          </mc:Fallback>
        </mc:AlternateContent>
      </w:r>
    </w:p>
    <w:p w14:paraId="6EDF85D7" w14:textId="77777777" w:rsidR="00042674" w:rsidRPr="00EE4FC1" w:rsidRDefault="00042674" w:rsidP="00042674">
      <w:pPr>
        <w:spacing w:after="0" w:line="360" w:lineRule="auto"/>
        <w:rPr>
          <w:rFonts w:ascii="Calibri" w:eastAsia="PMingLiU" w:hAnsi="Calibri"/>
          <w:sz w:val="22"/>
          <w:szCs w:val="22"/>
          <w:lang w:eastAsia="zh-CN"/>
        </w:rPr>
      </w:pPr>
    </w:p>
    <w:p w14:paraId="101E74DB" w14:textId="77777777" w:rsidR="00042674" w:rsidRPr="00EE4FC1" w:rsidRDefault="00042674" w:rsidP="00042674">
      <w:pPr>
        <w:spacing w:after="0" w:line="360" w:lineRule="auto"/>
        <w:rPr>
          <w:rFonts w:ascii="Calibri" w:eastAsia="PMingLiU" w:hAnsi="Calibri"/>
          <w:sz w:val="22"/>
          <w:szCs w:val="22"/>
          <w:lang w:eastAsia="zh-CN"/>
        </w:rPr>
      </w:pPr>
    </w:p>
    <w:p w14:paraId="7B75B0AC" w14:textId="77777777" w:rsidR="00042674" w:rsidRPr="00EE4FC1" w:rsidRDefault="00722D8E" w:rsidP="00042674">
      <w:pPr>
        <w:spacing w:after="0" w:line="360" w:lineRule="auto"/>
        <w:rPr>
          <w:rFonts w:ascii="Calibri" w:eastAsia="PMingLiU" w:hAnsi="Calibri"/>
          <w:sz w:val="22"/>
          <w:szCs w:val="22"/>
          <w:lang w:eastAsia="zh-CN"/>
        </w:rPr>
      </w:pPr>
      <w:r>
        <w:rPr>
          <w:noProof/>
        </w:rPr>
        <mc:AlternateContent>
          <mc:Choice Requires="wps">
            <w:drawing>
              <wp:anchor distT="0" distB="0" distL="114300" distR="114300" simplePos="0" relativeHeight="251663872" behindDoc="0" locked="0" layoutInCell="1" allowOverlap="1" wp14:anchorId="5E62325D" wp14:editId="0413A833">
                <wp:simplePos x="0" y="0"/>
                <wp:positionH relativeFrom="column">
                  <wp:posOffset>-367983</wp:posOffset>
                </wp:positionH>
                <wp:positionV relativeFrom="paragraph">
                  <wp:posOffset>84137</wp:posOffset>
                </wp:positionV>
                <wp:extent cx="764540" cy="779145"/>
                <wp:effectExtent l="0" t="7303" r="28258" b="28257"/>
                <wp:wrapNone/>
                <wp:docPr id="344477014" name="Flowchart: Alternate Process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764540" cy="779145"/>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45A1AD10" w14:textId="77777777" w:rsidR="00042674" w:rsidRPr="002D09C3" w:rsidRDefault="00042674" w:rsidP="00042674">
                            <w:pPr>
                              <w:jc w:val="center"/>
                              <w:rPr>
                                <w:rFonts w:ascii="Arial" w:hAnsi="Arial" w:cs="Arial"/>
                                <w:b/>
                                <w:color w:val="000000"/>
                                <w:sz w:val="18"/>
                                <w:szCs w:val="18"/>
                              </w:rPr>
                            </w:pPr>
                            <w:r w:rsidRPr="002D09C3">
                              <w:rPr>
                                <w:rFonts w:ascii="Arial" w:hAnsi="Arial" w:cs="Arial"/>
                                <w:b/>
                                <w:color w:val="000000"/>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62325D" id="Flowchart: Alternate Process 2" o:spid="_x0000_s1037" type="#_x0000_t176" style="position:absolute;margin-left:-29pt;margin-top:6.6pt;width:60.2pt;height:61.35pt;rotation:-90;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" fillcolor="#9dc3e6" strokecolor="windowText" strokeweight="1pt">
                <v:path arrowok="t"/>
                <v:textbox>
                  <w:txbxContent>
                    <w:p w14:paraId="45A1AD10" w14:textId="77777777" w:rsidR="00042674" w:rsidRPr="002D09C3" w:rsidRDefault="00042674" w:rsidP="00042674">
                      <w:pPr>
                        <w:jc w:val="center"/>
                        <w:rPr>
                          <w:rFonts w:ascii="Arial" w:hAnsi="Arial" w:cs="Arial"/>
                          <w:b/>
                          <w:color w:val="000000"/>
                          <w:sz w:val="18"/>
                          <w:szCs w:val="18"/>
                        </w:rPr>
                      </w:pPr>
                      <w:r w:rsidRPr="002D09C3">
                        <w:rPr>
                          <w:rFonts w:ascii="Arial" w:hAnsi="Arial" w:cs="Arial"/>
                          <w:b/>
                          <w:color w:val="000000"/>
                          <w:sz w:val="18"/>
                          <w:szCs w:val="18"/>
                        </w:rPr>
                        <w:t>Included</w:t>
                      </w:r>
                    </w:p>
                  </w:txbxContent>
                </v:textbox>
              </v:shape>
            </w:pict>
          </mc:Fallback>
        </mc:AlternateContent>
      </w:r>
      <w:r>
        <w:rPr>
          <w:noProof/>
        </w:rPr>
        <mc:AlternateContent>
          <mc:Choice Requires="wps">
            <w:drawing>
              <wp:anchor distT="0" distB="0" distL="114300" distR="114300" simplePos="0" relativeHeight="251655680" behindDoc="0" locked="0" layoutInCell="1" allowOverlap="1" wp14:anchorId="568249BE" wp14:editId="5F53E9D8">
                <wp:simplePos x="0" y="0"/>
                <wp:positionH relativeFrom="column">
                  <wp:posOffset>540385</wp:posOffset>
                </wp:positionH>
                <wp:positionV relativeFrom="paragraph">
                  <wp:posOffset>174625</wp:posOffset>
                </wp:positionV>
                <wp:extent cx="1887220" cy="723900"/>
                <wp:effectExtent l="0" t="0" r="0" b="0"/>
                <wp:wrapNone/>
                <wp:docPr id="1731367147"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723900"/>
                        </a:xfrm>
                        <a:prstGeom prst="rect">
                          <a:avLst/>
                        </a:prstGeom>
                        <a:noFill/>
                        <a:ln w="12700" cap="flat" cmpd="sng" algn="ctr">
                          <a:solidFill>
                            <a:sysClr val="windowText" lastClr="000000"/>
                          </a:solidFill>
                          <a:prstDash val="solid"/>
                          <a:miter lim="800000"/>
                        </a:ln>
                        <a:effectLst/>
                      </wps:spPr>
                      <wps:txbx>
                        <w:txbxContent>
                          <w:p w14:paraId="4F8E0683" w14:textId="77777777" w:rsidR="00042674" w:rsidRPr="00042674" w:rsidRDefault="00042674" w:rsidP="00042674">
                            <w:pPr>
                              <w:rPr>
                                <w:rFonts w:ascii="Arial" w:hAnsi="Arial" w:cs="Arial"/>
                                <w:color w:val="000000"/>
                                <w:sz w:val="18"/>
                              </w:rPr>
                            </w:pPr>
                            <w:r w:rsidRPr="00042674">
                              <w:rPr>
                                <w:rFonts w:ascii="Arial" w:hAnsi="Arial" w:cs="Arial"/>
                                <w:color w:val="000000"/>
                                <w:sz w:val="18"/>
                              </w:rPr>
                              <w:t>Studies included in review</w:t>
                            </w:r>
                          </w:p>
                          <w:p w14:paraId="169CA2B0" w14:textId="77777777" w:rsidR="00042674" w:rsidRPr="00042674" w:rsidRDefault="00042674" w:rsidP="00042674">
                            <w:pPr>
                              <w:rPr>
                                <w:rFonts w:ascii="Arial" w:hAnsi="Arial" w:cs="Arial"/>
                                <w:color w:val="000000"/>
                                <w:sz w:val="18"/>
                              </w:rPr>
                            </w:pPr>
                            <w:r w:rsidRPr="00042674">
                              <w:rPr>
                                <w:rFonts w:ascii="Arial" w:hAnsi="Arial" w:cs="Arial"/>
                                <w:color w:val="000000"/>
                                <w:sz w:val="18"/>
                              </w:rPr>
                              <w:t>(n = 12)</w:t>
                            </w:r>
                          </w:p>
                          <w:p w14:paraId="1219FE46" w14:textId="77777777" w:rsidR="00042674" w:rsidRPr="002D09C3" w:rsidRDefault="00042674" w:rsidP="00042674">
                            <w:pPr>
                              <w:rPr>
                                <w:color w:val="000000"/>
                                <w:sz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8249BE" id="Rectangle 1" o:spid="_x0000_s1038" style="position:absolute;margin-left:42.55pt;margin-top:13.75pt;width:148.6pt;height:57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" filled="f" strokecolor="windowText" strokeweight="1pt">
                <v:path arrowok="t"/>
                <v:textbox>
                  <w:txbxContent>
                    <w:p w14:paraId="4F8E0683" w14:textId="77777777" w:rsidR="00042674" w:rsidRPr="00042674" w:rsidRDefault="00042674" w:rsidP="00042674">
                      <w:pPr>
                        <w:rPr>
                          <w:rFonts w:ascii="Arial" w:hAnsi="Arial" w:cs="Arial"/>
                          <w:color w:val="000000"/>
                          <w:sz w:val="18"/>
                        </w:rPr>
                      </w:pPr>
                      <w:r w:rsidRPr="00042674">
                        <w:rPr>
                          <w:rFonts w:ascii="Arial" w:hAnsi="Arial" w:cs="Arial"/>
                          <w:color w:val="000000"/>
                          <w:sz w:val="18"/>
                        </w:rPr>
                        <w:t>Studies included in review</w:t>
                      </w:r>
                    </w:p>
                    <w:p w14:paraId="169CA2B0" w14:textId="77777777" w:rsidR="00042674" w:rsidRPr="00042674" w:rsidRDefault="00042674" w:rsidP="00042674">
                      <w:pPr>
                        <w:rPr>
                          <w:rFonts w:ascii="Arial" w:hAnsi="Arial" w:cs="Arial"/>
                          <w:color w:val="000000"/>
                          <w:sz w:val="18"/>
                        </w:rPr>
                      </w:pPr>
                      <w:r w:rsidRPr="00042674">
                        <w:rPr>
                          <w:rFonts w:ascii="Arial" w:hAnsi="Arial" w:cs="Arial"/>
                          <w:color w:val="000000"/>
                          <w:sz w:val="18"/>
                        </w:rPr>
                        <w:t>(n = 12)</w:t>
                      </w:r>
                    </w:p>
                    <w:p w14:paraId="1219FE46" w14:textId="77777777" w:rsidR="00042674" w:rsidRPr="002D09C3" w:rsidRDefault="00042674" w:rsidP="00042674">
                      <w:pPr>
                        <w:rPr>
                          <w:color w:val="000000"/>
                          <w:sz w:val="18"/>
                        </w:rPr>
                      </w:pPr>
                    </w:p>
                  </w:txbxContent>
                </v:textbox>
              </v:rect>
            </w:pict>
          </mc:Fallback>
        </mc:AlternateContent>
      </w:r>
    </w:p>
    <w:p w14:paraId="6D07C2BF" w14:textId="77777777" w:rsidR="00042674" w:rsidRPr="00EE4FC1" w:rsidRDefault="00042674" w:rsidP="00042674">
      <w:pPr>
        <w:spacing w:after="0" w:line="360" w:lineRule="auto"/>
        <w:rPr>
          <w:rFonts w:ascii="Calibri" w:eastAsia="PMingLiU" w:hAnsi="Calibri"/>
          <w:sz w:val="22"/>
          <w:szCs w:val="22"/>
          <w:lang w:eastAsia="zh-CN"/>
        </w:rPr>
      </w:pPr>
    </w:p>
    <w:p w14:paraId="5DC71AC9" w14:textId="77777777" w:rsidR="00042674" w:rsidRPr="00EE4FC1" w:rsidRDefault="00042674" w:rsidP="00042674">
      <w:pPr>
        <w:spacing w:after="0" w:line="360" w:lineRule="auto"/>
        <w:rPr>
          <w:rFonts w:ascii="Calibri" w:eastAsia="PMingLiU" w:hAnsi="Calibri"/>
          <w:sz w:val="22"/>
          <w:szCs w:val="22"/>
          <w:lang w:eastAsia="zh-CN"/>
        </w:rPr>
      </w:pPr>
    </w:p>
    <w:p w14:paraId="3A5B8589" w14:textId="77777777" w:rsidR="00042674" w:rsidRPr="00EE4FC1" w:rsidRDefault="00042674" w:rsidP="00042674">
      <w:pPr>
        <w:spacing w:after="0" w:line="360" w:lineRule="auto"/>
        <w:rPr>
          <w:rFonts w:ascii="Calibri" w:eastAsia="PMingLiU" w:hAnsi="Calibri"/>
          <w:sz w:val="22"/>
          <w:szCs w:val="22"/>
          <w:lang w:eastAsia="zh-CN"/>
        </w:rPr>
      </w:pPr>
    </w:p>
    <w:p w14:paraId="641E9D8D" w14:textId="77777777" w:rsidR="00042674" w:rsidRPr="00EE4FC1" w:rsidRDefault="00042674" w:rsidP="00042674">
      <w:pPr>
        <w:spacing w:after="200" w:line="360" w:lineRule="auto"/>
        <w:jc w:val="center"/>
        <w:rPr>
          <w:rFonts w:ascii="Arial" w:eastAsia="Arial" w:hAnsi="Arial" w:cs="Arial"/>
          <w:kern w:val="0"/>
          <w:sz w:val="22"/>
          <w:szCs w:val="22"/>
        </w:rPr>
      </w:pPr>
      <w:bookmarkStart w:id="53" w:name="_Toc198712097"/>
      <w:bookmarkStart w:id="54" w:name="_Toc206565763"/>
      <w:bookmarkStart w:id="55" w:name="_Toc238386418"/>
      <w:r w:rsidRPr="00EE4FC1">
        <w:rPr>
          <w:rFonts w:ascii="Arial" w:eastAsia="Arial" w:hAnsi="Arial" w:cs="Arial"/>
          <w:kern w:val="0"/>
          <w:sz w:val="22"/>
          <w:szCs w:val="22"/>
        </w:rPr>
        <w:t xml:space="preserve">Figure </w:t>
      </w:r>
      <w:r w:rsidRPr="00EE4FC1">
        <w:rPr>
          <w:rFonts w:ascii="Arial" w:eastAsia="Arial" w:hAnsi="Arial" w:cs="Arial"/>
          <w:kern w:val="0"/>
          <w:sz w:val="22"/>
          <w:szCs w:val="22"/>
        </w:rPr>
        <w:fldChar w:fldCharType="begin"/>
      </w:r>
      <w:r w:rsidRPr="00EE4FC1">
        <w:rPr>
          <w:rFonts w:ascii="Arial" w:eastAsia="Arial" w:hAnsi="Arial" w:cs="Arial"/>
          <w:kern w:val="0"/>
          <w:sz w:val="22"/>
          <w:szCs w:val="22"/>
        </w:rPr>
        <w:instrText xml:space="preserve"> SEQ Figure \* ARABIC </w:instrText>
      </w:r>
      <w:r w:rsidRPr="00EE4FC1">
        <w:rPr>
          <w:rFonts w:ascii="Arial" w:eastAsia="Arial" w:hAnsi="Arial" w:cs="Arial"/>
          <w:kern w:val="0"/>
          <w:sz w:val="22"/>
          <w:szCs w:val="22"/>
        </w:rPr>
        <w:fldChar w:fldCharType="separate"/>
      </w:r>
      <w:r w:rsidRPr="00EE4FC1">
        <w:rPr>
          <w:rFonts w:ascii="Arial" w:eastAsia="Arial" w:hAnsi="Arial" w:cs="Arial"/>
          <w:noProof/>
          <w:kern w:val="0"/>
          <w:sz w:val="22"/>
          <w:szCs w:val="22"/>
        </w:rPr>
        <w:t>3</w:t>
      </w:r>
      <w:r w:rsidRPr="00EE4FC1">
        <w:rPr>
          <w:rFonts w:ascii="Arial" w:eastAsia="Arial" w:hAnsi="Arial" w:cs="Arial"/>
          <w:kern w:val="0"/>
          <w:sz w:val="22"/>
          <w:szCs w:val="22"/>
        </w:rPr>
        <w:fldChar w:fldCharType="end"/>
      </w:r>
      <w:r w:rsidRPr="00EE4FC1">
        <w:rPr>
          <w:rFonts w:ascii="Arial" w:eastAsia="Arial" w:hAnsi="Arial" w:cs="Arial"/>
          <w:kern w:val="0"/>
          <w:sz w:val="22"/>
          <w:szCs w:val="22"/>
        </w:rPr>
        <w:t>: PRISMA Flowchart</w:t>
      </w:r>
      <w:bookmarkEnd w:id="53"/>
      <w:r w:rsidRPr="00EE4FC1">
        <w:rPr>
          <w:rFonts w:ascii="Arial" w:eastAsia="Arial" w:hAnsi="Arial" w:cs="Arial"/>
          <w:kern w:val="0"/>
          <w:sz w:val="22"/>
          <w:szCs w:val="22"/>
        </w:rPr>
        <w:t xml:space="preserve"> (Source: The Author)</w:t>
      </w:r>
      <w:bookmarkEnd w:id="54"/>
      <w:bookmarkEnd w:id="55"/>
    </w:p>
    <w:p w14:paraId="058F20B0"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56" w:name="_Toc241618974"/>
      <w:r w:rsidRPr="00EE4FC1">
        <w:rPr>
          <w:rFonts w:ascii="Arial" w:eastAsia="PMingLiU" w:hAnsi="Arial" w:cs="Arial"/>
          <w:b/>
          <w:bCs/>
          <w:sz w:val="22"/>
          <w:szCs w:val="22"/>
          <w:lang w:val="en-US" w:eastAsia="zh-CN"/>
        </w:rPr>
        <w:t>3.5 Study Quality Assessment</w:t>
      </w:r>
      <w:bookmarkEnd w:id="56"/>
    </w:p>
    <w:p w14:paraId="5EE5BA15" w14:textId="5776333F"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The quality of the included studies was evaluated to determine the credibility, reliability, and methodological rigo</w:t>
      </w:r>
      <w:r w:rsidR="00580FC5">
        <w:rPr>
          <w:rFonts w:ascii="Arial" w:eastAsia="PMingLiU" w:hAnsi="Arial" w:cs="Arial"/>
          <w:sz w:val="22"/>
          <w:szCs w:val="22"/>
          <w:lang w:val="en-US" w:eastAsia="zh-CN"/>
        </w:rPr>
        <w:t>u</w:t>
      </w:r>
      <w:r w:rsidRPr="00EE4FC1">
        <w:rPr>
          <w:rFonts w:ascii="Arial" w:eastAsia="PMingLiU" w:hAnsi="Arial" w:cs="Arial"/>
          <w:sz w:val="22"/>
          <w:szCs w:val="22"/>
          <w:lang w:val="en-US" w:eastAsia="zh-CN"/>
        </w:rPr>
        <w:t xml:space="preserve">r of the evidence in the systematic review. Since the review was a mix of qualitative, quantitative, and mixed-methods studies, the appropriate appraisal tools were </w:t>
      </w:r>
      <w:r w:rsidRPr="00EE4FC1">
        <w:rPr>
          <w:rFonts w:ascii="Arial" w:eastAsia="PMingLiU" w:hAnsi="Arial" w:cs="Arial"/>
          <w:sz w:val="22"/>
          <w:szCs w:val="22"/>
          <w:lang w:val="en-US" w:eastAsia="zh-CN"/>
        </w:rPr>
        <w:lastRenderedPageBreak/>
        <w:t>chosen for each study design to ensure the appraisal process is appropriate to the methodological characteristics of each study type.</w:t>
      </w:r>
    </w:p>
    <w:p w14:paraId="2E208FAC"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 xml:space="preserve">The Critical Appraisal Skills Programme (CASP) checklist was used to appraise qualitative studies. </w:t>
      </w:r>
      <w:r w:rsidRPr="00EE4FC1">
        <w:rPr>
          <w:rFonts w:ascii="Arial" w:eastAsia="PMingLiU" w:hAnsi="Arial" w:cs="Arial"/>
          <w:sz w:val="22"/>
          <w:szCs w:val="22"/>
          <w:lang w:eastAsia="zh-CN"/>
        </w:rPr>
        <w:t>Long, French and Brooks</w:t>
      </w:r>
      <w:r w:rsidRPr="00EE4FC1">
        <w:rPr>
          <w:rFonts w:ascii="Arial" w:eastAsia="PMingLiU" w:hAnsi="Arial" w:cs="Arial"/>
          <w:sz w:val="22"/>
          <w:szCs w:val="22"/>
          <w:lang w:val="en-US" w:eastAsia="zh-CN"/>
        </w:rPr>
        <w:t xml:space="preserve"> (2020) define CASP as a systematic and structured way to evaluate the trustworthiness, relevance and results of qualitative research evidence. The CASP checklist used included clarity of study aims, appropriateness of qualitative methodology, research design, recruitment strategy, data collection methods, and researcher reflexivity, ethical considerations, rigour of data analysis, and clarity of findings.</w:t>
      </w:r>
    </w:p>
    <w:p w14:paraId="32347D5F"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Quantitative studies were appraised using the Joanna Briggs Institute (JBI) Critical Appraisal Checklists (</w:t>
      </w:r>
      <w:r w:rsidRPr="00EE4FC1">
        <w:rPr>
          <w:rFonts w:ascii="Arial" w:eastAsia="PMingLiU" w:hAnsi="Arial" w:cs="Arial"/>
          <w:sz w:val="22"/>
          <w:szCs w:val="22"/>
          <w:lang w:eastAsia="zh-CN"/>
        </w:rPr>
        <w:t>Harris and Maine, 2025</w:t>
      </w:r>
      <w:r w:rsidRPr="00EE4FC1">
        <w:rPr>
          <w:rFonts w:ascii="Arial" w:eastAsia="PMingLiU" w:hAnsi="Arial" w:cs="Arial"/>
          <w:sz w:val="22"/>
          <w:szCs w:val="22"/>
          <w:lang w:val="en-US" w:eastAsia="zh-CN"/>
        </w:rPr>
        <w:t>; Munn et al., 2019), which are tailored to specific quantitative study designs (e.g., cross-sectional, cohort, case-control, and randomised controlled trials). The JBI tools assessed methodological quality across domains including sampling adequacy, validity and reliability of measurement, control of confounding factors, statistical analysis, and completeness of reporting, thereby ensuring that the internal and external validity of each quantitative study was systematically evaluated.</w:t>
      </w:r>
    </w:p>
    <w:p w14:paraId="22BA6EB8" w14:textId="77777777" w:rsidR="00EE4FC1" w:rsidRPr="00EE4FC1" w:rsidRDefault="0062322E" w:rsidP="00EE4FC1">
      <w:pPr>
        <w:spacing w:line="360" w:lineRule="auto"/>
        <w:jc w:val="both"/>
        <w:rPr>
          <w:rFonts w:ascii="Arial" w:eastAsia="PMingLiU" w:hAnsi="Arial" w:cs="Arial"/>
          <w:sz w:val="22"/>
          <w:szCs w:val="22"/>
          <w:lang w:val="en-US" w:eastAsia="zh-CN"/>
        </w:rPr>
      </w:pPr>
      <w:r w:rsidRPr="0062322E">
        <w:rPr>
          <w:rFonts w:ascii="Arial" w:eastAsia="PMingLiU" w:hAnsi="Arial" w:cs="Arial"/>
          <w:sz w:val="22"/>
          <w:szCs w:val="22"/>
          <w:lang w:eastAsia="zh-CN"/>
        </w:rPr>
        <w:t>Had any mixed-methods studies met the inclusion criteria, they would have been appraised using the Mixed Methods Appraisal Tool (MMAT) (Hong et al., 2018), which enables the concurrent evaluation of the qualitative and quantitative components of a study as well as the quality of their integration, including a rubric for design, logical flow, and integration of the qualitative and quantitative strands, and for how divergence or inconsistencies between the two data types were addressed and interpreted. However, no mixed-methods study met the final inclusion criteria, so MMAT was not ultimately applied</w:t>
      </w:r>
      <w:r w:rsidR="00EE4FC1" w:rsidRPr="00EE4FC1">
        <w:rPr>
          <w:rFonts w:ascii="Arial" w:eastAsia="PMingLiU" w:hAnsi="Arial" w:cs="Arial"/>
          <w:sz w:val="22"/>
          <w:szCs w:val="22"/>
          <w:lang w:val="en-US" w:eastAsia="zh-CN"/>
        </w:rPr>
        <w:t>.</w:t>
      </w:r>
    </w:p>
    <w:p w14:paraId="65364E13"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sz w:val="22"/>
          <w:szCs w:val="22"/>
          <w:lang w:val="en-US" w:eastAsia="zh-CN"/>
        </w:rPr>
        <w:t xml:space="preserve">Each study was assessed with the corresponding evaluation tool and its strengths, weaknesses and contribution to the review objectives was identified. </w:t>
      </w:r>
      <w:r w:rsidR="0062322E" w:rsidRPr="0062322E">
        <w:rPr>
          <w:rFonts w:ascii="Arial" w:eastAsia="PMingLiU" w:hAnsi="Arial" w:cs="Arial"/>
          <w:sz w:val="22"/>
          <w:szCs w:val="22"/>
          <w:lang w:eastAsia="zh-CN"/>
        </w:rPr>
        <w:t>The use of design-specific appraisal tools (CASP and JBI) further strengthened the transparency, rigour and consistency of the quality assessment process</w:t>
      </w:r>
      <w:r w:rsidRPr="00EE4FC1">
        <w:rPr>
          <w:rFonts w:ascii="Arial" w:eastAsia="PMingLiU" w:hAnsi="Arial" w:cs="Arial"/>
          <w:sz w:val="22"/>
          <w:szCs w:val="22"/>
          <w:lang w:val="en-US" w:eastAsia="zh-CN"/>
        </w:rPr>
        <w:t>, as well as ensuring that the findings of this review were informed by credible and methodologically sound evidence, in line with the research design.</w:t>
      </w:r>
    </w:p>
    <w:p w14:paraId="6F5E28CF"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57" w:name="_Toc241618975"/>
      <w:r w:rsidRPr="00EE4FC1">
        <w:rPr>
          <w:rFonts w:ascii="Arial" w:eastAsia="PMingLiU" w:hAnsi="Arial" w:cs="Arial"/>
          <w:b/>
          <w:bCs/>
          <w:sz w:val="22"/>
          <w:szCs w:val="22"/>
          <w:lang w:val="en-US" w:eastAsia="zh-CN"/>
        </w:rPr>
        <w:t>3.6 Data Extraction</w:t>
      </w:r>
      <w:bookmarkEnd w:id="57"/>
    </w:p>
    <w:p w14:paraId="0A507B59"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Data extraction was done systematically to maintain consistency, accuracy and transparency as required for the review process. After inclusion of eligible studies, the relevant information was extracted from each article using a structured data extraction form which was specially developed for the study. Data extracted consisted of author(s), publication year, study location, </w:t>
      </w:r>
      <w:r w:rsidRPr="00EE4FC1">
        <w:rPr>
          <w:rFonts w:ascii="Arial" w:eastAsia="PMingLiU" w:hAnsi="Arial" w:cs="Arial"/>
          <w:sz w:val="22"/>
          <w:szCs w:val="22"/>
          <w:lang w:val="en-US" w:eastAsia="zh-CN"/>
        </w:rPr>
        <w:lastRenderedPageBreak/>
        <w:t>study design, study sample size, patient characteristics, type of telemedicine intervention, data collection methods, and key findings related to patient satisfaction.</w:t>
      </w:r>
    </w:p>
    <w:p w14:paraId="4C98B942"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sz w:val="22"/>
          <w:szCs w:val="22"/>
          <w:lang w:val="en-US" w:eastAsia="zh-CN"/>
        </w:rPr>
        <w:t>Other data regarding issues affecting satisfaction, differences in consultation modalities and reported difficulties or advantages of telemedicine were also gathered. Standardisation of the extraction process reduced errors and allowed for the collection of similar information from all studies included. The data extracted were then presented in tables and themes to enable in-depth analysis of the results through a narrative synthesis approach.</w:t>
      </w:r>
    </w:p>
    <w:p w14:paraId="1A07EE19"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58" w:name="_Toc241618976"/>
      <w:r w:rsidRPr="00EE4FC1">
        <w:rPr>
          <w:rFonts w:ascii="Arial" w:eastAsia="PMingLiU" w:hAnsi="Arial" w:cs="Arial"/>
          <w:b/>
          <w:bCs/>
          <w:sz w:val="22"/>
          <w:szCs w:val="22"/>
          <w:lang w:val="en-US" w:eastAsia="zh-CN"/>
        </w:rPr>
        <w:t>3.7 Data Synthesis</w:t>
      </w:r>
      <w:bookmarkEnd w:id="58"/>
    </w:p>
    <w:p w14:paraId="3D45F5BF" w14:textId="36881F78"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A narrative synthesis method was used to integrate the findings of the studies included in this review, as the studies were anticipated to use a variety of research designs, telemedicine interventions, and patient satisfaction outcome measures. Campbell et al. (2020) state that narrative synthesis is appropriate when statistical </w:t>
      </w:r>
      <w:r w:rsidR="00CC564B" w:rsidRPr="00EE4FC1">
        <w:rPr>
          <w:rFonts w:ascii="Arial" w:eastAsia="PMingLiU" w:hAnsi="Arial" w:cs="Arial"/>
          <w:sz w:val="22"/>
          <w:szCs w:val="22"/>
          <w:lang w:val="en-US" w:eastAsia="zh-CN"/>
        </w:rPr>
        <w:t>meta-analysis</w:t>
      </w:r>
      <w:r w:rsidRPr="00EE4FC1">
        <w:rPr>
          <w:rFonts w:ascii="Arial" w:eastAsia="PMingLiU" w:hAnsi="Arial" w:cs="Arial"/>
          <w:sz w:val="22"/>
          <w:szCs w:val="22"/>
          <w:lang w:val="en-US" w:eastAsia="zh-CN"/>
        </w:rPr>
        <w:t xml:space="preserve"> is not possible when studies are heterogeneous. To ensure transparency and consistency in reporting the synthesis process, the Synthesis Without Meta-analysis (SWiM) guidelines were adopted.</w:t>
      </w:r>
    </w:p>
    <w:p w14:paraId="3FF170DC"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Data were extracted, compared and then grouped and synthesised into themes which included key themes of satisfaction with telemedicine use in primary care in the UK. Accessibility, quality of communication, technological usability, patient preferences and consultation modalities were identified and analysed. According to Hong et al. (2017), thematic and convergent synthesis approaches enable the integration of qualitative and quantitative evidence within systematic reviews. Consequently, the narrative synthesis approach allowed for comprehensive interpretation and comparison of findings across the included studies.</w:t>
      </w:r>
    </w:p>
    <w:p w14:paraId="2C8384E9"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59" w:name="_Toc241618977"/>
      <w:r w:rsidRPr="00EE4FC1">
        <w:rPr>
          <w:rFonts w:ascii="Arial" w:eastAsia="PMingLiU" w:hAnsi="Arial" w:cs="Arial"/>
          <w:b/>
          <w:bCs/>
          <w:sz w:val="22"/>
          <w:szCs w:val="22"/>
          <w:lang w:val="en-US" w:eastAsia="zh-CN"/>
        </w:rPr>
        <w:t>3.8 Ethical Considerations</w:t>
      </w:r>
      <w:bookmarkEnd w:id="59"/>
    </w:p>
    <w:p w14:paraId="4C8EA214"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Ethical considerations were carefully observed throughout the conduct of this systematic review in accordance with the ethical requirements of the University of Wales Trinity Saint David (UWTSD). The proposed research was submitted through the appropriate UWTSD research ethics process and received the necessary ethical clearance prior to commencement of the study. As the review relied exclusively on secondary data obtained from published peer-reviewed journal articles, there was no direct involvement of human participants and no collection of personal, identifiable, or confidential information.</w:t>
      </w:r>
    </w:p>
    <w:p w14:paraId="16ECC564"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Despite the use of secondary data, ethical principles were maintained throughout all stages of the review. All sources were appropriately acknowledged through accurate citation and referencing to ensure academic integrity and to avoid plagiarism. The selection, extraction, appraisal, and synthesis of evidence were undertaken systematically and objectively, with </w:t>
      </w:r>
      <w:r w:rsidRPr="00EE4FC1">
        <w:rPr>
          <w:rFonts w:ascii="Arial" w:eastAsia="PMingLiU" w:hAnsi="Arial" w:cs="Arial"/>
          <w:sz w:val="22"/>
          <w:szCs w:val="22"/>
          <w:lang w:val="en-US" w:eastAsia="zh-CN"/>
        </w:rPr>
        <w:lastRenderedPageBreak/>
        <w:t>efforts made to minimise researcher bias and accurately represent the findings reported in the original studies.</w:t>
      </w:r>
    </w:p>
    <w:p w14:paraId="145D44EE"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Furthermore, only relevant and credible peer-reviewed literature meeting the predefined eligibility criteria was included. The findings were reported honestly and transparently, without fabrication, manipulation, or selective reporting of evidence. Any limitations identified within the reviewed literature were also acknowledged to ensure that the conclusions drawn from the evidence remained balanced and appropriately supported.</w:t>
      </w:r>
    </w:p>
    <w:p w14:paraId="592A0965"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60" w:name="_Toc241618978"/>
      <w:r w:rsidRPr="00EE4FC1">
        <w:rPr>
          <w:rFonts w:ascii="Arial" w:eastAsia="PMingLiU" w:hAnsi="Arial" w:cs="Arial"/>
          <w:b/>
          <w:bCs/>
          <w:sz w:val="22"/>
          <w:szCs w:val="22"/>
          <w:lang w:val="en-US" w:eastAsia="zh-CN"/>
        </w:rPr>
        <w:t>3.9 Method for Reporting the Frequency of Findings</w:t>
      </w:r>
      <w:bookmarkEnd w:id="60"/>
    </w:p>
    <w:p w14:paraId="3CB7449A"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In the results tables in Chapter Four, each theme is reported against the number of included studies in which it was explicitly attributed to a named study within the narrative text, rather than against a qualitative descriptor such as “High” or “Very High”. The review included twelve studies, summarised in Table 4. For each theme, the surrounding narrative text in Chapter Four was checked for citations of specific, named studies reporting that theme, and the count reflects the number of included studies named in support of that theme in the text. Where the narrative discussed a theme in general terms (for example, referring to “several studies” or “the reviewed studies”) without naming specific studies, the table indicates this as not attributed to a specific named study in the text, rather than assigning a count of zero, because the theme may still have been present in the underlying data without being individually cited.</w:t>
      </w:r>
    </w:p>
    <w:p w14:paraId="5DCFAAC6"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This approach is a more transparent alternative to the qualitative descriptors used in an earlier draft of this review, but it is a narrative citation count rather than a formal, pre-registered data-extraction tally: it reflects which studies were named in the text discussing each theme, not necessarily every included study in which the theme was actually present. A more rigorous approach, recommended for any future revision of this review, would involve returning to a structured data-extraction matrix in which every included study is systematically coded against every theme, so that each frequency reported in Chapter Four reflects a complete and verifiable count rather than the studies that happened to be named in the narrative synthesis.</w:t>
      </w:r>
    </w:p>
    <w:p w14:paraId="02D75E2D" w14:textId="77777777" w:rsidR="00EE4FC1" w:rsidRPr="00EE4FC1" w:rsidRDefault="00EE4FC1" w:rsidP="00EE4FC1">
      <w:pPr>
        <w:spacing w:line="360" w:lineRule="auto"/>
        <w:jc w:val="both"/>
        <w:rPr>
          <w:rFonts w:ascii="Arial" w:eastAsia="PMingLiU" w:hAnsi="Arial" w:cs="Arial"/>
          <w:sz w:val="22"/>
          <w:szCs w:val="22"/>
          <w:lang w:val="en-US" w:eastAsia="zh-CN"/>
        </w:rPr>
      </w:pPr>
    </w:p>
    <w:p w14:paraId="1B449B93" w14:textId="77777777" w:rsidR="00EE4FC1" w:rsidRPr="00EE4FC1" w:rsidRDefault="00EE4FC1" w:rsidP="00EE4FC1">
      <w:pPr>
        <w:spacing w:line="360" w:lineRule="auto"/>
        <w:jc w:val="both"/>
        <w:rPr>
          <w:rFonts w:ascii="Arial" w:eastAsia="PMingLiU" w:hAnsi="Arial" w:cs="Arial"/>
          <w:sz w:val="22"/>
          <w:szCs w:val="22"/>
          <w:lang w:val="en-US" w:eastAsia="zh-CN"/>
        </w:rPr>
      </w:pPr>
    </w:p>
    <w:p w14:paraId="321104DD" w14:textId="77777777" w:rsidR="00EE4FC1" w:rsidRPr="00EE4FC1" w:rsidRDefault="00EE4FC1" w:rsidP="00EE4FC1">
      <w:pPr>
        <w:spacing w:line="360" w:lineRule="auto"/>
        <w:jc w:val="both"/>
        <w:rPr>
          <w:rFonts w:ascii="Arial" w:eastAsia="PMingLiU" w:hAnsi="Arial" w:cs="Arial"/>
          <w:sz w:val="22"/>
          <w:szCs w:val="22"/>
          <w:lang w:val="en-US" w:eastAsia="zh-CN"/>
        </w:rPr>
      </w:pPr>
    </w:p>
    <w:p w14:paraId="51F44E14" w14:textId="77777777" w:rsidR="00EE4FC1" w:rsidRPr="00EE4FC1" w:rsidRDefault="00EE4FC1" w:rsidP="00EE4FC1">
      <w:pPr>
        <w:spacing w:line="360" w:lineRule="auto"/>
        <w:jc w:val="both"/>
        <w:rPr>
          <w:rFonts w:ascii="Arial" w:eastAsia="PMingLiU" w:hAnsi="Arial" w:cs="Arial"/>
          <w:sz w:val="22"/>
          <w:szCs w:val="22"/>
          <w:lang w:val="en-US" w:eastAsia="zh-CN"/>
        </w:rPr>
      </w:pPr>
    </w:p>
    <w:p w14:paraId="24642D29" w14:textId="77777777" w:rsidR="00EE4FC1" w:rsidRPr="00EE4FC1" w:rsidRDefault="00EE4FC1" w:rsidP="00EE4FC1">
      <w:pPr>
        <w:keepNext/>
        <w:keepLines/>
        <w:spacing w:before="360" w:after="80" w:line="360" w:lineRule="auto"/>
        <w:jc w:val="center"/>
        <w:outlineLvl w:val="0"/>
        <w:rPr>
          <w:rFonts w:ascii="Arial" w:eastAsia="PMingLiU" w:hAnsi="Arial" w:cs="Arial"/>
          <w:b/>
          <w:bCs/>
          <w:sz w:val="22"/>
          <w:szCs w:val="22"/>
          <w:lang w:eastAsia="zh-CN"/>
        </w:rPr>
      </w:pPr>
      <w:bookmarkStart w:id="61" w:name="_Toc241618979"/>
      <w:r w:rsidRPr="00EE4FC1">
        <w:rPr>
          <w:rFonts w:ascii="Arial" w:eastAsia="PMingLiU" w:hAnsi="Arial" w:cs="Arial"/>
          <w:b/>
          <w:bCs/>
          <w:sz w:val="22"/>
          <w:szCs w:val="22"/>
          <w:lang w:eastAsia="zh-CN"/>
        </w:rPr>
        <w:lastRenderedPageBreak/>
        <w:t>CHAPTER FOUR</w:t>
      </w:r>
      <w:bookmarkEnd w:id="61"/>
    </w:p>
    <w:p w14:paraId="322533D8" w14:textId="77777777" w:rsidR="00EE4FC1" w:rsidRPr="00EE4FC1" w:rsidRDefault="00EE4FC1" w:rsidP="00EE4FC1">
      <w:pPr>
        <w:keepNext/>
        <w:keepLines/>
        <w:spacing w:before="360" w:after="80" w:line="360" w:lineRule="auto"/>
        <w:jc w:val="center"/>
        <w:outlineLvl w:val="0"/>
        <w:rPr>
          <w:rFonts w:ascii="Arial" w:eastAsia="PMingLiU" w:hAnsi="Arial" w:cs="Arial"/>
          <w:b/>
          <w:bCs/>
          <w:sz w:val="22"/>
          <w:szCs w:val="22"/>
          <w:lang w:eastAsia="zh-CN"/>
        </w:rPr>
      </w:pPr>
      <w:bookmarkStart w:id="62" w:name="_Toc241618980"/>
      <w:r w:rsidRPr="00EE4FC1">
        <w:rPr>
          <w:rFonts w:ascii="Arial" w:eastAsia="PMingLiU" w:hAnsi="Arial" w:cs="Arial"/>
          <w:b/>
          <w:bCs/>
          <w:sz w:val="22"/>
          <w:szCs w:val="22"/>
          <w:lang w:eastAsia="zh-CN"/>
        </w:rPr>
        <w:t>RESULTS</w:t>
      </w:r>
      <w:bookmarkEnd w:id="62"/>
    </w:p>
    <w:p w14:paraId="5842B6EA"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This chapter presents and analyses the findings of the systematic review. The results extracted from the selected studies are organised into themes relating to patient satisfaction with telemedicine in UK primary care settings.</w:t>
      </w:r>
    </w:p>
    <w:p w14:paraId="127019DC" w14:textId="77777777" w:rsidR="00EE4FC1" w:rsidRPr="00EE4FC1" w:rsidRDefault="00EE4FC1" w:rsidP="00EE4FC1">
      <w:pPr>
        <w:spacing w:line="259" w:lineRule="auto"/>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 xml:space="preserve">4.1 Study Design </w:t>
      </w:r>
    </w:p>
    <w:p w14:paraId="719CC125"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Table 4 below summarises the study designs and methodologies used in the selected articles and it highlights the diversity of research approaches applied to examine adult patients' satisfaction with telemedicine services in UK primary care settings.</w:t>
      </w:r>
    </w:p>
    <w:p w14:paraId="25AA996F" w14:textId="77777777" w:rsidR="00EE4FC1" w:rsidRPr="00EE4FC1" w:rsidRDefault="00EE4FC1" w:rsidP="00EE4FC1">
      <w:pPr>
        <w:spacing w:after="200" w:line="360" w:lineRule="auto"/>
        <w:rPr>
          <w:rFonts w:ascii="Arial" w:eastAsia="Arial" w:hAnsi="Arial" w:cs="Arial"/>
          <w:b/>
          <w:bCs/>
          <w:kern w:val="0"/>
          <w:sz w:val="22"/>
          <w:szCs w:val="22"/>
          <w:lang w:val="en-US"/>
        </w:rPr>
      </w:pPr>
      <w:bookmarkStart w:id="63" w:name="_Toc238386926"/>
      <w:bookmarkStart w:id="64" w:name="_Toc238386940"/>
      <w:r w:rsidRPr="00EE4FC1">
        <w:rPr>
          <w:rFonts w:ascii="Arial" w:eastAsia="Arial" w:hAnsi="Arial" w:cs="Arial"/>
          <w:kern w:val="0"/>
          <w:sz w:val="22"/>
          <w:szCs w:val="22"/>
        </w:rPr>
        <w:t xml:space="preserve">Table </w:t>
      </w:r>
      <w:r w:rsidRPr="00EE4FC1">
        <w:rPr>
          <w:rFonts w:ascii="Arial" w:eastAsia="Arial" w:hAnsi="Arial" w:cs="Arial"/>
          <w:kern w:val="0"/>
          <w:sz w:val="22"/>
          <w:szCs w:val="22"/>
        </w:rPr>
        <w:fldChar w:fldCharType="begin"/>
      </w:r>
      <w:r w:rsidRPr="00EE4FC1">
        <w:rPr>
          <w:rFonts w:ascii="Arial" w:eastAsia="Arial" w:hAnsi="Arial" w:cs="Arial"/>
          <w:kern w:val="0"/>
          <w:sz w:val="22"/>
          <w:szCs w:val="22"/>
        </w:rPr>
        <w:instrText xml:space="preserve"> SEQ Table \* ARABIC </w:instrText>
      </w:r>
      <w:r w:rsidRPr="00EE4FC1">
        <w:rPr>
          <w:rFonts w:ascii="Arial" w:eastAsia="Arial" w:hAnsi="Arial" w:cs="Arial"/>
          <w:kern w:val="0"/>
          <w:sz w:val="22"/>
          <w:szCs w:val="22"/>
        </w:rPr>
        <w:fldChar w:fldCharType="separate"/>
      </w:r>
      <w:r w:rsidRPr="00EE4FC1">
        <w:rPr>
          <w:rFonts w:ascii="Arial" w:eastAsia="Arial" w:hAnsi="Arial" w:cs="Arial"/>
          <w:noProof/>
          <w:kern w:val="0"/>
          <w:sz w:val="22"/>
          <w:szCs w:val="22"/>
        </w:rPr>
        <w:t>4</w:t>
      </w:r>
      <w:r w:rsidRPr="00EE4FC1">
        <w:rPr>
          <w:rFonts w:ascii="Arial" w:eastAsia="Arial" w:hAnsi="Arial" w:cs="Arial"/>
          <w:kern w:val="0"/>
          <w:sz w:val="22"/>
          <w:szCs w:val="22"/>
        </w:rPr>
        <w:fldChar w:fldCharType="end"/>
      </w:r>
      <w:r w:rsidRPr="00EE4FC1">
        <w:rPr>
          <w:rFonts w:ascii="Arial" w:eastAsia="Arial" w:hAnsi="Arial" w:cs="Arial"/>
          <w:kern w:val="0"/>
          <w:sz w:val="22"/>
          <w:szCs w:val="22"/>
        </w:rPr>
        <w:t xml:space="preserve">: </w:t>
      </w:r>
      <w:r w:rsidRPr="00EE4FC1">
        <w:rPr>
          <w:rFonts w:ascii="Arial" w:eastAsia="Arial" w:hAnsi="Arial" w:cs="Arial"/>
          <w:b/>
          <w:bCs/>
          <w:kern w:val="0"/>
          <w:sz w:val="22"/>
          <w:szCs w:val="22"/>
          <w:lang w:val="en-US"/>
        </w:rPr>
        <w:t>Summary of Study Designs and Methodologies</w:t>
      </w:r>
      <w:bookmarkEnd w:id="63"/>
      <w:bookmarkEnd w:id="64"/>
    </w:p>
    <w:p w14:paraId="1CCD0DDE"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These results are presented in sections according to the research objectives.</w:t>
      </w:r>
    </w:p>
    <w:tbl>
      <w:tblPr>
        <w:tblW w:w="11700" w:type="dxa"/>
        <w:tblInd w:w="-1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10"/>
        <w:gridCol w:w="1989"/>
        <w:gridCol w:w="1191"/>
        <w:gridCol w:w="1980"/>
        <w:gridCol w:w="1530"/>
        <w:gridCol w:w="2340"/>
        <w:gridCol w:w="2160"/>
      </w:tblGrid>
      <w:tr w:rsidR="00EE4FC1" w:rsidRPr="00EE4FC1" w14:paraId="6891A3E9" w14:textId="77777777" w:rsidTr="00725F03">
        <w:trPr>
          <w:trHeight w:val="287"/>
        </w:trPr>
        <w:tc>
          <w:tcPr>
            <w:tcW w:w="510" w:type="dxa"/>
          </w:tcPr>
          <w:p w14:paraId="0199CFA0"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No</w:t>
            </w:r>
          </w:p>
        </w:tc>
        <w:tc>
          <w:tcPr>
            <w:tcW w:w="1989" w:type="dxa"/>
            <w:vAlign w:val="center"/>
          </w:tcPr>
          <w:p w14:paraId="04BED5AA"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Authors</w:t>
            </w:r>
          </w:p>
        </w:tc>
        <w:tc>
          <w:tcPr>
            <w:tcW w:w="1191" w:type="dxa"/>
          </w:tcPr>
          <w:p w14:paraId="28179880"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Calibri" w:eastAsia="PMingLiU" w:hAnsi="Calibri"/>
                <w:b/>
                <w:bCs/>
                <w:sz w:val="22"/>
                <w:szCs w:val="22"/>
                <w:lang w:eastAsia="zh-CN"/>
              </w:rPr>
              <w:t>UK location</w:t>
            </w:r>
          </w:p>
        </w:tc>
        <w:tc>
          <w:tcPr>
            <w:tcW w:w="1980" w:type="dxa"/>
          </w:tcPr>
          <w:p w14:paraId="2C423F41"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Calibri" w:eastAsia="PMingLiU" w:hAnsi="Calibri"/>
                <w:b/>
                <w:bCs/>
                <w:sz w:val="22"/>
                <w:szCs w:val="22"/>
                <w:lang w:eastAsia="zh-CN"/>
              </w:rPr>
              <w:t>Sample and age</w:t>
            </w:r>
          </w:p>
        </w:tc>
        <w:tc>
          <w:tcPr>
            <w:tcW w:w="1530" w:type="dxa"/>
          </w:tcPr>
          <w:p w14:paraId="04816D28"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Calibri" w:eastAsia="PMingLiU" w:hAnsi="Calibri"/>
                <w:b/>
                <w:bCs/>
                <w:sz w:val="22"/>
                <w:szCs w:val="22"/>
                <w:lang w:eastAsia="zh-CN"/>
              </w:rPr>
              <w:t>Primary-care setting</w:t>
            </w:r>
          </w:p>
        </w:tc>
        <w:tc>
          <w:tcPr>
            <w:tcW w:w="2340" w:type="dxa"/>
          </w:tcPr>
          <w:p w14:paraId="74454CC4"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Calibri" w:eastAsia="PMingLiU" w:hAnsi="Calibri"/>
                <w:b/>
                <w:bCs/>
                <w:sz w:val="22"/>
                <w:szCs w:val="22"/>
                <w:lang w:eastAsia="zh-CN"/>
              </w:rPr>
              <w:t>Telemedicine modality</w:t>
            </w:r>
          </w:p>
        </w:tc>
        <w:tc>
          <w:tcPr>
            <w:tcW w:w="2160" w:type="dxa"/>
          </w:tcPr>
          <w:p w14:paraId="219EEA5D"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Calibri" w:eastAsia="PMingLiU" w:hAnsi="Calibri"/>
                <w:b/>
                <w:bCs/>
                <w:sz w:val="22"/>
                <w:szCs w:val="22"/>
                <w:lang w:eastAsia="zh-CN"/>
              </w:rPr>
              <w:t>Relevant outcome</w:t>
            </w:r>
          </w:p>
        </w:tc>
      </w:tr>
      <w:tr w:rsidR="00EE4FC1" w:rsidRPr="00EE4FC1" w14:paraId="6FD71333" w14:textId="77777777" w:rsidTr="00725F03">
        <w:trPr>
          <w:trHeight w:val="1766"/>
        </w:trPr>
        <w:tc>
          <w:tcPr>
            <w:tcW w:w="510" w:type="dxa"/>
          </w:tcPr>
          <w:p w14:paraId="364A0F57"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1</w:t>
            </w:r>
          </w:p>
        </w:tc>
        <w:tc>
          <w:tcPr>
            <w:tcW w:w="1989" w:type="dxa"/>
            <w:vAlign w:val="center"/>
          </w:tcPr>
          <w:p w14:paraId="523B5372"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br/>
              <w:t>Lifford et al. 2023</w:t>
            </w:r>
            <w:r w:rsidRPr="00EE4FC1">
              <w:rPr>
                <w:rFonts w:ascii="Arial" w:eastAsia="PMingLiU" w:hAnsi="Arial" w:cs="Arial"/>
                <w:b/>
                <w:bCs/>
                <w:sz w:val="22"/>
                <w:szCs w:val="22"/>
                <w:lang w:val="en-US" w:eastAsia="zh-CN"/>
              </w:rPr>
              <w:br/>
            </w:r>
            <w:r w:rsidRPr="00EE4FC1">
              <w:rPr>
                <w:rFonts w:ascii="Arial" w:eastAsia="PMingLiU" w:hAnsi="Arial" w:cs="Arial"/>
                <w:sz w:val="22"/>
                <w:szCs w:val="22"/>
                <w:lang w:val="en-US" w:eastAsia="zh-CN"/>
              </w:rPr>
              <w:t>Satisfaction with remote</w:t>
            </w:r>
            <w:r w:rsidRPr="00EE4FC1">
              <w:rPr>
                <w:rFonts w:ascii="Arial" w:eastAsia="PMingLiU" w:hAnsi="Arial" w:cs="Arial"/>
                <w:sz w:val="22"/>
                <w:szCs w:val="22"/>
                <w:lang w:val="en-US" w:eastAsia="zh-CN"/>
              </w:rPr>
              <w:br/>
              <w:t>consultations in primary</w:t>
            </w:r>
            <w:r w:rsidRPr="00EE4FC1">
              <w:rPr>
                <w:rFonts w:ascii="Arial" w:eastAsia="PMingLiU" w:hAnsi="Arial" w:cs="Arial"/>
                <w:sz w:val="22"/>
                <w:szCs w:val="22"/>
                <w:lang w:val="en-US" w:eastAsia="zh-CN"/>
              </w:rPr>
              <w:br/>
              <w:t>care during COVID-19: a</w:t>
            </w:r>
            <w:r w:rsidRPr="00EE4FC1">
              <w:rPr>
                <w:rFonts w:ascii="Arial" w:eastAsia="PMingLiU" w:hAnsi="Arial" w:cs="Arial"/>
                <w:sz w:val="22"/>
                <w:szCs w:val="22"/>
                <w:lang w:val="en-US" w:eastAsia="zh-CN"/>
              </w:rPr>
              <w:br/>
              <w:t>population survey of UK</w:t>
            </w:r>
            <w:r w:rsidRPr="00EE4FC1">
              <w:rPr>
                <w:rFonts w:ascii="Arial" w:eastAsia="PMingLiU" w:hAnsi="Arial" w:cs="Arial"/>
                <w:sz w:val="22"/>
                <w:szCs w:val="22"/>
                <w:lang w:val="en-US" w:eastAsia="zh-CN"/>
              </w:rPr>
              <w:br/>
              <w:t>adults</w:t>
            </w:r>
          </w:p>
        </w:tc>
        <w:tc>
          <w:tcPr>
            <w:tcW w:w="1191" w:type="dxa"/>
            <w:vAlign w:val="center"/>
          </w:tcPr>
          <w:p w14:paraId="48FD2A42"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UK-wide</w:t>
            </w:r>
          </w:p>
        </w:tc>
        <w:tc>
          <w:tcPr>
            <w:tcW w:w="1980" w:type="dxa"/>
            <w:vAlign w:val="center"/>
          </w:tcPr>
          <w:p w14:paraId="334B0AC2"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1,426 adults, aged 18 years and above; most participants were aged 55–74 years</w:t>
            </w:r>
          </w:p>
        </w:tc>
        <w:tc>
          <w:tcPr>
            <w:tcW w:w="1530" w:type="dxa"/>
            <w:vAlign w:val="center"/>
          </w:tcPr>
          <w:p w14:paraId="60E873B7"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General practice/GP primary care</w:t>
            </w:r>
          </w:p>
        </w:tc>
        <w:tc>
          <w:tcPr>
            <w:tcW w:w="2340" w:type="dxa"/>
            <w:vAlign w:val="center"/>
          </w:tcPr>
          <w:p w14:paraId="50AC1902"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Remote GP consultations, including telephone and online/video-based consultations</w:t>
            </w:r>
          </w:p>
        </w:tc>
        <w:tc>
          <w:tcPr>
            <w:tcW w:w="2160" w:type="dxa"/>
            <w:vAlign w:val="center"/>
          </w:tcPr>
          <w:p w14:paraId="75484048"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Patient satisfaction with remote consultations; demographic differences in satisfaction, convenience and accessibility</w:t>
            </w:r>
          </w:p>
        </w:tc>
      </w:tr>
      <w:tr w:rsidR="00EE4FC1" w:rsidRPr="00EE4FC1" w14:paraId="15F5D66C" w14:textId="77777777" w:rsidTr="00725F03">
        <w:trPr>
          <w:trHeight w:val="2938"/>
        </w:trPr>
        <w:tc>
          <w:tcPr>
            <w:tcW w:w="510" w:type="dxa"/>
          </w:tcPr>
          <w:p w14:paraId="29086DE9"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lastRenderedPageBreak/>
              <w:t>2</w:t>
            </w:r>
          </w:p>
        </w:tc>
        <w:tc>
          <w:tcPr>
            <w:tcW w:w="1989" w:type="dxa"/>
            <w:vAlign w:val="center"/>
          </w:tcPr>
          <w:p w14:paraId="436D4A27" w14:textId="77777777" w:rsidR="00EE4FC1" w:rsidRPr="00EE4FC1" w:rsidRDefault="00EE4FC1" w:rsidP="00EE4FC1">
            <w:pPr>
              <w:spacing w:line="360" w:lineRule="auto"/>
              <w:jc w:val="center"/>
              <w:rPr>
                <w:rFonts w:ascii="Arial" w:eastAsia="PMingLiU" w:hAnsi="Arial" w:cs="Arial"/>
                <w:sz w:val="22"/>
                <w:szCs w:val="22"/>
                <w:lang w:val="en-US" w:eastAsia="zh-CN"/>
              </w:rPr>
            </w:pPr>
            <w:r w:rsidRPr="00EE4FC1">
              <w:rPr>
                <w:rFonts w:ascii="Arial" w:eastAsia="PMingLiU" w:hAnsi="Arial" w:cs="Arial"/>
                <w:sz w:val="22"/>
                <w:szCs w:val="22"/>
                <w:lang w:val="en-US" w:eastAsia="zh-CN"/>
              </w:rPr>
              <w:br/>
            </w:r>
            <w:r w:rsidRPr="00EE4FC1">
              <w:rPr>
                <w:rFonts w:ascii="Arial" w:eastAsia="PMingLiU" w:hAnsi="Arial" w:cs="Arial"/>
                <w:b/>
                <w:bCs/>
                <w:sz w:val="22"/>
                <w:szCs w:val="22"/>
                <w:lang w:eastAsia="zh-CN"/>
              </w:rPr>
              <w:t>Islam</w:t>
            </w:r>
            <w:r w:rsidRPr="00EE4FC1">
              <w:rPr>
                <w:rFonts w:ascii="Arial" w:eastAsia="PMingLiU" w:hAnsi="Arial" w:cs="Arial"/>
                <w:b/>
                <w:bCs/>
                <w:sz w:val="22"/>
                <w:szCs w:val="22"/>
                <w:lang w:val="en-US" w:eastAsia="zh-CN"/>
              </w:rPr>
              <w:t xml:space="preserve"> et al. 2024</w:t>
            </w:r>
            <w:r w:rsidRPr="00EE4FC1">
              <w:rPr>
                <w:rFonts w:ascii="Arial" w:eastAsia="PMingLiU" w:hAnsi="Arial" w:cs="Arial"/>
                <w:sz w:val="22"/>
                <w:szCs w:val="22"/>
                <w:lang w:val="en-US" w:eastAsia="zh-CN"/>
              </w:rPr>
              <w:br/>
            </w:r>
            <w:r w:rsidRPr="00EE4FC1">
              <w:rPr>
                <w:rFonts w:ascii="Arial" w:eastAsia="PMingLiU" w:hAnsi="Arial" w:cs="Arial"/>
                <w:sz w:val="22"/>
                <w:szCs w:val="22"/>
                <w:lang w:eastAsia="zh-CN"/>
              </w:rPr>
              <w:t>Digitalised primary care in the UK: a qualitative study of the experiences of minoritised ethnic communities</w:t>
            </w:r>
          </w:p>
          <w:p w14:paraId="52C29115" w14:textId="77777777" w:rsidR="00EE4FC1" w:rsidRPr="00EE4FC1" w:rsidRDefault="00EE4FC1" w:rsidP="00EE4FC1">
            <w:pPr>
              <w:spacing w:line="360" w:lineRule="auto"/>
              <w:jc w:val="center"/>
              <w:rPr>
                <w:rFonts w:ascii="Arial" w:eastAsia="PMingLiU" w:hAnsi="Arial" w:cs="Arial"/>
                <w:sz w:val="22"/>
                <w:szCs w:val="22"/>
                <w:lang w:val="en-US" w:eastAsia="zh-CN"/>
              </w:rPr>
            </w:pPr>
          </w:p>
        </w:tc>
        <w:tc>
          <w:tcPr>
            <w:tcW w:w="1191" w:type="dxa"/>
            <w:vAlign w:val="center"/>
          </w:tcPr>
          <w:p w14:paraId="0D44C772"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Four UK sites</w:t>
            </w:r>
          </w:p>
        </w:tc>
        <w:tc>
          <w:tcPr>
            <w:tcW w:w="1980" w:type="dxa"/>
            <w:vAlign w:val="center"/>
          </w:tcPr>
          <w:p w14:paraId="22A41AB6"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100 minoritised ethnic adults, aged 18–65+ years; 23% aged 18–35, 57% aged 36–65 and 20% over 65</w:t>
            </w:r>
          </w:p>
        </w:tc>
        <w:tc>
          <w:tcPr>
            <w:tcW w:w="1530" w:type="dxa"/>
            <w:vAlign w:val="center"/>
          </w:tcPr>
          <w:p w14:paraId="0CA177BC"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UK primary care/general practice</w:t>
            </w:r>
          </w:p>
        </w:tc>
        <w:tc>
          <w:tcPr>
            <w:tcW w:w="2340" w:type="dxa"/>
            <w:vAlign w:val="center"/>
          </w:tcPr>
          <w:p w14:paraId="297B22F1"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Digital/online primary-care services, including online access and remote consultation pathways</w:t>
            </w:r>
          </w:p>
        </w:tc>
        <w:tc>
          <w:tcPr>
            <w:tcW w:w="2160" w:type="dxa"/>
            <w:vAlign w:val="center"/>
          </w:tcPr>
          <w:p w14:paraId="73F84181"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Patient experience, accessibility and digital inclusion, including barriers relating to connectivity, digital literacy and language</w:t>
            </w:r>
          </w:p>
        </w:tc>
      </w:tr>
      <w:tr w:rsidR="00EE4FC1" w:rsidRPr="00EE4FC1" w14:paraId="7B98E38C" w14:textId="77777777" w:rsidTr="00725F03">
        <w:trPr>
          <w:trHeight w:val="710"/>
        </w:trPr>
        <w:tc>
          <w:tcPr>
            <w:tcW w:w="510" w:type="dxa"/>
          </w:tcPr>
          <w:p w14:paraId="132F9792"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3</w:t>
            </w:r>
          </w:p>
        </w:tc>
        <w:tc>
          <w:tcPr>
            <w:tcW w:w="1989" w:type="dxa"/>
            <w:vAlign w:val="center"/>
          </w:tcPr>
          <w:p w14:paraId="23D68792"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 xml:space="preserve">Turner et al. </w:t>
            </w:r>
            <w:r w:rsidRPr="00095A06">
              <w:rPr>
                <w:rFonts w:ascii="Arial" w:eastAsia="PMingLiU" w:hAnsi="Arial" w:cs="Arial"/>
                <w:b/>
                <w:bCs/>
                <w:sz w:val="22"/>
                <w:szCs w:val="22"/>
                <w:lang w:val="en-US" w:eastAsia="zh-CN"/>
              </w:rPr>
              <w:t>2021</w:t>
            </w:r>
          </w:p>
          <w:p w14:paraId="781BA31C"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sz w:val="22"/>
                <w:szCs w:val="22"/>
                <w:lang w:eastAsia="zh-CN"/>
              </w:rPr>
              <w:t>Unintended consequences of online consultations: a qualitative study in UK primary care</w:t>
            </w:r>
          </w:p>
        </w:tc>
        <w:tc>
          <w:tcPr>
            <w:tcW w:w="1191" w:type="dxa"/>
            <w:vAlign w:val="center"/>
          </w:tcPr>
          <w:p w14:paraId="574D566B"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England/UK</w:t>
            </w:r>
          </w:p>
        </w:tc>
        <w:tc>
          <w:tcPr>
            <w:tcW w:w="1980" w:type="dxa"/>
            <w:vAlign w:val="center"/>
          </w:tcPr>
          <w:p w14:paraId="4CF91A44"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19 adult patients; aged 30–44 (3), 45–59 (10), and ≥60 (6)</w:t>
            </w:r>
          </w:p>
        </w:tc>
        <w:tc>
          <w:tcPr>
            <w:tcW w:w="1530" w:type="dxa"/>
            <w:vAlign w:val="center"/>
          </w:tcPr>
          <w:p w14:paraId="0B7182EA"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Seven UK general practices</w:t>
            </w:r>
          </w:p>
        </w:tc>
        <w:tc>
          <w:tcPr>
            <w:tcW w:w="2340" w:type="dxa"/>
            <w:vAlign w:val="center"/>
          </w:tcPr>
          <w:p w14:paraId="1CB8072D"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Online consultations/e-consultation systems, including structured and open-ended online questionnaires</w:t>
            </w:r>
          </w:p>
        </w:tc>
        <w:tc>
          <w:tcPr>
            <w:tcW w:w="2160" w:type="dxa"/>
            <w:vAlign w:val="center"/>
          </w:tcPr>
          <w:p w14:paraId="5AF81DB7"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Patient experience and perceived quality, including unintended consequences, communication, continuity and limitations of online consultation</w:t>
            </w:r>
          </w:p>
        </w:tc>
      </w:tr>
      <w:tr w:rsidR="00EE4FC1" w:rsidRPr="00EE4FC1" w14:paraId="4B8EB468" w14:textId="77777777" w:rsidTr="00725F03">
        <w:trPr>
          <w:trHeight w:val="2033"/>
        </w:trPr>
        <w:tc>
          <w:tcPr>
            <w:tcW w:w="510" w:type="dxa"/>
          </w:tcPr>
          <w:p w14:paraId="335E6B8B"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4</w:t>
            </w:r>
          </w:p>
        </w:tc>
        <w:tc>
          <w:tcPr>
            <w:tcW w:w="1989" w:type="dxa"/>
            <w:vAlign w:val="center"/>
          </w:tcPr>
          <w:p w14:paraId="48508CBC" w14:textId="77777777" w:rsidR="00EE4FC1" w:rsidRPr="00EE4FC1" w:rsidRDefault="00EE4FC1" w:rsidP="00EE4FC1">
            <w:pPr>
              <w:spacing w:line="360" w:lineRule="auto"/>
              <w:jc w:val="center"/>
              <w:rPr>
                <w:rFonts w:ascii="Arial" w:eastAsia="PMingLiU" w:hAnsi="Arial" w:cs="Arial"/>
                <w:sz w:val="22"/>
                <w:szCs w:val="22"/>
                <w:lang w:val="en-US" w:eastAsia="zh-CN"/>
              </w:rPr>
            </w:pPr>
            <w:r w:rsidRPr="00EE4FC1">
              <w:rPr>
                <w:rFonts w:ascii="Arial" w:eastAsia="PMingLiU" w:hAnsi="Arial" w:cs="Arial"/>
                <w:b/>
                <w:bCs/>
                <w:sz w:val="22"/>
                <w:szCs w:val="22"/>
                <w:lang w:val="en-US" w:eastAsia="zh-CN"/>
              </w:rPr>
              <w:br/>
              <w:t>Chadwick et al. 2024</w:t>
            </w:r>
            <w:r w:rsidRPr="00EE4FC1">
              <w:rPr>
                <w:rFonts w:ascii="Arial" w:eastAsia="PMingLiU" w:hAnsi="Arial" w:cs="Arial"/>
                <w:b/>
                <w:bCs/>
                <w:sz w:val="22"/>
                <w:szCs w:val="22"/>
                <w:lang w:val="en-US" w:eastAsia="zh-CN"/>
              </w:rPr>
              <w:br/>
            </w:r>
            <w:r w:rsidRPr="00EE4FC1">
              <w:rPr>
                <w:rFonts w:ascii="Arial" w:eastAsia="PMingLiU" w:hAnsi="Arial" w:cs="Arial"/>
                <w:sz w:val="22"/>
                <w:szCs w:val="22"/>
                <w:lang w:val="en-US" w:eastAsia="zh-CN"/>
              </w:rPr>
              <w:t>Engagement With Digital Health Technologies Among Older People Living in Socially Deprived Areas: Qualitative Study of Influencing Factors</w:t>
            </w:r>
          </w:p>
        </w:tc>
        <w:tc>
          <w:tcPr>
            <w:tcW w:w="1191" w:type="dxa"/>
            <w:vAlign w:val="center"/>
          </w:tcPr>
          <w:p w14:paraId="5533EEF3"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UK</w:t>
            </w:r>
          </w:p>
        </w:tc>
        <w:tc>
          <w:tcPr>
            <w:tcW w:w="1980" w:type="dxa"/>
            <w:vAlign w:val="center"/>
          </w:tcPr>
          <w:p w14:paraId="4462B446"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26 adults, aged 29–84 years; 24 participants were ≥70 years</w:t>
            </w:r>
          </w:p>
        </w:tc>
        <w:tc>
          <w:tcPr>
            <w:tcW w:w="1530" w:type="dxa"/>
            <w:vAlign w:val="center"/>
          </w:tcPr>
          <w:p w14:paraId="19AAACA9"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Primary-care context involving patients with chronic kidney disease</w:t>
            </w:r>
          </w:p>
        </w:tc>
        <w:tc>
          <w:tcPr>
            <w:tcW w:w="2340" w:type="dxa"/>
            <w:vAlign w:val="center"/>
          </w:tcPr>
          <w:p w14:paraId="43AE90F5"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Digital health technologies/remote digital healthcare</w:t>
            </w:r>
          </w:p>
        </w:tc>
        <w:tc>
          <w:tcPr>
            <w:tcW w:w="2160" w:type="dxa"/>
            <w:vAlign w:val="center"/>
          </w:tcPr>
          <w:p w14:paraId="1AFBDE5F"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Acceptability, engagement, accessibility and digital barriers, particularly among older and socially deprived patients</w:t>
            </w:r>
          </w:p>
        </w:tc>
      </w:tr>
      <w:tr w:rsidR="00EE4FC1" w:rsidRPr="00EE4FC1" w14:paraId="65A1E998" w14:textId="77777777" w:rsidTr="00725F03">
        <w:trPr>
          <w:trHeight w:val="2054"/>
        </w:trPr>
        <w:tc>
          <w:tcPr>
            <w:tcW w:w="510" w:type="dxa"/>
          </w:tcPr>
          <w:p w14:paraId="3CABE814"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lastRenderedPageBreak/>
              <w:t>5</w:t>
            </w:r>
          </w:p>
        </w:tc>
        <w:tc>
          <w:tcPr>
            <w:tcW w:w="1989" w:type="dxa"/>
            <w:vAlign w:val="center"/>
          </w:tcPr>
          <w:p w14:paraId="29F30921"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br/>
              <w:t>Anderson et al. 2021</w:t>
            </w:r>
            <w:r w:rsidRPr="00EE4FC1">
              <w:rPr>
                <w:rFonts w:ascii="Arial" w:eastAsia="PMingLiU" w:hAnsi="Arial" w:cs="Arial"/>
                <w:b/>
                <w:bCs/>
                <w:sz w:val="22"/>
                <w:szCs w:val="22"/>
                <w:lang w:val="en-US" w:eastAsia="zh-CN"/>
              </w:rPr>
              <w:br/>
            </w:r>
            <w:r w:rsidRPr="00EE4FC1">
              <w:rPr>
                <w:rFonts w:ascii="Arial" w:eastAsia="PMingLiU" w:hAnsi="Arial" w:cs="Arial"/>
                <w:sz w:val="22"/>
                <w:szCs w:val="22"/>
                <w:lang w:val="en-US" w:eastAsia="zh-CN"/>
              </w:rPr>
              <w:t>Patient Satisfaction With Remote Consultations in a Primary Care Setting</w:t>
            </w:r>
          </w:p>
          <w:p w14:paraId="6BB203DD" w14:textId="77777777" w:rsidR="00EE4FC1" w:rsidRPr="00EE4FC1" w:rsidRDefault="00EE4FC1" w:rsidP="00EE4FC1">
            <w:pPr>
              <w:spacing w:line="360" w:lineRule="auto"/>
              <w:jc w:val="center"/>
              <w:rPr>
                <w:rFonts w:ascii="Arial" w:eastAsia="PMingLiU" w:hAnsi="Arial" w:cs="Arial"/>
                <w:b/>
                <w:bCs/>
                <w:sz w:val="22"/>
                <w:szCs w:val="22"/>
                <w:lang w:val="en-US" w:eastAsia="zh-CN"/>
              </w:rPr>
            </w:pPr>
          </w:p>
        </w:tc>
        <w:tc>
          <w:tcPr>
            <w:tcW w:w="1191" w:type="dxa"/>
            <w:vAlign w:val="center"/>
          </w:tcPr>
          <w:p w14:paraId="274B1D10"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England, Bristol</w:t>
            </w:r>
          </w:p>
        </w:tc>
        <w:tc>
          <w:tcPr>
            <w:tcW w:w="1980" w:type="dxa"/>
            <w:vAlign w:val="center"/>
          </w:tcPr>
          <w:p w14:paraId="07A6B852"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104 respondents in final analysis from 407 invited patients; adults receiving primary-care consultations</w:t>
            </w:r>
          </w:p>
        </w:tc>
        <w:tc>
          <w:tcPr>
            <w:tcW w:w="1530" w:type="dxa"/>
            <w:vAlign w:val="center"/>
          </w:tcPr>
          <w:p w14:paraId="21F9DC89"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General practice</w:t>
            </w:r>
          </w:p>
        </w:tc>
        <w:tc>
          <w:tcPr>
            <w:tcW w:w="2340" w:type="dxa"/>
            <w:vAlign w:val="center"/>
          </w:tcPr>
          <w:p w14:paraId="098E36D6"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Telephone consultations</w:t>
            </w:r>
          </w:p>
        </w:tc>
        <w:tc>
          <w:tcPr>
            <w:tcW w:w="2160" w:type="dxa"/>
            <w:vAlign w:val="center"/>
          </w:tcPr>
          <w:p w14:paraId="2FDA52A9"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Patient satisfaction, convenience, preference for remote versus face-to-face care and technical problems</w:t>
            </w:r>
          </w:p>
        </w:tc>
      </w:tr>
      <w:tr w:rsidR="00EE4FC1" w:rsidRPr="00EE4FC1" w14:paraId="675281F4" w14:textId="77777777" w:rsidTr="00725F03">
        <w:trPr>
          <w:trHeight w:val="1766"/>
        </w:trPr>
        <w:tc>
          <w:tcPr>
            <w:tcW w:w="510" w:type="dxa"/>
          </w:tcPr>
          <w:p w14:paraId="0F8B6202"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6</w:t>
            </w:r>
          </w:p>
        </w:tc>
        <w:tc>
          <w:tcPr>
            <w:tcW w:w="1989" w:type="dxa"/>
            <w:vAlign w:val="center"/>
          </w:tcPr>
          <w:p w14:paraId="713BAEE1"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br/>
              <w:t>Leach et al. 2025</w:t>
            </w:r>
            <w:r w:rsidRPr="00EE4FC1">
              <w:rPr>
                <w:rFonts w:ascii="Arial" w:eastAsia="PMingLiU" w:hAnsi="Arial" w:cs="Arial"/>
                <w:b/>
                <w:bCs/>
                <w:sz w:val="22"/>
                <w:szCs w:val="22"/>
                <w:lang w:val="en-US" w:eastAsia="zh-CN"/>
              </w:rPr>
              <w:br/>
            </w:r>
            <w:r w:rsidRPr="00EE4FC1">
              <w:rPr>
                <w:rFonts w:ascii="Arial" w:eastAsia="PMingLiU" w:hAnsi="Arial" w:cs="Arial"/>
                <w:sz w:val="22"/>
                <w:szCs w:val="22"/>
                <w:lang w:val="en-US" w:eastAsia="zh-CN"/>
              </w:rPr>
              <w:t>Patient experiences of remote consulting with chronic fatigue syndrome/myalgic encephalomyelitis and fibromyalgia: a qualitative study.</w:t>
            </w:r>
          </w:p>
        </w:tc>
        <w:tc>
          <w:tcPr>
            <w:tcW w:w="1191" w:type="dxa"/>
            <w:vAlign w:val="center"/>
          </w:tcPr>
          <w:p w14:paraId="19B0EADF"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England</w:t>
            </w:r>
          </w:p>
        </w:tc>
        <w:tc>
          <w:tcPr>
            <w:tcW w:w="1980" w:type="dxa"/>
            <w:vAlign w:val="center"/>
          </w:tcPr>
          <w:p w14:paraId="332F2D87"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13 adults living with CFS/ME and fibromyalgia</w:t>
            </w:r>
          </w:p>
        </w:tc>
        <w:tc>
          <w:tcPr>
            <w:tcW w:w="1530" w:type="dxa"/>
            <w:vAlign w:val="center"/>
          </w:tcPr>
          <w:p w14:paraId="33F25695"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General practice/primary care</w:t>
            </w:r>
          </w:p>
        </w:tc>
        <w:tc>
          <w:tcPr>
            <w:tcW w:w="2340" w:type="dxa"/>
            <w:vAlign w:val="center"/>
          </w:tcPr>
          <w:p w14:paraId="72F050FE"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Remote consultations, primarily telephone and other remote consulting approaches</w:t>
            </w:r>
          </w:p>
        </w:tc>
        <w:tc>
          <w:tcPr>
            <w:tcW w:w="2160" w:type="dxa"/>
            <w:vAlign w:val="center"/>
          </w:tcPr>
          <w:p w14:paraId="08600954"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Patient experience and perceived quality, including communication, continuity, accessibility and suitability of remote care for complex long-term conditions</w:t>
            </w:r>
          </w:p>
        </w:tc>
      </w:tr>
      <w:tr w:rsidR="00EE4FC1" w:rsidRPr="00EE4FC1" w14:paraId="7AC6D157" w14:textId="77777777" w:rsidTr="00725F03">
        <w:trPr>
          <w:trHeight w:val="2054"/>
        </w:trPr>
        <w:tc>
          <w:tcPr>
            <w:tcW w:w="510" w:type="dxa"/>
          </w:tcPr>
          <w:p w14:paraId="63504E72"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7</w:t>
            </w:r>
          </w:p>
        </w:tc>
        <w:tc>
          <w:tcPr>
            <w:tcW w:w="1989" w:type="dxa"/>
            <w:vAlign w:val="center"/>
          </w:tcPr>
          <w:p w14:paraId="1ADE5F55"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br/>
              <w:t>de Visser. 2024</w:t>
            </w:r>
            <w:r w:rsidRPr="00EE4FC1">
              <w:rPr>
                <w:rFonts w:ascii="Arial" w:eastAsia="PMingLiU" w:hAnsi="Arial" w:cs="Arial"/>
                <w:b/>
                <w:bCs/>
                <w:sz w:val="22"/>
                <w:szCs w:val="22"/>
                <w:lang w:val="en-US" w:eastAsia="zh-CN"/>
              </w:rPr>
              <w:br/>
            </w:r>
            <w:r w:rsidRPr="00EE4FC1">
              <w:rPr>
                <w:rFonts w:ascii="Arial" w:eastAsia="PMingLiU" w:hAnsi="Arial" w:cs="Arial"/>
                <w:sz w:val="22"/>
                <w:szCs w:val="22"/>
                <w:lang w:val="en-US" w:eastAsia="zh-CN"/>
              </w:rPr>
              <w:t>Remote consultations in primary care: Patient experiences and suggestions for improvement</w:t>
            </w:r>
          </w:p>
        </w:tc>
        <w:tc>
          <w:tcPr>
            <w:tcW w:w="1191" w:type="dxa"/>
            <w:vAlign w:val="center"/>
          </w:tcPr>
          <w:p w14:paraId="5FFBF347" w14:textId="77777777" w:rsidR="00EE4FC1" w:rsidRPr="00EE4FC1" w:rsidRDefault="00EE4FC1" w:rsidP="00CC564B">
            <w:pPr>
              <w:spacing w:line="360" w:lineRule="auto"/>
              <w:jc w:val="center"/>
              <w:rPr>
                <w:rFonts w:ascii="Arial" w:eastAsia="PMingLiU" w:hAnsi="Arial" w:cs="Arial"/>
                <w:sz w:val="22"/>
                <w:szCs w:val="22"/>
                <w:lang w:val="en-US" w:eastAsia="zh-CN"/>
              </w:rPr>
            </w:pPr>
            <w:r w:rsidRPr="00EE4FC1">
              <w:rPr>
                <w:rFonts w:ascii="Arial" w:eastAsia="PMingLiU" w:hAnsi="Arial" w:cs="Arial"/>
                <w:sz w:val="22"/>
                <w:szCs w:val="22"/>
                <w:lang w:val="en-US" w:eastAsia="zh-CN"/>
              </w:rPr>
              <w:t>UK</w:t>
            </w:r>
          </w:p>
        </w:tc>
        <w:tc>
          <w:tcPr>
            <w:tcW w:w="1980" w:type="dxa"/>
            <w:vAlign w:val="center"/>
          </w:tcPr>
          <w:p w14:paraId="5FB0DBDC"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17 adults; included five participants whose first language was not English</w:t>
            </w:r>
          </w:p>
        </w:tc>
        <w:tc>
          <w:tcPr>
            <w:tcW w:w="1530" w:type="dxa"/>
            <w:vAlign w:val="center"/>
          </w:tcPr>
          <w:p w14:paraId="1EEF646F"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Primary care</w:t>
            </w:r>
          </w:p>
        </w:tc>
        <w:tc>
          <w:tcPr>
            <w:tcW w:w="2340" w:type="dxa"/>
            <w:vAlign w:val="center"/>
          </w:tcPr>
          <w:p w14:paraId="60ECC42C"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Remote consultations, including telephone and other remote consultation formats</w:t>
            </w:r>
          </w:p>
        </w:tc>
        <w:tc>
          <w:tcPr>
            <w:tcW w:w="2160" w:type="dxa"/>
            <w:vAlign w:val="center"/>
          </w:tcPr>
          <w:p w14:paraId="762EC19E"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Patient experience, satisfaction, communication, continuity, convenience and appropriateness of remote consultations</w:t>
            </w:r>
          </w:p>
        </w:tc>
      </w:tr>
      <w:tr w:rsidR="00EE4FC1" w:rsidRPr="00EE4FC1" w14:paraId="1A4B2762" w14:textId="77777777" w:rsidTr="00725F03">
        <w:trPr>
          <w:trHeight w:val="2352"/>
        </w:trPr>
        <w:tc>
          <w:tcPr>
            <w:tcW w:w="510" w:type="dxa"/>
          </w:tcPr>
          <w:p w14:paraId="3859FC0E"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lastRenderedPageBreak/>
              <w:t>8</w:t>
            </w:r>
          </w:p>
        </w:tc>
        <w:tc>
          <w:tcPr>
            <w:tcW w:w="1989" w:type="dxa"/>
            <w:vAlign w:val="center"/>
          </w:tcPr>
          <w:p w14:paraId="6F276BE4"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br/>
              <w:t xml:space="preserve">Guo et al. 2026 </w:t>
            </w:r>
          </w:p>
          <w:p w14:paraId="5662FC9E"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sz w:val="22"/>
                <w:szCs w:val="22"/>
                <w:lang w:eastAsia="zh-CN"/>
              </w:rPr>
              <w:t>Older Chinese migrants’ experiences of remote primary care in England: a semi-structured interview study.</w:t>
            </w:r>
          </w:p>
        </w:tc>
        <w:tc>
          <w:tcPr>
            <w:tcW w:w="1191" w:type="dxa"/>
            <w:vAlign w:val="center"/>
          </w:tcPr>
          <w:p w14:paraId="2E821DBB"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England</w:t>
            </w:r>
          </w:p>
        </w:tc>
        <w:tc>
          <w:tcPr>
            <w:tcW w:w="1980" w:type="dxa"/>
            <w:vAlign w:val="center"/>
          </w:tcPr>
          <w:p w14:paraId="50BB4ABA"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19 older Chinese migrant adults living in the UK</w:t>
            </w:r>
          </w:p>
        </w:tc>
        <w:tc>
          <w:tcPr>
            <w:tcW w:w="1530" w:type="dxa"/>
            <w:vAlign w:val="center"/>
          </w:tcPr>
          <w:p w14:paraId="3C2E9976"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Primary care/general practice</w:t>
            </w:r>
          </w:p>
        </w:tc>
        <w:tc>
          <w:tcPr>
            <w:tcW w:w="2340" w:type="dxa"/>
            <w:vAlign w:val="center"/>
          </w:tcPr>
          <w:p w14:paraId="62C2202D"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Remote primary-care consultations/digital primary care</w:t>
            </w:r>
          </w:p>
        </w:tc>
        <w:tc>
          <w:tcPr>
            <w:tcW w:w="2160" w:type="dxa"/>
            <w:vAlign w:val="center"/>
          </w:tcPr>
          <w:p w14:paraId="4C595628"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Patient experience, accessibility, communication, digital confidence and barriers affecting remote primary care</w:t>
            </w:r>
          </w:p>
        </w:tc>
      </w:tr>
      <w:tr w:rsidR="00EE4FC1" w:rsidRPr="00EE4FC1" w14:paraId="4A4BF8FB" w14:textId="77777777" w:rsidTr="00725F03">
        <w:trPr>
          <w:trHeight w:val="585"/>
        </w:trPr>
        <w:tc>
          <w:tcPr>
            <w:tcW w:w="510" w:type="dxa"/>
          </w:tcPr>
          <w:p w14:paraId="50328ED3"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9</w:t>
            </w:r>
          </w:p>
        </w:tc>
        <w:tc>
          <w:tcPr>
            <w:tcW w:w="1989" w:type="dxa"/>
            <w:vAlign w:val="center"/>
          </w:tcPr>
          <w:p w14:paraId="3E9E25A5"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 xml:space="preserve">Hammersley et al. </w:t>
            </w:r>
            <w:r w:rsidRPr="00CC564B">
              <w:rPr>
                <w:rFonts w:ascii="Arial" w:eastAsia="PMingLiU" w:hAnsi="Arial" w:cs="Arial"/>
                <w:b/>
                <w:bCs/>
                <w:sz w:val="22"/>
                <w:szCs w:val="22"/>
                <w:lang w:val="en-US" w:eastAsia="zh-CN"/>
              </w:rPr>
              <w:t>2019</w:t>
            </w:r>
          </w:p>
          <w:p w14:paraId="5417017C"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sz w:val="22"/>
                <w:szCs w:val="22"/>
                <w:lang w:eastAsia="zh-CN"/>
              </w:rPr>
              <w:t>Comparing the content and quality of video, telephone, and face-to-face consultations: a non-randomised, quasi-experimental, exploratory study in UK primary care.</w:t>
            </w:r>
          </w:p>
        </w:tc>
        <w:tc>
          <w:tcPr>
            <w:tcW w:w="1191" w:type="dxa"/>
            <w:vAlign w:val="center"/>
          </w:tcPr>
          <w:p w14:paraId="11A0C406"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Scotland</w:t>
            </w:r>
          </w:p>
        </w:tc>
        <w:tc>
          <w:tcPr>
            <w:tcW w:w="1980" w:type="dxa"/>
            <w:vAlign w:val="center"/>
          </w:tcPr>
          <w:p w14:paraId="5F8CC2B7"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119 patients completing post-consultation satisfaction questionnaires; participants were &gt;16 years, with the included adult population meeting the review's adult criterion</w:t>
            </w:r>
          </w:p>
        </w:tc>
        <w:tc>
          <w:tcPr>
            <w:tcW w:w="1530" w:type="dxa"/>
            <w:vAlign w:val="center"/>
          </w:tcPr>
          <w:p w14:paraId="3616CA96"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Six general practices in Scotland</w:t>
            </w:r>
          </w:p>
        </w:tc>
        <w:tc>
          <w:tcPr>
            <w:tcW w:w="2340" w:type="dxa"/>
            <w:vAlign w:val="center"/>
          </w:tcPr>
          <w:p w14:paraId="2366A9BF"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Video, telephone and face-to-face consultations</w:t>
            </w:r>
          </w:p>
        </w:tc>
        <w:tc>
          <w:tcPr>
            <w:tcW w:w="2160" w:type="dxa"/>
            <w:vAlign w:val="center"/>
          </w:tcPr>
          <w:p w14:paraId="348AC247"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Patient satisfaction and perceived consultation quality, including comparison of telephone and video consultations</w:t>
            </w:r>
          </w:p>
        </w:tc>
      </w:tr>
      <w:tr w:rsidR="00EE4FC1" w:rsidRPr="00EE4FC1" w14:paraId="2C9F398A" w14:textId="77777777" w:rsidTr="00725F03">
        <w:trPr>
          <w:trHeight w:val="111"/>
        </w:trPr>
        <w:tc>
          <w:tcPr>
            <w:tcW w:w="510" w:type="dxa"/>
          </w:tcPr>
          <w:p w14:paraId="5F9B9132"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10</w:t>
            </w:r>
          </w:p>
        </w:tc>
        <w:tc>
          <w:tcPr>
            <w:tcW w:w="1989" w:type="dxa"/>
            <w:vAlign w:val="center"/>
          </w:tcPr>
          <w:p w14:paraId="6E1E0719"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br/>
              <w:t>Donaghy et al. 2019</w:t>
            </w:r>
            <w:r w:rsidRPr="00EE4FC1">
              <w:rPr>
                <w:rFonts w:ascii="Arial" w:eastAsia="PMingLiU" w:hAnsi="Arial" w:cs="Arial"/>
                <w:b/>
                <w:bCs/>
                <w:sz w:val="22"/>
                <w:szCs w:val="22"/>
                <w:lang w:val="en-US" w:eastAsia="zh-CN"/>
              </w:rPr>
              <w:br/>
            </w:r>
            <w:r w:rsidRPr="00EE4FC1">
              <w:rPr>
                <w:rFonts w:ascii="Arial" w:eastAsia="PMingLiU" w:hAnsi="Arial" w:cs="Arial"/>
                <w:sz w:val="22"/>
                <w:szCs w:val="22"/>
                <w:lang w:val="en-US" w:eastAsia="zh-CN"/>
              </w:rPr>
              <w:t>Acceptability, benefits, and challenges of video</w:t>
            </w:r>
            <w:r w:rsidRPr="00EE4FC1">
              <w:rPr>
                <w:rFonts w:ascii="Arial" w:eastAsia="PMingLiU" w:hAnsi="Arial" w:cs="Arial"/>
                <w:sz w:val="22"/>
                <w:szCs w:val="22"/>
                <w:lang w:val="en-US" w:eastAsia="zh-CN"/>
              </w:rPr>
              <w:br/>
              <w:t>consulting: a qualitative</w:t>
            </w:r>
            <w:r w:rsidRPr="00EE4FC1">
              <w:rPr>
                <w:rFonts w:ascii="Arial" w:eastAsia="PMingLiU" w:hAnsi="Arial" w:cs="Arial"/>
                <w:sz w:val="22"/>
                <w:szCs w:val="22"/>
                <w:lang w:val="en-US" w:eastAsia="zh-CN"/>
              </w:rPr>
              <w:br/>
              <w:t>study in primary care.</w:t>
            </w:r>
          </w:p>
        </w:tc>
        <w:tc>
          <w:tcPr>
            <w:tcW w:w="1191" w:type="dxa"/>
            <w:vAlign w:val="center"/>
          </w:tcPr>
          <w:p w14:paraId="1103456B"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Scotland, Lothian</w:t>
            </w:r>
          </w:p>
        </w:tc>
        <w:tc>
          <w:tcPr>
            <w:tcW w:w="1980" w:type="dxa"/>
            <w:vAlign w:val="center"/>
          </w:tcPr>
          <w:p w14:paraId="458ACC99"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21 adult patients interviewed; interview participants were aged 22–76 years</w:t>
            </w:r>
          </w:p>
        </w:tc>
        <w:tc>
          <w:tcPr>
            <w:tcW w:w="1530" w:type="dxa"/>
            <w:vAlign w:val="center"/>
          </w:tcPr>
          <w:p w14:paraId="78D7E24B"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Six general practices</w:t>
            </w:r>
          </w:p>
        </w:tc>
        <w:tc>
          <w:tcPr>
            <w:tcW w:w="2340" w:type="dxa"/>
            <w:vAlign w:val="center"/>
          </w:tcPr>
          <w:p w14:paraId="0D1159D9"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Video consultations, using Attend Anywhere; telephone and face-to-face consultations were comparators</w:t>
            </w:r>
          </w:p>
        </w:tc>
        <w:tc>
          <w:tcPr>
            <w:tcW w:w="2160" w:type="dxa"/>
            <w:vAlign w:val="center"/>
          </w:tcPr>
          <w:p w14:paraId="6DB0A462"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Acceptability, benefits, challenges and patient experience of video consultations</w:t>
            </w:r>
          </w:p>
        </w:tc>
      </w:tr>
      <w:tr w:rsidR="00EE4FC1" w:rsidRPr="00EE4FC1" w14:paraId="5A513EC0" w14:textId="77777777" w:rsidTr="00725F03">
        <w:trPr>
          <w:trHeight w:val="111"/>
        </w:trPr>
        <w:tc>
          <w:tcPr>
            <w:tcW w:w="510" w:type="dxa"/>
          </w:tcPr>
          <w:p w14:paraId="736F3939"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lastRenderedPageBreak/>
              <w:t>11</w:t>
            </w:r>
          </w:p>
        </w:tc>
        <w:tc>
          <w:tcPr>
            <w:tcW w:w="1989" w:type="dxa"/>
            <w:vAlign w:val="center"/>
          </w:tcPr>
          <w:p w14:paraId="0CF33499"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Archer et al. 2025</w:t>
            </w:r>
            <w:r w:rsidRPr="00EE4FC1">
              <w:rPr>
                <w:rFonts w:ascii="Arial" w:eastAsia="PMingLiU" w:hAnsi="Arial" w:cs="Arial"/>
                <w:b/>
                <w:bCs/>
                <w:sz w:val="22"/>
                <w:szCs w:val="22"/>
                <w:lang w:val="en-US" w:eastAsia="zh-CN"/>
              </w:rPr>
              <w:br/>
            </w:r>
            <w:r w:rsidRPr="00EE4FC1">
              <w:rPr>
                <w:rFonts w:ascii="Arial" w:eastAsia="PMingLiU" w:hAnsi="Arial" w:cs="Arial"/>
                <w:sz w:val="22"/>
                <w:szCs w:val="22"/>
                <w:lang w:val="en-US" w:eastAsia="zh-CN"/>
              </w:rPr>
              <w:t>Primary care practitioners'</w:t>
            </w:r>
            <w:r w:rsidRPr="00EE4FC1">
              <w:rPr>
                <w:rFonts w:ascii="Arial" w:eastAsia="PMingLiU" w:hAnsi="Arial" w:cs="Arial"/>
                <w:sz w:val="22"/>
                <w:szCs w:val="22"/>
                <w:lang w:val="en-US" w:eastAsia="zh-CN"/>
              </w:rPr>
              <w:br/>
              <w:t>and patients' views on the</w:t>
            </w:r>
            <w:r w:rsidRPr="00EE4FC1">
              <w:rPr>
                <w:rFonts w:ascii="Arial" w:eastAsia="PMingLiU" w:hAnsi="Arial" w:cs="Arial"/>
                <w:sz w:val="22"/>
                <w:szCs w:val="22"/>
                <w:lang w:val="en-US" w:eastAsia="zh-CN"/>
              </w:rPr>
              <w:br/>
              <w:t>benefits and challenges of</w:t>
            </w:r>
            <w:r w:rsidRPr="00EE4FC1">
              <w:rPr>
                <w:rFonts w:ascii="Arial" w:eastAsia="PMingLiU" w:hAnsi="Arial" w:cs="Arial"/>
                <w:sz w:val="22"/>
                <w:szCs w:val="22"/>
                <w:lang w:val="en-US" w:eastAsia="zh-CN"/>
              </w:rPr>
              <w:br/>
              <w:t>remote consulting for</w:t>
            </w:r>
            <w:r w:rsidRPr="00EE4FC1">
              <w:rPr>
                <w:rFonts w:ascii="Arial" w:eastAsia="PMingLiU" w:hAnsi="Arial" w:cs="Arial"/>
                <w:sz w:val="22"/>
                <w:szCs w:val="22"/>
                <w:lang w:val="en-US" w:eastAsia="zh-CN"/>
              </w:rPr>
              <w:br/>
              <w:t>anxiety and depression in UK general practice: a</w:t>
            </w:r>
            <w:r w:rsidRPr="00EE4FC1">
              <w:rPr>
                <w:rFonts w:ascii="Arial" w:eastAsia="PMingLiU" w:hAnsi="Arial" w:cs="Arial"/>
                <w:sz w:val="22"/>
                <w:szCs w:val="22"/>
                <w:lang w:val="en-US" w:eastAsia="zh-CN"/>
              </w:rPr>
              <w:br/>
              <w:t>qualitative interview study</w:t>
            </w:r>
          </w:p>
        </w:tc>
        <w:tc>
          <w:tcPr>
            <w:tcW w:w="1191" w:type="dxa"/>
            <w:vAlign w:val="center"/>
          </w:tcPr>
          <w:p w14:paraId="693592D8"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England, Bristol and surrounding areas</w:t>
            </w:r>
          </w:p>
        </w:tc>
        <w:tc>
          <w:tcPr>
            <w:tcW w:w="1980" w:type="dxa"/>
            <w:vAlign w:val="center"/>
          </w:tcPr>
          <w:p w14:paraId="474F4A53"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21 adult patients, aged 18–70+ years; mean age 49.7 years</w:t>
            </w:r>
          </w:p>
        </w:tc>
        <w:tc>
          <w:tcPr>
            <w:tcW w:w="1530" w:type="dxa"/>
            <w:vAlign w:val="center"/>
          </w:tcPr>
          <w:p w14:paraId="47E33488"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Five general practices</w:t>
            </w:r>
          </w:p>
        </w:tc>
        <w:tc>
          <w:tcPr>
            <w:tcW w:w="2340" w:type="dxa"/>
            <w:vAlign w:val="center"/>
          </w:tcPr>
          <w:p w14:paraId="72633233"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Telephone consultations and e-consults; some participants had experience of video for other conditions</w:t>
            </w:r>
          </w:p>
        </w:tc>
        <w:tc>
          <w:tcPr>
            <w:tcW w:w="2160" w:type="dxa"/>
            <w:vAlign w:val="center"/>
          </w:tcPr>
          <w:p w14:paraId="6289C4D6"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Patient experience, satisfaction, accessibility, communication and perceived suitability of remote consulting for anxiety and depression</w:t>
            </w:r>
          </w:p>
        </w:tc>
      </w:tr>
      <w:tr w:rsidR="00EE4FC1" w:rsidRPr="00EE4FC1" w14:paraId="012751B3" w14:textId="77777777" w:rsidTr="00725F03">
        <w:trPr>
          <w:trHeight w:val="1757"/>
        </w:trPr>
        <w:tc>
          <w:tcPr>
            <w:tcW w:w="510" w:type="dxa"/>
          </w:tcPr>
          <w:p w14:paraId="79E132FF" w14:textId="77777777" w:rsidR="00EE4FC1" w:rsidRPr="00EE4FC1" w:rsidRDefault="00EE4FC1" w:rsidP="00EE4FC1">
            <w:pPr>
              <w:spacing w:line="360" w:lineRule="auto"/>
              <w:jc w:val="center"/>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12</w:t>
            </w:r>
          </w:p>
        </w:tc>
        <w:tc>
          <w:tcPr>
            <w:tcW w:w="1989" w:type="dxa"/>
            <w:vAlign w:val="center"/>
          </w:tcPr>
          <w:p w14:paraId="4F6E6C61" w14:textId="780A5609" w:rsidR="00EE4FC1" w:rsidRPr="00EE4FC1" w:rsidRDefault="00EE4FC1" w:rsidP="00EE4FC1">
            <w:pPr>
              <w:spacing w:line="360" w:lineRule="auto"/>
              <w:jc w:val="center"/>
              <w:rPr>
                <w:rFonts w:ascii="Arial" w:eastAsia="PMingLiU" w:hAnsi="Arial" w:cs="Arial"/>
                <w:sz w:val="22"/>
                <w:szCs w:val="22"/>
                <w:lang w:val="en-US" w:eastAsia="zh-CN"/>
              </w:rPr>
            </w:pPr>
            <w:r w:rsidRPr="00EE4FC1">
              <w:rPr>
                <w:rFonts w:ascii="Arial" w:eastAsia="PMingLiU" w:hAnsi="Arial" w:cs="Arial"/>
                <w:b/>
                <w:bCs/>
                <w:sz w:val="22"/>
                <w:szCs w:val="22"/>
                <w:lang w:val="en-US" w:eastAsia="zh-CN"/>
              </w:rPr>
              <w:t>Papoutsi et al. 2022</w:t>
            </w:r>
            <w:r w:rsidRPr="00EE4FC1">
              <w:rPr>
                <w:rFonts w:ascii="Arial" w:eastAsia="PMingLiU" w:hAnsi="Arial" w:cs="Arial"/>
                <w:b/>
                <w:bCs/>
                <w:sz w:val="22"/>
                <w:szCs w:val="22"/>
                <w:lang w:val="en-US" w:eastAsia="zh-CN"/>
              </w:rPr>
              <w:br/>
            </w:r>
            <w:r w:rsidRPr="00EE4FC1">
              <w:rPr>
                <w:rFonts w:ascii="Arial" w:eastAsia="PMingLiU" w:hAnsi="Arial" w:cs="Arial"/>
                <w:sz w:val="22"/>
                <w:szCs w:val="22"/>
                <w:lang w:val="en-US" w:eastAsia="zh-CN"/>
              </w:rPr>
              <w:t>Implementing video group</w:t>
            </w:r>
            <w:r w:rsidRPr="00EE4FC1">
              <w:rPr>
                <w:rFonts w:ascii="Arial" w:eastAsia="PMingLiU" w:hAnsi="Arial" w:cs="Arial"/>
                <w:sz w:val="22"/>
                <w:szCs w:val="22"/>
                <w:lang w:val="en-US" w:eastAsia="zh-CN"/>
              </w:rPr>
              <w:br/>
              <w:t>consultations in general</w:t>
            </w:r>
            <w:r w:rsidRPr="00EE4FC1">
              <w:rPr>
                <w:rFonts w:ascii="Arial" w:eastAsia="PMingLiU" w:hAnsi="Arial" w:cs="Arial"/>
                <w:sz w:val="22"/>
                <w:szCs w:val="22"/>
                <w:lang w:val="en-US" w:eastAsia="zh-CN"/>
              </w:rPr>
              <w:br/>
              <w:t>practice during COVID-19:</w:t>
            </w:r>
            <w:r w:rsidRPr="00EE4FC1">
              <w:rPr>
                <w:rFonts w:ascii="Arial" w:eastAsia="PMingLiU" w:hAnsi="Arial" w:cs="Arial"/>
                <w:sz w:val="22"/>
                <w:szCs w:val="22"/>
                <w:lang w:val="en-US" w:eastAsia="zh-CN"/>
              </w:rPr>
              <w:br/>
              <w:t>a qualitative study.</w:t>
            </w:r>
          </w:p>
        </w:tc>
        <w:tc>
          <w:tcPr>
            <w:tcW w:w="1191" w:type="dxa"/>
            <w:vAlign w:val="center"/>
          </w:tcPr>
          <w:p w14:paraId="5A4095EF"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England</w:t>
            </w:r>
          </w:p>
        </w:tc>
        <w:tc>
          <w:tcPr>
            <w:tcW w:w="1980" w:type="dxa"/>
            <w:vAlign w:val="center"/>
          </w:tcPr>
          <w:p w14:paraId="7AC4E3B6"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5 adult patients were among the 32 interview participants; the wider sample also included staff, policymakers and other stakeholders</w:t>
            </w:r>
          </w:p>
        </w:tc>
        <w:tc>
          <w:tcPr>
            <w:tcW w:w="1530" w:type="dxa"/>
            <w:vAlign w:val="center"/>
          </w:tcPr>
          <w:p w14:paraId="6E60C0EA"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Eight general practices</w:t>
            </w:r>
          </w:p>
        </w:tc>
        <w:tc>
          <w:tcPr>
            <w:tcW w:w="2340" w:type="dxa"/>
            <w:vAlign w:val="center"/>
          </w:tcPr>
          <w:p w14:paraId="10D5BE55"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Video group consultations</w:t>
            </w:r>
          </w:p>
        </w:tc>
        <w:tc>
          <w:tcPr>
            <w:tcW w:w="2160" w:type="dxa"/>
            <w:vAlign w:val="center"/>
          </w:tcPr>
          <w:p w14:paraId="72F376F4"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Patient experience, acceptability, accessibility and perceived benefits/challenges of video group consultations</w:t>
            </w:r>
          </w:p>
        </w:tc>
      </w:tr>
    </w:tbl>
    <w:p w14:paraId="5C75F872" w14:textId="77777777" w:rsidR="00EE4FC1" w:rsidRPr="00EE4FC1" w:rsidRDefault="00EE4FC1" w:rsidP="00EE4FC1">
      <w:pPr>
        <w:spacing w:line="360" w:lineRule="auto"/>
        <w:jc w:val="both"/>
        <w:rPr>
          <w:rFonts w:ascii="Arial" w:eastAsia="PMingLiU" w:hAnsi="Arial" w:cs="Arial"/>
          <w:b/>
          <w:bCs/>
          <w:sz w:val="22"/>
          <w:szCs w:val="22"/>
          <w:lang w:val="en-US" w:eastAsia="zh-CN"/>
        </w:rPr>
      </w:pPr>
    </w:p>
    <w:p w14:paraId="34C92500"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65" w:name="_Toc241618981"/>
      <w:r w:rsidRPr="00EE4FC1">
        <w:rPr>
          <w:rFonts w:ascii="Arial" w:eastAsia="PMingLiU" w:hAnsi="Arial" w:cs="Arial"/>
          <w:b/>
          <w:bCs/>
          <w:sz w:val="22"/>
          <w:szCs w:val="22"/>
          <w:lang w:val="en-US" w:eastAsia="zh-CN"/>
        </w:rPr>
        <w:t>4.2 Identification and Critical Appraisal of UK Studies Examining Patient Satisfaction with Telemedicine in Primary Care</w:t>
      </w:r>
      <w:bookmarkEnd w:id="65"/>
    </w:p>
    <w:p w14:paraId="239D5269" w14:textId="7A308B40"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The aim of the systematic review was to identify and critically appraise studies exploring patient satisfaction with telemedicine in primary care in the United Kingdom (UK). The reviewed studies clearly showed that telemedicine has experienced significant adoption after the COVID-19 pandemic, and patient satisfaction was a common outcome in the studies. The multidimensionality of the telemedicine experiences was captured by the use of a variety of </w:t>
      </w:r>
      <w:r w:rsidRPr="00EE4FC1">
        <w:rPr>
          <w:rFonts w:ascii="Arial" w:eastAsia="PMingLiU" w:hAnsi="Arial" w:cs="Arial"/>
          <w:sz w:val="22"/>
          <w:szCs w:val="22"/>
          <w:lang w:val="en-US" w:eastAsia="zh-CN"/>
        </w:rPr>
        <w:lastRenderedPageBreak/>
        <w:t xml:space="preserve">methodological approaches across the studies: </w:t>
      </w:r>
      <w:r w:rsidR="000D0B91" w:rsidRPr="00EE4FC1">
        <w:rPr>
          <w:rFonts w:ascii="Arial" w:eastAsia="PMingLiU" w:hAnsi="Arial" w:cs="Arial"/>
          <w:sz w:val="22"/>
          <w:szCs w:val="22"/>
          <w:lang w:val="en-US" w:eastAsia="zh-CN"/>
        </w:rPr>
        <w:t>cross</w:t>
      </w:r>
      <w:r w:rsidR="000D0B91">
        <w:rPr>
          <w:rFonts w:ascii="Arial" w:eastAsia="PMingLiU" w:hAnsi="Arial" w:cs="Arial"/>
          <w:sz w:val="22"/>
          <w:szCs w:val="22"/>
          <w:lang w:val="en-US" w:eastAsia="zh-CN"/>
        </w:rPr>
        <w:t>-sectional</w:t>
      </w:r>
      <w:r w:rsidRPr="00EE4FC1">
        <w:rPr>
          <w:rFonts w:ascii="Arial" w:eastAsia="PMingLiU" w:hAnsi="Arial" w:cs="Arial"/>
          <w:sz w:val="22"/>
          <w:szCs w:val="22"/>
          <w:lang w:val="en-US" w:eastAsia="zh-CN"/>
        </w:rPr>
        <w:t xml:space="preserve"> surveys, mixed methodologies, and qualitative interviews.</w:t>
      </w:r>
    </w:p>
    <w:p w14:paraId="656F3EB7"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4.2.1 Characteristics of Included Studies</w:t>
      </w:r>
    </w:p>
    <w:p w14:paraId="77C5D1A3" w14:textId="0D70A658"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 xml:space="preserve">Studies reviewed in this document differed widely in sample size, study design and participant characteristics. The most commonly used methodology was qualitative papers. The findings </w:t>
      </w:r>
      <w:r w:rsidR="00316EC9">
        <w:rPr>
          <w:rFonts w:ascii="Arial" w:eastAsia="PMingLiU" w:hAnsi="Arial" w:cs="Arial"/>
          <w:sz w:val="22"/>
          <w:szCs w:val="22"/>
          <w:lang w:val="en-US" w:eastAsia="zh-CN"/>
        </w:rPr>
        <w:t xml:space="preserve">of the reviewed </w:t>
      </w:r>
      <w:r w:rsidRPr="00EE4FC1">
        <w:rPr>
          <w:rFonts w:ascii="Arial" w:eastAsia="PMingLiU" w:hAnsi="Arial" w:cs="Arial"/>
          <w:sz w:val="22"/>
          <w:szCs w:val="22"/>
          <w:lang w:val="en-US" w:eastAsia="zh-CN"/>
        </w:rPr>
        <w:t xml:space="preserve">studies are broadly supportive of patterns of patient experiences and satisfaction, including Lifford et al. (2023); de Visser et al. (2024); and Anderson et al. (2021). In contrast, qualitative studies such as </w:t>
      </w:r>
      <w:r w:rsidRPr="00EE4FC1">
        <w:rPr>
          <w:rFonts w:ascii="Arial" w:eastAsia="PMingLiU" w:hAnsi="Arial" w:cs="Arial"/>
          <w:sz w:val="22"/>
          <w:szCs w:val="22"/>
          <w:lang w:eastAsia="zh-CN"/>
        </w:rPr>
        <w:t>Islam, Bailey and Netto (2024)</w:t>
      </w:r>
      <w:r w:rsidRPr="00EE4FC1">
        <w:rPr>
          <w:rFonts w:ascii="Arial" w:eastAsia="PMingLiU" w:hAnsi="Arial" w:cs="Arial"/>
          <w:sz w:val="22"/>
          <w:szCs w:val="22"/>
          <w:lang w:val="en-US" w:eastAsia="zh-CN"/>
        </w:rPr>
        <w:t xml:space="preserve"> provided in-depth insights into patient perceptions, communication experiences, and emotional responses to telemedicine consultations.</w:t>
      </w:r>
    </w:p>
    <w:p w14:paraId="7B084E47" w14:textId="35AA2575"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The majority of studies have examined adult patients who were presenting for primary care consultations via telephone or video during and/or following the COVID-19 pandemic. The findings suggested that telemedicine was increasingly adopted by the UK primary healthcare systems at this time, leading to major changes in the way healthcare is delivered. The studies all showed that the consultations were mainly carried out using phone or telephone services, with a little more video consultations over time.</w:t>
      </w:r>
    </w:p>
    <w:p w14:paraId="08AFE193"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4.2.2 Overall Levels of Patient Satisfaction</w:t>
      </w:r>
    </w:p>
    <w:p w14:paraId="5E6D678B"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Generally high levels of patient satisfaction with telemedicine services in UK primary care were found. In all the studies reviewed, convenience, accessibility, short travel time, and continuity of care emerged as significant factors affecting satisfaction as can be seen in Table 5.</w:t>
      </w:r>
    </w:p>
    <w:p w14:paraId="262A209B"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Lifford et al. (2023) found that the majority of the UK population were happy with virtual consultations, as telemedicine helped to enhance access to healthcare during periods of limited face-to-face contact. Likewise, the convenience and shorter wait times had significant positive effects on patient experiences, according to Anderson et al. (2021).</w:t>
      </w:r>
    </w:p>
    <w:p w14:paraId="39319D5F"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The evidence further demonstrated that patients appreciated the flexibility offered by telemedicine consultations. Patients who had mobility issues, chronic conditions or transportation problems especially appreciated the ability to obtain health care from home. There were also positive experiences among older adults that involved using telemedicine to alleviate physical demands on attending healthcare facilities. Donaghy et al. (2019) found that telehealth positively affected older people's access to care and stakeholder engagement.</w:t>
      </w:r>
    </w:p>
    <w:p w14:paraId="3F6F0ECB" w14:textId="711D69A0" w:rsidR="00EE4FC1" w:rsidRPr="00873449"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The study also revealed that use of telemedicine improved continuity of care during the COVID-19 pandemic. There were no disruptions of healthcare delivery, as patients could continue to interact with healthcare providers when needed despite social distancing </w:t>
      </w:r>
      <w:r w:rsidRPr="00EE4FC1">
        <w:rPr>
          <w:rFonts w:ascii="Arial" w:eastAsia="PMingLiU" w:hAnsi="Arial" w:cs="Arial"/>
          <w:sz w:val="22"/>
          <w:szCs w:val="22"/>
          <w:lang w:val="en-US" w:eastAsia="zh-CN"/>
        </w:rPr>
        <w:lastRenderedPageBreak/>
        <w:t>measures. These studies also found that continuity of care was an important factor in patient satisfaction; for some patients, continuity with a familiar healthcare provider was important even when moving to remote consultations.</w:t>
      </w:r>
    </w:p>
    <w:p w14:paraId="22974DF3"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4.2.3 Sources of Patient Dissatisfaction</w:t>
      </w:r>
    </w:p>
    <w:p w14:paraId="219632B4" w14:textId="686FAF7B"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sz w:val="22"/>
          <w:szCs w:val="22"/>
          <w:lang w:val="en-US" w:eastAsia="zh-CN"/>
        </w:rPr>
        <w:t xml:space="preserve">The studies reviewed did not have a negative overall satisfaction score, but there were several aspects that caused some dissatisfaction. Communication barriers were one of the commonest concerns that were reported, as described in Table </w:t>
      </w:r>
      <w:r w:rsidR="00873449">
        <w:rPr>
          <w:rFonts w:ascii="Arial" w:eastAsia="PMingLiU" w:hAnsi="Arial" w:cs="Arial"/>
          <w:sz w:val="22"/>
          <w:szCs w:val="22"/>
          <w:lang w:val="en-US" w:eastAsia="zh-CN"/>
        </w:rPr>
        <w:t>5</w:t>
      </w:r>
      <w:r w:rsidRPr="00EE4FC1">
        <w:rPr>
          <w:rFonts w:ascii="Arial" w:eastAsia="PMingLiU" w:hAnsi="Arial" w:cs="Arial"/>
          <w:sz w:val="22"/>
          <w:szCs w:val="22"/>
          <w:lang w:val="en-US" w:eastAsia="zh-CN"/>
        </w:rPr>
        <w:t xml:space="preserve">. Patients reported that sometimes remote consultations did not allow them to establish an emotional bond, or provide a platform for non-verbal communication, or foster interpersonal </w:t>
      </w:r>
      <w:r w:rsidR="000D0B91" w:rsidRPr="00EE4FC1">
        <w:rPr>
          <w:rFonts w:ascii="Arial" w:eastAsia="PMingLiU" w:hAnsi="Arial" w:cs="Arial"/>
          <w:sz w:val="22"/>
          <w:szCs w:val="22"/>
          <w:lang w:val="en-US" w:eastAsia="zh-CN"/>
        </w:rPr>
        <w:t>relationships</w:t>
      </w:r>
      <w:r w:rsidRPr="00EE4FC1">
        <w:rPr>
          <w:rFonts w:ascii="Arial" w:eastAsia="PMingLiU" w:hAnsi="Arial" w:cs="Arial"/>
          <w:sz w:val="22"/>
          <w:szCs w:val="22"/>
          <w:lang w:val="en-US" w:eastAsia="zh-CN"/>
        </w:rPr>
        <w:t xml:space="preserve"> with the healthcare workers.</w:t>
      </w:r>
    </w:p>
    <w:p w14:paraId="1A23EB8D" w14:textId="77777777" w:rsidR="00EE4FC1" w:rsidRPr="00EE4FC1" w:rsidRDefault="00EE4FC1" w:rsidP="00EE4FC1">
      <w:pPr>
        <w:spacing w:after="200" w:line="360" w:lineRule="auto"/>
        <w:rPr>
          <w:rFonts w:ascii="Arial" w:eastAsia="Arial" w:hAnsi="Arial" w:cs="Arial"/>
          <w:kern w:val="0"/>
          <w:sz w:val="22"/>
          <w:szCs w:val="22"/>
          <w:lang w:val="en-US"/>
        </w:rPr>
      </w:pPr>
      <w:bookmarkStart w:id="66" w:name="_Toc238386928"/>
      <w:bookmarkStart w:id="67" w:name="_Toc238386942"/>
      <w:r w:rsidRPr="00095A06">
        <w:rPr>
          <w:rFonts w:ascii="Arial" w:eastAsia="Arial" w:hAnsi="Arial" w:cs="Arial"/>
          <w:kern w:val="0"/>
          <w:sz w:val="22"/>
          <w:szCs w:val="22"/>
        </w:rPr>
        <w:t xml:space="preserve">Table </w:t>
      </w:r>
      <w:r w:rsidR="00873449" w:rsidRPr="00095A06">
        <w:rPr>
          <w:rFonts w:ascii="Arial" w:eastAsia="Arial" w:hAnsi="Arial" w:cs="Arial"/>
          <w:kern w:val="0"/>
          <w:sz w:val="22"/>
          <w:szCs w:val="22"/>
        </w:rPr>
        <w:t>5</w:t>
      </w:r>
      <w:r w:rsidRPr="00095A06">
        <w:rPr>
          <w:rFonts w:ascii="Arial" w:eastAsia="Arial" w:hAnsi="Arial" w:cs="Arial"/>
          <w:kern w:val="0"/>
          <w:sz w:val="22"/>
          <w:szCs w:val="22"/>
        </w:rPr>
        <w:t xml:space="preserve">: </w:t>
      </w:r>
      <w:r w:rsidRPr="00095A06">
        <w:rPr>
          <w:rFonts w:ascii="Arial" w:eastAsia="Arial" w:hAnsi="Arial" w:cs="Arial"/>
          <w:b/>
          <w:bCs/>
          <w:kern w:val="0"/>
          <w:sz w:val="22"/>
          <w:szCs w:val="22"/>
          <w:lang w:val="en-US"/>
        </w:rPr>
        <w:t>Key Sources of Dissatisfaction Identified Across Studies</w:t>
      </w:r>
      <w:bookmarkEnd w:id="66"/>
      <w:bookmarkEnd w:id="67"/>
    </w:p>
    <w:tbl>
      <w:tblPr>
        <w:tblW w:w="11610" w:type="dxa"/>
        <w:tblInd w:w="-1260" w:type="dxa"/>
        <w:tblBorders>
          <w:top w:val="single" w:sz="2" w:space="0" w:color="45B0E1"/>
          <w:bottom w:val="single" w:sz="2" w:space="0" w:color="45B0E1"/>
          <w:insideH w:val="single" w:sz="2" w:space="0" w:color="45B0E1"/>
          <w:insideV w:val="single" w:sz="2" w:space="0" w:color="45B0E1"/>
        </w:tblBorders>
        <w:tblLook w:val="04A0" w:firstRow="1" w:lastRow="0" w:firstColumn="1" w:lastColumn="0" w:noHBand="0" w:noVBand="1"/>
      </w:tblPr>
      <w:tblGrid>
        <w:gridCol w:w="1550"/>
        <w:gridCol w:w="1463"/>
        <w:gridCol w:w="1836"/>
        <w:gridCol w:w="1317"/>
        <w:gridCol w:w="1187"/>
        <w:gridCol w:w="1297"/>
        <w:gridCol w:w="1369"/>
        <w:gridCol w:w="1591"/>
      </w:tblGrid>
      <w:tr w:rsidR="00EE4FC1" w:rsidRPr="00EE4FC1" w14:paraId="2D494272" w14:textId="77777777" w:rsidTr="00EE4FC1">
        <w:tc>
          <w:tcPr>
            <w:tcW w:w="1554" w:type="dxa"/>
            <w:tcBorders>
              <w:top w:val="nil"/>
              <w:bottom w:val="single" w:sz="12" w:space="0" w:color="45B0E1"/>
              <w:right w:val="nil"/>
            </w:tcBorders>
            <w:shd w:val="clear" w:color="auto" w:fill="FFFFFF"/>
            <w:hideMark/>
          </w:tcPr>
          <w:p w14:paraId="6F1030A0" w14:textId="77777777" w:rsidR="00EE4FC1" w:rsidRPr="00EE4FC1" w:rsidRDefault="00EE4FC1" w:rsidP="00EE4FC1">
            <w:pPr>
              <w:spacing w:after="0" w:line="259" w:lineRule="auto"/>
              <w:rPr>
                <w:rFonts w:eastAsia="Times New Roman"/>
                <w:b/>
                <w:bCs/>
                <w:kern w:val="0"/>
                <w:sz w:val="22"/>
                <w:szCs w:val="22"/>
                <w:lang w:val="en-US" w:eastAsia="zh-CN"/>
              </w:rPr>
            </w:pPr>
            <w:r w:rsidRPr="00EE4FC1">
              <w:rPr>
                <w:rFonts w:eastAsia="Times New Roman"/>
                <w:b/>
                <w:bCs/>
                <w:kern w:val="0"/>
                <w:sz w:val="22"/>
                <w:szCs w:val="22"/>
                <w:lang w:val="en-US" w:eastAsia="zh-CN"/>
              </w:rPr>
              <w:t>Study</w:t>
            </w:r>
          </w:p>
        </w:tc>
        <w:tc>
          <w:tcPr>
            <w:tcW w:w="0" w:type="auto"/>
            <w:tcBorders>
              <w:top w:val="nil"/>
              <w:left w:val="nil"/>
              <w:bottom w:val="single" w:sz="12" w:space="0" w:color="45B0E1"/>
              <w:right w:val="nil"/>
            </w:tcBorders>
            <w:shd w:val="clear" w:color="auto" w:fill="FFFFFF"/>
            <w:hideMark/>
          </w:tcPr>
          <w:p w14:paraId="5B265100" w14:textId="77777777" w:rsidR="00EE4FC1" w:rsidRPr="00EE4FC1" w:rsidRDefault="00EE4FC1" w:rsidP="00EE4FC1">
            <w:pPr>
              <w:spacing w:after="0" w:line="259" w:lineRule="auto"/>
              <w:rPr>
                <w:rFonts w:eastAsia="Times New Roman"/>
                <w:b/>
                <w:bCs/>
                <w:kern w:val="0"/>
                <w:sz w:val="22"/>
                <w:szCs w:val="22"/>
                <w:lang w:val="en-US" w:eastAsia="zh-CN"/>
              </w:rPr>
            </w:pPr>
            <w:r w:rsidRPr="00EE4FC1">
              <w:rPr>
                <w:rFonts w:eastAsia="Times New Roman"/>
                <w:b/>
                <w:bCs/>
                <w:kern w:val="0"/>
                <w:sz w:val="22"/>
                <w:szCs w:val="22"/>
                <w:lang w:val="en-US" w:eastAsia="zh-CN"/>
              </w:rPr>
              <w:t>Lack of physical examination</w:t>
            </w:r>
          </w:p>
        </w:tc>
        <w:tc>
          <w:tcPr>
            <w:tcW w:w="0" w:type="auto"/>
            <w:tcBorders>
              <w:top w:val="nil"/>
              <w:left w:val="nil"/>
              <w:bottom w:val="single" w:sz="12" w:space="0" w:color="45B0E1"/>
              <w:right w:val="nil"/>
            </w:tcBorders>
            <w:shd w:val="clear" w:color="auto" w:fill="FFFFFF"/>
            <w:hideMark/>
          </w:tcPr>
          <w:p w14:paraId="67FE55F9" w14:textId="77777777" w:rsidR="00EE4FC1" w:rsidRPr="00EE4FC1" w:rsidRDefault="00EE4FC1" w:rsidP="00EE4FC1">
            <w:pPr>
              <w:spacing w:after="0" w:line="259" w:lineRule="auto"/>
              <w:rPr>
                <w:rFonts w:eastAsia="Times New Roman"/>
                <w:b/>
                <w:bCs/>
                <w:kern w:val="0"/>
                <w:sz w:val="22"/>
                <w:szCs w:val="22"/>
                <w:lang w:val="en-US" w:eastAsia="zh-CN"/>
              </w:rPr>
            </w:pPr>
            <w:r w:rsidRPr="00EE4FC1">
              <w:rPr>
                <w:rFonts w:eastAsia="Times New Roman"/>
                <w:b/>
                <w:bCs/>
                <w:kern w:val="0"/>
                <w:sz w:val="22"/>
                <w:szCs w:val="22"/>
                <w:lang w:val="en-US" w:eastAsia="zh-CN"/>
              </w:rPr>
              <w:t>Communication limitations</w:t>
            </w:r>
          </w:p>
        </w:tc>
        <w:tc>
          <w:tcPr>
            <w:tcW w:w="0" w:type="auto"/>
            <w:tcBorders>
              <w:top w:val="nil"/>
              <w:left w:val="nil"/>
              <w:bottom w:val="single" w:sz="12" w:space="0" w:color="45B0E1"/>
              <w:right w:val="nil"/>
            </w:tcBorders>
            <w:shd w:val="clear" w:color="auto" w:fill="FFFFFF"/>
            <w:hideMark/>
          </w:tcPr>
          <w:p w14:paraId="23351DA8" w14:textId="77777777" w:rsidR="00EE4FC1" w:rsidRPr="00EE4FC1" w:rsidRDefault="00EE4FC1" w:rsidP="00EE4FC1">
            <w:pPr>
              <w:spacing w:after="0" w:line="259" w:lineRule="auto"/>
              <w:rPr>
                <w:rFonts w:eastAsia="Times New Roman"/>
                <w:b/>
                <w:bCs/>
                <w:kern w:val="0"/>
                <w:sz w:val="22"/>
                <w:szCs w:val="22"/>
                <w:lang w:val="en-US" w:eastAsia="zh-CN"/>
              </w:rPr>
            </w:pPr>
            <w:r w:rsidRPr="00EE4FC1">
              <w:rPr>
                <w:rFonts w:eastAsia="Times New Roman"/>
                <w:b/>
                <w:bCs/>
                <w:kern w:val="0"/>
                <w:sz w:val="22"/>
                <w:szCs w:val="22"/>
                <w:lang w:val="en-US" w:eastAsia="zh-CN"/>
              </w:rPr>
              <w:t>Reduced personal interaction</w:t>
            </w:r>
          </w:p>
        </w:tc>
        <w:tc>
          <w:tcPr>
            <w:tcW w:w="0" w:type="auto"/>
            <w:tcBorders>
              <w:top w:val="nil"/>
              <w:left w:val="nil"/>
              <w:bottom w:val="single" w:sz="12" w:space="0" w:color="45B0E1"/>
              <w:right w:val="nil"/>
            </w:tcBorders>
            <w:shd w:val="clear" w:color="auto" w:fill="FFFFFF"/>
            <w:hideMark/>
          </w:tcPr>
          <w:p w14:paraId="47BF7499" w14:textId="77777777" w:rsidR="00EE4FC1" w:rsidRPr="00EE4FC1" w:rsidRDefault="00EE4FC1" w:rsidP="00EE4FC1">
            <w:pPr>
              <w:spacing w:after="0" w:line="259" w:lineRule="auto"/>
              <w:rPr>
                <w:rFonts w:eastAsia="Times New Roman"/>
                <w:b/>
                <w:bCs/>
                <w:kern w:val="0"/>
                <w:sz w:val="22"/>
                <w:szCs w:val="22"/>
                <w:lang w:val="en-US" w:eastAsia="zh-CN"/>
              </w:rPr>
            </w:pPr>
            <w:r w:rsidRPr="00EE4FC1">
              <w:rPr>
                <w:rFonts w:eastAsia="Times New Roman"/>
                <w:b/>
                <w:bCs/>
                <w:kern w:val="0"/>
                <w:sz w:val="22"/>
                <w:szCs w:val="22"/>
                <w:lang w:val="en-US" w:eastAsia="zh-CN"/>
              </w:rPr>
              <w:t>Digital exclusion</w:t>
            </w:r>
          </w:p>
        </w:tc>
        <w:tc>
          <w:tcPr>
            <w:tcW w:w="0" w:type="auto"/>
            <w:tcBorders>
              <w:top w:val="nil"/>
              <w:left w:val="nil"/>
              <w:bottom w:val="single" w:sz="12" w:space="0" w:color="45B0E1"/>
              <w:right w:val="nil"/>
            </w:tcBorders>
            <w:shd w:val="clear" w:color="auto" w:fill="FFFFFF"/>
            <w:hideMark/>
          </w:tcPr>
          <w:p w14:paraId="16E8DEC3" w14:textId="77777777" w:rsidR="00EE4FC1" w:rsidRPr="00EE4FC1" w:rsidRDefault="00EE4FC1" w:rsidP="00EE4FC1">
            <w:pPr>
              <w:spacing w:after="0" w:line="259" w:lineRule="auto"/>
              <w:rPr>
                <w:rFonts w:eastAsia="Times New Roman"/>
                <w:b/>
                <w:bCs/>
                <w:kern w:val="0"/>
                <w:sz w:val="22"/>
                <w:szCs w:val="22"/>
                <w:lang w:val="en-US" w:eastAsia="zh-CN"/>
              </w:rPr>
            </w:pPr>
            <w:r w:rsidRPr="00EE4FC1">
              <w:rPr>
                <w:rFonts w:eastAsia="Times New Roman"/>
                <w:b/>
                <w:bCs/>
                <w:kern w:val="0"/>
                <w:sz w:val="22"/>
                <w:szCs w:val="22"/>
                <w:lang w:val="en-US" w:eastAsia="zh-CN"/>
              </w:rPr>
              <w:t>Technical difficulties</w:t>
            </w:r>
          </w:p>
        </w:tc>
        <w:tc>
          <w:tcPr>
            <w:tcW w:w="0" w:type="auto"/>
            <w:tcBorders>
              <w:top w:val="nil"/>
              <w:left w:val="nil"/>
              <w:bottom w:val="single" w:sz="12" w:space="0" w:color="45B0E1"/>
              <w:right w:val="nil"/>
            </w:tcBorders>
            <w:shd w:val="clear" w:color="auto" w:fill="FFFFFF"/>
            <w:hideMark/>
          </w:tcPr>
          <w:p w14:paraId="7EB695C2" w14:textId="77777777" w:rsidR="00EE4FC1" w:rsidRPr="00EE4FC1" w:rsidRDefault="00EE4FC1" w:rsidP="00EE4FC1">
            <w:pPr>
              <w:spacing w:after="0" w:line="259" w:lineRule="auto"/>
              <w:rPr>
                <w:rFonts w:eastAsia="Times New Roman"/>
                <w:b/>
                <w:bCs/>
                <w:kern w:val="0"/>
                <w:sz w:val="22"/>
                <w:szCs w:val="22"/>
                <w:lang w:val="en-US" w:eastAsia="zh-CN"/>
              </w:rPr>
            </w:pPr>
            <w:r w:rsidRPr="00EE4FC1">
              <w:rPr>
                <w:rFonts w:eastAsia="Times New Roman"/>
                <w:b/>
                <w:bCs/>
                <w:kern w:val="0"/>
                <w:sz w:val="22"/>
                <w:szCs w:val="22"/>
                <w:lang w:val="en-US" w:eastAsia="zh-CN"/>
              </w:rPr>
              <w:t>Diagnostic uncertainty / accuracy</w:t>
            </w:r>
          </w:p>
        </w:tc>
        <w:tc>
          <w:tcPr>
            <w:tcW w:w="1616" w:type="dxa"/>
            <w:tcBorders>
              <w:top w:val="nil"/>
              <w:left w:val="nil"/>
              <w:bottom w:val="single" w:sz="12" w:space="0" w:color="45B0E1"/>
            </w:tcBorders>
            <w:shd w:val="clear" w:color="auto" w:fill="FFFFFF"/>
            <w:hideMark/>
          </w:tcPr>
          <w:p w14:paraId="3D9C3926" w14:textId="77777777" w:rsidR="00EE4FC1" w:rsidRPr="00EE4FC1" w:rsidRDefault="00EE4FC1" w:rsidP="00EE4FC1">
            <w:pPr>
              <w:spacing w:after="0" w:line="259" w:lineRule="auto"/>
              <w:rPr>
                <w:rFonts w:eastAsia="Times New Roman"/>
                <w:b/>
                <w:bCs/>
                <w:kern w:val="0"/>
                <w:sz w:val="22"/>
                <w:szCs w:val="22"/>
                <w:lang w:val="en-US" w:eastAsia="zh-CN"/>
              </w:rPr>
            </w:pPr>
            <w:r w:rsidRPr="00EE4FC1">
              <w:rPr>
                <w:rFonts w:eastAsia="Times New Roman"/>
                <w:b/>
                <w:bCs/>
                <w:kern w:val="0"/>
                <w:sz w:val="22"/>
                <w:szCs w:val="22"/>
                <w:lang w:val="en-US" w:eastAsia="zh-CN"/>
              </w:rPr>
              <w:t>Face-to-face preference</w:t>
            </w:r>
          </w:p>
        </w:tc>
      </w:tr>
      <w:tr w:rsidR="00EE4FC1" w:rsidRPr="00EE4FC1" w14:paraId="20CBC8CF" w14:textId="77777777" w:rsidTr="00EE4FC1">
        <w:tc>
          <w:tcPr>
            <w:tcW w:w="1554" w:type="dxa"/>
            <w:shd w:val="clear" w:color="auto" w:fill="C1E4F5"/>
            <w:hideMark/>
          </w:tcPr>
          <w:p w14:paraId="6E86C882"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1. Lifford et al. (2023)</w:t>
            </w:r>
          </w:p>
        </w:tc>
        <w:tc>
          <w:tcPr>
            <w:tcW w:w="0" w:type="auto"/>
            <w:shd w:val="clear" w:color="auto" w:fill="C1E4F5"/>
            <w:hideMark/>
          </w:tcPr>
          <w:p w14:paraId="43C70CC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shd w:val="clear" w:color="auto" w:fill="C1E4F5"/>
            <w:hideMark/>
          </w:tcPr>
          <w:p w14:paraId="4642EBC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shd w:val="clear" w:color="auto" w:fill="C1E4F5"/>
            <w:hideMark/>
          </w:tcPr>
          <w:p w14:paraId="105B892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shd w:val="clear" w:color="auto" w:fill="C1E4F5"/>
            <w:hideMark/>
          </w:tcPr>
          <w:p w14:paraId="22A8A96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3B77BC4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shd w:val="clear" w:color="auto" w:fill="C1E4F5"/>
            <w:hideMark/>
          </w:tcPr>
          <w:p w14:paraId="7B7E737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616" w:type="dxa"/>
            <w:shd w:val="clear" w:color="auto" w:fill="C1E4F5"/>
            <w:hideMark/>
          </w:tcPr>
          <w:p w14:paraId="3D20724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r>
      <w:tr w:rsidR="00EE4FC1" w:rsidRPr="00EE4FC1" w14:paraId="687C12E7" w14:textId="77777777" w:rsidTr="00EE4FC1">
        <w:tc>
          <w:tcPr>
            <w:tcW w:w="1554" w:type="dxa"/>
            <w:hideMark/>
          </w:tcPr>
          <w:p w14:paraId="44E37295"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2. Islam et al. (2024)</w:t>
            </w:r>
          </w:p>
        </w:tc>
        <w:tc>
          <w:tcPr>
            <w:tcW w:w="0" w:type="auto"/>
            <w:hideMark/>
          </w:tcPr>
          <w:p w14:paraId="64AF9F9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408B099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30FB277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2E24E82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58E9F7C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22D46E0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616" w:type="dxa"/>
            <w:hideMark/>
          </w:tcPr>
          <w:p w14:paraId="4A8EEF3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2CEAFF90" w14:textId="77777777" w:rsidTr="00EE4FC1">
        <w:tc>
          <w:tcPr>
            <w:tcW w:w="1554" w:type="dxa"/>
            <w:shd w:val="clear" w:color="auto" w:fill="C1E4F5"/>
            <w:hideMark/>
          </w:tcPr>
          <w:p w14:paraId="7AEE26C5"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3. Turner et al. (2021)</w:t>
            </w:r>
          </w:p>
        </w:tc>
        <w:tc>
          <w:tcPr>
            <w:tcW w:w="0" w:type="auto"/>
            <w:shd w:val="clear" w:color="auto" w:fill="C1E4F5"/>
            <w:hideMark/>
          </w:tcPr>
          <w:p w14:paraId="1D52414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779E7E2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165B988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52F8645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1E2F296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1253A07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616" w:type="dxa"/>
            <w:shd w:val="clear" w:color="auto" w:fill="C1E4F5"/>
            <w:hideMark/>
          </w:tcPr>
          <w:p w14:paraId="2D40E05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428E5AEE" w14:textId="77777777" w:rsidTr="00EE4FC1">
        <w:tc>
          <w:tcPr>
            <w:tcW w:w="1554" w:type="dxa"/>
            <w:hideMark/>
          </w:tcPr>
          <w:p w14:paraId="4E5AF341"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4. Chadwick et al. (2024)</w:t>
            </w:r>
          </w:p>
        </w:tc>
        <w:tc>
          <w:tcPr>
            <w:tcW w:w="0" w:type="auto"/>
            <w:hideMark/>
          </w:tcPr>
          <w:p w14:paraId="1232EA7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4658C51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568F087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4844544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0063327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7892E76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616" w:type="dxa"/>
            <w:hideMark/>
          </w:tcPr>
          <w:p w14:paraId="36C51A4A"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20AA4F91" w14:textId="77777777" w:rsidTr="00EE4FC1">
        <w:tc>
          <w:tcPr>
            <w:tcW w:w="1554" w:type="dxa"/>
            <w:shd w:val="clear" w:color="auto" w:fill="C1E4F5"/>
            <w:hideMark/>
          </w:tcPr>
          <w:p w14:paraId="6A433254"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5. Anderson et al. (2021)</w:t>
            </w:r>
          </w:p>
        </w:tc>
        <w:tc>
          <w:tcPr>
            <w:tcW w:w="0" w:type="auto"/>
            <w:shd w:val="clear" w:color="auto" w:fill="C1E4F5"/>
            <w:hideMark/>
          </w:tcPr>
          <w:p w14:paraId="2EEEA08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13901C2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1A93D85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34E0080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shd w:val="clear" w:color="auto" w:fill="C1E4F5"/>
            <w:hideMark/>
          </w:tcPr>
          <w:p w14:paraId="119FEC4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3F371D9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616" w:type="dxa"/>
            <w:shd w:val="clear" w:color="auto" w:fill="C1E4F5"/>
            <w:hideMark/>
          </w:tcPr>
          <w:p w14:paraId="407697C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34D12781" w14:textId="77777777" w:rsidTr="00EE4FC1">
        <w:tc>
          <w:tcPr>
            <w:tcW w:w="1554" w:type="dxa"/>
            <w:hideMark/>
          </w:tcPr>
          <w:p w14:paraId="40BB3B14"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6. Leach et al. (2025)</w:t>
            </w:r>
          </w:p>
        </w:tc>
        <w:tc>
          <w:tcPr>
            <w:tcW w:w="0" w:type="auto"/>
            <w:hideMark/>
          </w:tcPr>
          <w:p w14:paraId="69D63A1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5A7F7DAA"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6804BF8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1934263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hideMark/>
          </w:tcPr>
          <w:p w14:paraId="00AAB7B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3057AA7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616" w:type="dxa"/>
            <w:hideMark/>
          </w:tcPr>
          <w:p w14:paraId="2E34A60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68D7227C" w14:textId="77777777" w:rsidTr="00EE4FC1">
        <w:tc>
          <w:tcPr>
            <w:tcW w:w="1554" w:type="dxa"/>
            <w:shd w:val="clear" w:color="auto" w:fill="C1E4F5"/>
            <w:hideMark/>
          </w:tcPr>
          <w:p w14:paraId="56E5455C"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7. de Visser et al. (2024)</w:t>
            </w:r>
          </w:p>
        </w:tc>
        <w:tc>
          <w:tcPr>
            <w:tcW w:w="0" w:type="auto"/>
            <w:shd w:val="clear" w:color="auto" w:fill="C1E4F5"/>
            <w:hideMark/>
          </w:tcPr>
          <w:p w14:paraId="34A2B32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60C091E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56AAFD0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78B8C2E9"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631A63A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066DACA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616" w:type="dxa"/>
            <w:shd w:val="clear" w:color="auto" w:fill="C1E4F5"/>
            <w:hideMark/>
          </w:tcPr>
          <w:p w14:paraId="388531E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5C34CDA9" w14:textId="77777777" w:rsidTr="00EE4FC1">
        <w:tc>
          <w:tcPr>
            <w:tcW w:w="1554" w:type="dxa"/>
            <w:hideMark/>
          </w:tcPr>
          <w:p w14:paraId="2052CD29"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8. Guo et al. (2026)</w:t>
            </w:r>
          </w:p>
        </w:tc>
        <w:tc>
          <w:tcPr>
            <w:tcW w:w="0" w:type="auto"/>
            <w:hideMark/>
          </w:tcPr>
          <w:p w14:paraId="239556C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332E71E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17D35B9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226D990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619588D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40AEDF3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616" w:type="dxa"/>
            <w:hideMark/>
          </w:tcPr>
          <w:p w14:paraId="0FB635A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589B83A5" w14:textId="77777777" w:rsidTr="00EE4FC1">
        <w:tc>
          <w:tcPr>
            <w:tcW w:w="1554" w:type="dxa"/>
            <w:shd w:val="clear" w:color="auto" w:fill="C1E4F5"/>
            <w:hideMark/>
          </w:tcPr>
          <w:p w14:paraId="70C2BA9D"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9. Hammersley et al. (2019)</w:t>
            </w:r>
          </w:p>
        </w:tc>
        <w:tc>
          <w:tcPr>
            <w:tcW w:w="0" w:type="auto"/>
            <w:shd w:val="clear" w:color="auto" w:fill="C1E4F5"/>
            <w:hideMark/>
          </w:tcPr>
          <w:p w14:paraId="797DFA4A"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70F7E03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706291F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1087DDF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shd w:val="clear" w:color="auto" w:fill="C1E4F5"/>
            <w:hideMark/>
          </w:tcPr>
          <w:p w14:paraId="475C4AF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3AB3C81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616" w:type="dxa"/>
            <w:shd w:val="clear" w:color="auto" w:fill="C1E4F5"/>
            <w:hideMark/>
          </w:tcPr>
          <w:p w14:paraId="1E0FA0E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4A9F4A84" w14:textId="77777777" w:rsidTr="00EE4FC1">
        <w:tc>
          <w:tcPr>
            <w:tcW w:w="1554" w:type="dxa"/>
            <w:hideMark/>
          </w:tcPr>
          <w:p w14:paraId="61163BB6"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10. Donaghy et al. (2019)</w:t>
            </w:r>
          </w:p>
        </w:tc>
        <w:tc>
          <w:tcPr>
            <w:tcW w:w="0" w:type="auto"/>
            <w:hideMark/>
          </w:tcPr>
          <w:p w14:paraId="2CFDAF1A"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1B33473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193F1F5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25A1D56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4C83810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6BF958A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616" w:type="dxa"/>
            <w:hideMark/>
          </w:tcPr>
          <w:p w14:paraId="57CC106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5D89E2CC" w14:textId="77777777" w:rsidTr="00EE4FC1">
        <w:tc>
          <w:tcPr>
            <w:tcW w:w="1554" w:type="dxa"/>
            <w:shd w:val="clear" w:color="auto" w:fill="C1E4F5"/>
            <w:hideMark/>
          </w:tcPr>
          <w:p w14:paraId="5BFA7BC6"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11. Archer et al. (2025)</w:t>
            </w:r>
          </w:p>
        </w:tc>
        <w:tc>
          <w:tcPr>
            <w:tcW w:w="0" w:type="auto"/>
            <w:shd w:val="clear" w:color="auto" w:fill="C1E4F5"/>
            <w:hideMark/>
          </w:tcPr>
          <w:p w14:paraId="336B424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34D9A3F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1C73E0D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24868FF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shd w:val="clear" w:color="auto" w:fill="C1E4F5"/>
            <w:hideMark/>
          </w:tcPr>
          <w:p w14:paraId="594D14F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shd w:val="clear" w:color="auto" w:fill="C1E4F5"/>
            <w:hideMark/>
          </w:tcPr>
          <w:p w14:paraId="7D29868A"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616" w:type="dxa"/>
            <w:shd w:val="clear" w:color="auto" w:fill="C1E4F5"/>
            <w:hideMark/>
          </w:tcPr>
          <w:p w14:paraId="3D1B5B49"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383F91DF" w14:textId="77777777" w:rsidTr="00EE4FC1">
        <w:tc>
          <w:tcPr>
            <w:tcW w:w="1554" w:type="dxa"/>
            <w:hideMark/>
          </w:tcPr>
          <w:p w14:paraId="0DCE9FCD"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12. Papoutsi et al. (2022)</w:t>
            </w:r>
          </w:p>
        </w:tc>
        <w:tc>
          <w:tcPr>
            <w:tcW w:w="0" w:type="auto"/>
            <w:hideMark/>
          </w:tcPr>
          <w:p w14:paraId="4AD5405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7211D3F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30FCC74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6C76AD7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1FE9759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0" w:type="auto"/>
            <w:hideMark/>
          </w:tcPr>
          <w:p w14:paraId="5A4FEC2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616" w:type="dxa"/>
            <w:hideMark/>
          </w:tcPr>
          <w:p w14:paraId="4723820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bl>
    <w:p w14:paraId="79CBD73F" w14:textId="77777777" w:rsidR="00EE4FC1" w:rsidRPr="00EE4FC1" w:rsidRDefault="00EE4FC1" w:rsidP="00EE4FC1">
      <w:pPr>
        <w:spacing w:line="360" w:lineRule="auto"/>
        <w:jc w:val="both"/>
        <w:rPr>
          <w:rFonts w:ascii="Arial" w:eastAsia="PMingLiU" w:hAnsi="Arial" w:cs="Arial"/>
          <w:sz w:val="22"/>
          <w:szCs w:val="22"/>
          <w:lang w:val="en-US" w:eastAsia="zh-CN"/>
        </w:rPr>
      </w:pPr>
    </w:p>
    <w:p w14:paraId="1C0D97C8" w14:textId="18B45656"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lastRenderedPageBreak/>
        <w:t xml:space="preserve">Islam et al. (2024) noted that the health care provider was perceived as impersonal by some patients during consultations via telemedicine, especially when discussing sensitive health topics. Likewise, Chadwick et al. (2024) noted that patients sometimes have trouble articulating symptoms in a virtual setting. Limited physical examinations also led to some degree of dissatisfaction and </w:t>
      </w:r>
      <w:r w:rsidR="00095A06" w:rsidRPr="00EE4FC1">
        <w:rPr>
          <w:rFonts w:ascii="Arial" w:eastAsia="PMingLiU" w:hAnsi="Arial" w:cs="Arial"/>
          <w:sz w:val="22"/>
          <w:szCs w:val="22"/>
          <w:lang w:val="en-US" w:eastAsia="zh-CN"/>
        </w:rPr>
        <w:t>uncertainty</w:t>
      </w:r>
      <w:r w:rsidRPr="00EE4FC1">
        <w:rPr>
          <w:rFonts w:ascii="Arial" w:eastAsia="PMingLiU" w:hAnsi="Arial" w:cs="Arial"/>
          <w:sz w:val="22"/>
          <w:szCs w:val="22"/>
          <w:lang w:val="en-US" w:eastAsia="zh-CN"/>
        </w:rPr>
        <w:t xml:space="preserve"> about the accuracy of diagnosis (Turner et al., 2021).</w:t>
      </w:r>
    </w:p>
    <w:p w14:paraId="50848BED" w14:textId="2F93B83F"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Another important challenge was identified in the studies as digital exclusion. Older people, people with less technological literacy, and those who are socioeconomically disadvantaged, reported challenges accessing video consultation platforms. Technological confidence and digital capability were both identified as factors that impact telemedicine experiences by Donaghy et al. (2019) and Guo et al. (2026).</w:t>
      </w:r>
    </w:p>
    <w:p w14:paraId="07F8ECC0"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sz w:val="22"/>
          <w:szCs w:val="22"/>
          <w:lang w:val="en-US" w:eastAsia="zh-CN"/>
        </w:rPr>
        <w:t>Other technical issues such as unreliable internet connections, audio issues, and lack of experience with telemedicine platforms were noted as factors that may prevent effective telemedicine experiences. These difficulties occurred more during the video consultations than during the telephone consultations.</w:t>
      </w:r>
    </w:p>
    <w:p w14:paraId="739F3992"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eastAsia="zh-CN"/>
        </w:rPr>
      </w:pPr>
      <w:bookmarkStart w:id="68" w:name="_Toc241618982"/>
      <w:r w:rsidRPr="00EE4FC1">
        <w:rPr>
          <w:rFonts w:ascii="Arial" w:eastAsia="PMingLiU" w:hAnsi="Arial" w:cs="Arial"/>
          <w:b/>
          <w:bCs/>
          <w:sz w:val="22"/>
          <w:szCs w:val="22"/>
          <w:lang w:eastAsia="zh-CN"/>
        </w:rPr>
        <w:t>4.3 Reported Levels of Perceived Quality of Telemedicine Use in UK Primary Care</w:t>
      </w:r>
      <w:bookmarkEnd w:id="68"/>
    </w:p>
    <w:p w14:paraId="3E707C3E" w14:textId="77777777" w:rsidR="00EE4FC1" w:rsidRPr="00EE4FC1" w:rsidRDefault="00EE4FC1" w:rsidP="00EE4FC1">
      <w:pPr>
        <w:spacing w:line="360" w:lineRule="auto"/>
        <w:jc w:val="both"/>
        <w:rPr>
          <w:rFonts w:ascii="Arial" w:eastAsia="PMingLiU" w:hAnsi="Arial" w:cs="Arial"/>
          <w:b/>
          <w:bCs/>
          <w:sz w:val="22"/>
          <w:szCs w:val="22"/>
          <w:lang w:eastAsia="zh-CN"/>
        </w:rPr>
      </w:pPr>
      <w:r w:rsidRPr="00EE4FC1">
        <w:rPr>
          <w:rFonts w:ascii="Arial" w:eastAsia="PMingLiU" w:hAnsi="Arial" w:cs="Arial"/>
          <w:sz w:val="22"/>
          <w:szCs w:val="22"/>
          <w:lang w:eastAsia="zh-CN"/>
        </w:rPr>
        <w:t>The second aim of this systematic review was to identify levels of perceived quality of telemedicine use within primary care in the United Kingdom (UK). In all of the reviewed studies patients rated healthcare access, communication, continuity, responsiveness, convenience, safety and overall consultation experience as indicators of perceived quality. The results indicated mostly positive attitudes toward the quality of telemedicine services, with some issues related to the diagnostic confidence, technological challenges, and the lack of personal contact identified.</w:t>
      </w:r>
    </w:p>
    <w:p w14:paraId="7C5B2711"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b/>
          <w:bCs/>
          <w:sz w:val="22"/>
          <w:szCs w:val="22"/>
          <w:lang w:eastAsia="zh-CN"/>
        </w:rPr>
        <w:t xml:space="preserve">4.3.1 </w:t>
      </w:r>
      <w:r w:rsidRPr="00EE4FC1">
        <w:rPr>
          <w:rFonts w:ascii="Arial" w:eastAsia="PMingLiU" w:hAnsi="Arial" w:cs="Arial"/>
          <w:b/>
          <w:bCs/>
          <w:sz w:val="22"/>
          <w:szCs w:val="22"/>
          <w:lang w:val="en-US" w:eastAsia="zh-CN"/>
        </w:rPr>
        <w:t>Perceived Accessibility and Convenience of Telemedicine</w:t>
      </w:r>
    </w:p>
    <w:p w14:paraId="4FF6C17E"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Accessibility and convenience of services were found to be consistent findings of the reviewed studies as indicators of perceived quality in telemedicine services. Patients reported better access to health-care services, especially during COVID-19, when accessing health-care facilities was limited due to the requirement of physical attendance. As can be observed in Table </w:t>
      </w:r>
      <w:r w:rsidR="00873449">
        <w:rPr>
          <w:rFonts w:ascii="Arial" w:eastAsia="PMingLiU" w:hAnsi="Arial" w:cs="Arial"/>
          <w:sz w:val="22"/>
          <w:szCs w:val="22"/>
          <w:lang w:val="en-US" w:eastAsia="zh-CN"/>
        </w:rPr>
        <w:t>6</w:t>
      </w:r>
      <w:r w:rsidRPr="00EE4FC1">
        <w:rPr>
          <w:rFonts w:ascii="Arial" w:eastAsia="PMingLiU" w:hAnsi="Arial" w:cs="Arial"/>
          <w:sz w:val="22"/>
          <w:szCs w:val="22"/>
          <w:lang w:val="en-US" w:eastAsia="zh-CN"/>
        </w:rPr>
        <w:t xml:space="preserve"> below, accessibility-related benefits were one of the most common quality indicators reported in the studies included.</w:t>
      </w:r>
    </w:p>
    <w:p w14:paraId="4869E473" w14:textId="77777777" w:rsidR="00EE4FC1" w:rsidRDefault="00EE4FC1" w:rsidP="00EE4FC1">
      <w:pPr>
        <w:spacing w:line="360" w:lineRule="auto"/>
        <w:jc w:val="both"/>
        <w:rPr>
          <w:rFonts w:ascii="Arial" w:eastAsia="PMingLiU" w:hAnsi="Arial" w:cs="Arial"/>
          <w:sz w:val="22"/>
          <w:szCs w:val="22"/>
          <w:lang w:val="en-US" w:eastAsia="zh-CN"/>
        </w:rPr>
      </w:pPr>
    </w:p>
    <w:p w14:paraId="2A38EEA2" w14:textId="77777777" w:rsidR="00580FC5" w:rsidRDefault="00580FC5" w:rsidP="00EE4FC1">
      <w:pPr>
        <w:spacing w:line="360" w:lineRule="auto"/>
        <w:jc w:val="both"/>
        <w:rPr>
          <w:rFonts w:ascii="Arial" w:eastAsia="PMingLiU" w:hAnsi="Arial" w:cs="Arial"/>
          <w:sz w:val="22"/>
          <w:szCs w:val="22"/>
          <w:lang w:val="en-US" w:eastAsia="zh-CN"/>
        </w:rPr>
      </w:pPr>
    </w:p>
    <w:p w14:paraId="3ACFB5D8" w14:textId="77777777" w:rsidR="00580FC5" w:rsidRDefault="00580FC5" w:rsidP="00EE4FC1">
      <w:pPr>
        <w:spacing w:line="360" w:lineRule="auto"/>
        <w:jc w:val="both"/>
        <w:rPr>
          <w:rFonts w:ascii="Arial" w:eastAsia="PMingLiU" w:hAnsi="Arial" w:cs="Arial"/>
          <w:sz w:val="22"/>
          <w:szCs w:val="22"/>
          <w:lang w:val="en-US" w:eastAsia="zh-CN"/>
        </w:rPr>
      </w:pPr>
    </w:p>
    <w:p w14:paraId="3017D557" w14:textId="77777777" w:rsidR="00580FC5" w:rsidRPr="00EE4FC1" w:rsidRDefault="00580FC5" w:rsidP="00EE4FC1">
      <w:pPr>
        <w:spacing w:line="360" w:lineRule="auto"/>
        <w:jc w:val="both"/>
        <w:rPr>
          <w:rFonts w:ascii="Arial" w:eastAsia="PMingLiU" w:hAnsi="Arial" w:cs="Arial"/>
          <w:sz w:val="22"/>
          <w:szCs w:val="22"/>
          <w:lang w:val="en-US" w:eastAsia="zh-CN"/>
        </w:rPr>
      </w:pPr>
    </w:p>
    <w:p w14:paraId="216DFC47" w14:textId="77777777" w:rsidR="00EE4FC1" w:rsidRPr="00EE4FC1" w:rsidRDefault="00EE4FC1" w:rsidP="00EE4FC1">
      <w:pPr>
        <w:spacing w:after="200" w:line="360" w:lineRule="auto"/>
        <w:rPr>
          <w:rFonts w:ascii="Arial" w:eastAsia="Arial" w:hAnsi="Arial" w:cs="Arial"/>
          <w:kern w:val="0"/>
          <w:sz w:val="22"/>
          <w:szCs w:val="22"/>
        </w:rPr>
      </w:pPr>
      <w:bookmarkStart w:id="69" w:name="_Toc238386929"/>
      <w:bookmarkStart w:id="70" w:name="_Toc238386943"/>
      <w:r w:rsidRPr="00EE4FC1">
        <w:rPr>
          <w:rFonts w:ascii="Arial" w:eastAsia="Arial" w:hAnsi="Arial" w:cs="Arial"/>
          <w:kern w:val="0"/>
          <w:sz w:val="22"/>
          <w:szCs w:val="22"/>
        </w:rPr>
        <w:lastRenderedPageBreak/>
        <w:t>Table</w:t>
      </w:r>
      <w:r w:rsidR="00873449">
        <w:rPr>
          <w:rFonts w:ascii="Arial" w:eastAsia="Arial" w:hAnsi="Arial" w:cs="Arial"/>
          <w:kern w:val="0"/>
          <w:sz w:val="22"/>
          <w:szCs w:val="22"/>
        </w:rPr>
        <w:t xml:space="preserve"> 6</w:t>
      </w:r>
      <w:r w:rsidRPr="00EE4FC1">
        <w:rPr>
          <w:rFonts w:ascii="Arial" w:eastAsia="Arial" w:hAnsi="Arial" w:cs="Arial"/>
          <w:kern w:val="0"/>
          <w:sz w:val="22"/>
          <w:szCs w:val="22"/>
        </w:rPr>
        <w:t xml:space="preserve">: </w:t>
      </w:r>
      <w:r w:rsidRPr="00095A06">
        <w:rPr>
          <w:rFonts w:ascii="Arial" w:eastAsia="Arial" w:hAnsi="Arial" w:cs="Arial"/>
          <w:b/>
          <w:bCs/>
          <w:kern w:val="0"/>
          <w:sz w:val="22"/>
          <w:szCs w:val="22"/>
        </w:rPr>
        <w:t>Reported Positive Quality Indicators of Telemedicine in UK Primary Care</w:t>
      </w:r>
      <w:bookmarkEnd w:id="69"/>
      <w:bookmarkEnd w:id="70"/>
    </w:p>
    <w:tbl>
      <w:tblPr>
        <w:tblW w:w="11700" w:type="dxa"/>
        <w:tblInd w:w="-1350" w:type="dxa"/>
        <w:tblBorders>
          <w:top w:val="single" w:sz="2" w:space="0" w:color="45B0E1"/>
          <w:bottom w:val="single" w:sz="2" w:space="0" w:color="45B0E1"/>
          <w:insideH w:val="single" w:sz="2" w:space="0" w:color="45B0E1"/>
          <w:insideV w:val="single" w:sz="2" w:space="0" w:color="45B0E1"/>
        </w:tblBorders>
        <w:tblLayout w:type="fixed"/>
        <w:tblLook w:val="04A0" w:firstRow="1" w:lastRow="0" w:firstColumn="1" w:lastColumn="0" w:noHBand="0" w:noVBand="1"/>
      </w:tblPr>
      <w:tblGrid>
        <w:gridCol w:w="2075"/>
        <w:gridCol w:w="1482"/>
        <w:gridCol w:w="1532"/>
        <w:gridCol w:w="1107"/>
        <w:gridCol w:w="1264"/>
        <w:gridCol w:w="1371"/>
        <w:gridCol w:w="1340"/>
        <w:gridCol w:w="1529"/>
      </w:tblGrid>
      <w:tr w:rsidR="00EE4FC1" w:rsidRPr="00EE4FC1" w14:paraId="12931934" w14:textId="77777777" w:rsidTr="00EE4FC1">
        <w:trPr>
          <w:trHeight w:val="1080"/>
        </w:trPr>
        <w:tc>
          <w:tcPr>
            <w:tcW w:w="2075" w:type="dxa"/>
            <w:tcBorders>
              <w:top w:val="nil"/>
              <w:bottom w:val="single" w:sz="12" w:space="0" w:color="45B0E1"/>
              <w:right w:val="nil"/>
            </w:tcBorders>
            <w:shd w:val="clear" w:color="auto" w:fill="FFFFFF"/>
            <w:hideMark/>
          </w:tcPr>
          <w:p w14:paraId="1373E3D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Study</w:t>
            </w:r>
          </w:p>
        </w:tc>
        <w:tc>
          <w:tcPr>
            <w:tcW w:w="1482" w:type="dxa"/>
            <w:tcBorders>
              <w:top w:val="nil"/>
              <w:left w:val="nil"/>
              <w:bottom w:val="single" w:sz="12" w:space="0" w:color="45B0E1"/>
              <w:right w:val="nil"/>
            </w:tcBorders>
            <w:shd w:val="clear" w:color="auto" w:fill="FFFFFF"/>
            <w:hideMark/>
          </w:tcPr>
          <w:p w14:paraId="5FF99EB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Improved accessibility</w:t>
            </w:r>
          </w:p>
        </w:tc>
        <w:tc>
          <w:tcPr>
            <w:tcW w:w="1532" w:type="dxa"/>
            <w:tcBorders>
              <w:top w:val="nil"/>
              <w:left w:val="nil"/>
              <w:bottom w:val="single" w:sz="12" w:space="0" w:color="45B0E1"/>
              <w:right w:val="nil"/>
            </w:tcBorders>
            <w:shd w:val="clear" w:color="auto" w:fill="FFFFFF"/>
            <w:hideMark/>
          </w:tcPr>
          <w:p w14:paraId="064A3E2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Convenience / flexibility</w:t>
            </w:r>
          </w:p>
        </w:tc>
        <w:tc>
          <w:tcPr>
            <w:tcW w:w="1107" w:type="dxa"/>
            <w:tcBorders>
              <w:top w:val="nil"/>
              <w:left w:val="nil"/>
              <w:bottom w:val="single" w:sz="12" w:space="0" w:color="45B0E1"/>
              <w:right w:val="nil"/>
            </w:tcBorders>
            <w:shd w:val="clear" w:color="auto" w:fill="FFFFFF"/>
            <w:hideMark/>
          </w:tcPr>
          <w:p w14:paraId="6940159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Reduced waiting time</w:t>
            </w:r>
          </w:p>
        </w:tc>
        <w:tc>
          <w:tcPr>
            <w:tcW w:w="1264" w:type="dxa"/>
            <w:tcBorders>
              <w:top w:val="nil"/>
              <w:left w:val="nil"/>
              <w:bottom w:val="single" w:sz="12" w:space="0" w:color="45B0E1"/>
              <w:right w:val="nil"/>
            </w:tcBorders>
            <w:shd w:val="clear" w:color="auto" w:fill="FFFFFF"/>
            <w:hideMark/>
          </w:tcPr>
          <w:p w14:paraId="5A8857FB"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Continuity of care</w:t>
            </w:r>
          </w:p>
        </w:tc>
        <w:tc>
          <w:tcPr>
            <w:tcW w:w="1371" w:type="dxa"/>
            <w:tcBorders>
              <w:top w:val="nil"/>
              <w:left w:val="nil"/>
              <w:bottom w:val="single" w:sz="12" w:space="0" w:color="45B0E1"/>
              <w:right w:val="nil"/>
            </w:tcBorders>
            <w:shd w:val="clear" w:color="auto" w:fill="FFFFFF"/>
            <w:hideMark/>
          </w:tcPr>
          <w:p w14:paraId="3BA41F2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Reduced travel burden</w:t>
            </w:r>
          </w:p>
        </w:tc>
        <w:tc>
          <w:tcPr>
            <w:tcW w:w="1340" w:type="dxa"/>
            <w:tcBorders>
              <w:top w:val="nil"/>
              <w:left w:val="nil"/>
              <w:bottom w:val="single" w:sz="12" w:space="0" w:color="45B0E1"/>
              <w:right w:val="nil"/>
            </w:tcBorders>
            <w:shd w:val="clear" w:color="auto" w:fill="FFFFFF"/>
            <w:hideMark/>
          </w:tcPr>
          <w:p w14:paraId="224B4B39"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Timely access to care</w:t>
            </w:r>
          </w:p>
        </w:tc>
        <w:tc>
          <w:tcPr>
            <w:tcW w:w="1529" w:type="dxa"/>
            <w:tcBorders>
              <w:top w:val="nil"/>
              <w:left w:val="nil"/>
              <w:bottom w:val="single" w:sz="12" w:space="0" w:color="45B0E1"/>
            </w:tcBorders>
            <w:shd w:val="clear" w:color="auto" w:fill="FFFFFF"/>
            <w:hideMark/>
          </w:tcPr>
          <w:p w14:paraId="3D91847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Positive communication</w:t>
            </w:r>
          </w:p>
        </w:tc>
      </w:tr>
      <w:tr w:rsidR="00EE4FC1" w:rsidRPr="00EE4FC1" w14:paraId="7E7FF9B5" w14:textId="77777777" w:rsidTr="00EE4FC1">
        <w:tc>
          <w:tcPr>
            <w:tcW w:w="2075" w:type="dxa"/>
            <w:shd w:val="clear" w:color="auto" w:fill="C1E4F5"/>
            <w:hideMark/>
          </w:tcPr>
          <w:p w14:paraId="303AA92C"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1. Lifford et al. (2023)</w:t>
            </w:r>
          </w:p>
        </w:tc>
        <w:tc>
          <w:tcPr>
            <w:tcW w:w="1482" w:type="dxa"/>
            <w:shd w:val="clear" w:color="auto" w:fill="C1E4F5"/>
            <w:hideMark/>
          </w:tcPr>
          <w:p w14:paraId="5578C92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32" w:type="dxa"/>
            <w:shd w:val="clear" w:color="auto" w:fill="C1E4F5"/>
            <w:hideMark/>
          </w:tcPr>
          <w:p w14:paraId="15CB05D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107" w:type="dxa"/>
            <w:shd w:val="clear" w:color="auto" w:fill="C1E4F5"/>
            <w:hideMark/>
          </w:tcPr>
          <w:p w14:paraId="28ACB77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264" w:type="dxa"/>
            <w:shd w:val="clear" w:color="auto" w:fill="C1E4F5"/>
            <w:hideMark/>
          </w:tcPr>
          <w:p w14:paraId="050640D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371" w:type="dxa"/>
            <w:shd w:val="clear" w:color="auto" w:fill="C1E4F5"/>
            <w:hideMark/>
          </w:tcPr>
          <w:p w14:paraId="5BF178C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340" w:type="dxa"/>
            <w:shd w:val="clear" w:color="auto" w:fill="C1E4F5"/>
            <w:hideMark/>
          </w:tcPr>
          <w:p w14:paraId="59B4395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29" w:type="dxa"/>
            <w:shd w:val="clear" w:color="auto" w:fill="C1E4F5"/>
            <w:hideMark/>
          </w:tcPr>
          <w:p w14:paraId="7209D6B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r>
      <w:tr w:rsidR="00EE4FC1" w:rsidRPr="00EE4FC1" w14:paraId="13AAA69C" w14:textId="77777777" w:rsidTr="00EE4FC1">
        <w:tc>
          <w:tcPr>
            <w:tcW w:w="2075" w:type="dxa"/>
            <w:hideMark/>
          </w:tcPr>
          <w:p w14:paraId="0E9B87EC"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2. Islam et al. (2024)</w:t>
            </w:r>
          </w:p>
        </w:tc>
        <w:tc>
          <w:tcPr>
            <w:tcW w:w="1482" w:type="dxa"/>
            <w:hideMark/>
          </w:tcPr>
          <w:p w14:paraId="7FBA234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32" w:type="dxa"/>
            <w:hideMark/>
          </w:tcPr>
          <w:p w14:paraId="22E7492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107" w:type="dxa"/>
            <w:hideMark/>
          </w:tcPr>
          <w:p w14:paraId="1DED72F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264" w:type="dxa"/>
            <w:hideMark/>
          </w:tcPr>
          <w:p w14:paraId="39616BB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371" w:type="dxa"/>
            <w:hideMark/>
          </w:tcPr>
          <w:p w14:paraId="696E257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340" w:type="dxa"/>
            <w:hideMark/>
          </w:tcPr>
          <w:p w14:paraId="41A04C3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29" w:type="dxa"/>
            <w:hideMark/>
          </w:tcPr>
          <w:p w14:paraId="3D98380A"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r>
      <w:tr w:rsidR="00EE4FC1" w:rsidRPr="00EE4FC1" w14:paraId="7E4B03D2" w14:textId="77777777" w:rsidTr="00EE4FC1">
        <w:tc>
          <w:tcPr>
            <w:tcW w:w="2075" w:type="dxa"/>
            <w:shd w:val="clear" w:color="auto" w:fill="C1E4F5"/>
            <w:hideMark/>
          </w:tcPr>
          <w:p w14:paraId="14C67362"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3. Turner et al. (2021)</w:t>
            </w:r>
          </w:p>
        </w:tc>
        <w:tc>
          <w:tcPr>
            <w:tcW w:w="1482" w:type="dxa"/>
            <w:shd w:val="clear" w:color="auto" w:fill="C1E4F5"/>
            <w:hideMark/>
          </w:tcPr>
          <w:p w14:paraId="1C453FB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532" w:type="dxa"/>
            <w:shd w:val="clear" w:color="auto" w:fill="C1E4F5"/>
            <w:hideMark/>
          </w:tcPr>
          <w:p w14:paraId="27AACD9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107" w:type="dxa"/>
            <w:shd w:val="clear" w:color="auto" w:fill="C1E4F5"/>
            <w:hideMark/>
          </w:tcPr>
          <w:p w14:paraId="5E9CE4FA"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264" w:type="dxa"/>
            <w:shd w:val="clear" w:color="auto" w:fill="C1E4F5"/>
            <w:hideMark/>
          </w:tcPr>
          <w:p w14:paraId="4409389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371" w:type="dxa"/>
            <w:shd w:val="clear" w:color="auto" w:fill="C1E4F5"/>
            <w:hideMark/>
          </w:tcPr>
          <w:p w14:paraId="30CCD6AB"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340" w:type="dxa"/>
            <w:shd w:val="clear" w:color="auto" w:fill="C1E4F5"/>
            <w:hideMark/>
          </w:tcPr>
          <w:p w14:paraId="3D54217B"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529" w:type="dxa"/>
            <w:shd w:val="clear" w:color="auto" w:fill="C1E4F5"/>
            <w:hideMark/>
          </w:tcPr>
          <w:p w14:paraId="5F9550D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72B480B9" w14:textId="77777777" w:rsidTr="00EE4FC1">
        <w:tc>
          <w:tcPr>
            <w:tcW w:w="2075" w:type="dxa"/>
            <w:hideMark/>
          </w:tcPr>
          <w:p w14:paraId="1EDE8694"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4. Chadwick et al. (2024)</w:t>
            </w:r>
          </w:p>
        </w:tc>
        <w:tc>
          <w:tcPr>
            <w:tcW w:w="1482" w:type="dxa"/>
            <w:hideMark/>
          </w:tcPr>
          <w:p w14:paraId="59DD95D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32" w:type="dxa"/>
            <w:hideMark/>
          </w:tcPr>
          <w:p w14:paraId="24CA03D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107" w:type="dxa"/>
            <w:hideMark/>
          </w:tcPr>
          <w:p w14:paraId="750130E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264" w:type="dxa"/>
            <w:hideMark/>
          </w:tcPr>
          <w:p w14:paraId="49BF09A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371" w:type="dxa"/>
            <w:hideMark/>
          </w:tcPr>
          <w:p w14:paraId="40E23AC9"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340" w:type="dxa"/>
            <w:hideMark/>
          </w:tcPr>
          <w:p w14:paraId="41F6192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529" w:type="dxa"/>
            <w:hideMark/>
          </w:tcPr>
          <w:p w14:paraId="193072E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r>
      <w:tr w:rsidR="00EE4FC1" w:rsidRPr="00EE4FC1" w14:paraId="338211AC" w14:textId="77777777" w:rsidTr="00EE4FC1">
        <w:tc>
          <w:tcPr>
            <w:tcW w:w="2075" w:type="dxa"/>
            <w:shd w:val="clear" w:color="auto" w:fill="C1E4F5"/>
            <w:hideMark/>
          </w:tcPr>
          <w:p w14:paraId="11BB28A1"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5. Anderson et al. (2021)</w:t>
            </w:r>
          </w:p>
        </w:tc>
        <w:tc>
          <w:tcPr>
            <w:tcW w:w="1482" w:type="dxa"/>
            <w:shd w:val="clear" w:color="auto" w:fill="C1E4F5"/>
            <w:hideMark/>
          </w:tcPr>
          <w:p w14:paraId="54125FD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32" w:type="dxa"/>
            <w:shd w:val="clear" w:color="auto" w:fill="C1E4F5"/>
            <w:hideMark/>
          </w:tcPr>
          <w:p w14:paraId="5FF45DA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107" w:type="dxa"/>
            <w:shd w:val="clear" w:color="auto" w:fill="C1E4F5"/>
            <w:hideMark/>
          </w:tcPr>
          <w:p w14:paraId="3CBA9F1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264" w:type="dxa"/>
            <w:shd w:val="clear" w:color="auto" w:fill="C1E4F5"/>
            <w:hideMark/>
          </w:tcPr>
          <w:p w14:paraId="5E7749F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371" w:type="dxa"/>
            <w:shd w:val="clear" w:color="auto" w:fill="C1E4F5"/>
            <w:hideMark/>
          </w:tcPr>
          <w:p w14:paraId="215D838A"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340" w:type="dxa"/>
            <w:shd w:val="clear" w:color="auto" w:fill="C1E4F5"/>
            <w:hideMark/>
          </w:tcPr>
          <w:p w14:paraId="1B8C13C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29" w:type="dxa"/>
            <w:shd w:val="clear" w:color="auto" w:fill="C1E4F5"/>
            <w:hideMark/>
          </w:tcPr>
          <w:p w14:paraId="67E0BB6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5144A411" w14:textId="77777777" w:rsidTr="00EE4FC1">
        <w:tc>
          <w:tcPr>
            <w:tcW w:w="2075" w:type="dxa"/>
            <w:hideMark/>
          </w:tcPr>
          <w:p w14:paraId="1FECB041"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6. Leach et al. (2025)</w:t>
            </w:r>
          </w:p>
        </w:tc>
        <w:tc>
          <w:tcPr>
            <w:tcW w:w="1482" w:type="dxa"/>
            <w:hideMark/>
          </w:tcPr>
          <w:p w14:paraId="56326D0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32" w:type="dxa"/>
            <w:hideMark/>
          </w:tcPr>
          <w:p w14:paraId="678C8C7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107" w:type="dxa"/>
            <w:hideMark/>
          </w:tcPr>
          <w:p w14:paraId="15F5878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264" w:type="dxa"/>
            <w:hideMark/>
          </w:tcPr>
          <w:p w14:paraId="075DE94B"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371" w:type="dxa"/>
            <w:hideMark/>
          </w:tcPr>
          <w:p w14:paraId="38CB972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340" w:type="dxa"/>
            <w:hideMark/>
          </w:tcPr>
          <w:p w14:paraId="7572496B"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529" w:type="dxa"/>
            <w:hideMark/>
          </w:tcPr>
          <w:p w14:paraId="3C778C0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7A070DD4" w14:textId="77777777" w:rsidTr="00EE4FC1">
        <w:tc>
          <w:tcPr>
            <w:tcW w:w="2075" w:type="dxa"/>
            <w:shd w:val="clear" w:color="auto" w:fill="C1E4F5"/>
            <w:hideMark/>
          </w:tcPr>
          <w:p w14:paraId="5156F5BE"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7. de Visser et al. (2024)</w:t>
            </w:r>
          </w:p>
        </w:tc>
        <w:tc>
          <w:tcPr>
            <w:tcW w:w="1482" w:type="dxa"/>
            <w:shd w:val="clear" w:color="auto" w:fill="C1E4F5"/>
            <w:hideMark/>
          </w:tcPr>
          <w:p w14:paraId="101E648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32" w:type="dxa"/>
            <w:shd w:val="clear" w:color="auto" w:fill="C1E4F5"/>
            <w:hideMark/>
          </w:tcPr>
          <w:p w14:paraId="79023A3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107" w:type="dxa"/>
            <w:shd w:val="clear" w:color="auto" w:fill="C1E4F5"/>
            <w:hideMark/>
          </w:tcPr>
          <w:p w14:paraId="6581621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264" w:type="dxa"/>
            <w:shd w:val="clear" w:color="auto" w:fill="C1E4F5"/>
            <w:hideMark/>
          </w:tcPr>
          <w:p w14:paraId="2F9E140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371" w:type="dxa"/>
            <w:shd w:val="clear" w:color="auto" w:fill="C1E4F5"/>
            <w:hideMark/>
          </w:tcPr>
          <w:p w14:paraId="5E7254E9"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340" w:type="dxa"/>
            <w:shd w:val="clear" w:color="auto" w:fill="C1E4F5"/>
            <w:hideMark/>
          </w:tcPr>
          <w:p w14:paraId="633053B9"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29" w:type="dxa"/>
            <w:shd w:val="clear" w:color="auto" w:fill="C1E4F5"/>
            <w:hideMark/>
          </w:tcPr>
          <w:p w14:paraId="5008BB5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196EA705" w14:textId="77777777" w:rsidTr="00EE4FC1">
        <w:tc>
          <w:tcPr>
            <w:tcW w:w="2075" w:type="dxa"/>
            <w:hideMark/>
          </w:tcPr>
          <w:p w14:paraId="7BAA846F"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8. Guo et al. (2026)</w:t>
            </w:r>
          </w:p>
        </w:tc>
        <w:tc>
          <w:tcPr>
            <w:tcW w:w="1482" w:type="dxa"/>
            <w:hideMark/>
          </w:tcPr>
          <w:p w14:paraId="57A7914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32" w:type="dxa"/>
            <w:hideMark/>
          </w:tcPr>
          <w:p w14:paraId="527D53D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107" w:type="dxa"/>
            <w:hideMark/>
          </w:tcPr>
          <w:p w14:paraId="2D06536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264" w:type="dxa"/>
            <w:hideMark/>
          </w:tcPr>
          <w:p w14:paraId="66BA1FE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371" w:type="dxa"/>
            <w:hideMark/>
          </w:tcPr>
          <w:p w14:paraId="0D67F04A"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340" w:type="dxa"/>
            <w:hideMark/>
          </w:tcPr>
          <w:p w14:paraId="6779FFE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529" w:type="dxa"/>
            <w:hideMark/>
          </w:tcPr>
          <w:p w14:paraId="4E5B238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r>
      <w:tr w:rsidR="00EE4FC1" w:rsidRPr="00EE4FC1" w14:paraId="760F1820" w14:textId="77777777" w:rsidTr="00EE4FC1">
        <w:tc>
          <w:tcPr>
            <w:tcW w:w="2075" w:type="dxa"/>
            <w:shd w:val="clear" w:color="auto" w:fill="C1E4F5"/>
            <w:hideMark/>
          </w:tcPr>
          <w:p w14:paraId="450A2E67"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9. Hammersley et al. (2019)</w:t>
            </w:r>
          </w:p>
        </w:tc>
        <w:tc>
          <w:tcPr>
            <w:tcW w:w="1482" w:type="dxa"/>
            <w:shd w:val="clear" w:color="auto" w:fill="C1E4F5"/>
            <w:hideMark/>
          </w:tcPr>
          <w:p w14:paraId="32A2F91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32" w:type="dxa"/>
            <w:shd w:val="clear" w:color="auto" w:fill="C1E4F5"/>
            <w:hideMark/>
          </w:tcPr>
          <w:p w14:paraId="313BA34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107" w:type="dxa"/>
            <w:shd w:val="clear" w:color="auto" w:fill="C1E4F5"/>
            <w:hideMark/>
          </w:tcPr>
          <w:p w14:paraId="57F2C6A9"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264" w:type="dxa"/>
            <w:shd w:val="clear" w:color="auto" w:fill="C1E4F5"/>
            <w:hideMark/>
          </w:tcPr>
          <w:p w14:paraId="17BC174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371" w:type="dxa"/>
            <w:shd w:val="clear" w:color="auto" w:fill="C1E4F5"/>
            <w:hideMark/>
          </w:tcPr>
          <w:p w14:paraId="25D5455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340" w:type="dxa"/>
            <w:shd w:val="clear" w:color="auto" w:fill="C1E4F5"/>
            <w:hideMark/>
          </w:tcPr>
          <w:p w14:paraId="01D14EC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29" w:type="dxa"/>
            <w:shd w:val="clear" w:color="auto" w:fill="C1E4F5"/>
            <w:hideMark/>
          </w:tcPr>
          <w:p w14:paraId="55C8090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34074B0B" w14:textId="77777777" w:rsidTr="00EE4FC1">
        <w:tc>
          <w:tcPr>
            <w:tcW w:w="2075" w:type="dxa"/>
            <w:hideMark/>
          </w:tcPr>
          <w:p w14:paraId="3C1D7884"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10. Donaghy et al. (2019)</w:t>
            </w:r>
          </w:p>
        </w:tc>
        <w:tc>
          <w:tcPr>
            <w:tcW w:w="1482" w:type="dxa"/>
            <w:hideMark/>
          </w:tcPr>
          <w:p w14:paraId="51A5213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32" w:type="dxa"/>
            <w:hideMark/>
          </w:tcPr>
          <w:p w14:paraId="46F81CD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107" w:type="dxa"/>
            <w:hideMark/>
          </w:tcPr>
          <w:p w14:paraId="3777202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264" w:type="dxa"/>
            <w:hideMark/>
          </w:tcPr>
          <w:p w14:paraId="7018320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371" w:type="dxa"/>
            <w:hideMark/>
          </w:tcPr>
          <w:p w14:paraId="6B45396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340" w:type="dxa"/>
            <w:hideMark/>
          </w:tcPr>
          <w:p w14:paraId="59B7D0B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29" w:type="dxa"/>
            <w:hideMark/>
          </w:tcPr>
          <w:p w14:paraId="7BCE4A5A"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4DEB90FF" w14:textId="77777777" w:rsidTr="00EE4FC1">
        <w:tc>
          <w:tcPr>
            <w:tcW w:w="2075" w:type="dxa"/>
            <w:shd w:val="clear" w:color="auto" w:fill="C1E4F5"/>
            <w:hideMark/>
          </w:tcPr>
          <w:p w14:paraId="16D6B180"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11. Archer et al. (2025)</w:t>
            </w:r>
          </w:p>
        </w:tc>
        <w:tc>
          <w:tcPr>
            <w:tcW w:w="1482" w:type="dxa"/>
            <w:shd w:val="clear" w:color="auto" w:fill="C1E4F5"/>
            <w:hideMark/>
          </w:tcPr>
          <w:p w14:paraId="4564406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32" w:type="dxa"/>
            <w:shd w:val="clear" w:color="auto" w:fill="C1E4F5"/>
            <w:hideMark/>
          </w:tcPr>
          <w:p w14:paraId="3208C05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107" w:type="dxa"/>
            <w:shd w:val="clear" w:color="auto" w:fill="C1E4F5"/>
            <w:hideMark/>
          </w:tcPr>
          <w:p w14:paraId="14C861B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264" w:type="dxa"/>
            <w:shd w:val="clear" w:color="auto" w:fill="C1E4F5"/>
            <w:hideMark/>
          </w:tcPr>
          <w:p w14:paraId="665875BA"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371" w:type="dxa"/>
            <w:shd w:val="clear" w:color="auto" w:fill="C1E4F5"/>
            <w:hideMark/>
          </w:tcPr>
          <w:p w14:paraId="6AA943C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340" w:type="dxa"/>
            <w:shd w:val="clear" w:color="auto" w:fill="C1E4F5"/>
            <w:hideMark/>
          </w:tcPr>
          <w:p w14:paraId="7A99EFA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29" w:type="dxa"/>
            <w:shd w:val="clear" w:color="auto" w:fill="C1E4F5"/>
            <w:hideMark/>
          </w:tcPr>
          <w:p w14:paraId="7E8BA2A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r w:rsidR="00EE4FC1" w:rsidRPr="00EE4FC1" w14:paraId="4530F902" w14:textId="77777777" w:rsidTr="00EE4FC1">
        <w:tc>
          <w:tcPr>
            <w:tcW w:w="2075" w:type="dxa"/>
            <w:hideMark/>
          </w:tcPr>
          <w:p w14:paraId="6126669E"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12. Papoutsi et al. (2022)</w:t>
            </w:r>
          </w:p>
        </w:tc>
        <w:tc>
          <w:tcPr>
            <w:tcW w:w="1482" w:type="dxa"/>
            <w:hideMark/>
          </w:tcPr>
          <w:p w14:paraId="193BAF6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32" w:type="dxa"/>
            <w:hideMark/>
          </w:tcPr>
          <w:p w14:paraId="21C449B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107" w:type="dxa"/>
            <w:hideMark/>
          </w:tcPr>
          <w:p w14:paraId="024C1E9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264" w:type="dxa"/>
            <w:hideMark/>
          </w:tcPr>
          <w:p w14:paraId="3D3F248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371" w:type="dxa"/>
            <w:hideMark/>
          </w:tcPr>
          <w:p w14:paraId="3A6A4C4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340" w:type="dxa"/>
            <w:hideMark/>
          </w:tcPr>
          <w:p w14:paraId="1AFD37D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c>
          <w:tcPr>
            <w:tcW w:w="1529" w:type="dxa"/>
            <w:hideMark/>
          </w:tcPr>
          <w:p w14:paraId="7F53996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ascii="Segoe UI Symbol" w:eastAsia="Times New Roman" w:hAnsi="Segoe UI Symbol" w:cs="Segoe UI Symbol"/>
                <w:b/>
                <w:bCs/>
                <w:kern w:val="0"/>
                <w:sz w:val="22"/>
                <w:szCs w:val="22"/>
                <w:lang w:val="en-US" w:eastAsia="zh-CN"/>
              </w:rPr>
              <w:t>✓</w:t>
            </w:r>
          </w:p>
        </w:tc>
      </w:tr>
    </w:tbl>
    <w:p w14:paraId="02CD8D7C" w14:textId="77777777" w:rsidR="00EE4FC1" w:rsidRPr="00EE4FC1" w:rsidRDefault="00EE4FC1" w:rsidP="00EE4FC1">
      <w:pPr>
        <w:spacing w:line="360" w:lineRule="auto"/>
        <w:jc w:val="both"/>
        <w:rPr>
          <w:rFonts w:ascii="Arial" w:eastAsia="PMingLiU" w:hAnsi="Arial" w:cs="Arial"/>
          <w:sz w:val="22"/>
          <w:szCs w:val="22"/>
          <w:lang w:eastAsia="zh-CN"/>
        </w:rPr>
      </w:pPr>
    </w:p>
    <w:p w14:paraId="22B973AA"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In a study by Lifford et al. (2023), many patients reported that the telemedicine visit was efficient and convenient due to the decreased travel time and waiting time. Likewise, de Visser et al. (2024) reported that virtual primary care improved access to health care, especially for those with chronic conditions and mobility challenges. Shorter waiting times and quick access to consultation also played a significant role in positive perception of quality of care, noted Anderson et al. (2021).</w:t>
      </w:r>
    </w:p>
    <w:p w14:paraId="3F96FB48" w14:textId="77777777" w:rsid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The evidence also showed that telemedicine increased the flexibility of healthcare services for working adults and patients who reside in remote areas. Some studies found that patients appreciated the opportunity to get healthcare advice without their work schedules and family responsibilities being disrupted. Additionally, older adults with impaired mobility saw telemedicine as a way to alleviate physical and practical obstacles to accessing care.</w:t>
      </w:r>
    </w:p>
    <w:p w14:paraId="42ECC827" w14:textId="77777777" w:rsidR="00580FC5" w:rsidRPr="00EE4FC1" w:rsidRDefault="00580FC5" w:rsidP="00EE4FC1">
      <w:pPr>
        <w:spacing w:line="360" w:lineRule="auto"/>
        <w:jc w:val="both"/>
        <w:rPr>
          <w:rFonts w:ascii="Arial" w:eastAsia="PMingLiU" w:hAnsi="Arial" w:cs="Arial"/>
          <w:b/>
          <w:bCs/>
          <w:sz w:val="22"/>
          <w:szCs w:val="22"/>
          <w:lang w:val="en-US" w:eastAsia="zh-CN"/>
        </w:rPr>
      </w:pPr>
    </w:p>
    <w:p w14:paraId="1E32BE51"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lastRenderedPageBreak/>
        <w:t>4.3.2 Communication and Interaction Quality</w:t>
      </w:r>
    </w:p>
    <w:p w14:paraId="1BBBF601"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Quality of communication also was recognised as an important factor in perceived telemedicine quality. The findings of several studies suggested that overall, the patient group felt positively about the communication with health care professionals in the remote consultation, especially in the case of telephone-based consultations, where they felt there was no obstruction for direct verbal communication.</w:t>
      </w:r>
    </w:p>
    <w:p w14:paraId="14D95045"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Archer et al. (2025) reported that many patients believed telemedicine consultations enabled effective communication with clinicians and supported continuity of care during healthcare disruptions caused by the pandemic. Similarly, </w:t>
      </w:r>
      <w:r w:rsidRPr="00EE4FC1">
        <w:rPr>
          <w:rFonts w:ascii="Arial" w:eastAsia="PMingLiU" w:hAnsi="Arial" w:cs="Arial"/>
          <w:sz w:val="22"/>
          <w:szCs w:val="22"/>
          <w:lang w:eastAsia="zh-CN"/>
        </w:rPr>
        <w:t>Leach</w:t>
      </w:r>
      <w:r w:rsidRPr="00EE4FC1">
        <w:rPr>
          <w:rFonts w:ascii="Arial" w:eastAsia="PMingLiU" w:hAnsi="Arial" w:cs="Arial"/>
          <w:b/>
          <w:bCs/>
          <w:sz w:val="22"/>
          <w:szCs w:val="22"/>
          <w:lang w:val="en-US" w:eastAsia="zh-CN"/>
        </w:rPr>
        <w:t xml:space="preserve"> </w:t>
      </w:r>
      <w:r w:rsidRPr="00EE4FC1">
        <w:rPr>
          <w:rFonts w:ascii="Arial" w:eastAsia="PMingLiU" w:hAnsi="Arial" w:cs="Arial"/>
          <w:sz w:val="22"/>
          <w:szCs w:val="22"/>
          <w:lang w:val="en-US" w:eastAsia="zh-CN"/>
        </w:rPr>
        <w:t>et al. (2025) identified high levels of perceived care quality among patients who felt that clinicians listened attentively and addressed concerns adequately during remote consultations.</w:t>
      </w:r>
    </w:p>
    <w:p w14:paraId="6FE91A9D"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However, the findings also demonstrated variability in communication experiences. Qualitative evidence from Islam et al. (2024) showed that some patients perceived remote interactions as less personal than face-to-face consultations. Patients occasionally reported reduced emotional connection, limited non-verbal communication, and challenges in discussing sensitive medical issues remotely. </w:t>
      </w:r>
      <w:r w:rsidRPr="00EE4FC1">
        <w:rPr>
          <w:rFonts w:ascii="Arial" w:eastAsia="PMingLiU" w:hAnsi="Arial" w:cs="Arial"/>
          <w:sz w:val="22"/>
          <w:szCs w:val="22"/>
          <w:lang w:eastAsia="zh-CN"/>
        </w:rPr>
        <w:t>Anderson</w:t>
      </w:r>
      <w:r w:rsidRPr="00EE4FC1">
        <w:rPr>
          <w:rFonts w:ascii="Arial" w:eastAsia="PMingLiU" w:hAnsi="Arial" w:cs="Arial"/>
          <w:b/>
          <w:bCs/>
          <w:sz w:val="22"/>
          <w:szCs w:val="22"/>
          <w:lang w:val="en-US" w:eastAsia="zh-CN"/>
        </w:rPr>
        <w:t xml:space="preserve"> </w:t>
      </w:r>
      <w:r w:rsidRPr="00EE4FC1">
        <w:rPr>
          <w:rFonts w:ascii="Arial" w:eastAsia="PMingLiU" w:hAnsi="Arial" w:cs="Arial"/>
          <w:sz w:val="22"/>
          <w:szCs w:val="22"/>
          <w:lang w:val="en-US" w:eastAsia="zh-CN"/>
        </w:rPr>
        <w:t>et al. (2021) similarly identified concerns relating to reduced interpersonal interaction and weakened patient-clinician relationships during virtual consultations.</w:t>
      </w:r>
    </w:p>
    <w:p w14:paraId="5CAEF80A"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It also showed that sometimes, video consultations were perceived to be of better communication quality compared to telephone consultations due to the increased engagement and reassurance seen from a visual interaction. Video communication was sometimes interrupted, however, which hindered the effectiveness of communication.</w:t>
      </w:r>
    </w:p>
    <w:p w14:paraId="3F6E6CFA"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4.3.3 Perceived Safety and Clinical Effectiveness</w:t>
      </w:r>
    </w:p>
    <w:p w14:paraId="0A578864"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The results suggested different opinions about the safety and clinical utility of teleconsultations. For most patients, telemedicine was a safe and effective means of communicating with medical professionals for routine visits, managing prescriptions, follow-up appointments, and minor health issues. With fewer opportunities to access infection exposure during the COVID-19 pandemic, the safety perception of telemedicine continued to improve.</w:t>
      </w:r>
    </w:p>
    <w:p w14:paraId="5B182870" w14:textId="77777777" w:rsidR="00EE4FC1" w:rsidRDefault="00C7013D" w:rsidP="00EE4FC1">
      <w:pPr>
        <w:spacing w:line="360" w:lineRule="auto"/>
        <w:jc w:val="both"/>
        <w:rPr>
          <w:rFonts w:ascii="Arial" w:eastAsia="PMingLiU" w:hAnsi="Arial" w:cs="Arial"/>
          <w:sz w:val="22"/>
          <w:szCs w:val="22"/>
          <w:lang w:val="en-US" w:eastAsia="zh-CN"/>
        </w:rPr>
      </w:pPr>
      <w:r w:rsidRPr="00C7013D">
        <w:rPr>
          <w:rFonts w:ascii="Arial" w:eastAsia="PMingLiU" w:hAnsi="Arial" w:cs="Arial"/>
          <w:sz w:val="22"/>
          <w:szCs w:val="22"/>
          <w:lang w:eastAsia="zh-CN"/>
        </w:rPr>
        <w:t>However, misdiagnosis and lack of physical examination were again described in 11 of the 12 included studies. As shown in table 7 below, clinical assessment-related limitations were amongst the most common concerns that had</w:t>
      </w:r>
      <w:r>
        <w:rPr>
          <w:rFonts w:ascii="Arial" w:eastAsia="PMingLiU" w:hAnsi="Arial" w:cs="Arial"/>
          <w:sz w:val="22"/>
          <w:szCs w:val="22"/>
          <w:lang w:eastAsia="zh-CN"/>
        </w:rPr>
        <w:t xml:space="preserve"> an impact on perceived quality</w:t>
      </w:r>
      <w:r w:rsidR="00EE4FC1" w:rsidRPr="00EE4FC1">
        <w:rPr>
          <w:rFonts w:ascii="Arial" w:eastAsia="PMingLiU" w:hAnsi="Arial" w:cs="Arial"/>
          <w:sz w:val="22"/>
          <w:szCs w:val="22"/>
          <w:lang w:val="en-US" w:eastAsia="zh-CN"/>
        </w:rPr>
        <w:t>.</w:t>
      </w:r>
    </w:p>
    <w:p w14:paraId="48D42ECC" w14:textId="77777777" w:rsidR="008725FF" w:rsidRDefault="008725FF" w:rsidP="00EE4FC1">
      <w:pPr>
        <w:spacing w:line="360" w:lineRule="auto"/>
        <w:jc w:val="both"/>
        <w:rPr>
          <w:rFonts w:ascii="Arial" w:eastAsia="PMingLiU" w:hAnsi="Arial" w:cs="Arial"/>
          <w:sz w:val="22"/>
          <w:szCs w:val="22"/>
          <w:lang w:val="en-US" w:eastAsia="zh-CN"/>
        </w:rPr>
      </w:pPr>
    </w:p>
    <w:p w14:paraId="13362FA4" w14:textId="77777777" w:rsidR="00EE4FC1" w:rsidRPr="00EE4FC1" w:rsidRDefault="00EE4FC1" w:rsidP="00EE4FC1">
      <w:pPr>
        <w:spacing w:after="200" w:line="360" w:lineRule="auto"/>
        <w:rPr>
          <w:rFonts w:ascii="Arial" w:eastAsia="Arial" w:hAnsi="Arial" w:cs="Arial"/>
          <w:kern w:val="0"/>
          <w:sz w:val="22"/>
          <w:szCs w:val="22"/>
        </w:rPr>
      </w:pPr>
      <w:bookmarkStart w:id="71" w:name="_Toc238386930"/>
      <w:bookmarkStart w:id="72" w:name="_Toc238386944"/>
      <w:r w:rsidRPr="00EE4FC1">
        <w:rPr>
          <w:rFonts w:ascii="Arial" w:eastAsia="Arial" w:hAnsi="Arial" w:cs="Arial"/>
          <w:kern w:val="0"/>
          <w:sz w:val="22"/>
          <w:szCs w:val="22"/>
        </w:rPr>
        <w:lastRenderedPageBreak/>
        <w:t xml:space="preserve">Table </w:t>
      </w:r>
      <w:r w:rsidR="00873449">
        <w:rPr>
          <w:rFonts w:ascii="Arial" w:eastAsia="Arial" w:hAnsi="Arial" w:cs="Arial"/>
          <w:kern w:val="0"/>
          <w:sz w:val="22"/>
          <w:szCs w:val="22"/>
        </w:rPr>
        <w:t>7</w:t>
      </w:r>
      <w:r w:rsidRPr="00EE4FC1">
        <w:rPr>
          <w:rFonts w:ascii="Arial" w:eastAsia="Arial" w:hAnsi="Arial" w:cs="Arial"/>
          <w:kern w:val="0"/>
          <w:sz w:val="22"/>
          <w:szCs w:val="22"/>
        </w:rPr>
        <w:t xml:space="preserve">: </w:t>
      </w:r>
      <w:r w:rsidRPr="00095A06">
        <w:rPr>
          <w:rFonts w:ascii="Arial" w:eastAsia="Arial" w:hAnsi="Arial" w:cs="Arial"/>
          <w:b/>
          <w:bCs/>
          <w:kern w:val="0"/>
          <w:sz w:val="22"/>
          <w:szCs w:val="22"/>
        </w:rPr>
        <w:t>Reported Challenges Affecting Perceived Quality of Telemedicine</w:t>
      </w:r>
      <w:bookmarkEnd w:id="71"/>
      <w:bookmarkEnd w:id="72"/>
    </w:p>
    <w:tbl>
      <w:tblPr>
        <w:tblW w:w="11764" w:type="dxa"/>
        <w:tblInd w:w="-1350" w:type="dxa"/>
        <w:tblBorders>
          <w:top w:val="single" w:sz="2" w:space="0" w:color="45B0E1"/>
          <w:bottom w:val="single" w:sz="2" w:space="0" w:color="45B0E1"/>
          <w:insideH w:val="single" w:sz="2" w:space="0" w:color="45B0E1"/>
          <w:insideV w:val="single" w:sz="2" w:space="0" w:color="45B0E1"/>
        </w:tblBorders>
        <w:tblLayout w:type="fixed"/>
        <w:tblLook w:val="04A0" w:firstRow="1" w:lastRow="0" w:firstColumn="1" w:lastColumn="0" w:noHBand="0" w:noVBand="1"/>
      </w:tblPr>
      <w:tblGrid>
        <w:gridCol w:w="1777"/>
        <w:gridCol w:w="1465"/>
        <w:gridCol w:w="1376"/>
        <w:gridCol w:w="1317"/>
        <w:gridCol w:w="1301"/>
        <w:gridCol w:w="1183"/>
        <w:gridCol w:w="1625"/>
        <w:gridCol w:w="1720"/>
      </w:tblGrid>
      <w:tr w:rsidR="00EE4FC1" w:rsidRPr="00EE4FC1" w14:paraId="0BD7E8F3" w14:textId="77777777" w:rsidTr="00F170B1">
        <w:trPr>
          <w:trHeight w:val="1185"/>
        </w:trPr>
        <w:tc>
          <w:tcPr>
            <w:tcW w:w="1777" w:type="dxa"/>
            <w:tcBorders>
              <w:top w:val="nil"/>
              <w:bottom w:val="single" w:sz="12" w:space="0" w:color="45B0E1"/>
              <w:right w:val="nil"/>
            </w:tcBorders>
            <w:shd w:val="clear" w:color="auto" w:fill="FFFFFF"/>
            <w:hideMark/>
          </w:tcPr>
          <w:p w14:paraId="20CE63C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Study</w:t>
            </w:r>
          </w:p>
        </w:tc>
        <w:tc>
          <w:tcPr>
            <w:tcW w:w="1465" w:type="dxa"/>
            <w:tcBorders>
              <w:top w:val="nil"/>
              <w:left w:val="nil"/>
              <w:bottom w:val="single" w:sz="12" w:space="0" w:color="45B0E1"/>
              <w:right w:val="nil"/>
            </w:tcBorders>
            <w:shd w:val="clear" w:color="auto" w:fill="FFFFFF"/>
            <w:hideMark/>
          </w:tcPr>
          <w:p w14:paraId="28D74BF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Lack of physical examination</w:t>
            </w:r>
          </w:p>
        </w:tc>
        <w:tc>
          <w:tcPr>
            <w:tcW w:w="1376" w:type="dxa"/>
            <w:tcBorders>
              <w:top w:val="nil"/>
              <w:left w:val="nil"/>
              <w:bottom w:val="single" w:sz="12" w:space="0" w:color="45B0E1"/>
              <w:right w:val="nil"/>
            </w:tcBorders>
            <w:shd w:val="clear" w:color="auto" w:fill="FFFFFF"/>
            <w:hideMark/>
          </w:tcPr>
          <w:p w14:paraId="66895DA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Diagnostic uncertainty</w:t>
            </w:r>
          </w:p>
        </w:tc>
        <w:tc>
          <w:tcPr>
            <w:tcW w:w="1317" w:type="dxa"/>
            <w:tcBorders>
              <w:top w:val="nil"/>
              <w:left w:val="nil"/>
              <w:bottom w:val="single" w:sz="12" w:space="0" w:color="45B0E1"/>
              <w:right w:val="nil"/>
            </w:tcBorders>
            <w:shd w:val="clear" w:color="auto" w:fill="FFFFFF"/>
            <w:hideMark/>
          </w:tcPr>
          <w:p w14:paraId="3EDAA83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Reduced personal interaction</w:t>
            </w:r>
          </w:p>
        </w:tc>
        <w:tc>
          <w:tcPr>
            <w:tcW w:w="1301" w:type="dxa"/>
            <w:tcBorders>
              <w:top w:val="nil"/>
              <w:left w:val="nil"/>
              <w:bottom w:val="single" w:sz="12" w:space="0" w:color="45B0E1"/>
              <w:right w:val="nil"/>
            </w:tcBorders>
            <w:shd w:val="clear" w:color="auto" w:fill="FFFFFF"/>
            <w:hideMark/>
          </w:tcPr>
          <w:p w14:paraId="6574D41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Technical difficulties</w:t>
            </w:r>
          </w:p>
        </w:tc>
        <w:tc>
          <w:tcPr>
            <w:tcW w:w="1183" w:type="dxa"/>
            <w:tcBorders>
              <w:top w:val="nil"/>
              <w:left w:val="nil"/>
              <w:bottom w:val="single" w:sz="12" w:space="0" w:color="45B0E1"/>
              <w:right w:val="nil"/>
            </w:tcBorders>
            <w:shd w:val="clear" w:color="auto" w:fill="FFFFFF"/>
            <w:hideMark/>
          </w:tcPr>
          <w:p w14:paraId="4DF995C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Digital exclusion</w:t>
            </w:r>
          </w:p>
        </w:tc>
        <w:tc>
          <w:tcPr>
            <w:tcW w:w="1625" w:type="dxa"/>
            <w:tcBorders>
              <w:top w:val="nil"/>
              <w:left w:val="nil"/>
              <w:bottom w:val="single" w:sz="12" w:space="0" w:color="45B0E1"/>
              <w:right w:val="nil"/>
            </w:tcBorders>
            <w:shd w:val="clear" w:color="auto" w:fill="FFFFFF"/>
            <w:hideMark/>
          </w:tcPr>
          <w:p w14:paraId="7AF4C7B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Communication limitations</w:t>
            </w:r>
          </w:p>
        </w:tc>
        <w:tc>
          <w:tcPr>
            <w:tcW w:w="1720" w:type="dxa"/>
            <w:tcBorders>
              <w:top w:val="nil"/>
              <w:left w:val="nil"/>
              <w:bottom w:val="single" w:sz="12" w:space="0" w:color="45B0E1"/>
            </w:tcBorders>
            <w:shd w:val="clear" w:color="auto" w:fill="FFFFFF"/>
            <w:hideMark/>
          </w:tcPr>
          <w:p w14:paraId="1B9DB28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Privacy / confidentiality concerns</w:t>
            </w:r>
          </w:p>
        </w:tc>
      </w:tr>
      <w:tr w:rsidR="00EE4FC1" w:rsidRPr="00EE4FC1" w14:paraId="4B96029D" w14:textId="77777777" w:rsidTr="00F170B1">
        <w:trPr>
          <w:trHeight w:val="574"/>
        </w:trPr>
        <w:tc>
          <w:tcPr>
            <w:tcW w:w="1777" w:type="dxa"/>
            <w:shd w:val="clear" w:color="auto" w:fill="C1E4F5"/>
            <w:hideMark/>
          </w:tcPr>
          <w:p w14:paraId="75107350"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1. Lifford et al. (2023)</w:t>
            </w:r>
          </w:p>
        </w:tc>
        <w:tc>
          <w:tcPr>
            <w:tcW w:w="1465" w:type="dxa"/>
            <w:shd w:val="clear" w:color="auto" w:fill="C1E4F5"/>
            <w:hideMark/>
          </w:tcPr>
          <w:p w14:paraId="1324B76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376" w:type="dxa"/>
            <w:shd w:val="clear" w:color="auto" w:fill="C1E4F5"/>
            <w:hideMark/>
          </w:tcPr>
          <w:p w14:paraId="029BCCB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317" w:type="dxa"/>
            <w:shd w:val="clear" w:color="auto" w:fill="C1E4F5"/>
            <w:hideMark/>
          </w:tcPr>
          <w:p w14:paraId="2E0894F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301" w:type="dxa"/>
            <w:shd w:val="clear" w:color="auto" w:fill="C1E4F5"/>
            <w:hideMark/>
          </w:tcPr>
          <w:p w14:paraId="1A46B7F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183" w:type="dxa"/>
            <w:shd w:val="clear" w:color="auto" w:fill="C1E4F5"/>
            <w:hideMark/>
          </w:tcPr>
          <w:p w14:paraId="260B99F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625" w:type="dxa"/>
            <w:shd w:val="clear" w:color="auto" w:fill="C1E4F5"/>
            <w:hideMark/>
          </w:tcPr>
          <w:p w14:paraId="261DF3B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720" w:type="dxa"/>
            <w:shd w:val="clear" w:color="auto" w:fill="C1E4F5"/>
            <w:hideMark/>
          </w:tcPr>
          <w:p w14:paraId="661B97A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r>
      <w:tr w:rsidR="00EE4FC1" w:rsidRPr="00EE4FC1" w14:paraId="55D95539" w14:textId="77777777" w:rsidTr="00F170B1">
        <w:trPr>
          <w:trHeight w:val="598"/>
        </w:trPr>
        <w:tc>
          <w:tcPr>
            <w:tcW w:w="1777" w:type="dxa"/>
            <w:hideMark/>
          </w:tcPr>
          <w:p w14:paraId="54EF212B"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2. Islam et al. (2024)</w:t>
            </w:r>
          </w:p>
        </w:tc>
        <w:tc>
          <w:tcPr>
            <w:tcW w:w="1465" w:type="dxa"/>
            <w:hideMark/>
          </w:tcPr>
          <w:p w14:paraId="74D84A2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76" w:type="dxa"/>
            <w:hideMark/>
          </w:tcPr>
          <w:p w14:paraId="28A2C59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17" w:type="dxa"/>
            <w:hideMark/>
          </w:tcPr>
          <w:p w14:paraId="0782131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01" w:type="dxa"/>
            <w:hideMark/>
          </w:tcPr>
          <w:p w14:paraId="2422EA7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183" w:type="dxa"/>
            <w:hideMark/>
          </w:tcPr>
          <w:p w14:paraId="6A88B469"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625" w:type="dxa"/>
            <w:hideMark/>
          </w:tcPr>
          <w:p w14:paraId="197E054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720" w:type="dxa"/>
            <w:hideMark/>
          </w:tcPr>
          <w:p w14:paraId="129E16B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r w:rsidR="00EE4FC1" w:rsidRPr="00EE4FC1" w14:paraId="28869FAF" w14:textId="77777777" w:rsidTr="00F170B1">
        <w:trPr>
          <w:trHeight w:val="598"/>
        </w:trPr>
        <w:tc>
          <w:tcPr>
            <w:tcW w:w="1777" w:type="dxa"/>
            <w:shd w:val="clear" w:color="auto" w:fill="C1E4F5"/>
            <w:hideMark/>
          </w:tcPr>
          <w:p w14:paraId="0DA74C25"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3. Turner et al. (2021)</w:t>
            </w:r>
          </w:p>
        </w:tc>
        <w:tc>
          <w:tcPr>
            <w:tcW w:w="1465" w:type="dxa"/>
            <w:shd w:val="clear" w:color="auto" w:fill="C1E4F5"/>
            <w:hideMark/>
          </w:tcPr>
          <w:p w14:paraId="6620D22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76" w:type="dxa"/>
            <w:shd w:val="clear" w:color="auto" w:fill="C1E4F5"/>
            <w:hideMark/>
          </w:tcPr>
          <w:p w14:paraId="142AEA2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17" w:type="dxa"/>
            <w:shd w:val="clear" w:color="auto" w:fill="C1E4F5"/>
            <w:hideMark/>
          </w:tcPr>
          <w:p w14:paraId="4D66892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01" w:type="dxa"/>
            <w:shd w:val="clear" w:color="auto" w:fill="C1E4F5"/>
            <w:hideMark/>
          </w:tcPr>
          <w:p w14:paraId="71A9727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183" w:type="dxa"/>
            <w:shd w:val="clear" w:color="auto" w:fill="C1E4F5"/>
            <w:hideMark/>
          </w:tcPr>
          <w:p w14:paraId="0C99276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625" w:type="dxa"/>
            <w:shd w:val="clear" w:color="auto" w:fill="C1E4F5"/>
            <w:hideMark/>
          </w:tcPr>
          <w:p w14:paraId="6A88A08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720" w:type="dxa"/>
            <w:shd w:val="clear" w:color="auto" w:fill="C1E4F5"/>
            <w:hideMark/>
          </w:tcPr>
          <w:p w14:paraId="1682872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r>
      <w:tr w:rsidR="00EE4FC1" w:rsidRPr="00EE4FC1" w14:paraId="045413AA" w14:textId="77777777" w:rsidTr="00F170B1">
        <w:trPr>
          <w:trHeight w:val="598"/>
        </w:trPr>
        <w:tc>
          <w:tcPr>
            <w:tcW w:w="1777" w:type="dxa"/>
            <w:hideMark/>
          </w:tcPr>
          <w:p w14:paraId="4FA8B3DF"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4. Chadwick et al. (2024)</w:t>
            </w:r>
          </w:p>
        </w:tc>
        <w:tc>
          <w:tcPr>
            <w:tcW w:w="1465" w:type="dxa"/>
            <w:hideMark/>
          </w:tcPr>
          <w:p w14:paraId="16094DC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76" w:type="dxa"/>
            <w:hideMark/>
          </w:tcPr>
          <w:p w14:paraId="7DFA788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17" w:type="dxa"/>
            <w:hideMark/>
          </w:tcPr>
          <w:p w14:paraId="0CEDCE3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01" w:type="dxa"/>
            <w:hideMark/>
          </w:tcPr>
          <w:p w14:paraId="1A0C2C3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183" w:type="dxa"/>
            <w:hideMark/>
          </w:tcPr>
          <w:p w14:paraId="6008B12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625" w:type="dxa"/>
            <w:hideMark/>
          </w:tcPr>
          <w:p w14:paraId="48807B4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720" w:type="dxa"/>
            <w:hideMark/>
          </w:tcPr>
          <w:p w14:paraId="040664C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r w:rsidR="00EE4FC1" w:rsidRPr="00EE4FC1" w14:paraId="4D3E12A5" w14:textId="77777777" w:rsidTr="00F170B1">
        <w:trPr>
          <w:trHeight w:val="586"/>
        </w:trPr>
        <w:tc>
          <w:tcPr>
            <w:tcW w:w="1777" w:type="dxa"/>
            <w:shd w:val="clear" w:color="auto" w:fill="C1E4F5"/>
            <w:hideMark/>
          </w:tcPr>
          <w:p w14:paraId="2883022D"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5. Anderson et al. (2021)</w:t>
            </w:r>
          </w:p>
        </w:tc>
        <w:tc>
          <w:tcPr>
            <w:tcW w:w="1465" w:type="dxa"/>
            <w:shd w:val="clear" w:color="auto" w:fill="C1E4F5"/>
            <w:hideMark/>
          </w:tcPr>
          <w:p w14:paraId="44F752A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76" w:type="dxa"/>
            <w:shd w:val="clear" w:color="auto" w:fill="C1E4F5"/>
            <w:hideMark/>
          </w:tcPr>
          <w:p w14:paraId="5F2A0C5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17" w:type="dxa"/>
            <w:shd w:val="clear" w:color="auto" w:fill="C1E4F5"/>
            <w:hideMark/>
          </w:tcPr>
          <w:p w14:paraId="6B27FFE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01" w:type="dxa"/>
            <w:shd w:val="clear" w:color="auto" w:fill="C1E4F5"/>
            <w:hideMark/>
          </w:tcPr>
          <w:p w14:paraId="789137C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183" w:type="dxa"/>
            <w:shd w:val="clear" w:color="auto" w:fill="C1E4F5"/>
            <w:hideMark/>
          </w:tcPr>
          <w:p w14:paraId="7614C419"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625" w:type="dxa"/>
            <w:shd w:val="clear" w:color="auto" w:fill="C1E4F5"/>
            <w:hideMark/>
          </w:tcPr>
          <w:p w14:paraId="15B3DCF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720" w:type="dxa"/>
            <w:shd w:val="clear" w:color="auto" w:fill="C1E4F5"/>
            <w:hideMark/>
          </w:tcPr>
          <w:p w14:paraId="30306FC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r>
      <w:tr w:rsidR="00EE4FC1" w:rsidRPr="00EE4FC1" w14:paraId="52C74B44" w14:textId="77777777" w:rsidTr="00F170B1">
        <w:trPr>
          <w:trHeight w:val="598"/>
        </w:trPr>
        <w:tc>
          <w:tcPr>
            <w:tcW w:w="1777" w:type="dxa"/>
            <w:hideMark/>
          </w:tcPr>
          <w:p w14:paraId="615E117E"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6. Leach et al. (2025)</w:t>
            </w:r>
          </w:p>
        </w:tc>
        <w:tc>
          <w:tcPr>
            <w:tcW w:w="1465" w:type="dxa"/>
            <w:hideMark/>
          </w:tcPr>
          <w:p w14:paraId="70D1E889"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76" w:type="dxa"/>
            <w:hideMark/>
          </w:tcPr>
          <w:p w14:paraId="3FD2C0D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17" w:type="dxa"/>
            <w:hideMark/>
          </w:tcPr>
          <w:p w14:paraId="133CAF5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01" w:type="dxa"/>
            <w:hideMark/>
          </w:tcPr>
          <w:p w14:paraId="1A1EFE5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183" w:type="dxa"/>
            <w:hideMark/>
          </w:tcPr>
          <w:p w14:paraId="320FF46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625" w:type="dxa"/>
            <w:hideMark/>
          </w:tcPr>
          <w:p w14:paraId="291FA7A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720" w:type="dxa"/>
            <w:hideMark/>
          </w:tcPr>
          <w:p w14:paraId="3E6F66CB"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r>
      <w:tr w:rsidR="00EE4FC1" w:rsidRPr="00EE4FC1" w14:paraId="5D1DCF21" w14:textId="77777777" w:rsidTr="00F170B1">
        <w:trPr>
          <w:trHeight w:val="598"/>
        </w:trPr>
        <w:tc>
          <w:tcPr>
            <w:tcW w:w="1777" w:type="dxa"/>
            <w:shd w:val="clear" w:color="auto" w:fill="C1E4F5"/>
            <w:hideMark/>
          </w:tcPr>
          <w:p w14:paraId="429F6185"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7. de Visser et al. (2024)</w:t>
            </w:r>
          </w:p>
        </w:tc>
        <w:tc>
          <w:tcPr>
            <w:tcW w:w="1465" w:type="dxa"/>
            <w:shd w:val="clear" w:color="auto" w:fill="C1E4F5"/>
            <w:hideMark/>
          </w:tcPr>
          <w:p w14:paraId="776D01C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76" w:type="dxa"/>
            <w:shd w:val="clear" w:color="auto" w:fill="C1E4F5"/>
            <w:hideMark/>
          </w:tcPr>
          <w:p w14:paraId="2BEA470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17" w:type="dxa"/>
            <w:shd w:val="clear" w:color="auto" w:fill="C1E4F5"/>
            <w:hideMark/>
          </w:tcPr>
          <w:p w14:paraId="55B3844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01" w:type="dxa"/>
            <w:shd w:val="clear" w:color="auto" w:fill="C1E4F5"/>
            <w:hideMark/>
          </w:tcPr>
          <w:p w14:paraId="62E65C2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183" w:type="dxa"/>
            <w:shd w:val="clear" w:color="auto" w:fill="C1E4F5"/>
            <w:hideMark/>
          </w:tcPr>
          <w:p w14:paraId="3A692AA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625" w:type="dxa"/>
            <w:shd w:val="clear" w:color="auto" w:fill="C1E4F5"/>
            <w:hideMark/>
          </w:tcPr>
          <w:p w14:paraId="6F95A87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720" w:type="dxa"/>
            <w:shd w:val="clear" w:color="auto" w:fill="C1E4F5"/>
            <w:hideMark/>
          </w:tcPr>
          <w:p w14:paraId="5B6C199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r w:rsidR="00EE4FC1" w:rsidRPr="00EE4FC1" w14:paraId="62EF70C8" w14:textId="77777777" w:rsidTr="00F170B1">
        <w:trPr>
          <w:trHeight w:val="586"/>
        </w:trPr>
        <w:tc>
          <w:tcPr>
            <w:tcW w:w="1777" w:type="dxa"/>
            <w:hideMark/>
          </w:tcPr>
          <w:p w14:paraId="5B9FFDB4"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8. Guo et al. (2026)</w:t>
            </w:r>
          </w:p>
        </w:tc>
        <w:tc>
          <w:tcPr>
            <w:tcW w:w="1465" w:type="dxa"/>
            <w:hideMark/>
          </w:tcPr>
          <w:p w14:paraId="23D4BEA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76" w:type="dxa"/>
            <w:hideMark/>
          </w:tcPr>
          <w:p w14:paraId="33A1F0F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17" w:type="dxa"/>
            <w:hideMark/>
          </w:tcPr>
          <w:p w14:paraId="66A622B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01" w:type="dxa"/>
            <w:hideMark/>
          </w:tcPr>
          <w:p w14:paraId="0E8E073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183" w:type="dxa"/>
            <w:hideMark/>
          </w:tcPr>
          <w:p w14:paraId="79B8A3A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625" w:type="dxa"/>
            <w:hideMark/>
          </w:tcPr>
          <w:p w14:paraId="3B6BE8A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720" w:type="dxa"/>
            <w:hideMark/>
          </w:tcPr>
          <w:p w14:paraId="35C85EF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r w:rsidR="00EE4FC1" w:rsidRPr="00EE4FC1" w14:paraId="6F3B0BA2" w14:textId="77777777" w:rsidTr="00F170B1">
        <w:trPr>
          <w:trHeight w:val="598"/>
        </w:trPr>
        <w:tc>
          <w:tcPr>
            <w:tcW w:w="1777" w:type="dxa"/>
            <w:shd w:val="clear" w:color="auto" w:fill="C1E4F5"/>
            <w:hideMark/>
          </w:tcPr>
          <w:p w14:paraId="16C6A710"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9. Hammersley et al. (2019)</w:t>
            </w:r>
          </w:p>
        </w:tc>
        <w:tc>
          <w:tcPr>
            <w:tcW w:w="1465" w:type="dxa"/>
            <w:shd w:val="clear" w:color="auto" w:fill="C1E4F5"/>
            <w:hideMark/>
          </w:tcPr>
          <w:p w14:paraId="5E03D4B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76" w:type="dxa"/>
            <w:shd w:val="clear" w:color="auto" w:fill="C1E4F5"/>
            <w:hideMark/>
          </w:tcPr>
          <w:p w14:paraId="5403A03B"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17" w:type="dxa"/>
            <w:shd w:val="clear" w:color="auto" w:fill="C1E4F5"/>
            <w:hideMark/>
          </w:tcPr>
          <w:p w14:paraId="2A26E30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01" w:type="dxa"/>
            <w:shd w:val="clear" w:color="auto" w:fill="C1E4F5"/>
            <w:hideMark/>
          </w:tcPr>
          <w:p w14:paraId="30E07D7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183" w:type="dxa"/>
            <w:shd w:val="clear" w:color="auto" w:fill="C1E4F5"/>
            <w:hideMark/>
          </w:tcPr>
          <w:p w14:paraId="2F3992E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625" w:type="dxa"/>
            <w:shd w:val="clear" w:color="auto" w:fill="C1E4F5"/>
            <w:hideMark/>
          </w:tcPr>
          <w:p w14:paraId="4EC6420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720" w:type="dxa"/>
            <w:shd w:val="clear" w:color="auto" w:fill="C1E4F5"/>
            <w:hideMark/>
          </w:tcPr>
          <w:p w14:paraId="26DFB54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r>
      <w:tr w:rsidR="00EE4FC1" w:rsidRPr="00EE4FC1" w14:paraId="12F225BE" w14:textId="77777777" w:rsidTr="00F170B1">
        <w:trPr>
          <w:trHeight w:val="598"/>
        </w:trPr>
        <w:tc>
          <w:tcPr>
            <w:tcW w:w="1777" w:type="dxa"/>
            <w:hideMark/>
          </w:tcPr>
          <w:p w14:paraId="473A3CB0"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10. Donaghy et al. (2019)</w:t>
            </w:r>
          </w:p>
        </w:tc>
        <w:tc>
          <w:tcPr>
            <w:tcW w:w="1465" w:type="dxa"/>
            <w:hideMark/>
          </w:tcPr>
          <w:p w14:paraId="203708E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76" w:type="dxa"/>
            <w:hideMark/>
          </w:tcPr>
          <w:p w14:paraId="7A5E2F8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17" w:type="dxa"/>
            <w:hideMark/>
          </w:tcPr>
          <w:p w14:paraId="0A52608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01" w:type="dxa"/>
            <w:hideMark/>
          </w:tcPr>
          <w:p w14:paraId="154DF91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183" w:type="dxa"/>
            <w:hideMark/>
          </w:tcPr>
          <w:p w14:paraId="6B594C8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625" w:type="dxa"/>
            <w:hideMark/>
          </w:tcPr>
          <w:p w14:paraId="5BD9D63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720" w:type="dxa"/>
            <w:hideMark/>
          </w:tcPr>
          <w:p w14:paraId="4EFB1F7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r w:rsidR="00EE4FC1" w:rsidRPr="00EE4FC1" w14:paraId="2A62F2E5" w14:textId="77777777" w:rsidTr="00F170B1">
        <w:trPr>
          <w:trHeight w:val="598"/>
        </w:trPr>
        <w:tc>
          <w:tcPr>
            <w:tcW w:w="1777" w:type="dxa"/>
            <w:shd w:val="clear" w:color="auto" w:fill="C1E4F5"/>
            <w:hideMark/>
          </w:tcPr>
          <w:p w14:paraId="6E9EAEE1"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11. Archer et al. (2025)</w:t>
            </w:r>
          </w:p>
        </w:tc>
        <w:tc>
          <w:tcPr>
            <w:tcW w:w="1465" w:type="dxa"/>
            <w:shd w:val="clear" w:color="auto" w:fill="C1E4F5"/>
            <w:hideMark/>
          </w:tcPr>
          <w:p w14:paraId="58A7EB2B"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76" w:type="dxa"/>
            <w:shd w:val="clear" w:color="auto" w:fill="C1E4F5"/>
            <w:hideMark/>
          </w:tcPr>
          <w:p w14:paraId="3CF5AD0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17" w:type="dxa"/>
            <w:shd w:val="clear" w:color="auto" w:fill="C1E4F5"/>
            <w:hideMark/>
          </w:tcPr>
          <w:p w14:paraId="37FAFE2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01" w:type="dxa"/>
            <w:shd w:val="clear" w:color="auto" w:fill="C1E4F5"/>
            <w:hideMark/>
          </w:tcPr>
          <w:p w14:paraId="32F491C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183" w:type="dxa"/>
            <w:shd w:val="clear" w:color="auto" w:fill="C1E4F5"/>
            <w:hideMark/>
          </w:tcPr>
          <w:p w14:paraId="6B8A66C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625" w:type="dxa"/>
            <w:shd w:val="clear" w:color="auto" w:fill="C1E4F5"/>
            <w:hideMark/>
          </w:tcPr>
          <w:p w14:paraId="37968D9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720" w:type="dxa"/>
            <w:shd w:val="clear" w:color="auto" w:fill="C1E4F5"/>
            <w:hideMark/>
          </w:tcPr>
          <w:p w14:paraId="25C24F2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r>
      <w:tr w:rsidR="00EE4FC1" w:rsidRPr="00EE4FC1" w14:paraId="1A945E9B" w14:textId="77777777" w:rsidTr="00F170B1">
        <w:trPr>
          <w:trHeight w:val="598"/>
        </w:trPr>
        <w:tc>
          <w:tcPr>
            <w:tcW w:w="1777" w:type="dxa"/>
            <w:hideMark/>
          </w:tcPr>
          <w:p w14:paraId="310CF45D"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12. Papoutsi et al. (2022)</w:t>
            </w:r>
          </w:p>
        </w:tc>
        <w:tc>
          <w:tcPr>
            <w:tcW w:w="1465" w:type="dxa"/>
            <w:hideMark/>
          </w:tcPr>
          <w:p w14:paraId="59075DF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76" w:type="dxa"/>
            <w:hideMark/>
          </w:tcPr>
          <w:p w14:paraId="0AAC9FD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17" w:type="dxa"/>
            <w:hideMark/>
          </w:tcPr>
          <w:p w14:paraId="1B7C4C5A"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301" w:type="dxa"/>
            <w:hideMark/>
          </w:tcPr>
          <w:p w14:paraId="0A89E55A"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183" w:type="dxa"/>
            <w:hideMark/>
          </w:tcPr>
          <w:p w14:paraId="67305A3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625" w:type="dxa"/>
            <w:hideMark/>
          </w:tcPr>
          <w:p w14:paraId="450152A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720" w:type="dxa"/>
            <w:hideMark/>
          </w:tcPr>
          <w:p w14:paraId="5ECDDC9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bl>
    <w:p w14:paraId="48FE1A4E" w14:textId="77777777" w:rsidR="00EE4FC1" w:rsidRPr="00EE4FC1" w:rsidRDefault="00EE4FC1" w:rsidP="00EE4FC1">
      <w:pPr>
        <w:spacing w:line="360" w:lineRule="auto"/>
        <w:jc w:val="both"/>
        <w:rPr>
          <w:rFonts w:ascii="Arial" w:eastAsia="PMingLiU" w:hAnsi="Arial" w:cs="Arial"/>
          <w:sz w:val="22"/>
          <w:szCs w:val="22"/>
          <w:lang w:val="en-US" w:eastAsia="zh-CN"/>
        </w:rPr>
      </w:pPr>
    </w:p>
    <w:p w14:paraId="5743EC70"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According to Islam et al. (2024), there were some who wondered whether it is possible to judge the symptoms without having a physical examination.</w:t>
      </w:r>
      <w:r w:rsidRPr="00EE4FC1">
        <w:rPr>
          <w:rFonts w:ascii="Calibri" w:eastAsia="PMingLiU" w:hAnsi="Calibri"/>
          <w:sz w:val="22"/>
          <w:szCs w:val="22"/>
          <w:lang w:eastAsia="zh-CN"/>
        </w:rPr>
        <w:t xml:space="preserve"> </w:t>
      </w:r>
      <w:r w:rsidRPr="00EE4FC1">
        <w:rPr>
          <w:rFonts w:ascii="Arial" w:eastAsia="PMingLiU" w:hAnsi="Arial" w:cs="Arial"/>
          <w:sz w:val="22"/>
          <w:szCs w:val="22"/>
          <w:lang w:eastAsia="zh-CN"/>
        </w:rPr>
        <w:t>Anderson et al. (2021) found that some patients experienced concerns about the effectiveness of remote consultations, particularly where symptoms might not be communicated effectively or could potentially be missed.  Hammersley et al. (2019) also discovered that health care professionals indicated diagnostic uncertainty in virtual primary care delivery.</w:t>
      </w:r>
    </w:p>
    <w:p w14:paraId="63D2772D"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4.3.4 Variations in Perceived Quality Across Patient Groups</w:t>
      </w:r>
    </w:p>
    <w:p w14:paraId="1C32E82B" w14:textId="1FF76B02"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Results showed that the perceived quality differed among patient demographics and technological capacity. Overall, older adults were satisfied with the convenience of </w:t>
      </w:r>
      <w:r w:rsidR="000D0B91" w:rsidRPr="00EE4FC1">
        <w:rPr>
          <w:rFonts w:ascii="Arial" w:eastAsia="PMingLiU" w:hAnsi="Arial" w:cs="Arial"/>
          <w:sz w:val="22"/>
          <w:szCs w:val="22"/>
          <w:lang w:val="en-US" w:eastAsia="zh-CN"/>
        </w:rPr>
        <w:t>telemedicine but</w:t>
      </w:r>
      <w:r w:rsidRPr="00EE4FC1">
        <w:rPr>
          <w:rFonts w:ascii="Arial" w:eastAsia="PMingLiU" w:hAnsi="Arial" w:cs="Arial"/>
          <w:sz w:val="22"/>
          <w:szCs w:val="22"/>
          <w:lang w:val="en-US" w:eastAsia="zh-CN"/>
        </w:rPr>
        <w:t xml:space="preserve"> had more technical challenges in their video appointments. Older patients </w:t>
      </w:r>
      <w:r w:rsidRPr="00EE4FC1">
        <w:rPr>
          <w:rFonts w:ascii="Arial" w:eastAsia="PMingLiU" w:hAnsi="Arial" w:cs="Arial"/>
          <w:sz w:val="22"/>
          <w:szCs w:val="22"/>
          <w:lang w:val="en-US" w:eastAsia="zh-CN"/>
        </w:rPr>
        <w:lastRenderedPageBreak/>
        <w:t>were more likely to prefer telephone consultations, which were often familiar and easy to use, as reported by Donaghy et al. (2019).</w:t>
      </w:r>
    </w:p>
    <w:p w14:paraId="680185E5"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Additionally, Guo et al. (2026) found that there was a decrease in the confidence of patients with lower digital literacy levels to use the telemedicine technologies. Perceived quality was also affected by socioeconomic inequalities, especially when the patients did not have reliable internet services and digital devices.</w:t>
      </w:r>
    </w:p>
    <w:p w14:paraId="1D7A9EF3" w14:textId="77777777" w:rsidR="00EE4FC1" w:rsidRPr="00EE4FC1" w:rsidRDefault="00EE4FC1" w:rsidP="00EE4FC1">
      <w:pPr>
        <w:spacing w:line="360" w:lineRule="auto"/>
        <w:jc w:val="both"/>
        <w:rPr>
          <w:rFonts w:ascii="Arial" w:eastAsia="PMingLiU" w:hAnsi="Arial" w:cs="Arial"/>
          <w:b/>
          <w:bCs/>
          <w:sz w:val="22"/>
          <w:szCs w:val="22"/>
          <w:lang w:eastAsia="zh-CN"/>
        </w:rPr>
      </w:pPr>
      <w:r w:rsidRPr="00EE4FC1">
        <w:rPr>
          <w:rFonts w:ascii="Arial" w:eastAsia="PMingLiU" w:hAnsi="Arial" w:cs="Arial"/>
          <w:sz w:val="22"/>
          <w:szCs w:val="22"/>
          <w:lang w:val="en-US" w:eastAsia="zh-CN"/>
        </w:rPr>
        <w:t>However, across these differences, the studies all showed that telemedicine was generally considered as a satisfactory and acceptable quality of care in primary care settings in the UK. Accessibility, convenience, continuity of care and service efficiency were heavily associated with positive perceptions, whereas all other negative perceptions were related mainly to technological barriers and concerns around a full clinical picture.</w:t>
      </w:r>
    </w:p>
    <w:p w14:paraId="04309451"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73" w:name="_Toc241618983"/>
      <w:r w:rsidRPr="00EE4FC1">
        <w:rPr>
          <w:rFonts w:ascii="Arial" w:eastAsia="PMingLiU" w:hAnsi="Arial" w:cs="Arial"/>
          <w:b/>
          <w:bCs/>
          <w:sz w:val="22"/>
          <w:szCs w:val="22"/>
          <w:lang w:val="en-US" w:eastAsia="zh-CN"/>
        </w:rPr>
        <w:t>4.4 Comparison of Patient Satisfaction and Perceived Quality Between Telephone and Video Consultations</w:t>
      </w:r>
      <w:bookmarkEnd w:id="73"/>
    </w:p>
    <w:p w14:paraId="56B69834"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sz w:val="22"/>
          <w:szCs w:val="22"/>
          <w:lang w:eastAsia="zh-CN"/>
        </w:rPr>
        <w:t>The third aim of this systematic review was to see if there was evidence comparing the satisfaction and perceived quality of telephone and video consultations with adults. Not all of the studies included compared the consultation modalities, but some studies had enough information to compare patient-reported satisfaction and perceived quality of telemedicine consultation using a telephone with video telemedicine consultation.</w:t>
      </w:r>
    </w:p>
    <w:p w14:paraId="35F9E63F"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4.4.1 Comparative Levels of Patient Satisfaction</w:t>
      </w:r>
    </w:p>
    <w:p w14:paraId="4F02D32E"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Patients were generally very satisfied with both phone consultations and video consultations, though the reasons for satisfaction differed between them when comparing and contrasting their experiences, where possible. </w:t>
      </w:r>
      <w:r w:rsidRPr="00EE4FC1">
        <w:rPr>
          <w:rFonts w:ascii="Arial" w:eastAsia="PMingLiU" w:hAnsi="Arial" w:cs="Arial"/>
          <w:sz w:val="22"/>
          <w:szCs w:val="22"/>
          <w:lang w:eastAsia="zh-CN"/>
        </w:rPr>
        <w:t>Hammersley et al. (2019) directly compared three consultation methods: telephone, video, and face-to-face consultations, to examine differences in patients’ experiences and satisfaction</w:t>
      </w:r>
      <w:r w:rsidRPr="00EE4FC1">
        <w:rPr>
          <w:rFonts w:ascii="Arial" w:eastAsia="PMingLiU" w:hAnsi="Arial" w:cs="Arial"/>
          <w:sz w:val="22"/>
          <w:szCs w:val="22"/>
          <w:lang w:val="en-US" w:eastAsia="zh-CN"/>
        </w:rPr>
        <w:t>. in Scotland found that satisfaction with telephone and video consultations was broadly similar, and that telephone consultations were valued for their reliability and simplicity. Likewise, Donaghy et al. (2019) found that patients having video consultations felt that they were satisfied with the visual aspect of care, whereas older patients were less likely to report higher satisfaction with video consultation compared to a telephone consultation.</w:t>
      </w:r>
    </w:p>
    <w:p w14:paraId="3A6C72D0"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sz w:val="22"/>
          <w:szCs w:val="22"/>
          <w:lang w:val="en-US" w:eastAsia="zh-CN"/>
        </w:rPr>
        <w:t xml:space="preserve">In their study, Papoutsi et al. (2022) highlighted that video group consultations were valued by the patients for their opportunity to see and interact with clinicians and peers, leading to a greater sense of engagement and satisfaction than telephone consultations provided. While the satisfaction rates were generally lower for video consultations, technical reliability was often a limiting factor, satisfaction rates for telephone consultations were relatively stable </w:t>
      </w:r>
      <w:r w:rsidRPr="00EE4FC1">
        <w:rPr>
          <w:rFonts w:ascii="Arial" w:eastAsia="PMingLiU" w:hAnsi="Arial" w:cs="Arial"/>
          <w:sz w:val="22"/>
          <w:szCs w:val="22"/>
          <w:lang w:val="en-US" w:eastAsia="zh-CN"/>
        </w:rPr>
        <w:lastRenderedPageBreak/>
        <w:t xml:space="preserve">across patient groups because there was no additional digital infrastructure needed. Patients' satisfaction and perceived quality showed some differences in their strengths in the various modalities as shown in Table </w:t>
      </w:r>
      <w:r w:rsidR="00873449">
        <w:rPr>
          <w:rFonts w:ascii="Arial" w:eastAsia="PMingLiU" w:hAnsi="Arial" w:cs="Arial"/>
          <w:sz w:val="22"/>
          <w:szCs w:val="22"/>
          <w:lang w:val="en-US" w:eastAsia="zh-CN"/>
        </w:rPr>
        <w:t>8</w:t>
      </w:r>
      <w:r w:rsidRPr="00EE4FC1">
        <w:rPr>
          <w:rFonts w:ascii="Arial" w:eastAsia="PMingLiU" w:hAnsi="Arial" w:cs="Arial"/>
          <w:sz w:val="22"/>
          <w:szCs w:val="22"/>
          <w:lang w:val="en-US" w:eastAsia="zh-CN"/>
        </w:rPr>
        <w:t xml:space="preserve"> below.</w:t>
      </w:r>
    </w:p>
    <w:p w14:paraId="6D7D6D00" w14:textId="77777777" w:rsidR="00EE4FC1" w:rsidRPr="00EE4FC1" w:rsidRDefault="00EE4FC1" w:rsidP="00EE4FC1">
      <w:pPr>
        <w:spacing w:after="200" w:line="360" w:lineRule="auto"/>
        <w:rPr>
          <w:rFonts w:ascii="Arial" w:eastAsia="Arial" w:hAnsi="Arial" w:cs="Arial"/>
          <w:kern w:val="0"/>
          <w:sz w:val="22"/>
          <w:szCs w:val="22"/>
          <w:lang w:val="en-US"/>
        </w:rPr>
      </w:pPr>
      <w:bookmarkStart w:id="74" w:name="_Toc238386931"/>
      <w:bookmarkStart w:id="75" w:name="_Toc238386945"/>
      <w:r w:rsidRPr="00EE4FC1">
        <w:rPr>
          <w:rFonts w:ascii="Arial" w:eastAsia="Arial" w:hAnsi="Arial" w:cs="Arial"/>
          <w:kern w:val="0"/>
          <w:sz w:val="22"/>
          <w:szCs w:val="22"/>
        </w:rPr>
        <w:t xml:space="preserve">Table </w:t>
      </w:r>
      <w:r w:rsidR="00873449">
        <w:rPr>
          <w:rFonts w:ascii="Arial" w:eastAsia="Arial" w:hAnsi="Arial" w:cs="Arial"/>
          <w:kern w:val="0"/>
          <w:sz w:val="22"/>
          <w:szCs w:val="22"/>
        </w:rPr>
        <w:t>8</w:t>
      </w:r>
      <w:r w:rsidRPr="00EE4FC1">
        <w:rPr>
          <w:rFonts w:ascii="Arial" w:eastAsia="Arial" w:hAnsi="Arial" w:cs="Arial"/>
          <w:kern w:val="0"/>
          <w:sz w:val="22"/>
          <w:szCs w:val="22"/>
        </w:rPr>
        <w:t xml:space="preserve">: </w:t>
      </w:r>
      <w:r w:rsidRPr="00AB50EF">
        <w:rPr>
          <w:rFonts w:ascii="Arial" w:eastAsia="Arial" w:hAnsi="Arial" w:cs="Arial"/>
          <w:b/>
          <w:bCs/>
          <w:kern w:val="0"/>
          <w:sz w:val="22"/>
          <w:szCs w:val="22"/>
          <w:lang w:val="en-US"/>
        </w:rPr>
        <w:t>Reported Strengths and Limitations of Telephone Versus Video Consultations</w:t>
      </w:r>
      <w:bookmarkEnd w:id="74"/>
      <w:bookmarkEnd w:id="75"/>
    </w:p>
    <w:tbl>
      <w:tblPr>
        <w:tblW w:w="9090" w:type="dxa"/>
        <w:tblInd w:w="-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90"/>
        <w:gridCol w:w="3150"/>
        <w:gridCol w:w="3150"/>
      </w:tblGrid>
      <w:tr w:rsidR="00EE4FC1" w:rsidRPr="00EE4FC1" w14:paraId="6FD6A6D9" w14:textId="77777777" w:rsidTr="00725F03">
        <w:tc>
          <w:tcPr>
            <w:tcW w:w="2790" w:type="dxa"/>
            <w:vAlign w:val="center"/>
          </w:tcPr>
          <w:p w14:paraId="7FCB983A" w14:textId="77777777" w:rsidR="00EE4FC1" w:rsidRPr="00EE4FC1" w:rsidRDefault="00EE4FC1" w:rsidP="00EE4FC1">
            <w:pPr>
              <w:spacing w:after="0" w:line="360" w:lineRule="auto"/>
              <w:jc w:val="both"/>
              <w:rPr>
                <w:rFonts w:ascii="Arial" w:eastAsia="Calibri" w:hAnsi="Arial" w:cs="Arial"/>
                <w:b/>
                <w:bCs/>
                <w:sz w:val="22"/>
                <w:szCs w:val="22"/>
                <w:lang w:eastAsia="zh-CN"/>
              </w:rPr>
            </w:pPr>
            <w:r w:rsidRPr="00EE4FC1">
              <w:rPr>
                <w:rFonts w:ascii="Arial" w:eastAsia="Calibri" w:hAnsi="Arial" w:cs="Arial"/>
                <w:b/>
                <w:bCs/>
                <w:sz w:val="22"/>
                <w:szCs w:val="22"/>
                <w:lang w:eastAsia="zh-CN"/>
              </w:rPr>
              <w:t>Consultation Modality</w:t>
            </w:r>
          </w:p>
        </w:tc>
        <w:tc>
          <w:tcPr>
            <w:tcW w:w="3150" w:type="dxa"/>
            <w:vAlign w:val="center"/>
          </w:tcPr>
          <w:p w14:paraId="409BD33E" w14:textId="77777777" w:rsidR="00EE4FC1" w:rsidRPr="00EE4FC1" w:rsidRDefault="00EE4FC1" w:rsidP="00EE4FC1">
            <w:pPr>
              <w:spacing w:after="0" w:line="360" w:lineRule="auto"/>
              <w:jc w:val="both"/>
              <w:rPr>
                <w:rFonts w:ascii="Arial" w:eastAsia="Calibri" w:hAnsi="Arial" w:cs="Arial"/>
                <w:b/>
                <w:bCs/>
                <w:sz w:val="22"/>
                <w:szCs w:val="22"/>
                <w:lang w:eastAsia="zh-CN"/>
              </w:rPr>
            </w:pPr>
            <w:r w:rsidRPr="00EE4FC1">
              <w:rPr>
                <w:rFonts w:ascii="Arial" w:eastAsia="Calibri" w:hAnsi="Arial" w:cs="Arial"/>
                <w:b/>
                <w:bCs/>
                <w:sz w:val="22"/>
                <w:szCs w:val="22"/>
                <w:lang w:eastAsia="zh-CN"/>
              </w:rPr>
              <w:t>Reported Strengths</w:t>
            </w:r>
          </w:p>
        </w:tc>
        <w:tc>
          <w:tcPr>
            <w:tcW w:w="3150" w:type="dxa"/>
            <w:vAlign w:val="center"/>
          </w:tcPr>
          <w:p w14:paraId="3503DA33" w14:textId="77777777" w:rsidR="00EE4FC1" w:rsidRPr="00EE4FC1" w:rsidRDefault="00EE4FC1" w:rsidP="00EE4FC1">
            <w:pPr>
              <w:spacing w:after="0" w:line="360" w:lineRule="auto"/>
              <w:jc w:val="both"/>
              <w:rPr>
                <w:rFonts w:ascii="Arial" w:eastAsia="Calibri" w:hAnsi="Arial" w:cs="Arial"/>
                <w:b/>
                <w:bCs/>
                <w:sz w:val="22"/>
                <w:szCs w:val="22"/>
                <w:lang w:eastAsia="zh-CN"/>
              </w:rPr>
            </w:pPr>
            <w:r w:rsidRPr="00EE4FC1">
              <w:rPr>
                <w:rFonts w:ascii="Arial" w:eastAsia="Calibri" w:hAnsi="Arial" w:cs="Arial"/>
                <w:b/>
                <w:bCs/>
                <w:sz w:val="22"/>
                <w:szCs w:val="22"/>
                <w:lang w:eastAsia="zh-CN"/>
              </w:rPr>
              <w:t>Reported Limitations</w:t>
            </w:r>
          </w:p>
        </w:tc>
      </w:tr>
      <w:tr w:rsidR="00EE4FC1" w:rsidRPr="00EE4FC1" w14:paraId="7ECBAF77" w14:textId="77777777" w:rsidTr="00725F03">
        <w:tc>
          <w:tcPr>
            <w:tcW w:w="2790" w:type="dxa"/>
            <w:vAlign w:val="center"/>
          </w:tcPr>
          <w:p w14:paraId="18CBC83F"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sz w:val="22"/>
                <w:szCs w:val="22"/>
                <w:lang w:eastAsia="zh-CN"/>
              </w:rPr>
              <w:t>Telephone Consultations</w:t>
            </w:r>
          </w:p>
        </w:tc>
        <w:tc>
          <w:tcPr>
            <w:tcW w:w="3150" w:type="dxa"/>
            <w:vAlign w:val="center"/>
          </w:tcPr>
          <w:p w14:paraId="5CCDE4A3"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sz w:val="22"/>
                <w:szCs w:val="22"/>
                <w:lang w:eastAsia="zh-CN"/>
              </w:rPr>
              <w:t>Convenience, reliability, familiarity, and ease of use, particularly among older adults</w:t>
            </w:r>
          </w:p>
        </w:tc>
        <w:tc>
          <w:tcPr>
            <w:tcW w:w="3150" w:type="dxa"/>
            <w:vAlign w:val="center"/>
          </w:tcPr>
          <w:p w14:paraId="61C9338E"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sz w:val="22"/>
                <w:szCs w:val="22"/>
                <w:lang w:eastAsia="zh-CN"/>
              </w:rPr>
              <w:t>Reduced visual engagement; perceived by some patients as less personal</w:t>
            </w:r>
          </w:p>
        </w:tc>
      </w:tr>
      <w:tr w:rsidR="00EE4FC1" w:rsidRPr="00EE4FC1" w14:paraId="008BBF60" w14:textId="77777777" w:rsidTr="00725F03">
        <w:tc>
          <w:tcPr>
            <w:tcW w:w="2790" w:type="dxa"/>
            <w:vAlign w:val="center"/>
          </w:tcPr>
          <w:p w14:paraId="6717631C"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sz w:val="22"/>
                <w:szCs w:val="22"/>
                <w:lang w:eastAsia="zh-CN"/>
              </w:rPr>
              <w:t>Video Consultations</w:t>
            </w:r>
          </w:p>
        </w:tc>
        <w:tc>
          <w:tcPr>
            <w:tcW w:w="3150" w:type="dxa"/>
            <w:vAlign w:val="center"/>
          </w:tcPr>
          <w:p w14:paraId="0742252F"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sz w:val="22"/>
                <w:szCs w:val="22"/>
                <w:lang w:eastAsia="zh-CN"/>
              </w:rPr>
              <w:t>Enhanced visual interaction, improved reassurance and communication, greater sense of connection</w:t>
            </w:r>
          </w:p>
        </w:tc>
        <w:tc>
          <w:tcPr>
            <w:tcW w:w="3150" w:type="dxa"/>
            <w:vAlign w:val="center"/>
          </w:tcPr>
          <w:p w14:paraId="0F9920CB" w14:textId="77777777" w:rsidR="00EE4FC1" w:rsidRPr="00EE4FC1" w:rsidRDefault="00EE4FC1" w:rsidP="00EE4FC1">
            <w:pPr>
              <w:spacing w:after="0" w:line="360" w:lineRule="auto"/>
              <w:jc w:val="both"/>
              <w:rPr>
                <w:rFonts w:ascii="Arial" w:eastAsia="Calibri" w:hAnsi="Arial" w:cs="Arial"/>
                <w:sz w:val="22"/>
                <w:szCs w:val="22"/>
                <w:lang w:eastAsia="zh-CN"/>
              </w:rPr>
            </w:pPr>
            <w:r w:rsidRPr="00EE4FC1">
              <w:rPr>
                <w:rFonts w:ascii="Arial" w:eastAsia="Calibri" w:hAnsi="Arial" w:cs="Arial"/>
                <w:sz w:val="22"/>
                <w:szCs w:val="22"/>
                <w:lang w:eastAsia="zh-CN"/>
              </w:rPr>
              <w:t>Technical difficulties, unstable connections, and digital exclusion among older or less digitally literate patients</w:t>
            </w:r>
          </w:p>
        </w:tc>
      </w:tr>
    </w:tbl>
    <w:p w14:paraId="0C397F20" w14:textId="77777777" w:rsidR="00EE4FC1" w:rsidRPr="00EE4FC1" w:rsidRDefault="00EE4FC1" w:rsidP="00EE4FC1">
      <w:pPr>
        <w:spacing w:line="360" w:lineRule="auto"/>
        <w:jc w:val="both"/>
        <w:rPr>
          <w:rFonts w:ascii="Arial" w:eastAsia="PMingLiU" w:hAnsi="Arial" w:cs="Arial"/>
          <w:sz w:val="22"/>
          <w:szCs w:val="22"/>
          <w:lang w:eastAsia="zh-CN"/>
        </w:rPr>
      </w:pPr>
    </w:p>
    <w:p w14:paraId="14CE996A"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b/>
          <w:bCs/>
          <w:sz w:val="22"/>
          <w:szCs w:val="22"/>
          <w:lang w:val="en-US" w:eastAsia="zh-CN"/>
        </w:rPr>
        <w:t>4.4.2 Comparative Perceived Quality and Patient Preferences</w:t>
      </w:r>
    </w:p>
    <w:p w14:paraId="54E02B9F"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Evidence showed that video consultations were frequently seen to be associated with higher quality of communication due to the additional value of visual communication for reassurance and rapport building between patient and clinician (de Visser et al., 2024). In contrast, among older adults and those who had low digital literacy, telephone consultations often were preferred due to their ease of use and reduced technical requirements (Donaghy et al., 2019). Video consultations were also found to have some perceived benefits in communicating with the client, however telephone consultations were equally effective for routine and follow-up care (Hammersley et al., 2019).</w:t>
      </w:r>
    </w:p>
    <w:p w14:paraId="36F6461F" w14:textId="77777777" w:rsidR="00EE4FC1" w:rsidRPr="00EE4FC1" w:rsidRDefault="00EE4FC1" w:rsidP="00EE4FC1">
      <w:pPr>
        <w:spacing w:line="360" w:lineRule="auto"/>
        <w:jc w:val="both"/>
        <w:rPr>
          <w:rFonts w:ascii="Arial" w:eastAsia="PMingLiU" w:hAnsi="Arial" w:cs="Arial"/>
          <w:b/>
          <w:bCs/>
          <w:sz w:val="22"/>
          <w:szCs w:val="22"/>
          <w:lang w:val="en-US" w:eastAsia="zh-CN"/>
        </w:rPr>
      </w:pPr>
      <w:r w:rsidRPr="00EE4FC1">
        <w:rPr>
          <w:rFonts w:ascii="Arial" w:eastAsia="PMingLiU" w:hAnsi="Arial" w:cs="Arial"/>
          <w:sz w:val="22"/>
          <w:szCs w:val="22"/>
          <w:lang w:val="en-US" w:eastAsia="zh-CN"/>
        </w:rPr>
        <w:t xml:space="preserve">Overall, the sparse body of comparative evidence indicated limited evidence in either direction regarding satisfaction or perceived quality. Rather, patient preferences seemed to be influenced by circumstances, such as digital literacy, health condition, and the type of consultation, where telephone consultations were more accessible and video consultations more interpersonal. The small number of direct comparisons of telephone and video consultation is an important gap in the literature that should be studied further, as described in Table </w:t>
      </w:r>
      <w:r w:rsidR="006A0E69">
        <w:rPr>
          <w:rFonts w:ascii="Arial" w:eastAsia="PMingLiU" w:hAnsi="Arial" w:cs="Arial"/>
          <w:sz w:val="22"/>
          <w:szCs w:val="22"/>
          <w:lang w:val="en-US" w:eastAsia="zh-CN"/>
        </w:rPr>
        <w:t>9</w:t>
      </w:r>
      <w:r w:rsidRPr="00EE4FC1">
        <w:rPr>
          <w:rFonts w:ascii="Arial" w:eastAsia="PMingLiU" w:hAnsi="Arial" w:cs="Arial"/>
          <w:sz w:val="22"/>
          <w:szCs w:val="22"/>
          <w:lang w:val="en-US" w:eastAsia="zh-CN"/>
        </w:rPr>
        <w:t xml:space="preserve"> below.</w:t>
      </w:r>
    </w:p>
    <w:p w14:paraId="20ECDCD8"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76" w:name="_Toc241618984"/>
      <w:r w:rsidRPr="00EE4FC1">
        <w:rPr>
          <w:rFonts w:ascii="Arial" w:eastAsia="PMingLiU" w:hAnsi="Arial" w:cs="Arial"/>
          <w:b/>
          <w:bCs/>
          <w:sz w:val="22"/>
          <w:szCs w:val="22"/>
          <w:lang w:val="en-US" w:eastAsia="zh-CN"/>
        </w:rPr>
        <w:t>4.5 Identification of Literature Gaps and Recommendations for Policy and Practice</w:t>
      </w:r>
      <w:bookmarkEnd w:id="76"/>
    </w:p>
    <w:p w14:paraId="39E10C2E"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The research reviewed identified key areas for further research into the current literature on telemedicine use in primary care in the UK. Limitations in the availability of longer-term evidence to assess patient satisfaction and perceived quality of telemedicine outside of </w:t>
      </w:r>
      <w:r w:rsidRPr="00EE4FC1">
        <w:rPr>
          <w:rFonts w:ascii="Arial" w:eastAsia="PMingLiU" w:hAnsi="Arial" w:cs="Arial"/>
          <w:sz w:val="22"/>
          <w:szCs w:val="22"/>
          <w:lang w:val="en-US" w:eastAsia="zh-CN"/>
        </w:rPr>
        <w:lastRenderedPageBreak/>
        <w:t>COVID-19 pandemic time periods was one of the most significant gaps identified. The majority of studies were directed mainly toward the adaptations of emergency healthcare during the pandemic, instead of sustainable integration of telemedicine within the primary care system. de Visser et al. (2024) showed that during the COVID-19 pandemic, remote consultation was quickly introduced in primary care in the UK, with limited long-term evidence of effectiveness and sustainability. Likewise, de Visser et al. (2024) called for additional studies to explore the sustainability of virtual primary care and its effects on health care quality and patient safety.</w:t>
      </w:r>
    </w:p>
    <w:p w14:paraId="099D2605"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Another key area of learning gaps identified from the literature reviewed was around vulnerable groups and digital exclusion. Various studies recognised that older adults, those with less digital literacy, and those who are socioeconomically disadvantaged faced challenges with using telemedicine services. Older adults were prone to technological problems that hindered their use of telehealth, according to Donaghy et al. (2019). Similarly, Guo et al. (2026) found that older adults' acceptance of digital healthcare technologies was related to technological confidence and access to support systems. Digital exclusion was one of the most common gaps reported in the reviewed studies as can be observed in Table </w:t>
      </w:r>
      <w:r w:rsidR="002E3285">
        <w:rPr>
          <w:rFonts w:ascii="Arial" w:eastAsia="PMingLiU" w:hAnsi="Arial" w:cs="Arial"/>
          <w:sz w:val="22"/>
          <w:szCs w:val="22"/>
          <w:lang w:val="en-US" w:eastAsia="zh-CN"/>
        </w:rPr>
        <w:t>9</w:t>
      </w:r>
      <w:r w:rsidRPr="00EE4FC1">
        <w:rPr>
          <w:rFonts w:ascii="Arial" w:eastAsia="PMingLiU" w:hAnsi="Arial" w:cs="Arial"/>
          <w:sz w:val="22"/>
          <w:szCs w:val="22"/>
          <w:lang w:val="en-US" w:eastAsia="zh-CN"/>
        </w:rPr>
        <w:t xml:space="preserve"> below.</w:t>
      </w:r>
    </w:p>
    <w:p w14:paraId="6CC8311B" w14:textId="77777777" w:rsidR="00EE4FC1" w:rsidRPr="00EE4FC1" w:rsidRDefault="00EE4FC1" w:rsidP="00EE4FC1">
      <w:pPr>
        <w:spacing w:after="200" w:line="360" w:lineRule="auto"/>
        <w:rPr>
          <w:rFonts w:ascii="Arial" w:eastAsia="Arial" w:hAnsi="Arial" w:cs="Arial"/>
          <w:b/>
          <w:bCs/>
          <w:kern w:val="0"/>
          <w:sz w:val="22"/>
          <w:szCs w:val="22"/>
        </w:rPr>
      </w:pPr>
      <w:bookmarkStart w:id="77" w:name="_Toc238386932"/>
      <w:bookmarkStart w:id="78" w:name="_Toc238386946"/>
      <w:r w:rsidRPr="00EE4FC1">
        <w:rPr>
          <w:rFonts w:ascii="Arial" w:eastAsia="Arial" w:hAnsi="Arial" w:cs="Arial"/>
          <w:kern w:val="0"/>
          <w:sz w:val="22"/>
          <w:szCs w:val="22"/>
        </w:rPr>
        <w:t xml:space="preserve">Table </w:t>
      </w:r>
      <w:r w:rsidR="00BC2320">
        <w:rPr>
          <w:rFonts w:ascii="Arial" w:eastAsia="Arial" w:hAnsi="Arial" w:cs="Arial"/>
          <w:kern w:val="0"/>
          <w:sz w:val="22"/>
          <w:szCs w:val="22"/>
        </w:rPr>
        <w:t>9</w:t>
      </w:r>
      <w:r w:rsidRPr="00EE4FC1">
        <w:rPr>
          <w:rFonts w:ascii="Arial" w:eastAsia="Arial" w:hAnsi="Arial" w:cs="Arial"/>
          <w:kern w:val="0"/>
          <w:sz w:val="22"/>
          <w:szCs w:val="22"/>
        </w:rPr>
        <w:t xml:space="preserve">: </w:t>
      </w:r>
      <w:r w:rsidRPr="00EE4FC1">
        <w:rPr>
          <w:rFonts w:ascii="Arial" w:eastAsia="Arial" w:hAnsi="Arial" w:cs="Arial"/>
          <w:b/>
          <w:bCs/>
          <w:kern w:val="0"/>
          <w:sz w:val="22"/>
          <w:szCs w:val="22"/>
        </w:rPr>
        <w:t>Major Literature Gaps Identified Across Reviewed Studies</w:t>
      </w:r>
      <w:bookmarkEnd w:id="77"/>
      <w:bookmarkEnd w:id="78"/>
    </w:p>
    <w:tbl>
      <w:tblPr>
        <w:tblW w:w="11516" w:type="dxa"/>
        <w:tblInd w:w="-1152" w:type="dxa"/>
        <w:tblBorders>
          <w:top w:val="single" w:sz="2" w:space="0" w:color="45B0E1"/>
          <w:bottom w:val="single" w:sz="2" w:space="0" w:color="45B0E1"/>
          <w:insideH w:val="single" w:sz="2" w:space="0" w:color="45B0E1"/>
          <w:insideV w:val="single" w:sz="2" w:space="0" w:color="45B0E1"/>
        </w:tblBorders>
        <w:tblLook w:val="04A0" w:firstRow="1" w:lastRow="0" w:firstColumn="1" w:lastColumn="0" w:noHBand="0" w:noVBand="1"/>
      </w:tblPr>
      <w:tblGrid>
        <w:gridCol w:w="1536"/>
        <w:gridCol w:w="1555"/>
        <w:gridCol w:w="1287"/>
        <w:gridCol w:w="1417"/>
        <w:gridCol w:w="1214"/>
        <w:gridCol w:w="1624"/>
        <w:gridCol w:w="1221"/>
        <w:gridCol w:w="1662"/>
      </w:tblGrid>
      <w:tr w:rsidR="00EE4FC1" w:rsidRPr="00EE4FC1" w14:paraId="71500EF9" w14:textId="77777777" w:rsidTr="0093203B">
        <w:trPr>
          <w:trHeight w:val="1669"/>
        </w:trPr>
        <w:tc>
          <w:tcPr>
            <w:tcW w:w="1537" w:type="dxa"/>
            <w:tcBorders>
              <w:top w:val="nil"/>
              <w:bottom w:val="single" w:sz="12" w:space="0" w:color="45B0E1"/>
              <w:right w:val="nil"/>
            </w:tcBorders>
            <w:shd w:val="clear" w:color="auto" w:fill="FFFFFF"/>
            <w:hideMark/>
          </w:tcPr>
          <w:p w14:paraId="5710C7DA" w14:textId="77777777" w:rsidR="00EE4FC1" w:rsidRPr="00EE4FC1" w:rsidRDefault="00EE4FC1" w:rsidP="00EE4FC1">
            <w:pPr>
              <w:spacing w:after="0" w:line="259" w:lineRule="auto"/>
              <w:rPr>
                <w:rFonts w:eastAsia="Times New Roman"/>
                <w:b/>
                <w:bCs/>
                <w:kern w:val="0"/>
                <w:sz w:val="22"/>
                <w:szCs w:val="22"/>
                <w:lang w:val="en-US" w:eastAsia="zh-CN"/>
              </w:rPr>
            </w:pPr>
            <w:r w:rsidRPr="00EE4FC1">
              <w:rPr>
                <w:rFonts w:eastAsia="Times New Roman"/>
                <w:b/>
                <w:bCs/>
                <w:kern w:val="0"/>
                <w:sz w:val="22"/>
                <w:szCs w:val="22"/>
                <w:lang w:val="en-US" w:eastAsia="zh-CN"/>
              </w:rPr>
              <w:t>Study</w:t>
            </w:r>
          </w:p>
        </w:tc>
        <w:tc>
          <w:tcPr>
            <w:tcW w:w="1567" w:type="dxa"/>
            <w:tcBorders>
              <w:top w:val="nil"/>
              <w:left w:val="nil"/>
              <w:bottom w:val="single" w:sz="12" w:space="0" w:color="45B0E1"/>
              <w:right w:val="nil"/>
            </w:tcBorders>
            <w:shd w:val="clear" w:color="auto" w:fill="FFFFFF"/>
            <w:hideMark/>
          </w:tcPr>
          <w:p w14:paraId="39CFD761" w14:textId="77777777" w:rsidR="00EE4FC1" w:rsidRPr="00EE4FC1" w:rsidRDefault="00EE4FC1" w:rsidP="00EE4FC1">
            <w:pPr>
              <w:spacing w:after="0" w:line="259" w:lineRule="auto"/>
              <w:rPr>
                <w:rFonts w:eastAsia="Times New Roman"/>
                <w:b/>
                <w:bCs/>
                <w:kern w:val="0"/>
                <w:sz w:val="22"/>
                <w:szCs w:val="22"/>
                <w:lang w:val="en-US" w:eastAsia="zh-CN"/>
              </w:rPr>
            </w:pPr>
            <w:r w:rsidRPr="00EE4FC1">
              <w:rPr>
                <w:rFonts w:eastAsia="Times New Roman"/>
                <w:b/>
                <w:bCs/>
                <w:kern w:val="0"/>
                <w:sz w:val="22"/>
                <w:szCs w:val="22"/>
                <w:lang w:val="en-US" w:eastAsia="zh-CN"/>
              </w:rPr>
              <w:t>Limited long-term evidence</w:t>
            </w:r>
          </w:p>
        </w:tc>
        <w:tc>
          <w:tcPr>
            <w:tcW w:w="0" w:type="auto"/>
            <w:tcBorders>
              <w:top w:val="nil"/>
              <w:left w:val="nil"/>
              <w:bottom w:val="single" w:sz="12" w:space="0" w:color="45B0E1"/>
              <w:right w:val="nil"/>
            </w:tcBorders>
            <w:shd w:val="clear" w:color="auto" w:fill="FFFFFF"/>
            <w:hideMark/>
          </w:tcPr>
          <w:p w14:paraId="75866E44" w14:textId="77777777" w:rsidR="00EE4FC1" w:rsidRPr="00EE4FC1" w:rsidRDefault="00EE4FC1" w:rsidP="00EE4FC1">
            <w:pPr>
              <w:spacing w:after="0" w:line="259" w:lineRule="auto"/>
              <w:rPr>
                <w:rFonts w:eastAsia="Times New Roman"/>
                <w:b/>
                <w:bCs/>
                <w:kern w:val="0"/>
                <w:sz w:val="22"/>
                <w:szCs w:val="22"/>
                <w:lang w:val="en-US" w:eastAsia="zh-CN"/>
              </w:rPr>
            </w:pPr>
            <w:r w:rsidRPr="00EE4FC1">
              <w:rPr>
                <w:rFonts w:eastAsia="Times New Roman"/>
                <w:b/>
                <w:bCs/>
                <w:kern w:val="0"/>
                <w:sz w:val="22"/>
                <w:szCs w:val="22"/>
                <w:lang w:val="en-US" w:eastAsia="zh-CN"/>
              </w:rPr>
              <w:t>Limited evidence on vulnerable groups</w:t>
            </w:r>
          </w:p>
        </w:tc>
        <w:tc>
          <w:tcPr>
            <w:tcW w:w="0" w:type="auto"/>
            <w:tcBorders>
              <w:top w:val="nil"/>
              <w:left w:val="nil"/>
              <w:bottom w:val="single" w:sz="12" w:space="0" w:color="45B0E1"/>
              <w:right w:val="nil"/>
            </w:tcBorders>
            <w:shd w:val="clear" w:color="auto" w:fill="FFFFFF"/>
            <w:hideMark/>
          </w:tcPr>
          <w:p w14:paraId="4141123A" w14:textId="77777777" w:rsidR="00EE4FC1" w:rsidRPr="00EE4FC1" w:rsidRDefault="00EE4FC1" w:rsidP="00EE4FC1">
            <w:pPr>
              <w:spacing w:after="0" w:line="259" w:lineRule="auto"/>
              <w:rPr>
                <w:rFonts w:eastAsia="Times New Roman"/>
                <w:b/>
                <w:bCs/>
                <w:kern w:val="0"/>
                <w:sz w:val="22"/>
                <w:szCs w:val="22"/>
                <w:lang w:val="en-US" w:eastAsia="zh-CN"/>
              </w:rPr>
            </w:pPr>
            <w:r w:rsidRPr="00EE4FC1">
              <w:rPr>
                <w:rFonts w:eastAsia="Times New Roman"/>
                <w:b/>
                <w:bCs/>
                <w:kern w:val="0"/>
                <w:sz w:val="22"/>
                <w:szCs w:val="22"/>
                <w:lang w:val="en-US" w:eastAsia="zh-CN"/>
              </w:rPr>
              <w:t>Limited telephone–video comparison</w:t>
            </w:r>
          </w:p>
        </w:tc>
        <w:tc>
          <w:tcPr>
            <w:tcW w:w="0" w:type="auto"/>
            <w:tcBorders>
              <w:top w:val="nil"/>
              <w:left w:val="nil"/>
              <w:bottom w:val="single" w:sz="12" w:space="0" w:color="45B0E1"/>
              <w:right w:val="nil"/>
            </w:tcBorders>
            <w:shd w:val="clear" w:color="auto" w:fill="FFFFFF"/>
            <w:hideMark/>
          </w:tcPr>
          <w:p w14:paraId="786507B8" w14:textId="77777777" w:rsidR="00EE4FC1" w:rsidRPr="00EE4FC1" w:rsidRDefault="00EE4FC1" w:rsidP="00EE4FC1">
            <w:pPr>
              <w:spacing w:after="0" w:line="259" w:lineRule="auto"/>
              <w:rPr>
                <w:rFonts w:eastAsia="Times New Roman"/>
                <w:b/>
                <w:bCs/>
                <w:kern w:val="0"/>
                <w:sz w:val="22"/>
                <w:szCs w:val="22"/>
                <w:lang w:val="en-US" w:eastAsia="zh-CN"/>
              </w:rPr>
            </w:pPr>
            <w:r w:rsidRPr="00EE4FC1">
              <w:rPr>
                <w:rFonts w:eastAsia="Times New Roman"/>
                <w:b/>
                <w:bCs/>
                <w:kern w:val="0"/>
                <w:sz w:val="22"/>
                <w:szCs w:val="22"/>
                <w:lang w:val="en-US" w:eastAsia="zh-CN"/>
              </w:rPr>
              <w:t>Digital exclusion / inequality</w:t>
            </w:r>
          </w:p>
        </w:tc>
        <w:tc>
          <w:tcPr>
            <w:tcW w:w="0" w:type="auto"/>
            <w:tcBorders>
              <w:top w:val="nil"/>
              <w:left w:val="nil"/>
              <w:bottom w:val="single" w:sz="12" w:space="0" w:color="45B0E1"/>
              <w:right w:val="nil"/>
            </w:tcBorders>
            <w:shd w:val="clear" w:color="auto" w:fill="FFFFFF"/>
            <w:hideMark/>
          </w:tcPr>
          <w:p w14:paraId="56E61714" w14:textId="77777777" w:rsidR="00EE4FC1" w:rsidRPr="00EE4FC1" w:rsidRDefault="00EE4FC1" w:rsidP="00EE4FC1">
            <w:pPr>
              <w:spacing w:after="0" w:line="259" w:lineRule="auto"/>
              <w:rPr>
                <w:rFonts w:eastAsia="Times New Roman"/>
                <w:b/>
                <w:bCs/>
                <w:kern w:val="0"/>
                <w:sz w:val="22"/>
                <w:szCs w:val="22"/>
                <w:lang w:val="en-US" w:eastAsia="zh-CN"/>
              </w:rPr>
            </w:pPr>
            <w:r w:rsidRPr="00EE4FC1">
              <w:rPr>
                <w:rFonts w:eastAsia="Times New Roman"/>
                <w:b/>
                <w:bCs/>
                <w:kern w:val="0"/>
                <w:sz w:val="22"/>
                <w:szCs w:val="22"/>
                <w:lang w:val="en-US" w:eastAsia="zh-CN"/>
              </w:rPr>
              <w:t>Inconsistent satisfaction measurement</w:t>
            </w:r>
          </w:p>
        </w:tc>
        <w:tc>
          <w:tcPr>
            <w:tcW w:w="0" w:type="auto"/>
            <w:tcBorders>
              <w:top w:val="nil"/>
              <w:left w:val="nil"/>
              <w:bottom w:val="single" w:sz="12" w:space="0" w:color="45B0E1"/>
              <w:right w:val="nil"/>
            </w:tcBorders>
            <w:shd w:val="clear" w:color="auto" w:fill="FFFFFF"/>
            <w:hideMark/>
          </w:tcPr>
          <w:p w14:paraId="5410300F" w14:textId="77777777" w:rsidR="00EE4FC1" w:rsidRPr="00EE4FC1" w:rsidRDefault="00EE4FC1" w:rsidP="00EE4FC1">
            <w:pPr>
              <w:spacing w:after="0" w:line="259" w:lineRule="auto"/>
              <w:rPr>
                <w:rFonts w:eastAsia="Times New Roman"/>
                <w:b/>
                <w:bCs/>
                <w:kern w:val="0"/>
                <w:sz w:val="22"/>
                <w:szCs w:val="22"/>
                <w:lang w:val="en-US" w:eastAsia="zh-CN"/>
              </w:rPr>
            </w:pPr>
            <w:r w:rsidRPr="00EE4FC1">
              <w:rPr>
                <w:rFonts w:eastAsia="Times New Roman"/>
                <w:b/>
                <w:bCs/>
                <w:kern w:val="0"/>
                <w:sz w:val="22"/>
                <w:szCs w:val="22"/>
                <w:lang w:val="en-US" w:eastAsia="zh-CN"/>
              </w:rPr>
              <w:t>Limited post-pandemic evidence</w:t>
            </w:r>
          </w:p>
        </w:tc>
        <w:tc>
          <w:tcPr>
            <w:tcW w:w="1682" w:type="dxa"/>
            <w:tcBorders>
              <w:top w:val="nil"/>
              <w:left w:val="nil"/>
              <w:bottom w:val="single" w:sz="12" w:space="0" w:color="45B0E1"/>
            </w:tcBorders>
            <w:shd w:val="clear" w:color="auto" w:fill="FFFFFF"/>
            <w:hideMark/>
          </w:tcPr>
          <w:p w14:paraId="0C108878" w14:textId="77777777" w:rsidR="00EE4FC1" w:rsidRPr="00EE4FC1" w:rsidRDefault="00EE4FC1" w:rsidP="00EE4FC1">
            <w:pPr>
              <w:spacing w:after="0" w:line="259" w:lineRule="auto"/>
              <w:rPr>
                <w:rFonts w:eastAsia="Times New Roman"/>
                <w:b/>
                <w:bCs/>
                <w:kern w:val="0"/>
                <w:sz w:val="22"/>
                <w:szCs w:val="22"/>
                <w:lang w:val="en-US" w:eastAsia="zh-CN"/>
              </w:rPr>
            </w:pPr>
            <w:r w:rsidRPr="00EE4FC1">
              <w:rPr>
                <w:rFonts w:eastAsia="Times New Roman"/>
                <w:b/>
                <w:bCs/>
                <w:kern w:val="0"/>
                <w:sz w:val="22"/>
                <w:szCs w:val="22"/>
                <w:lang w:val="en-US" w:eastAsia="zh-CN"/>
              </w:rPr>
              <w:t>Need for greater patient choice</w:t>
            </w:r>
          </w:p>
        </w:tc>
      </w:tr>
      <w:tr w:rsidR="00EE4FC1" w:rsidRPr="00EE4FC1" w14:paraId="3C78051F" w14:textId="77777777" w:rsidTr="0093203B">
        <w:trPr>
          <w:trHeight w:val="764"/>
        </w:trPr>
        <w:tc>
          <w:tcPr>
            <w:tcW w:w="1537" w:type="dxa"/>
            <w:shd w:val="clear" w:color="auto" w:fill="C1E4F5"/>
            <w:hideMark/>
          </w:tcPr>
          <w:p w14:paraId="275B6D2E"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1. Lifford et al. (2023)</w:t>
            </w:r>
          </w:p>
        </w:tc>
        <w:tc>
          <w:tcPr>
            <w:tcW w:w="1567" w:type="dxa"/>
            <w:shd w:val="clear" w:color="auto" w:fill="C1E4F5"/>
            <w:hideMark/>
          </w:tcPr>
          <w:p w14:paraId="797847D0" w14:textId="77777777" w:rsidR="00EE4FC1" w:rsidRPr="00EE4FC1" w:rsidRDefault="00BC2320"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shd w:val="clear" w:color="auto" w:fill="C1E4F5"/>
            <w:hideMark/>
          </w:tcPr>
          <w:p w14:paraId="1667E90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2B64868B"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4A8A4EC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36FCD853" w14:textId="77777777" w:rsidR="00EE4FC1" w:rsidRPr="00EE4FC1" w:rsidRDefault="008965A8"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shd w:val="clear" w:color="auto" w:fill="C1E4F5"/>
            <w:hideMark/>
          </w:tcPr>
          <w:p w14:paraId="1D03AC31" w14:textId="77777777" w:rsidR="00EE4FC1" w:rsidRPr="00EE4FC1" w:rsidRDefault="008965A8"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682" w:type="dxa"/>
            <w:shd w:val="clear" w:color="auto" w:fill="C1E4F5"/>
            <w:hideMark/>
          </w:tcPr>
          <w:p w14:paraId="30F1849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r w:rsidR="00EE4FC1" w:rsidRPr="00EE4FC1" w14:paraId="430BA7BD" w14:textId="77777777" w:rsidTr="0093203B">
        <w:trPr>
          <w:trHeight w:val="764"/>
        </w:trPr>
        <w:tc>
          <w:tcPr>
            <w:tcW w:w="1537" w:type="dxa"/>
            <w:hideMark/>
          </w:tcPr>
          <w:p w14:paraId="63694A8E"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2. Islam et al. (2024)</w:t>
            </w:r>
          </w:p>
        </w:tc>
        <w:tc>
          <w:tcPr>
            <w:tcW w:w="1567" w:type="dxa"/>
            <w:hideMark/>
          </w:tcPr>
          <w:p w14:paraId="595E10B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08B30762" w14:textId="77777777" w:rsidR="00EE4FC1" w:rsidRPr="00EE4FC1" w:rsidRDefault="00BC2320"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hideMark/>
          </w:tcPr>
          <w:p w14:paraId="572EED1A"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3E4AE89E" w14:textId="77777777" w:rsidR="00EE4FC1" w:rsidRPr="00EE4FC1" w:rsidRDefault="00AB00DE"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hideMark/>
          </w:tcPr>
          <w:p w14:paraId="5ACADDFF" w14:textId="77777777" w:rsidR="00EE4FC1" w:rsidRPr="00EE4FC1" w:rsidRDefault="008965A8"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hideMark/>
          </w:tcPr>
          <w:p w14:paraId="33B36F5B" w14:textId="77777777" w:rsidR="00EE4FC1" w:rsidRPr="00EE4FC1" w:rsidRDefault="008965A8"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682" w:type="dxa"/>
            <w:hideMark/>
          </w:tcPr>
          <w:p w14:paraId="05C3C93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r w:rsidR="00EE4FC1" w:rsidRPr="00EE4FC1" w14:paraId="5200F0B3" w14:textId="77777777" w:rsidTr="0093203B">
        <w:trPr>
          <w:trHeight w:val="764"/>
        </w:trPr>
        <w:tc>
          <w:tcPr>
            <w:tcW w:w="1537" w:type="dxa"/>
            <w:shd w:val="clear" w:color="auto" w:fill="C1E4F5"/>
            <w:hideMark/>
          </w:tcPr>
          <w:p w14:paraId="312EC631"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3. Turner et al. (2021)</w:t>
            </w:r>
          </w:p>
        </w:tc>
        <w:tc>
          <w:tcPr>
            <w:tcW w:w="1567" w:type="dxa"/>
            <w:shd w:val="clear" w:color="auto" w:fill="C1E4F5"/>
            <w:hideMark/>
          </w:tcPr>
          <w:p w14:paraId="6A76190B"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4FABB3A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0917124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552467F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70B5171D" w14:textId="77777777" w:rsidR="00EE4FC1" w:rsidRPr="00EE4FC1" w:rsidRDefault="008965A8"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shd w:val="clear" w:color="auto" w:fill="C1E4F5"/>
            <w:hideMark/>
          </w:tcPr>
          <w:p w14:paraId="6E44B010" w14:textId="77777777" w:rsidR="00EE4FC1" w:rsidRPr="00EE4FC1" w:rsidRDefault="008965A8"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682" w:type="dxa"/>
            <w:shd w:val="clear" w:color="auto" w:fill="C1E4F5"/>
            <w:hideMark/>
          </w:tcPr>
          <w:p w14:paraId="5C2351AB"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r w:rsidR="00EE4FC1" w:rsidRPr="00EE4FC1" w14:paraId="554626BF" w14:textId="77777777" w:rsidTr="0093203B">
        <w:trPr>
          <w:trHeight w:val="764"/>
        </w:trPr>
        <w:tc>
          <w:tcPr>
            <w:tcW w:w="1537" w:type="dxa"/>
            <w:hideMark/>
          </w:tcPr>
          <w:p w14:paraId="091EEC3B"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4. Chadwick et al. (2024)</w:t>
            </w:r>
          </w:p>
        </w:tc>
        <w:tc>
          <w:tcPr>
            <w:tcW w:w="1567" w:type="dxa"/>
            <w:hideMark/>
          </w:tcPr>
          <w:p w14:paraId="025947D0" w14:textId="77777777" w:rsidR="00EE4FC1" w:rsidRPr="00EE4FC1" w:rsidRDefault="00BC2320"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hideMark/>
          </w:tcPr>
          <w:p w14:paraId="3624A8C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376B358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26F07F97" w14:textId="77777777" w:rsidR="00EE4FC1" w:rsidRPr="00EE4FC1" w:rsidRDefault="00AB00DE"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hideMark/>
          </w:tcPr>
          <w:p w14:paraId="735B82A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18AFD60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682" w:type="dxa"/>
            <w:hideMark/>
          </w:tcPr>
          <w:p w14:paraId="2CB2752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r w:rsidR="00EE4FC1" w:rsidRPr="00EE4FC1" w14:paraId="73C4B329" w14:textId="77777777" w:rsidTr="0093203B">
        <w:trPr>
          <w:trHeight w:val="764"/>
        </w:trPr>
        <w:tc>
          <w:tcPr>
            <w:tcW w:w="1537" w:type="dxa"/>
            <w:shd w:val="clear" w:color="auto" w:fill="C1E4F5"/>
            <w:hideMark/>
          </w:tcPr>
          <w:p w14:paraId="7F4960B3"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5. Anderson et al. (2021)</w:t>
            </w:r>
          </w:p>
        </w:tc>
        <w:tc>
          <w:tcPr>
            <w:tcW w:w="1567" w:type="dxa"/>
            <w:shd w:val="clear" w:color="auto" w:fill="C1E4F5"/>
            <w:hideMark/>
          </w:tcPr>
          <w:p w14:paraId="3D0FA1C6"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1BBDEE3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606974A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48ADD482"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4FBE59E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548B516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682" w:type="dxa"/>
            <w:shd w:val="clear" w:color="auto" w:fill="C1E4F5"/>
            <w:hideMark/>
          </w:tcPr>
          <w:p w14:paraId="7FBF950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r w:rsidR="00EE4FC1" w:rsidRPr="00EE4FC1" w14:paraId="50C9EBE3" w14:textId="77777777" w:rsidTr="0093203B">
        <w:trPr>
          <w:trHeight w:val="764"/>
        </w:trPr>
        <w:tc>
          <w:tcPr>
            <w:tcW w:w="1537" w:type="dxa"/>
            <w:hideMark/>
          </w:tcPr>
          <w:p w14:paraId="5C1A1DB6"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6. Leach et al. (2025)</w:t>
            </w:r>
          </w:p>
        </w:tc>
        <w:tc>
          <w:tcPr>
            <w:tcW w:w="1567" w:type="dxa"/>
            <w:hideMark/>
          </w:tcPr>
          <w:p w14:paraId="70F2A5A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27CA165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0EC8E30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4BBB2777" w14:textId="77777777" w:rsidR="00EE4FC1" w:rsidRPr="00EE4FC1" w:rsidRDefault="00AB00DE"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hideMark/>
          </w:tcPr>
          <w:p w14:paraId="65E5CD7B" w14:textId="77777777" w:rsidR="00EE4FC1" w:rsidRPr="00EE4FC1" w:rsidRDefault="008965A8"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hideMark/>
          </w:tcPr>
          <w:p w14:paraId="3C08CBF0" w14:textId="77777777" w:rsidR="00EE4FC1" w:rsidRPr="00EE4FC1" w:rsidRDefault="008965A8"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682" w:type="dxa"/>
            <w:hideMark/>
          </w:tcPr>
          <w:p w14:paraId="3884916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r w:rsidR="00EE4FC1" w:rsidRPr="00EE4FC1" w14:paraId="267D44D2" w14:textId="77777777" w:rsidTr="0093203B">
        <w:trPr>
          <w:trHeight w:val="764"/>
        </w:trPr>
        <w:tc>
          <w:tcPr>
            <w:tcW w:w="1537" w:type="dxa"/>
            <w:shd w:val="clear" w:color="auto" w:fill="C1E4F5"/>
            <w:hideMark/>
          </w:tcPr>
          <w:p w14:paraId="6D6B3F66"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lastRenderedPageBreak/>
              <w:t>7. de Visser et al. (2024)</w:t>
            </w:r>
          </w:p>
        </w:tc>
        <w:tc>
          <w:tcPr>
            <w:tcW w:w="1567" w:type="dxa"/>
            <w:shd w:val="clear" w:color="auto" w:fill="C1E4F5"/>
            <w:hideMark/>
          </w:tcPr>
          <w:p w14:paraId="466C276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3E2FDA0E" w14:textId="77777777" w:rsidR="00EE4FC1" w:rsidRPr="00EE4FC1" w:rsidRDefault="00BC2320"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shd w:val="clear" w:color="auto" w:fill="C1E4F5"/>
            <w:hideMark/>
          </w:tcPr>
          <w:p w14:paraId="4CCD23CD"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74E34BB5" w14:textId="77777777" w:rsidR="00EE4FC1" w:rsidRPr="00EE4FC1" w:rsidRDefault="00AB00DE"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shd w:val="clear" w:color="auto" w:fill="C1E4F5"/>
            <w:hideMark/>
          </w:tcPr>
          <w:p w14:paraId="4EDC4F9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74E6692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682" w:type="dxa"/>
            <w:shd w:val="clear" w:color="auto" w:fill="C1E4F5"/>
            <w:hideMark/>
          </w:tcPr>
          <w:p w14:paraId="465E30A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r w:rsidR="00EE4FC1" w:rsidRPr="00EE4FC1" w14:paraId="5A2E61A2" w14:textId="77777777" w:rsidTr="0093203B">
        <w:trPr>
          <w:trHeight w:val="764"/>
        </w:trPr>
        <w:tc>
          <w:tcPr>
            <w:tcW w:w="1537" w:type="dxa"/>
            <w:hideMark/>
          </w:tcPr>
          <w:p w14:paraId="2EC5F113"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8. Guo et al. (2026)</w:t>
            </w:r>
          </w:p>
        </w:tc>
        <w:tc>
          <w:tcPr>
            <w:tcW w:w="1567" w:type="dxa"/>
            <w:hideMark/>
          </w:tcPr>
          <w:p w14:paraId="7ABE35F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6E2A7E8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6F44194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228A3007"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2A614CCB" w14:textId="77777777" w:rsidR="00EE4FC1" w:rsidRPr="00EE4FC1" w:rsidRDefault="008965A8"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hideMark/>
          </w:tcPr>
          <w:p w14:paraId="71CBCFD3" w14:textId="77777777" w:rsidR="00EE4FC1" w:rsidRPr="00EE4FC1" w:rsidRDefault="008965A8"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682" w:type="dxa"/>
            <w:hideMark/>
          </w:tcPr>
          <w:p w14:paraId="32F0C7D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r w:rsidR="00EE4FC1" w:rsidRPr="00EE4FC1" w14:paraId="1E9F7451" w14:textId="77777777" w:rsidTr="0093203B">
        <w:trPr>
          <w:trHeight w:val="1071"/>
        </w:trPr>
        <w:tc>
          <w:tcPr>
            <w:tcW w:w="1537" w:type="dxa"/>
            <w:shd w:val="clear" w:color="auto" w:fill="C1E4F5"/>
            <w:hideMark/>
          </w:tcPr>
          <w:p w14:paraId="40647358"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9. Hammersley et al. (2019)</w:t>
            </w:r>
          </w:p>
        </w:tc>
        <w:tc>
          <w:tcPr>
            <w:tcW w:w="1567" w:type="dxa"/>
            <w:shd w:val="clear" w:color="auto" w:fill="C1E4F5"/>
            <w:hideMark/>
          </w:tcPr>
          <w:p w14:paraId="68A9DB9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575A543F"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3F5EE2A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362A24D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09D435D5" w14:textId="77777777" w:rsidR="00EE4FC1" w:rsidRPr="00EE4FC1" w:rsidRDefault="008965A8"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shd w:val="clear" w:color="auto" w:fill="C1E4F5"/>
            <w:hideMark/>
          </w:tcPr>
          <w:p w14:paraId="2D21EB2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682" w:type="dxa"/>
            <w:shd w:val="clear" w:color="auto" w:fill="C1E4F5"/>
            <w:hideMark/>
          </w:tcPr>
          <w:p w14:paraId="0947B2B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r w:rsidR="00EE4FC1" w:rsidRPr="00EE4FC1" w14:paraId="68FD902F" w14:textId="77777777" w:rsidTr="0093203B">
        <w:trPr>
          <w:trHeight w:val="764"/>
        </w:trPr>
        <w:tc>
          <w:tcPr>
            <w:tcW w:w="1537" w:type="dxa"/>
            <w:hideMark/>
          </w:tcPr>
          <w:p w14:paraId="663E017E"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10. Donaghy et al. (2019)</w:t>
            </w:r>
          </w:p>
        </w:tc>
        <w:tc>
          <w:tcPr>
            <w:tcW w:w="1567" w:type="dxa"/>
            <w:hideMark/>
          </w:tcPr>
          <w:p w14:paraId="73CC363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7C487D9F" w14:textId="77777777" w:rsidR="00EE4FC1" w:rsidRPr="00EE4FC1" w:rsidRDefault="00AB00DE"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hideMark/>
          </w:tcPr>
          <w:p w14:paraId="04082C09"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488DFEB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0A712A64"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3274007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1682" w:type="dxa"/>
            <w:hideMark/>
          </w:tcPr>
          <w:p w14:paraId="2743A429"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r w:rsidR="00EE4FC1" w:rsidRPr="00EE4FC1" w14:paraId="74F1724E" w14:textId="77777777" w:rsidTr="0093203B">
        <w:trPr>
          <w:trHeight w:val="764"/>
        </w:trPr>
        <w:tc>
          <w:tcPr>
            <w:tcW w:w="1537" w:type="dxa"/>
            <w:shd w:val="clear" w:color="auto" w:fill="C1E4F5"/>
            <w:hideMark/>
          </w:tcPr>
          <w:p w14:paraId="62914C5D"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11. Archer et al. (2025)</w:t>
            </w:r>
          </w:p>
        </w:tc>
        <w:tc>
          <w:tcPr>
            <w:tcW w:w="1567" w:type="dxa"/>
            <w:shd w:val="clear" w:color="auto" w:fill="C1E4F5"/>
            <w:hideMark/>
          </w:tcPr>
          <w:p w14:paraId="7B2B7E33" w14:textId="77777777" w:rsidR="00EE4FC1" w:rsidRPr="00EE4FC1" w:rsidRDefault="00BC2320"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shd w:val="clear" w:color="auto" w:fill="C1E4F5"/>
            <w:hideMark/>
          </w:tcPr>
          <w:p w14:paraId="4E95526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518623A3"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2211FA3C" w14:textId="77777777" w:rsidR="00EE4FC1" w:rsidRPr="00EE4FC1" w:rsidRDefault="00AB00DE"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shd w:val="clear" w:color="auto" w:fill="C1E4F5"/>
            <w:hideMark/>
          </w:tcPr>
          <w:p w14:paraId="26B9975B"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shd w:val="clear" w:color="auto" w:fill="C1E4F5"/>
            <w:hideMark/>
          </w:tcPr>
          <w:p w14:paraId="38F04371" w14:textId="77777777" w:rsidR="00EE4FC1" w:rsidRPr="00EE4FC1" w:rsidRDefault="008965A8"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682" w:type="dxa"/>
            <w:shd w:val="clear" w:color="auto" w:fill="C1E4F5"/>
            <w:hideMark/>
          </w:tcPr>
          <w:p w14:paraId="74582788"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r w:rsidR="00EE4FC1" w:rsidRPr="00EE4FC1" w14:paraId="0B0A8EEE" w14:textId="77777777" w:rsidTr="0093203B">
        <w:trPr>
          <w:trHeight w:val="764"/>
        </w:trPr>
        <w:tc>
          <w:tcPr>
            <w:tcW w:w="1537" w:type="dxa"/>
            <w:hideMark/>
          </w:tcPr>
          <w:p w14:paraId="6DBB1BBC" w14:textId="77777777" w:rsidR="00EE4FC1" w:rsidRPr="00EE4FC1" w:rsidRDefault="00EE4FC1" w:rsidP="00EE4FC1">
            <w:pPr>
              <w:spacing w:after="0" w:line="259" w:lineRule="auto"/>
              <w:jc w:val="center"/>
              <w:rPr>
                <w:rFonts w:eastAsia="Times New Roman"/>
                <w:b/>
                <w:bCs/>
                <w:i/>
                <w:iCs/>
                <w:kern w:val="0"/>
                <w:sz w:val="22"/>
                <w:szCs w:val="22"/>
                <w:lang w:val="en-US" w:eastAsia="zh-CN"/>
              </w:rPr>
            </w:pPr>
            <w:r w:rsidRPr="00EE4FC1">
              <w:rPr>
                <w:rFonts w:eastAsia="Times New Roman"/>
                <w:b/>
                <w:bCs/>
                <w:i/>
                <w:iCs/>
                <w:kern w:val="0"/>
                <w:sz w:val="22"/>
                <w:szCs w:val="22"/>
                <w:lang w:val="en-US" w:eastAsia="zh-CN"/>
              </w:rPr>
              <w:t>12. Papoutsi et al. (2022)</w:t>
            </w:r>
          </w:p>
        </w:tc>
        <w:tc>
          <w:tcPr>
            <w:tcW w:w="1567" w:type="dxa"/>
            <w:hideMark/>
          </w:tcPr>
          <w:p w14:paraId="3E23EFD0"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03B3C36D" w14:textId="77777777" w:rsidR="00EE4FC1" w:rsidRPr="00EE4FC1" w:rsidRDefault="00AB00DE"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0" w:type="auto"/>
            <w:hideMark/>
          </w:tcPr>
          <w:p w14:paraId="225CDD4E"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5FA2AF5C"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7F2E34D5"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c>
          <w:tcPr>
            <w:tcW w:w="0" w:type="auto"/>
            <w:hideMark/>
          </w:tcPr>
          <w:p w14:paraId="2AADDC78" w14:textId="77777777" w:rsidR="00EE4FC1" w:rsidRPr="00EE4FC1" w:rsidRDefault="008965A8" w:rsidP="00EE4FC1">
            <w:pPr>
              <w:spacing w:after="0" w:line="259" w:lineRule="auto"/>
              <w:jc w:val="center"/>
              <w:rPr>
                <w:rFonts w:eastAsia="Times New Roman"/>
                <w:b/>
                <w:bCs/>
                <w:kern w:val="0"/>
                <w:sz w:val="22"/>
                <w:szCs w:val="22"/>
                <w:lang w:val="en-US" w:eastAsia="zh-CN"/>
              </w:rPr>
            </w:pPr>
            <w:r w:rsidRPr="00EE4FC1">
              <w:rPr>
                <w:rFonts w:eastAsia="Times New Roman"/>
                <w:b/>
                <w:bCs/>
                <w:kern w:val="0"/>
                <w:sz w:val="22"/>
                <w:szCs w:val="22"/>
                <w:lang w:val="en-US" w:eastAsia="zh-CN"/>
              </w:rPr>
              <w:t>–</w:t>
            </w:r>
          </w:p>
        </w:tc>
        <w:tc>
          <w:tcPr>
            <w:tcW w:w="1682" w:type="dxa"/>
            <w:hideMark/>
          </w:tcPr>
          <w:p w14:paraId="6AEFC2A1" w14:textId="77777777" w:rsidR="00EE4FC1" w:rsidRPr="00EE4FC1" w:rsidRDefault="00EE4FC1" w:rsidP="00EE4FC1">
            <w:pPr>
              <w:spacing w:after="0" w:line="259" w:lineRule="auto"/>
              <w:jc w:val="center"/>
              <w:rPr>
                <w:rFonts w:eastAsia="Times New Roman"/>
                <w:b/>
                <w:bCs/>
                <w:kern w:val="0"/>
                <w:sz w:val="22"/>
                <w:szCs w:val="22"/>
                <w:lang w:val="en-US" w:eastAsia="zh-CN"/>
              </w:rPr>
            </w:pPr>
            <w:r w:rsidRPr="00EE4FC1">
              <w:rPr>
                <w:rFonts w:eastAsia="Times New Roman" w:cs="Segoe UI Symbol"/>
                <w:b/>
                <w:bCs/>
                <w:kern w:val="0"/>
                <w:sz w:val="22"/>
                <w:szCs w:val="22"/>
                <w:lang w:val="en-US" w:eastAsia="zh-CN"/>
              </w:rPr>
              <w:t>✓</w:t>
            </w:r>
          </w:p>
        </w:tc>
      </w:tr>
    </w:tbl>
    <w:p w14:paraId="2F19FE47" w14:textId="77777777" w:rsidR="00EE4FC1" w:rsidRPr="00EE4FC1" w:rsidRDefault="00EE4FC1" w:rsidP="00EE4FC1">
      <w:pPr>
        <w:spacing w:line="360" w:lineRule="auto"/>
        <w:jc w:val="both"/>
        <w:rPr>
          <w:rFonts w:ascii="Arial" w:eastAsia="PMingLiU" w:hAnsi="Arial" w:cs="Arial"/>
          <w:sz w:val="22"/>
          <w:szCs w:val="22"/>
          <w:lang w:val="en-US" w:eastAsia="zh-CN"/>
        </w:rPr>
      </w:pPr>
    </w:p>
    <w:p w14:paraId="133CBE04"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The reviewed studies also pointed out significant policy and practice recommendations. There was a need to enhance digital infrastructure in primary care in order to increase access and minimise technology barriers, as suggested by several authors. Hammersley et al. (2019) highlight the need for sufficient training of HCPs to ensure the quality of delivery and communication in telemedicine. Moreover, in order to provide patient-centred care and flexibility in healthcare, Anderson et al. (2021) suggested using a hybrid approach between telemedicine and in-person care. Islam et al. (2024) further suggested that future telemedicine policies should prioritise communication quality, patient choice, and equitable healthcare access to enhance patient satisfaction and overall quality of care.</w:t>
      </w:r>
    </w:p>
    <w:p w14:paraId="1C52593A" w14:textId="77777777" w:rsidR="00EE4FC1" w:rsidRPr="00EE4FC1" w:rsidRDefault="00EE4FC1" w:rsidP="00EE4FC1">
      <w:pPr>
        <w:spacing w:line="360" w:lineRule="auto"/>
        <w:rPr>
          <w:rFonts w:ascii="Calibri" w:eastAsia="PMingLiU" w:hAnsi="Calibri"/>
          <w:sz w:val="22"/>
          <w:szCs w:val="22"/>
          <w:lang w:eastAsia="zh-CN"/>
        </w:rPr>
      </w:pPr>
    </w:p>
    <w:p w14:paraId="1E35BB46" w14:textId="77777777" w:rsidR="00EE4FC1" w:rsidRPr="00EE4FC1" w:rsidRDefault="00EE4FC1" w:rsidP="00EE4FC1">
      <w:pPr>
        <w:spacing w:line="360" w:lineRule="auto"/>
        <w:rPr>
          <w:rFonts w:ascii="Calibri" w:eastAsia="PMingLiU" w:hAnsi="Calibri"/>
          <w:sz w:val="22"/>
          <w:szCs w:val="22"/>
          <w:lang w:eastAsia="zh-CN"/>
        </w:rPr>
      </w:pPr>
    </w:p>
    <w:p w14:paraId="0E5E1E8F" w14:textId="77777777" w:rsidR="00EE4FC1" w:rsidRPr="00EE4FC1" w:rsidRDefault="00EE4FC1" w:rsidP="00EE4FC1">
      <w:pPr>
        <w:spacing w:line="360" w:lineRule="auto"/>
        <w:rPr>
          <w:rFonts w:ascii="Calibri" w:eastAsia="PMingLiU" w:hAnsi="Calibri"/>
          <w:sz w:val="22"/>
          <w:szCs w:val="22"/>
          <w:lang w:eastAsia="zh-CN"/>
        </w:rPr>
      </w:pPr>
    </w:p>
    <w:p w14:paraId="4BC71B48" w14:textId="77777777" w:rsidR="00EE4FC1" w:rsidRDefault="00EE4FC1" w:rsidP="00EE4FC1">
      <w:pPr>
        <w:spacing w:line="360" w:lineRule="auto"/>
        <w:rPr>
          <w:rFonts w:ascii="Calibri" w:eastAsia="PMingLiU" w:hAnsi="Calibri"/>
          <w:sz w:val="22"/>
          <w:szCs w:val="22"/>
          <w:lang w:eastAsia="zh-CN"/>
        </w:rPr>
      </w:pPr>
    </w:p>
    <w:p w14:paraId="306E7000" w14:textId="77777777" w:rsidR="00042674" w:rsidRDefault="00042674" w:rsidP="00EE4FC1">
      <w:pPr>
        <w:spacing w:line="360" w:lineRule="auto"/>
        <w:rPr>
          <w:rFonts w:ascii="Calibri" w:eastAsia="PMingLiU" w:hAnsi="Calibri"/>
          <w:sz w:val="22"/>
          <w:szCs w:val="22"/>
          <w:lang w:eastAsia="zh-CN"/>
        </w:rPr>
      </w:pPr>
    </w:p>
    <w:p w14:paraId="17CB777C" w14:textId="77777777" w:rsidR="00042674" w:rsidRDefault="00042674" w:rsidP="00EE4FC1">
      <w:pPr>
        <w:spacing w:line="360" w:lineRule="auto"/>
        <w:rPr>
          <w:rFonts w:ascii="Calibri" w:eastAsia="PMingLiU" w:hAnsi="Calibri"/>
          <w:sz w:val="22"/>
          <w:szCs w:val="22"/>
          <w:lang w:eastAsia="zh-CN"/>
        </w:rPr>
      </w:pPr>
    </w:p>
    <w:p w14:paraId="73B38E76" w14:textId="77777777" w:rsidR="00EE4FC1" w:rsidRPr="00EE4FC1" w:rsidRDefault="00EE4FC1" w:rsidP="00EE4FC1">
      <w:pPr>
        <w:keepNext/>
        <w:keepLines/>
        <w:spacing w:before="360" w:after="80" w:line="360" w:lineRule="auto"/>
        <w:jc w:val="center"/>
        <w:outlineLvl w:val="0"/>
        <w:rPr>
          <w:rFonts w:ascii="Arial" w:eastAsia="PMingLiU" w:hAnsi="Arial" w:cs="Arial"/>
          <w:b/>
          <w:bCs/>
          <w:sz w:val="22"/>
          <w:szCs w:val="22"/>
          <w:lang w:eastAsia="zh-CN"/>
        </w:rPr>
      </w:pPr>
      <w:bookmarkStart w:id="79" w:name="_Toc12220"/>
      <w:bookmarkStart w:id="80" w:name="_Toc241618985"/>
      <w:bookmarkEnd w:id="30"/>
      <w:r w:rsidRPr="00EE4FC1">
        <w:rPr>
          <w:rFonts w:ascii="Arial" w:eastAsia="PMingLiU" w:hAnsi="Arial" w:cs="Arial"/>
          <w:b/>
          <w:bCs/>
          <w:sz w:val="22"/>
          <w:szCs w:val="22"/>
          <w:lang w:eastAsia="zh-CN"/>
        </w:rPr>
        <w:lastRenderedPageBreak/>
        <w:t>CHAPTER FIVE</w:t>
      </w:r>
      <w:bookmarkEnd w:id="80"/>
    </w:p>
    <w:p w14:paraId="4A6D2A78" w14:textId="77777777" w:rsidR="00EE4FC1" w:rsidRPr="00EE4FC1" w:rsidRDefault="00EE4FC1" w:rsidP="00EE4FC1">
      <w:pPr>
        <w:keepNext/>
        <w:keepLines/>
        <w:spacing w:before="360" w:after="80" w:line="360" w:lineRule="auto"/>
        <w:jc w:val="center"/>
        <w:outlineLvl w:val="0"/>
        <w:rPr>
          <w:rFonts w:ascii="Arial" w:eastAsia="PMingLiU" w:hAnsi="Arial" w:cs="Arial"/>
          <w:b/>
          <w:bCs/>
          <w:sz w:val="22"/>
          <w:szCs w:val="22"/>
          <w:lang w:eastAsia="zh-CN"/>
        </w:rPr>
      </w:pPr>
      <w:bookmarkStart w:id="81" w:name="_Toc241618986"/>
      <w:r w:rsidRPr="00EE4FC1">
        <w:rPr>
          <w:rFonts w:ascii="Arial" w:eastAsia="PMingLiU" w:hAnsi="Arial" w:cs="Arial"/>
          <w:b/>
          <w:bCs/>
          <w:sz w:val="22"/>
          <w:szCs w:val="22"/>
          <w:lang w:eastAsia="zh-CN"/>
        </w:rPr>
        <w:t>DISCUSSION</w:t>
      </w:r>
      <w:bookmarkEnd w:id="79"/>
      <w:bookmarkEnd w:id="81"/>
    </w:p>
    <w:p w14:paraId="5903231F" w14:textId="5620A36D"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This chapter interprets the findings presented in Chapter Four and situates them within the wider telemedicine literature.</w:t>
      </w:r>
    </w:p>
    <w:p w14:paraId="68673AD2"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82" w:name="_Toc241618987"/>
      <w:r w:rsidRPr="00EE4FC1">
        <w:rPr>
          <w:rFonts w:ascii="Arial" w:eastAsia="PMingLiU" w:hAnsi="Arial" w:cs="Arial"/>
          <w:b/>
          <w:bCs/>
          <w:sz w:val="22"/>
          <w:szCs w:val="22"/>
          <w:lang w:val="en-US" w:eastAsia="zh-CN"/>
        </w:rPr>
        <w:t>5.1 UK Studies on Patient Satisfaction with Telemedicine</w:t>
      </w:r>
      <w:bookmarkEnd w:id="82"/>
    </w:p>
    <w:p w14:paraId="5B486CF8" w14:textId="0C6C79ED" w:rsidR="00EE4FC1" w:rsidRPr="00495703"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val="en-US" w:eastAsia="zh-CN"/>
        </w:rPr>
        <w:t xml:space="preserve">The </w:t>
      </w:r>
      <w:r w:rsidR="00376AE4" w:rsidRPr="00EE4FC1">
        <w:rPr>
          <w:rFonts w:ascii="Arial" w:eastAsia="PMingLiU" w:hAnsi="Arial" w:cs="Arial"/>
          <w:sz w:val="22"/>
          <w:szCs w:val="22"/>
          <w:lang w:val="en-US" w:eastAsia="zh-CN"/>
        </w:rPr>
        <w:t>most</w:t>
      </w:r>
      <w:r w:rsidRPr="00EE4FC1">
        <w:rPr>
          <w:rFonts w:ascii="Arial" w:eastAsia="PMingLiU" w:hAnsi="Arial" w:cs="Arial"/>
          <w:sz w:val="22"/>
          <w:szCs w:val="22"/>
          <w:lang w:val="en-US" w:eastAsia="zh-CN"/>
        </w:rPr>
        <w:t xml:space="preserve"> positive satisfaction scores across the 12 studies included, primarily due to convenience, accessibility and continuity of care, align with the findings of </w:t>
      </w:r>
      <w:r w:rsidRPr="00EE4FC1">
        <w:rPr>
          <w:rFonts w:ascii="Arial" w:eastAsia="PMingLiU" w:hAnsi="Arial" w:cs="Arial"/>
          <w:sz w:val="22"/>
          <w:szCs w:val="22"/>
          <w:lang w:eastAsia="zh-CN"/>
        </w:rPr>
        <w:t>Rush et al.</w:t>
      </w:r>
      <w:r w:rsidRPr="00EE4FC1">
        <w:rPr>
          <w:rFonts w:ascii="Arial" w:eastAsia="PMingLiU" w:hAnsi="Arial" w:cs="Arial"/>
          <w:sz w:val="22"/>
          <w:szCs w:val="22"/>
          <w:lang w:val="en-US" w:eastAsia="zh-CN"/>
        </w:rPr>
        <w:t xml:space="preserve"> (2018) in their systematic review of satisfaction expressed by patients in the 12 medical specialties included, during the pandemic. The present review, on the other hand, has a focus on primary care in the UK, and the evidence of satisfaction is directed more towards structural convenience than towards actual clinical benefit, </w:t>
      </w:r>
      <w:r w:rsidR="00495703" w:rsidRPr="00495703">
        <w:rPr>
          <w:rFonts w:ascii="Arial" w:eastAsia="PMingLiU" w:hAnsi="Arial" w:cs="Arial"/>
          <w:sz w:val="22"/>
          <w:szCs w:val="22"/>
          <w:lang w:eastAsia="zh-CN"/>
        </w:rPr>
        <w:t>in comparison with that review</w:t>
      </w:r>
      <w:r w:rsidRPr="00EE4FC1">
        <w:rPr>
          <w:rFonts w:ascii="Arial" w:eastAsia="PMingLiU" w:hAnsi="Arial" w:cs="Arial"/>
          <w:sz w:val="22"/>
          <w:szCs w:val="22"/>
          <w:lang w:val="en-US" w:eastAsia="zh-CN"/>
        </w:rPr>
        <w:t xml:space="preserve">. </w:t>
      </w:r>
      <w:r w:rsidR="00857578" w:rsidRPr="00857578">
        <w:rPr>
          <w:rFonts w:ascii="Arial" w:eastAsia="PMingLiU" w:hAnsi="Arial" w:cs="Arial"/>
          <w:sz w:val="22"/>
          <w:szCs w:val="22"/>
          <w:lang w:eastAsia="zh-CN"/>
        </w:rPr>
        <w:t>While Lifford et al. (2023) came to a similar conclusion ab</w:t>
      </w:r>
      <w:r w:rsidR="00AD330F">
        <w:rPr>
          <w:rFonts w:ascii="Arial" w:eastAsia="PMingLiU" w:hAnsi="Arial" w:cs="Arial"/>
          <w:sz w:val="22"/>
          <w:szCs w:val="22"/>
          <w:lang w:eastAsia="zh-CN"/>
        </w:rPr>
        <w:t>out UK adults, Anderson et al.</w:t>
      </w:r>
      <w:r w:rsidR="00857578" w:rsidRPr="00857578">
        <w:rPr>
          <w:rFonts w:ascii="Arial" w:eastAsia="PMingLiU" w:hAnsi="Arial" w:cs="Arial"/>
          <w:sz w:val="22"/>
          <w:szCs w:val="22"/>
          <w:lang w:eastAsia="zh-CN"/>
        </w:rPr>
        <w:t xml:space="preserve"> (2021) cross-sectional questionnaire survey revealed consultations often felt impersonal, especially for sensitive conditions, which suggests this is more a difference in method than real contradiction—quantitative surveys average across large samples and tend to capture the convenience, whereas qualitative interviews capture the relational costs that averages can mask</w:t>
      </w:r>
      <w:r w:rsidRPr="00EE4FC1">
        <w:rPr>
          <w:rFonts w:ascii="Arial" w:eastAsia="PMingLiU" w:hAnsi="Arial" w:cs="Arial"/>
          <w:sz w:val="22"/>
          <w:szCs w:val="22"/>
          <w:lang w:val="en-US" w:eastAsia="zh-CN"/>
        </w:rPr>
        <w:t xml:space="preserve">. This pattern aligns with expectations that satisfaction would be </w:t>
      </w:r>
      <w:r w:rsidR="00095A06" w:rsidRPr="00EE4FC1">
        <w:rPr>
          <w:rFonts w:ascii="Arial" w:eastAsia="PMingLiU" w:hAnsi="Arial" w:cs="Arial"/>
          <w:sz w:val="22"/>
          <w:szCs w:val="22"/>
          <w:lang w:val="en-US" w:eastAsia="zh-CN"/>
        </w:rPr>
        <w:t>high but</w:t>
      </w:r>
      <w:r w:rsidRPr="00EE4FC1">
        <w:rPr>
          <w:rFonts w:ascii="Arial" w:eastAsia="PMingLiU" w:hAnsi="Arial" w:cs="Arial"/>
          <w:sz w:val="22"/>
          <w:szCs w:val="22"/>
          <w:lang w:val="en-US" w:eastAsia="zh-CN"/>
        </w:rPr>
        <w:t xml:space="preserve"> complicates it: aggregate satisfaction seems to reflect ease of access rather than quality of the clinical encounter itself, so there's an alternative explanation that needs to be considered before using satisfaction scores as a proxy for quality of the clinical encounter.</w:t>
      </w:r>
    </w:p>
    <w:p w14:paraId="04894867"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83" w:name="_Toc241618988"/>
      <w:r w:rsidRPr="00EE4FC1">
        <w:rPr>
          <w:rFonts w:ascii="Arial" w:eastAsia="PMingLiU" w:hAnsi="Arial" w:cs="Arial"/>
          <w:b/>
          <w:bCs/>
          <w:sz w:val="22"/>
          <w:szCs w:val="22"/>
          <w:lang w:val="en-US" w:eastAsia="zh-CN"/>
        </w:rPr>
        <w:t>5.2 Perceived Quality of Telemedicine</w:t>
      </w:r>
      <w:bookmarkEnd w:id="83"/>
    </w:p>
    <w:p w14:paraId="21AB56E2"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Digital inclusion must also be taken into consideration when assessing perceived quality. The benefits of remote care in terms of convenience have been repeatedly raised by professional and policy organisations in the UK, alongside the challenges of remote care where patients lack connectivity, devices, confidence, accessible interfaces or support. Non-digital routes and assistance are therefore relevant aspects of patient centred quality (Royal College of General Practitioners, 2021).</w:t>
      </w:r>
    </w:p>
    <w:p w14:paraId="4530F02C" w14:textId="77777777"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eastAsia="zh-CN"/>
        </w:rPr>
        <w:t xml:space="preserve">The positive picture for accessibility and routine care, and less positive for diagnostic confidence, is echoed by the findings from Snoswell et al.’s (2025) study on the randomised trials of telehealth and telephone consultations which showed that there was no difference in clinical effectiveness, supporting patients' perception that both modes of consultations are generally safe for routine care. But this is at odds with Hammersley et al.'s (2019) content analysis, where clinicians reported feeling uncertain about their diagnosis during virtual consultation, a disagreement likely more of a matter of perspective than evidence: patients </w:t>
      </w:r>
      <w:r w:rsidRPr="00EE4FC1">
        <w:rPr>
          <w:rFonts w:ascii="Arial" w:eastAsia="PMingLiU" w:hAnsi="Arial" w:cs="Arial"/>
          <w:sz w:val="22"/>
          <w:szCs w:val="22"/>
          <w:lang w:eastAsia="zh-CN"/>
        </w:rPr>
        <w:lastRenderedPageBreak/>
        <w:t>would evaluate quality by how convenient and responsive the virtual consultation was, whereas clinicians would evaluate it by how well their clinical evaluation was completed. The Donabedian framework supports the proposition that communication and responsiveness are the main drivers of patient outcome judgements, rather than structural or diagnostic factors, as Batbaatar et al. (2017) argue is the case. Clinically, that means perceived-quality scores are not adequate to make commissioning decisions and should be combined with clinical-outcome information.</w:t>
      </w:r>
    </w:p>
    <w:p w14:paraId="017A9A2F"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84" w:name="_Toc241618989"/>
      <w:r w:rsidRPr="00EE4FC1">
        <w:rPr>
          <w:rFonts w:ascii="Arial" w:eastAsia="PMingLiU" w:hAnsi="Arial" w:cs="Arial"/>
          <w:b/>
          <w:bCs/>
          <w:sz w:val="22"/>
          <w:szCs w:val="22"/>
          <w:lang w:val="en-US" w:eastAsia="zh-CN"/>
        </w:rPr>
        <w:t>5.3 Comparing Telephone and Video Consultations</w:t>
      </w:r>
      <w:bookmarkEnd w:id="84"/>
    </w:p>
    <w:p w14:paraId="5779BA84" w14:textId="6C5504A4" w:rsidR="00EE4FC1" w:rsidRPr="00EE4FC1" w:rsidRDefault="00EE4FC1" w:rsidP="00EE4FC1">
      <w:pPr>
        <w:spacing w:line="360" w:lineRule="auto"/>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t xml:space="preserve">The results of neither modality being significantly more satisfying than the other, with telephone rated as the most reliable and simplest for satisfaction, resonates with the results of Snoswell et al. (2025), who similarly did not find any significant difference in satisfaction between telephone and video telehealth. This convergence adds to the confidence that the result is not the result of the all-UK sample upon which this review was based. It may be that such differences exist because the cohort that was sampled in the cross-sectional US study (e.g. Riedel et al., 2021) is more digitally connected and engaged than the studies sampled herein, especially Hammersley et al. (2019) and Donaghy et al. (2019), which sought participants in more digitally mixed and older UK populations where ease of use is more important than richer communication. Through TAM it can be said that modality preference is not necessarily determined by which is objectively ‘better’ but rather by which is considered ‘easier to use’ than the other, which is not necessarily what the patient considers to be the better of the two choices, but rather what the patient thinks is easiest to use for that specific modality, and this is what they are attracted to. </w:t>
      </w:r>
    </w:p>
    <w:p w14:paraId="73F531B1" w14:textId="77777777" w:rsidR="00EE4FC1" w:rsidRPr="00EE4FC1" w:rsidRDefault="00EE4FC1" w:rsidP="00EE4FC1">
      <w:pPr>
        <w:keepNext/>
        <w:keepLines/>
        <w:spacing w:before="160" w:after="80" w:line="360" w:lineRule="auto"/>
        <w:outlineLvl w:val="1"/>
        <w:rPr>
          <w:rFonts w:ascii="Arial" w:eastAsia="PMingLiU" w:hAnsi="Arial" w:cs="Arial"/>
          <w:b/>
          <w:bCs/>
          <w:sz w:val="22"/>
          <w:szCs w:val="22"/>
          <w:lang w:val="en-US" w:eastAsia="zh-CN"/>
        </w:rPr>
      </w:pPr>
      <w:bookmarkStart w:id="85" w:name="_Toc241618990"/>
      <w:r w:rsidRPr="00EE4FC1">
        <w:rPr>
          <w:rFonts w:ascii="Arial" w:eastAsia="PMingLiU" w:hAnsi="Arial" w:cs="Arial"/>
          <w:b/>
          <w:bCs/>
          <w:sz w:val="22"/>
          <w:szCs w:val="22"/>
          <w:lang w:val="en-US" w:eastAsia="zh-CN"/>
        </w:rPr>
        <w:t>5.4 Literature Gaps and Implications for Policy and Practice</w:t>
      </w:r>
      <w:bookmarkEnd w:id="85"/>
    </w:p>
    <w:p w14:paraId="20805381" w14:textId="77777777" w:rsidR="00EE4FC1" w:rsidRPr="00EE4FC1" w:rsidRDefault="00EE4FC1" w:rsidP="00EE4FC1">
      <w:pPr>
        <w:spacing w:line="360" w:lineRule="auto"/>
        <w:jc w:val="both"/>
        <w:rPr>
          <w:rFonts w:ascii="Arial" w:eastAsia="PMingLiU" w:hAnsi="Arial" w:cs="Arial"/>
          <w:sz w:val="22"/>
          <w:szCs w:val="22"/>
          <w:highlight w:val="green"/>
          <w:lang w:eastAsia="zh-CN"/>
        </w:rPr>
      </w:pPr>
      <w:r w:rsidRPr="00EE4FC1">
        <w:rPr>
          <w:rFonts w:ascii="Arial" w:eastAsia="PMingLiU" w:hAnsi="Arial" w:cs="Arial"/>
          <w:sz w:val="22"/>
          <w:szCs w:val="22"/>
          <w:lang w:eastAsia="zh-CN"/>
        </w:rPr>
        <w:t>There is also a need to consider variation across the four nations as well as the wider policy landscape for digital inclusion from a UK-wide perspective. The guidance from England, Wales, Scotland and Northern Ireland also stresses the need to support and redesign services to include everyone as a member of the digital transformation, alongside the technology change (Association of Mental Health Providers and Mental Health Network, NHS Confederation, 2020; Welsh Government, 2023; Scottish Government, 2021; Davies et al., 2019; Department of Health Northern Ireland, 2022).</w:t>
      </w:r>
    </w:p>
    <w:p w14:paraId="76104D9B" w14:textId="77777777" w:rsidR="00EE4FC1" w:rsidRPr="00042674" w:rsidRDefault="00EE4FC1" w:rsidP="00EE4FC1">
      <w:pPr>
        <w:spacing w:line="360" w:lineRule="auto"/>
        <w:jc w:val="both"/>
        <w:rPr>
          <w:rFonts w:ascii="Arial" w:eastAsia="PMingLiU" w:hAnsi="Arial" w:cs="Arial"/>
          <w:sz w:val="22"/>
          <w:szCs w:val="22"/>
          <w:highlight w:val="yellow"/>
          <w:lang w:eastAsia="zh-CN"/>
        </w:rPr>
      </w:pPr>
      <w:r w:rsidRPr="00EE4FC1">
        <w:rPr>
          <w:rFonts w:ascii="Arial" w:eastAsia="PMingLiU" w:hAnsi="Arial" w:cs="Arial"/>
          <w:sz w:val="22"/>
          <w:szCs w:val="22"/>
          <w:lang w:eastAsia="zh-CN"/>
        </w:rPr>
        <w:t xml:space="preserve">The gaps identified, the limited </w:t>
      </w:r>
      <w:r w:rsidR="004B120E" w:rsidRPr="00EE4FC1">
        <w:rPr>
          <w:rFonts w:ascii="Arial" w:eastAsia="PMingLiU" w:hAnsi="Arial" w:cs="Arial"/>
          <w:sz w:val="22"/>
          <w:szCs w:val="22"/>
          <w:lang w:eastAsia="zh-CN"/>
        </w:rPr>
        <w:t>long-term</w:t>
      </w:r>
      <w:r w:rsidRPr="00EE4FC1">
        <w:rPr>
          <w:rFonts w:ascii="Arial" w:eastAsia="PMingLiU" w:hAnsi="Arial" w:cs="Arial"/>
          <w:sz w:val="22"/>
          <w:szCs w:val="22"/>
          <w:lang w:eastAsia="zh-CN"/>
        </w:rPr>
        <w:t xml:space="preserve"> evidence, the under-researched vulnerable groups and the inconsistent satisfaction measures are echoed in more recent literature. </w:t>
      </w:r>
      <w:r w:rsidR="00262BF1" w:rsidRPr="00262BF1">
        <w:rPr>
          <w:rFonts w:ascii="Arial" w:eastAsia="PMingLiU" w:hAnsi="Arial" w:cs="Arial"/>
          <w:sz w:val="22"/>
          <w:szCs w:val="22"/>
          <w:lang w:eastAsia="zh-CN"/>
        </w:rPr>
        <w:t>This finding on digital exclusion, which was not explored in as much depth in the wider post-pandemic literature, was also identified in the focus group study by</w:t>
      </w:r>
      <w:r w:rsidRPr="00EE4FC1">
        <w:rPr>
          <w:rFonts w:ascii="Arial" w:eastAsia="PMingLiU" w:hAnsi="Arial" w:cs="Arial"/>
          <w:sz w:val="22"/>
          <w:szCs w:val="22"/>
          <w:lang w:eastAsia="zh-CN"/>
        </w:rPr>
        <w:t xml:space="preserve"> Ahmed et al. (2024) of older South Asian, black African and Caribbean adults aged 65 and over in England which showed digital </w:t>
      </w:r>
      <w:r w:rsidRPr="00EE4FC1">
        <w:rPr>
          <w:rFonts w:ascii="Arial" w:eastAsia="PMingLiU" w:hAnsi="Arial" w:cs="Arial"/>
          <w:sz w:val="22"/>
          <w:szCs w:val="22"/>
          <w:lang w:eastAsia="zh-CN"/>
        </w:rPr>
        <w:lastRenderedPageBreak/>
        <w:t xml:space="preserve">exclusion was </w:t>
      </w:r>
      <w:r w:rsidRPr="00042674">
        <w:rPr>
          <w:rFonts w:ascii="Arial" w:eastAsia="PMingLiU" w:hAnsi="Arial" w:cs="Arial"/>
          <w:sz w:val="22"/>
          <w:szCs w:val="22"/>
          <w:lang w:eastAsia="zh-CN"/>
        </w:rPr>
        <w:t>present beyond the pandemic as a persistent issue. Likewise, the authors of the US Medicare claims study (Gage et al., 2025) identified widening racial and geographic and income-related disparities in access to telemedicine, even though the service is available, between 2019 and 2023, which indicates that the inequities reported in this review are not temporary, but a pandemic effect. Wale</w:t>
      </w:r>
      <w:r w:rsidRPr="00EE4FC1">
        <w:rPr>
          <w:rFonts w:ascii="Arial" w:eastAsia="PMingLiU" w:hAnsi="Arial" w:cs="Arial"/>
          <w:sz w:val="22"/>
          <w:szCs w:val="22"/>
          <w:lang w:eastAsia="zh-CN"/>
        </w:rPr>
        <w:t xml:space="preserve"> et al. (2025) in their rapid review, however, identified only limited and diverse evidence of the effectiveness of digital-literacy interventions in reducing exclusion, tempering Hammersley et al.'s (2019) prediction in Chapter Four that access inequities will be solved by clinician and patient training alone. In practical terms, this directs NHS commissioners to use standardised and validated patient satisfaction questionnaires, and to incorporate funded digital-inclusion support as an integral part of the telemedicine strategy and not as an end in itself, directly supporting the fourth objective of this review and the desired outcome of effective and equitable telemedicine delivery in UK primary care.</w:t>
      </w:r>
    </w:p>
    <w:p w14:paraId="6A7E3A07" w14:textId="77777777" w:rsidR="00EE4FC1" w:rsidRPr="00EE4FC1" w:rsidRDefault="00EE4FC1" w:rsidP="00EE4FC1">
      <w:pPr>
        <w:spacing w:after="254" w:line="360" w:lineRule="auto"/>
        <w:rPr>
          <w:rFonts w:ascii="Times New Roman" w:eastAsia="PMingLiU" w:hAnsi="Times New Roman"/>
          <w:sz w:val="22"/>
          <w:szCs w:val="22"/>
          <w:lang w:eastAsia="zh-CN"/>
        </w:rPr>
      </w:pPr>
    </w:p>
    <w:p w14:paraId="07850F04" w14:textId="77777777" w:rsidR="00EE4FC1" w:rsidRPr="00EE4FC1" w:rsidRDefault="00EE4FC1" w:rsidP="00EE4FC1">
      <w:pPr>
        <w:spacing w:after="254" w:line="360" w:lineRule="auto"/>
        <w:rPr>
          <w:rFonts w:ascii="Times New Roman" w:eastAsia="PMingLiU" w:hAnsi="Times New Roman"/>
          <w:sz w:val="22"/>
          <w:szCs w:val="22"/>
          <w:lang w:eastAsia="zh-CN"/>
        </w:rPr>
      </w:pPr>
    </w:p>
    <w:p w14:paraId="169DB238" w14:textId="77777777" w:rsidR="00EE4FC1" w:rsidRPr="00EE4FC1" w:rsidRDefault="00EE4FC1" w:rsidP="00EE4FC1">
      <w:pPr>
        <w:spacing w:after="254" w:line="360" w:lineRule="auto"/>
        <w:rPr>
          <w:rFonts w:ascii="Times New Roman" w:eastAsia="PMingLiU" w:hAnsi="Times New Roman"/>
          <w:sz w:val="22"/>
          <w:szCs w:val="22"/>
          <w:lang w:eastAsia="zh-CN"/>
        </w:rPr>
      </w:pPr>
    </w:p>
    <w:p w14:paraId="3ACAD6CD" w14:textId="77777777" w:rsidR="00EE4FC1" w:rsidRPr="00EE4FC1" w:rsidRDefault="00EE4FC1" w:rsidP="00EE4FC1">
      <w:pPr>
        <w:spacing w:after="254" w:line="360" w:lineRule="auto"/>
        <w:rPr>
          <w:rFonts w:ascii="Times New Roman" w:eastAsia="PMingLiU" w:hAnsi="Times New Roman"/>
          <w:sz w:val="22"/>
          <w:szCs w:val="22"/>
          <w:lang w:eastAsia="zh-CN"/>
        </w:rPr>
      </w:pPr>
    </w:p>
    <w:p w14:paraId="129F42C1" w14:textId="77777777" w:rsidR="00EE4FC1" w:rsidRPr="00EE4FC1" w:rsidRDefault="00EE4FC1" w:rsidP="00EE4FC1">
      <w:pPr>
        <w:spacing w:after="254" w:line="360" w:lineRule="auto"/>
        <w:rPr>
          <w:rFonts w:ascii="Times New Roman" w:eastAsia="PMingLiU" w:hAnsi="Times New Roman"/>
          <w:sz w:val="22"/>
          <w:szCs w:val="22"/>
          <w:lang w:eastAsia="zh-CN"/>
        </w:rPr>
      </w:pPr>
    </w:p>
    <w:p w14:paraId="02D09625" w14:textId="77777777" w:rsidR="00EE4FC1" w:rsidRPr="00EE4FC1" w:rsidRDefault="00EE4FC1" w:rsidP="00EE4FC1">
      <w:pPr>
        <w:spacing w:after="254" w:line="360" w:lineRule="auto"/>
        <w:rPr>
          <w:rFonts w:ascii="Times New Roman" w:eastAsia="PMingLiU" w:hAnsi="Times New Roman"/>
          <w:sz w:val="22"/>
          <w:szCs w:val="22"/>
          <w:lang w:eastAsia="zh-CN"/>
        </w:rPr>
      </w:pPr>
    </w:p>
    <w:p w14:paraId="171CCD7B" w14:textId="77777777" w:rsidR="00EE4FC1" w:rsidRPr="00EE4FC1" w:rsidRDefault="00EE4FC1" w:rsidP="00EE4FC1">
      <w:pPr>
        <w:spacing w:after="254" w:line="360" w:lineRule="auto"/>
        <w:rPr>
          <w:rFonts w:ascii="Times New Roman" w:eastAsia="PMingLiU" w:hAnsi="Times New Roman"/>
          <w:sz w:val="22"/>
          <w:szCs w:val="22"/>
          <w:lang w:eastAsia="zh-CN"/>
        </w:rPr>
      </w:pPr>
    </w:p>
    <w:p w14:paraId="47039877" w14:textId="77777777" w:rsidR="00EE4FC1" w:rsidRPr="00EE4FC1" w:rsidRDefault="00EE4FC1" w:rsidP="00EE4FC1">
      <w:pPr>
        <w:spacing w:after="254" w:line="360" w:lineRule="auto"/>
        <w:rPr>
          <w:rFonts w:ascii="Times New Roman" w:eastAsia="PMingLiU" w:hAnsi="Times New Roman"/>
          <w:sz w:val="22"/>
          <w:szCs w:val="22"/>
          <w:lang w:eastAsia="zh-CN"/>
        </w:rPr>
      </w:pPr>
    </w:p>
    <w:p w14:paraId="6FFCE139" w14:textId="77777777" w:rsidR="00EE4FC1" w:rsidRPr="00EE4FC1" w:rsidRDefault="00EE4FC1" w:rsidP="00EE4FC1">
      <w:pPr>
        <w:spacing w:after="254" w:line="360" w:lineRule="auto"/>
        <w:rPr>
          <w:rFonts w:ascii="Times New Roman" w:eastAsia="PMingLiU" w:hAnsi="Times New Roman"/>
          <w:sz w:val="22"/>
          <w:szCs w:val="22"/>
          <w:lang w:eastAsia="zh-CN"/>
        </w:rPr>
      </w:pPr>
    </w:p>
    <w:p w14:paraId="5359394C" w14:textId="77777777" w:rsidR="00EE4FC1" w:rsidRPr="00EE4FC1" w:rsidRDefault="00EE4FC1" w:rsidP="00EE4FC1">
      <w:pPr>
        <w:spacing w:after="254" w:line="360" w:lineRule="auto"/>
        <w:rPr>
          <w:rFonts w:ascii="Times New Roman" w:eastAsia="PMingLiU" w:hAnsi="Times New Roman"/>
          <w:sz w:val="22"/>
          <w:szCs w:val="22"/>
          <w:lang w:eastAsia="zh-CN"/>
        </w:rPr>
      </w:pPr>
    </w:p>
    <w:p w14:paraId="20F8008A" w14:textId="77777777" w:rsidR="00EE4FC1" w:rsidRPr="00EE4FC1" w:rsidRDefault="00EE4FC1" w:rsidP="00EE4FC1">
      <w:pPr>
        <w:spacing w:after="254" w:line="360" w:lineRule="auto"/>
        <w:rPr>
          <w:rFonts w:ascii="Times New Roman" w:eastAsia="PMingLiU" w:hAnsi="Times New Roman"/>
          <w:sz w:val="22"/>
          <w:szCs w:val="22"/>
          <w:lang w:eastAsia="zh-CN"/>
        </w:rPr>
      </w:pPr>
    </w:p>
    <w:p w14:paraId="65395F22" w14:textId="77777777" w:rsidR="00EE4FC1" w:rsidRPr="00EE4FC1" w:rsidRDefault="00EE4FC1" w:rsidP="00EE4FC1">
      <w:pPr>
        <w:spacing w:after="254" w:line="360" w:lineRule="auto"/>
        <w:rPr>
          <w:rFonts w:ascii="Times New Roman" w:eastAsia="PMingLiU" w:hAnsi="Times New Roman"/>
          <w:sz w:val="22"/>
          <w:szCs w:val="22"/>
          <w:lang w:eastAsia="zh-CN"/>
        </w:rPr>
      </w:pPr>
    </w:p>
    <w:p w14:paraId="6503939C" w14:textId="77777777" w:rsidR="00EE4FC1" w:rsidRPr="00EE4FC1" w:rsidRDefault="00EE4FC1" w:rsidP="00EE4FC1">
      <w:pPr>
        <w:keepNext/>
        <w:keepLines/>
        <w:spacing w:before="360" w:after="80" w:line="360" w:lineRule="auto"/>
        <w:jc w:val="center"/>
        <w:outlineLvl w:val="0"/>
        <w:rPr>
          <w:rFonts w:ascii="Arial" w:eastAsia="PMingLiU" w:hAnsi="Arial" w:cs="Arial"/>
          <w:b/>
          <w:bCs/>
          <w:sz w:val="22"/>
          <w:szCs w:val="22"/>
          <w:lang w:eastAsia="zh-CN"/>
        </w:rPr>
      </w:pPr>
      <w:bookmarkStart w:id="86" w:name="_Toc12221"/>
      <w:bookmarkStart w:id="87" w:name="_Toc241618991"/>
      <w:r w:rsidRPr="00EE4FC1">
        <w:rPr>
          <w:rFonts w:ascii="Arial" w:eastAsia="PMingLiU" w:hAnsi="Arial" w:cs="Arial"/>
          <w:b/>
          <w:bCs/>
          <w:sz w:val="22"/>
          <w:szCs w:val="22"/>
          <w:lang w:eastAsia="zh-CN"/>
        </w:rPr>
        <w:lastRenderedPageBreak/>
        <w:t>CHAPTER SIX</w:t>
      </w:r>
      <w:bookmarkEnd w:id="87"/>
    </w:p>
    <w:p w14:paraId="5542B5F7" w14:textId="77777777" w:rsidR="00EE4FC1" w:rsidRPr="00EE4FC1" w:rsidRDefault="00EE4FC1" w:rsidP="00EE4FC1">
      <w:pPr>
        <w:keepNext/>
        <w:keepLines/>
        <w:spacing w:before="360" w:after="80" w:line="360" w:lineRule="auto"/>
        <w:jc w:val="center"/>
        <w:outlineLvl w:val="0"/>
        <w:rPr>
          <w:rFonts w:ascii="Arial" w:eastAsia="PMingLiU" w:hAnsi="Arial" w:cs="Arial"/>
          <w:b/>
          <w:bCs/>
          <w:sz w:val="22"/>
          <w:szCs w:val="22"/>
          <w:lang w:eastAsia="zh-CN"/>
        </w:rPr>
      </w:pPr>
      <w:bookmarkStart w:id="88" w:name="_Toc241618992"/>
      <w:r w:rsidRPr="00EE4FC1">
        <w:rPr>
          <w:rFonts w:ascii="Arial" w:eastAsia="PMingLiU" w:hAnsi="Arial" w:cs="Arial"/>
          <w:b/>
          <w:bCs/>
          <w:sz w:val="22"/>
          <w:szCs w:val="22"/>
          <w:lang w:eastAsia="zh-CN"/>
        </w:rPr>
        <w:t>CONCLUSION</w:t>
      </w:r>
      <w:bookmarkEnd w:id="86"/>
      <w:bookmarkEnd w:id="88"/>
    </w:p>
    <w:p w14:paraId="7B4BACF4" w14:textId="77777777" w:rsidR="00EE4FC1" w:rsidRPr="00EE4FC1" w:rsidRDefault="00EE4FC1" w:rsidP="00EE4FC1">
      <w:pPr>
        <w:keepNext/>
        <w:keepLines/>
        <w:spacing w:before="160" w:after="80" w:line="360" w:lineRule="auto"/>
        <w:outlineLvl w:val="1"/>
        <w:rPr>
          <w:rFonts w:ascii="Arial" w:eastAsia="Calibri" w:hAnsi="Arial" w:cs="Arial"/>
          <w:b/>
          <w:bCs/>
          <w:sz w:val="22"/>
          <w:szCs w:val="22"/>
          <w:lang w:val="en-US" w:eastAsia="zh-CN"/>
        </w:rPr>
      </w:pPr>
      <w:bookmarkStart w:id="89" w:name="_Toc241618993"/>
      <w:r w:rsidRPr="00EE4FC1">
        <w:rPr>
          <w:rFonts w:ascii="Arial" w:eastAsia="Calibri" w:hAnsi="Arial" w:cs="Arial"/>
          <w:b/>
          <w:bCs/>
          <w:sz w:val="22"/>
          <w:szCs w:val="22"/>
          <w:lang w:val="en-US" w:eastAsia="zh-CN"/>
        </w:rPr>
        <w:t>6.1 Introduction</w:t>
      </w:r>
      <w:bookmarkEnd w:id="89"/>
    </w:p>
    <w:p w14:paraId="2136FFE2" w14:textId="6A1C9BF7" w:rsidR="00EE4FC1" w:rsidRPr="00D43AFC" w:rsidRDefault="006A504E" w:rsidP="00EE4FC1">
      <w:pPr>
        <w:spacing w:after="194" w:line="360" w:lineRule="auto"/>
        <w:jc w:val="both"/>
        <w:rPr>
          <w:rFonts w:ascii="Arial" w:eastAsia="Calibri" w:hAnsi="Arial" w:cs="Arial"/>
          <w:sz w:val="22"/>
          <w:szCs w:val="22"/>
          <w:lang w:eastAsia="zh-CN"/>
        </w:rPr>
      </w:pPr>
      <w:r w:rsidRPr="006A504E">
        <w:rPr>
          <w:rFonts w:ascii="Arial" w:eastAsia="Calibri" w:hAnsi="Arial" w:cs="Arial"/>
          <w:sz w:val="22"/>
          <w:szCs w:val="22"/>
          <w:lang w:eastAsia="zh-CN"/>
        </w:rPr>
        <w:t>This study set out to address the research question</w:t>
      </w:r>
      <w:r w:rsidR="000A0ADD">
        <w:rPr>
          <w:rFonts w:ascii="Arial" w:eastAsia="Calibri" w:hAnsi="Arial" w:cs="Arial"/>
          <w:sz w:val="22"/>
          <w:szCs w:val="22"/>
          <w:lang w:val="en-US" w:eastAsia="zh-CN"/>
        </w:rPr>
        <w:t>:</w:t>
      </w:r>
      <w:r w:rsidR="00EE4FC1" w:rsidRPr="00EE4FC1">
        <w:rPr>
          <w:rFonts w:ascii="Arial" w:eastAsia="Calibri" w:hAnsi="Arial" w:cs="Arial"/>
          <w:sz w:val="22"/>
          <w:szCs w:val="22"/>
          <w:lang w:val="en-US" w:eastAsia="zh-CN"/>
        </w:rPr>
        <w:t xml:space="preserve"> what factors affect adult patients' satisfaction with telemedicine consultations in UK primary care, and how do satisfaction and perceived quality compare between telephone and video consultations? A synthesis of the evidence provided by the 12 included studies shows that satisfaction is more related to convenience, accessibility, continuity of care and quality of communication, and not simply to the consultation modality. There was no clear advantage of one over the other when it came to either telephone or video consultations, with the simplicity and reliability of a telephone consultation being valued, especially by older and less technology-savvy patients, and </w:t>
      </w:r>
      <w:r w:rsidR="00D43AFC" w:rsidRPr="00D43AFC">
        <w:rPr>
          <w:rFonts w:ascii="Arial" w:eastAsia="Calibri" w:hAnsi="Arial" w:cs="Arial"/>
          <w:sz w:val="22"/>
          <w:szCs w:val="22"/>
          <w:lang w:eastAsia="zh-CN"/>
        </w:rPr>
        <w:t>while video consultations provided greater visual engagement but were associated with important technical challenges</w:t>
      </w:r>
      <w:r w:rsidR="00EE4FC1" w:rsidRPr="00EE4FC1">
        <w:rPr>
          <w:rFonts w:ascii="Arial" w:eastAsia="Calibri" w:hAnsi="Arial" w:cs="Arial"/>
          <w:sz w:val="22"/>
          <w:szCs w:val="22"/>
          <w:lang w:val="en-US" w:eastAsia="zh-CN"/>
        </w:rPr>
        <w:t>. The results indicate that patient satisfaction with telemedicine in UK primary care is most likely a function of the fit between patients' circumstances and the modality provided, rather than a characteristic of telemedicine as a modality.</w:t>
      </w:r>
    </w:p>
    <w:p w14:paraId="56034283" w14:textId="77777777" w:rsidR="00EE4FC1" w:rsidRPr="00EE4FC1" w:rsidRDefault="00EE4FC1" w:rsidP="00EE4FC1">
      <w:pPr>
        <w:keepNext/>
        <w:keepLines/>
        <w:spacing w:before="160" w:after="80" w:line="360" w:lineRule="auto"/>
        <w:outlineLvl w:val="1"/>
        <w:rPr>
          <w:rFonts w:ascii="Arial" w:eastAsia="Calibri" w:hAnsi="Arial" w:cs="Arial"/>
          <w:b/>
          <w:bCs/>
          <w:sz w:val="22"/>
          <w:szCs w:val="22"/>
          <w:lang w:val="en-US" w:eastAsia="zh-CN"/>
        </w:rPr>
      </w:pPr>
      <w:bookmarkStart w:id="90" w:name="_Toc241618994"/>
      <w:r w:rsidRPr="00EE4FC1">
        <w:rPr>
          <w:rFonts w:ascii="Arial" w:eastAsia="Calibri" w:hAnsi="Arial" w:cs="Arial"/>
          <w:b/>
          <w:bCs/>
          <w:sz w:val="22"/>
          <w:szCs w:val="22"/>
          <w:lang w:val="en-US" w:eastAsia="zh-CN"/>
        </w:rPr>
        <w:t>6.2 Reflection on the Research</w:t>
      </w:r>
      <w:bookmarkEnd w:id="90"/>
    </w:p>
    <w:p w14:paraId="561B8B62" w14:textId="77777777" w:rsidR="00EE4FC1" w:rsidRPr="00EE4FC1" w:rsidRDefault="00EE4FC1" w:rsidP="00EE4FC1">
      <w:pPr>
        <w:spacing w:after="194"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 xml:space="preserve">For this purpose, a systematic review approach was deemed suitable, as a wide range of methodologically different studies from the UK could be appraised and synthesised into common themes, rather than relying on a single dataset. </w:t>
      </w:r>
      <w:r w:rsidR="0062322E" w:rsidRPr="0062322E">
        <w:rPr>
          <w:rFonts w:ascii="Arial" w:eastAsia="Calibri" w:hAnsi="Arial" w:cs="Arial"/>
          <w:sz w:val="22"/>
          <w:szCs w:val="22"/>
          <w:lang w:eastAsia="zh-CN"/>
        </w:rPr>
        <w:t>Confidence in the quality of the included evidence was strengthened through the use of design-specific quality appraisal tools, namely the Critical Appraisal Skills Programme (CASP) and Joanna Briggs Institute (JBI) Critical Appraisal Checklists, with the Mixed Methods Appraisal Tool (MMAT) available had a mixed-methods study met inclusion. Using these complementary appraisal approaches enabled qualitative and quantitative studies to be assessed according to their respective</w:t>
      </w:r>
      <w:r w:rsidR="0062322E">
        <w:rPr>
          <w:rFonts w:ascii="Arial" w:eastAsia="Calibri" w:hAnsi="Arial" w:cs="Arial"/>
          <w:sz w:val="22"/>
          <w:szCs w:val="22"/>
          <w:lang w:eastAsia="zh-CN"/>
        </w:rPr>
        <w:t xml:space="preserve"> methodological characteristics</w:t>
      </w:r>
      <w:r w:rsidRPr="00EE4FC1">
        <w:rPr>
          <w:rFonts w:ascii="Arial" w:eastAsia="Calibri" w:hAnsi="Arial" w:cs="Arial"/>
          <w:sz w:val="22"/>
          <w:szCs w:val="22"/>
          <w:lang w:val="en-US" w:eastAsia="zh-CN"/>
        </w:rPr>
        <w:t xml:space="preserve">. This also strengthened the transparency and consistency of the review and helped ensure that methodological strengths and limitations were considered when interpreting the findings. The synthesis was structured around the research objectives, ensuring that the discussion remained focused on the original research question. However, several questions emerged during the review process that had not initially been anticipated. Most notably, quantitative satisfaction scores were sometimes at odds with qualitative descriptions of impersonal or uncertain consultations, suggesting that satisfaction as typically measured may reflect ease of access rather than the quality of care actually delivered. The review also raised the question of whether higher aggregate satisfaction levels may conceal </w:t>
      </w:r>
      <w:r w:rsidRPr="00EE4FC1">
        <w:rPr>
          <w:rFonts w:ascii="Arial" w:eastAsia="Calibri" w:hAnsi="Arial" w:cs="Arial"/>
          <w:sz w:val="22"/>
          <w:szCs w:val="22"/>
          <w:lang w:val="en-US" w:eastAsia="zh-CN"/>
        </w:rPr>
        <w:lastRenderedPageBreak/>
        <w:t>lower satisfaction among particular patient subgroups. This issue became apparent through comparison across studies rather than from any individual study.</w:t>
      </w:r>
    </w:p>
    <w:p w14:paraId="79BF08BD" w14:textId="77777777" w:rsidR="00EE4FC1" w:rsidRPr="00EE4FC1" w:rsidRDefault="00EE4FC1" w:rsidP="00EE4FC1">
      <w:pPr>
        <w:keepNext/>
        <w:keepLines/>
        <w:spacing w:before="160" w:after="80" w:line="360" w:lineRule="auto"/>
        <w:outlineLvl w:val="1"/>
        <w:rPr>
          <w:rFonts w:ascii="Arial" w:eastAsia="Calibri" w:hAnsi="Arial" w:cs="Arial"/>
          <w:b/>
          <w:bCs/>
          <w:sz w:val="22"/>
          <w:szCs w:val="22"/>
          <w:lang w:val="en-US" w:eastAsia="zh-CN"/>
        </w:rPr>
      </w:pPr>
      <w:bookmarkStart w:id="91" w:name="_Toc241618995"/>
      <w:r w:rsidRPr="00EE4FC1">
        <w:rPr>
          <w:rFonts w:ascii="Arial" w:eastAsia="Calibri" w:hAnsi="Arial" w:cs="Arial"/>
          <w:b/>
          <w:bCs/>
          <w:sz w:val="22"/>
          <w:szCs w:val="22"/>
          <w:lang w:val="en-US" w:eastAsia="zh-CN"/>
        </w:rPr>
        <w:t>6.3 Recommendations</w:t>
      </w:r>
      <w:bookmarkEnd w:id="91"/>
    </w:p>
    <w:p w14:paraId="30BF2835" w14:textId="77777777" w:rsidR="00EE4FC1" w:rsidRPr="00EE4FC1" w:rsidRDefault="00EE4FC1" w:rsidP="00EE4FC1">
      <w:pPr>
        <w:spacing w:after="194"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Primary care and NHS commissioners may want to allow patients to opt for a telephone consultation or a video consultation for practice and policy, as the review indicates preference is linked closely to the patients' digital confidence, not necessarily their clinical superiority. Commissioners might also want to use satisfaction monitoring along with clinical-outcome measures, as satisfaction seems to be more about convenience than the quality of care. Relying on a once-off digital-support training programme is not necessarily the best way to overcome digital exclusion, as demonstrated by the persistence of such problems in patient groups that are older and from minority ethnicities; embedding the provision of funded digital support into the telemedicine strategy is more likely to be sustainable.</w:t>
      </w:r>
    </w:p>
    <w:p w14:paraId="30764229" w14:textId="77777777" w:rsidR="00EE4FC1" w:rsidRPr="00EE4FC1" w:rsidRDefault="00EE4FC1" w:rsidP="00EE4FC1">
      <w:pPr>
        <w:spacing w:after="194"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Longitudinal studies would be useful for future research to determine if the satisfaction seen in cross-sectional surveys is sustained with repeated use of telemedicine, which the current evidence base for cross-sectional studies cannot ascertain. Overall, it is recommended that future research should benefit from having standardised and validated satisfaction measures as the measures used in the studies included in this review were not consistent. Lastly, research that intentionally includes older adults, ethnic minority patients and those with limited digital access would acknowledge the lack of comparative evidence on vulnerable groups that was identified during this review and enable future reviewers to ascertain if the factors presented in this review are similarly applicable to the full spectrum of the patient population.</w:t>
      </w:r>
    </w:p>
    <w:p w14:paraId="43D4EE9E" w14:textId="77777777" w:rsidR="00EE4FC1" w:rsidRPr="00EE4FC1" w:rsidRDefault="00EE4FC1" w:rsidP="00EE4FC1">
      <w:pPr>
        <w:keepNext/>
        <w:keepLines/>
        <w:spacing w:before="160" w:after="80" w:line="360" w:lineRule="auto"/>
        <w:outlineLvl w:val="1"/>
        <w:rPr>
          <w:rFonts w:ascii="Arial" w:eastAsia="Calibri" w:hAnsi="Arial" w:cs="Arial"/>
          <w:b/>
          <w:bCs/>
          <w:sz w:val="22"/>
          <w:szCs w:val="22"/>
          <w:lang w:val="en-US" w:eastAsia="zh-CN"/>
        </w:rPr>
      </w:pPr>
      <w:bookmarkStart w:id="92" w:name="_Toc241618996"/>
      <w:r w:rsidRPr="00EE4FC1">
        <w:rPr>
          <w:rFonts w:ascii="Arial" w:eastAsia="Calibri" w:hAnsi="Arial" w:cs="Arial"/>
          <w:b/>
          <w:bCs/>
          <w:sz w:val="22"/>
          <w:szCs w:val="22"/>
          <w:lang w:val="en-US" w:eastAsia="zh-CN"/>
        </w:rPr>
        <w:t>6.4 Contribution of the Study</w:t>
      </w:r>
      <w:bookmarkEnd w:id="92"/>
    </w:p>
    <w:p w14:paraId="5AD3076D" w14:textId="2291EF08" w:rsidR="00EE4FC1" w:rsidRPr="00EE4FC1" w:rsidRDefault="00EE4FC1" w:rsidP="00EE4FC1">
      <w:pPr>
        <w:spacing w:after="194" w:line="360" w:lineRule="auto"/>
        <w:jc w:val="both"/>
        <w:rPr>
          <w:rFonts w:ascii="Arial" w:eastAsia="Calibri" w:hAnsi="Arial" w:cs="Arial"/>
          <w:sz w:val="22"/>
          <w:szCs w:val="22"/>
          <w:lang w:val="en-US" w:eastAsia="zh-CN"/>
        </w:rPr>
      </w:pPr>
      <w:r w:rsidRPr="00EE4FC1">
        <w:rPr>
          <w:rFonts w:ascii="Arial" w:eastAsia="Calibri" w:hAnsi="Arial" w:cs="Arial"/>
          <w:sz w:val="22"/>
          <w:szCs w:val="22"/>
          <w:lang w:val="en-US" w:eastAsia="zh-CN"/>
        </w:rPr>
        <w:t xml:space="preserve">This study adds a UK primary-care specific synthesis of patient satisfaction with telemedicine at a time when previous reviews have tended to either cover multiple clinical settings and countries or to share more about the implementation of telemedicine than the patient satisfaction. This review's synthesis of the results from telephone and video consultations is explicit, as </w:t>
      </w:r>
      <w:r w:rsidR="006B271B">
        <w:rPr>
          <w:rFonts w:ascii="Arial" w:eastAsia="Calibri" w:hAnsi="Arial" w:cs="Arial"/>
          <w:sz w:val="22"/>
          <w:szCs w:val="22"/>
          <w:lang w:val="en-US" w:eastAsia="zh-CN"/>
        </w:rPr>
        <w:t xml:space="preserve">it </w:t>
      </w:r>
      <w:r w:rsidRPr="00EE4FC1">
        <w:rPr>
          <w:rFonts w:ascii="Arial" w:eastAsia="Calibri" w:hAnsi="Arial" w:cs="Arial"/>
          <w:sz w:val="22"/>
          <w:szCs w:val="22"/>
          <w:lang w:val="en-US" w:eastAsia="zh-CN"/>
        </w:rPr>
        <w:t>is the comparison's focus on the UK, and the results are explained using the Technology Acceptance Model and the Donabedian's Quality of Care Framework, which means that it is not just that satisfaction differs by modality, but why it differs. This is important as it moves the real-world question of NHS primary care from “which modality is most effective” towards “which modality will most effectively meet which patient's needs”, which is directly relevant to the design and commissioning of telemedicine services in the future, when they are likely to be a permanent feature of NHS primary care rather than just a stopgap measure during the COVID-19 pandemic.</w:t>
      </w:r>
    </w:p>
    <w:p w14:paraId="6CD0CD3E" w14:textId="77777777" w:rsidR="00042674" w:rsidRPr="00EE4FC1" w:rsidRDefault="00EE4FC1" w:rsidP="00042674">
      <w:pPr>
        <w:spacing w:after="194" w:line="360" w:lineRule="auto"/>
        <w:jc w:val="both"/>
        <w:rPr>
          <w:rFonts w:ascii="Arial" w:eastAsia="PMingLiU" w:hAnsi="Arial" w:cs="Arial"/>
          <w:b/>
          <w:bCs/>
          <w:sz w:val="22"/>
          <w:szCs w:val="22"/>
          <w:lang w:eastAsia="zh-CN"/>
        </w:rPr>
      </w:pPr>
      <w:r w:rsidRPr="00EE4FC1">
        <w:rPr>
          <w:rFonts w:ascii="Arial" w:eastAsia="PMingLiU" w:hAnsi="Arial" w:cs="Arial"/>
          <w:sz w:val="22"/>
          <w:szCs w:val="22"/>
          <w:lang w:eastAsia="zh-CN"/>
        </w:rPr>
        <w:lastRenderedPageBreak/>
        <w:tab/>
      </w:r>
      <w:r w:rsidRPr="00EE4FC1">
        <w:rPr>
          <w:rFonts w:ascii="Arial" w:eastAsia="Calibri" w:hAnsi="Arial" w:cs="Arial"/>
          <w:sz w:val="22"/>
          <w:szCs w:val="22"/>
          <w:lang w:eastAsia="zh-CN"/>
        </w:rPr>
        <w:t xml:space="preserve"> </w:t>
      </w:r>
      <w:bookmarkStart w:id="93" w:name="_Toc12222"/>
      <w:r w:rsidR="00042674" w:rsidRPr="00EE4FC1">
        <w:rPr>
          <w:rFonts w:ascii="Arial" w:eastAsia="PMingLiU" w:hAnsi="Arial" w:cs="Arial"/>
          <w:b/>
          <w:bCs/>
          <w:sz w:val="22"/>
          <w:szCs w:val="22"/>
          <w:lang w:eastAsia="zh-CN"/>
        </w:rPr>
        <w:t xml:space="preserve">Reference list </w:t>
      </w:r>
      <w:bookmarkEnd w:id="93"/>
      <w:r w:rsidR="00042674" w:rsidRPr="00EE4FC1">
        <w:rPr>
          <w:rFonts w:ascii="Arial" w:eastAsia="PMingLiU" w:hAnsi="Arial" w:cs="Arial"/>
          <w:b/>
          <w:bCs/>
          <w:color w:val="000000"/>
          <w:sz w:val="22"/>
          <w:szCs w:val="22"/>
          <w:lang w:eastAsia="zh-CN"/>
        </w:rPr>
        <w:t xml:space="preserve"> </w:t>
      </w:r>
    </w:p>
    <w:p w14:paraId="215EABE7" w14:textId="77777777" w:rsidR="00042674" w:rsidRPr="00EE4FC1" w:rsidRDefault="00042674" w:rsidP="00820755">
      <w:pPr>
        <w:numPr>
          <w:ilvl w:val="0"/>
          <w:numId w:val="4"/>
        </w:numPr>
        <w:spacing w:after="0" w:line="360" w:lineRule="auto"/>
        <w:ind w:left="360"/>
        <w:contextualSpacing/>
        <w:jc w:val="both"/>
        <w:rPr>
          <w:rFonts w:ascii="Arial" w:eastAsia="Times New Roman" w:hAnsi="Arial"/>
          <w:kern w:val="0"/>
          <w:sz w:val="22"/>
          <w:szCs w:val="22"/>
        </w:rPr>
      </w:pPr>
      <w:r w:rsidRPr="00EE4FC1">
        <w:rPr>
          <w:rFonts w:ascii="Arial" w:eastAsia="Times New Roman" w:hAnsi="Arial"/>
          <w:kern w:val="0"/>
          <w:sz w:val="22"/>
          <w:szCs w:val="22"/>
        </w:rPr>
        <w:t xml:space="preserve">Ahmed, N., Hall, A., Poku, B., McDermott, J., Astbury, J. and Todd, C. (2024) 'Experiences and views of older adults of South Asian, Black African, and Caribbean backgrounds about the digitalization of primary care services since the COVID-19 pandemic: qualitative focus group study', </w:t>
      </w:r>
      <w:r w:rsidRPr="00EE4FC1">
        <w:rPr>
          <w:rFonts w:ascii="Arial" w:eastAsia="Times New Roman" w:hAnsi="Arial"/>
          <w:i/>
          <w:iCs/>
          <w:kern w:val="0"/>
          <w:sz w:val="22"/>
          <w:szCs w:val="22"/>
        </w:rPr>
        <w:t>JMIR Formative Research</w:t>
      </w:r>
      <w:r w:rsidRPr="00EE4FC1">
        <w:rPr>
          <w:rFonts w:ascii="Arial" w:eastAsia="Times New Roman" w:hAnsi="Arial"/>
          <w:b/>
          <w:bCs/>
          <w:kern w:val="0"/>
          <w:sz w:val="22"/>
          <w:szCs w:val="22"/>
        </w:rPr>
        <w:t xml:space="preserve">, </w:t>
      </w:r>
      <w:r w:rsidRPr="00EE4FC1">
        <w:rPr>
          <w:rFonts w:ascii="Arial" w:eastAsia="Times New Roman" w:hAnsi="Arial"/>
          <w:kern w:val="0"/>
          <w:sz w:val="22"/>
          <w:szCs w:val="22"/>
        </w:rPr>
        <w:t>8</w:t>
      </w:r>
      <w:r w:rsidRPr="00EE4FC1">
        <w:rPr>
          <w:rFonts w:ascii="Arial" w:eastAsia="Times New Roman" w:hAnsi="Arial"/>
          <w:b/>
          <w:bCs/>
          <w:kern w:val="0"/>
          <w:sz w:val="22"/>
          <w:szCs w:val="22"/>
        </w:rPr>
        <w:t>,</w:t>
      </w:r>
      <w:r w:rsidRPr="00EE4FC1">
        <w:rPr>
          <w:rFonts w:ascii="Arial" w:eastAsia="Times New Roman" w:hAnsi="Arial"/>
          <w:kern w:val="0"/>
          <w:sz w:val="22"/>
          <w:szCs w:val="22"/>
        </w:rPr>
        <w:t xml:space="preserve"> pp. e57580. Available at: </w:t>
      </w:r>
      <w:hyperlink r:id="rId17" w:history="1">
        <w:r w:rsidRPr="00EE4FC1">
          <w:rPr>
            <w:rFonts w:ascii="Arial" w:eastAsia="Times New Roman" w:hAnsi="Arial"/>
            <w:color w:val="467886"/>
            <w:kern w:val="0"/>
            <w:sz w:val="22"/>
            <w:szCs w:val="22"/>
            <w:u w:val="single"/>
          </w:rPr>
          <w:t>https://doi.org/10.2196/57580</w:t>
        </w:r>
      </w:hyperlink>
      <w:r w:rsidRPr="00EE4FC1">
        <w:rPr>
          <w:rFonts w:ascii="Arial" w:eastAsia="Times New Roman" w:hAnsi="Arial"/>
          <w:kern w:val="0"/>
          <w:sz w:val="22"/>
          <w:szCs w:val="22"/>
        </w:rPr>
        <w:t xml:space="preserve"> (Accessed: 22 August 2026)</w:t>
      </w:r>
    </w:p>
    <w:p w14:paraId="47F57171"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val="en-US" w:eastAsia="zh-CN"/>
        </w:rPr>
      </w:pPr>
      <w:r w:rsidRPr="00EE4FC1">
        <w:rPr>
          <w:rFonts w:ascii="Arial" w:eastAsia="PMingLiU" w:hAnsi="Arial" w:cs="Arial"/>
          <w:sz w:val="22"/>
          <w:szCs w:val="22"/>
          <w:lang w:eastAsia="zh-CN"/>
        </w:rPr>
        <w:t>Ahn, E. and Kang, H. (2018) ‘Introduction to systematic review and meta-analysis’, </w:t>
      </w:r>
      <w:r w:rsidRPr="00EE4FC1">
        <w:rPr>
          <w:rFonts w:ascii="Arial" w:eastAsia="PMingLiU" w:hAnsi="Arial" w:cs="Arial"/>
          <w:i/>
          <w:iCs/>
          <w:sz w:val="22"/>
          <w:szCs w:val="22"/>
          <w:lang w:eastAsia="zh-CN"/>
        </w:rPr>
        <w:t>Korean journal of anesthesiology</w:t>
      </w:r>
      <w:r w:rsidRPr="00EE4FC1">
        <w:rPr>
          <w:rFonts w:ascii="Arial" w:eastAsia="PMingLiU" w:hAnsi="Arial" w:cs="Arial"/>
          <w:sz w:val="22"/>
          <w:szCs w:val="22"/>
          <w:lang w:eastAsia="zh-CN"/>
        </w:rPr>
        <w:t xml:space="preserve">, 71(2), pp. 103-112. </w:t>
      </w:r>
      <w:r w:rsidRPr="00EE4FC1">
        <w:rPr>
          <w:rFonts w:ascii="Arial" w:eastAsia="PMingLiU" w:hAnsi="Arial" w:cs="Arial"/>
          <w:sz w:val="22"/>
          <w:szCs w:val="22"/>
          <w:lang w:val="en-US" w:eastAsia="zh-CN"/>
        </w:rPr>
        <w:t xml:space="preserve">Available at: </w:t>
      </w:r>
      <w:hyperlink r:id="rId18">
        <w:r w:rsidRPr="00EE4FC1">
          <w:rPr>
            <w:rFonts w:ascii="Arial" w:eastAsia="PMingLiU" w:hAnsi="Arial" w:cs="Arial"/>
            <w:color w:val="0563C1"/>
            <w:sz w:val="22"/>
            <w:szCs w:val="22"/>
            <w:u w:val="single"/>
            <w:lang w:eastAsia="zh-CN"/>
          </w:rPr>
          <w:t>https://doi.org/10.4097/kjae.2018.71.2.103</w:t>
        </w:r>
      </w:hyperlink>
      <w:r w:rsidRPr="00EE4FC1">
        <w:rPr>
          <w:rFonts w:ascii="Arial" w:eastAsia="PMingLiU" w:hAnsi="Arial" w:cs="Arial"/>
          <w:sz w:val="22"/>
          <w:szCs w:val="22"/>
          <w:lang w:val="en-US" w:eastAsia="zh-CN"/>
        </w:rPr>
        <w:t xml:space="preserve"> (Accessed: 06 June 2026)</w:t>
      </w:r>
    </w:p>
    <w:p w14:paraId="2E0DE28E"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DengXian" w:hAnsi="Arial" w:cs="Arial"/>
          <w:sz w:val="22"/>
          <w:szCs w:val="22"/>
          <w:lang w:eastAsia="zh-CN"/>
        </w:rPr>
        <w:t>Alashek, W. A. and Ali, S. A. (2024) ‘Satisfaction with telemedicine use during COVID-19 pandemic in the UK: a systematic review’, </w:t>
      </w:r>
      <w:r w:rsidRPr="00EE4FC1">
        <w:rPr>
          <w:rFonts w:ascii="Arial" w:eastAsia="DengXian" w:hAnsi="Arial" w:cs="Arial"/>
          <w:i/>
          <w:iCs/>
          <w:sz w:val="22"/>
          <w:szCs w:val="22"/>
          <w:lang w:eastAsia="zh-CN"/>
        </w:rPr>
        <w:t>Libyan Journal of Medicine</w:t>
      </w:r>
      <w:r w:rsidRPr="00EE4FC1">
        <w:rPr>
          <w:rFonts w:ascii="Arial" w:eastAsia="DengXian" w:hAnsi="Arial" w:cs="Arial"/>
          <w:sz w:val="22"/>
          <w:szCs w:val="22"/>
          <w:lang w:eastAsia="zh-CN"/>
        </w:rPr>
        <w:t>, </w:t>
      </w:r>
      <w:r w:rsidRPr="00EE4FC1">
        <w:rPr>
          <w:rFonts w:ascii="Arial" w:eastAsia="DengXian" w:hAnsi="Arial" w:cs="Arial"/>
          <w:i/>
          <w:iCs/>
          <w:sz w:val="22"/>
          <w:szCs w:val="22"/>
          <w:lang w:eastAsia="zh-CN"/>
        </w:rPr>
        <w:t>19</w:t>
      </w:r>
      <w:r w:rsidRPr="00EE4FC1">
        <w:rPr>
          <w:rFonts w:ascii="Arial" w:eastAsia="DengXian" w:hAnsi="Arial" w:cs="Arial"/>
          <w:sz w:val="22"/>
          <w:szCs w:val="22"/>
          <w:lang w:eastAsia="zh-CN"/>
        </w:rPr>
        <w:t xml:space="preserve">(1), 2301829. Available at: </w:t>
      </w:r>
      <w:hyperlink r:id="rId19">
        <w:r w:rsidRPr="00EE4FC1">
          <w:rPr>
            <w:rFonts w:ascii="Arial" w:eastAsia="PMingLiU" w:hAnsi="Arial" w:cs="Arial"/>
            <w:color w:val="0563C1"/>
            <w:sz w:val="22"/>
            <w:szCs w:val="22"/>
            <w:u w:val="single"/>
            <w:lang w:eastAsia="zh-CN"/>
          </w:rPr>
          <w:t>https://doi.org/10.1080/19932820.2024.2301829</w:t>
        </w:r>
      </w:hyperlink>
      <w:r w:rsidRPr="00EE4FC1">
        <w:rPr>
          <w:rFonts w:ascii="Calibri" w:eastAsia="PMingLiU" w:hAnsi="Calibri"/>
          <w:sz w:val="22"/>
          <w:szCs w:val="22"/>
          <w:lang w:eastAsia="zh-CN"/>
        </w:rPr>
        <w:t xml:space="preserve"> </w:t>
      </w:r>
      <w:r w:rsidRPr="00EE4FC1">
        <w:rPr>
          <w:rFonts w:ascii="Arial" w:eastAsia="PMingLiU" w:hAnsi="Arial" w:cs="Arial"/>
          <w:sz w:val="22"/>
          <w:szCs w:val="22"/>
          <w:lang w:val="en-US" w:eastAsia="zh-CN"/>
        </w:rPr>
        <w:t>(Accessed: 06 June 2026)</w:t>
      </w:r>
    </w:p>
    <w:p w14:paraId="65B927A4"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eastAsia="zh-CN"/>
        </w:rPr>
      </w:pPr>
      <w:r w:rsidRPr="00EE4FC1">
        <w:rPr>
          <w:rFonts w:ascii="Arial" w:eastAsia="DengXian" w:hAnsi="Arial" w:cs="Arial"/>
          <w:sz w:val="22"/>
          <w:szCs w:val="22"/>
          <w:lang w:eastAsia="zh-CN"/>
        </w:rPr>
        <w:t>Alfarwan, N., Hodkinson, A., Panagioti, M., Hassan, L. and Kontopantelis, E. (2024) ‘Clinical and cost</w:t>
      </w:r>
      <w:r w:rsidRPr="00EE4FC1">
        <w:rPr>
          <w:rFonts w:ascii="Cambria Math" w:eastAsia="DengXian" w:hAnsi="Cambria Math" w:cs="Cambria Math"/>
          <w:sz w:val="22"/>
          <w:szCs w:val="22"/>
          <w:lang w:eastAsia="zh-CN"/>
        </w:rPr>
        <w:t>‐</w:t>
      </w:r>
      <w:r w:rsidRPr="00EE4FC1">
        <w:rPr>
          <w:rFonts w:ascii="Arial" w:eastAsia="DengXian" w:hAnsi="Arial" w:cs="Arial"/>
          <w:sz w:val="22"/>
          <w:szCs w:val="22"/>
          <w:lang w:eastAsia="zh-CN"/>
        </w:rPr>
        <w:t>effectiveness of telemedicine among patients with type 2 diabetes in primary care: A systematic review and meta</w:t>
      </w:r>
      <w:r w:rsidRPr="00EE4FC1">
        <w:rPr>
          <w:rFonts w:ascii="Cambria Math" w:eastAsia="DengXian" w:hAnsi="Cambria Math" w:cs="Cambria Math"/>
          <w:sz w:val="22"/>
          <w:szCs w:val="22"/>
          <w:lang w:eastAsia="zh-CN"/>
        </w:rPr>
        <w:t>‐</w:t>
      </w:r>
      <w:r w:rsidRPr="00EE4FC1">
        <w:rPr>
          <w:rFonts w:ascii="Arial" w:eastAsia="DengXian" w:hAnsi="Arial" w:cs="Arial"/>
          <w:sz w:val="22"/>
          <w:szCs w:val="22"/>
          <w:lang w:eastAsia="zh-CN"/>
        </w:rPr>
        <w:t>analysis’, </w:t>
      </w:r>
      <w:r w:rsidRPr="00EE4FC1">
        <w:rPr>
          <w:rFonts w:ascii="Arial" w:eastAsia="DengXian" w:hAnsi="Arial" w:cs="Arial"/>
          <w:i/>
          <w:iCs/>
          <w:sz w:val="22"/>
          <w:szCs w:val="22"/>
          <w:lang w:eastAsia="zh-CN"/>
        </w:rPr>
        <w:t>Diabetic Medicine</w:t>
      </w:r>
      <w:r w:rsidRPr="00EE4FC1">
        <w:rPr>
          <w:rFonts w:ascii="Arial" w:eastAsia="DengXian" w:hAnsi="Arial" w:cs="Arial"/>
          <w:sz w:val="22"/>
          <w:szCs w:val="22"/>
          <w:lang w:eastAsia="zh-CN"/>
        </w:rPr>
        <w:t>, </w:t>
      </w:r>
      <w:r w:rsidRPr="00EE4FC1">
        <w:rPr>
          <w:rFonts w:ascii="Arial" w:eastAsia="DengXian" w:hAnsi="Arial" w:cs="Arial"/>
          <w:i/>
          <w:iCs/>
          <w:sz w:val="22"/>
          <w:szCs w:val="22"/>
          <w:lang w:eastAsia="zh-CN"/>
        </w:rPr>
        <w:t>41</w:t>
      </w:r>
      <w:r w:rsidRPr="00EE4FC1">
        <w:rPr>
          <w:rFonts w:ascii="Arial" w:eastAsia="DengXian" w:hAnsi="Arial" w:cs="Arial"/>
          <w:sz w:val="22"/>
          <w:szCs w:val="22"/>
          <w:lang w:eastAsia="zh-CN"/>
        </w:rPr>
        <w:t xml:space="preserve">(8), pp. e15343. </w:t>
      </w:r>
      <w:r w:rsidRPr="00EE4FC1">
        <w:rPr>
          <w:rFonts w:ascii="Arial" w:eastAsia="DengXian" w:hAnsi="Arial" w:cs="Arial"/>
          <w:sz w:val="22"/>
          <w:szCs w:val="22"/>
          <w:lang w:val="en-US" w:eastAsia="zh-CN"/>
        </w:rPr>
        <w:t xml:space="preserve">Available at: </w:t>
      </w:r>
      <w:hyperlink r:id="rId20">
        <w:r w:rsidRPr="00EE4FC1">
          <w:rPr>
            <w:rFonts w:ascii="Arial" w:eastAsia="PMingLiU" w:hAnsi="Arial" w:cs="Arial"/>
            <w:color w:val="0563C1"/>
            <w:sz w:val="22"/>
            <w:szCs w:val="22"/>
            <w:u w:val="single"/>
            <w:lang w:eastAsia="zh-CN"/>
          </w:rPr>
          <w:t>https://doi.org/10.1111/dme.15343</w:t>
        </w:r>
      </w:hyperlink>
      <w:r w:rsidRPr="00EE4FC1">
        <w:rPr>
          <w:rFonts w:ascii="Calibri" w:eastAsia="PMingLiU" w:hAnsi="Calibri"/>
          <w:sz w:val="22"/>
          <w:szCs w:val="22"/>
          <w:lang w:eastAsia="zh-CN"/>
        </w:rPr>
        <w:t xml:space="preserve"> </w:t>
      </w:r>
      <w:r w:rsidRPr="00EE4FC1">
        <w:rPr>
          <w:rFonts w:ascii="Arial" w:eastAsia="PMingLiU" w:hAnsi="Arial" w:cs="Arial"/>
          <w:sz w:val="22"/>
          <w:szCs w:val="22"/>
          <w:lang w:val="en-US" w:eastAsia="zh-CN"/>
        </w:rPr>
        <w:t>(Accessed: 06 June 2026)</w:t>
      </w:r>
    </w:p>
    <w:p w14:paraId="0B32B86A" w14:textId="77777777" w:rsidR="00042674" w:rsidRPr="00EE4FC1" w:rsidRDefault="00042674" w:rsidP="00820755">
      <w:pPr>
        <w:numPr>
          <w:ilvl w:val="0"/>
          <w:numId w:val="4"/>
        </w:numPr>
        <w:spacing w:after="0" w:line="360" w:lineRule="auto"/>
        <w:ind w:left="360"/>
        <w:contextualSpacing/>
        <w:jc w:val="both"/>
        <w:rPr>
          <w:rFonts w:ascii="Calibri" w:eastAsia="PMingLiU" w:hAnsi="Calibri"/>
          <w:sz w:val="22"/>
          <w:szCs w:val="22"/>
          <w:lang w:eastAsia="zh-CN"/>
        </w:rPr>
      </w:pPr>
      <w:r w:rsidRPr="00EE4FC1">
        <w:rPr>
          <w:rFonts w:ascii="Arial" w:eastAsia="DengXian" w:hAnsi="Arial" w:cs="Arial"/>
          <w:sz w:val="22"/>
          <w:szCs w:val="22"/>
          <w:lang w:eastAsia="zh-CN"/>
        </w:rPr>
        <w:t>Allen, J. (2022) ‘Exploring adult patients’ perceptions and experiences of telemedicine consultations in primary care: a qualitative systematic review’, </w:t>
      </w:r>
      <w:r w:rsidRPr="00EE4FC1">
        <w:rPr>
          <w:rFonts w:ascii="Arial" w:eastAsia="DengXian" w:hAnsi="Arial" w:cs="Arial"/>
          <w:i/>
          <w:iCs/>
          <w:sz w:val="22"/>
          <w:szCs w:val="22"/>
          <w:lang w:eastAsia="zh-CN"/>
        </w:rPr>
        <w:t>International Journal of Medical Students</w:t>
      </w:r>
      <w:r w:rsidRPr="00EE4FC1">
        <w:rPr>
          <w:rFonts w:ascii="Arial" w:eastAsia="DengXian" w:hAnsi="Arial" w:cs="Arial"/>
          <w:sz w:val="22"/>
          <w:szCs w:val="22"/>
          <w:lang w:eastAsia="zh-CN"/>
        </w:rPr>
        <w:t>, </w:t>
      </w:r>
      <w:r w:rsidRPr="00EE4FC1">
        <w:rPr>
          <w:rFonts w:ascii="Arial" w:eastAsia="DengXian" w:hAnsi="Arial" w:cs="Arial"/>
          <w:i/>
          <w:iCs/>
          <w:sz w:val="22"/>
          <w:szCs w:val="22"/>
          <w:lang w:eastAsia="zh-CN"/>
        </w:rPr>
        <w:t>10</w:t>
      </w:r>
      <w:r w:rsidRPr="00EE4FC1">
        <w:rPr>
          <w:rFonts w:ascii="Arial" w:eastAsia="DengXian" w:hAnsi="Arial" w:cs="Arial"/>
          <w:sz w:val="22"/>
          <w:szCs w:val="22"/>
          <w:lang w:eastAsia="zh-CN"/>
        </w:rPr>
        <w:t xml:space="preserve">(3), pp. 288-315. Available at: </w:t>
      </w:r>
      <w:hyperlink r:id="rId21">
        <w:r w:rsidRPr="00EE4FC1">
          <w:rPr>
            <w:rFonts w:ascii="Arial" w:eastAsia="PMingLiU" w:hAnsi="Arial" w:cs="Arial"/>
            <w:color w:val="0563C1"/>
            <w:sz w:val="22"/>
            <w:szCs w:val="22"/>
            <w:u w:val="single"/>
            <w:lang w:eastAsia="zh-CN"/>
          </w:rPr>
          <w:t>https://doi.org/10.5195/ijms.2022.1363</w:t>
        </w:r>
      </w:hyperlink>
      <w:r w:rsidRPr="00EE4FC1">
        <w:rPr>
          <w:rFonts w:ascii="Arial" w:eastAsia="PMingLiU" w:hAnsi="Arial" w:cs="Arial"/>
          <w:sz w:val="22"/>
          <w:szCs w:val="22"/>
          <w:lang w:eastAsia="zh-CN"/>
        </w:rPr>
        <w:t xml:space="preserve">  </w:t>
      </w:r>
      <w:r w:rsidRPr="00EE4FC1">
        <w:rPr>
          <w:rFonts w:ascii="Arial" w:eastAsia="DengXian" w:hAnsi="Arial" w:cs="Arial"/>
          <w:sz w:val="22"/>
          <w:szCs w:val="22"/>
          <w:lang w:val="en-US" w:eastAsia="zh-CN"/>
        </w:rPr>
        <w:t>(Accessed: 20 May 2026)</w:t>
      </w:r>
    </w:p>
    <w:p w14:paraId="33D97B52" w14:textId="77777777" w:rsidR="00042674" w:rsidRPr="00EE4FC1" w:rsidRDefault="00042674" w:rsidP="00820755">
      <w:pPr>
        <w:numPr>
          <w:ilvl w:val="0"/>
          <w:numId w:val="4"/>
        </w:numPr>
        <w:spacing w:after="0" w:line="360" w:lineRule="auto"/>
        <w:ind w:left="360"/>
        <w:contextualSpacing/>
        <w:jc w:val="both"/>
        <w:rPr>
          <w:rFonts w:ascii="Arial" w:eastAsia="Times New Roman" w:hAnsi="Arial"/>
          <w:kern w:val="0"/>
          <w:sz w:val="22"/>
          <w:szCs w:val="22"/>
          <w:lang w:val="en-US"/>
        </w:rPr>
      </w:pPr>
      <w:r w:rsidRPr="00EE4FC1">
        <w:rPr>
          <w:rFonts w:ascii="Arial" w:eastAsia="Times New Roman" w:hAnsi="Arial"/>
          <w:kern w:val="0"/>
          <w:sz w:val="22"/>
          <w:szCs w:val="22"/>
        </w:rPr>
        <w:t xml:space="preserve">Amir-Behghadami, M. and Janati, A. (2020) ‘Population, Intervention, Comparison, Outcomes and Study (PICOS) Design as a Framework to Formulate Eligibility Criteria in Systematic Reviews’, </w:t>
      </w:r>
      <w:r w:rsidRPr="00EE4FC1">
        <w:rPr>
          <w:rFonts w:ascii="Arial" w:eastAsia="Times New Roman" w:hAnsi="Arial"/>
          <w:i/>
          <w:iCs/>
          <w:kern w:val="0"/>
          <w:sz w:val="22"/>
          <w:szCs w:val="22"/>
        </w:rPr>
        <w:t>Emergency Medicine Journal</w:t>
      </w:r>
      <w:r w:rsidRPr="00EE4FC1">
        <w:rPr>
          <w:rFonts w:ascii="Arial" w:eastAsia="Times New Roman" w:hAnsi="Arial"/>
          <w:kern w:val="0"/>
          <w:sz w:val="22"/>
          <w:szCs w:val="22"/>
        </w:rPr>
        <w:t xml:space="preserve">, 37(6), pp. 387–387. </w:t>
      </w:r>
      <w:r w:rsidRPr="00EE4FC1">
        <w:rPr>
          <w:rFonts w:ascii="Arial" w:eastAsia="Times New Roman" w:hAnsi="Arial"/>
          <w:kern w:val="0"/>
          <w:sz w:val="22"/>
          <w:szCs w:val="22"/>
          <w:lang w:val="en-US"/>
        </w:rPr>
        <w:t xml:space="preserve">Available at: </w:t>
      </w:r>
      <w:hyperlink r:id="rId22" w:history="1">
        <w:r w:rsidRPr="00EE4FC1">
          <w:rPr>
            <w:rFonts w:ascii="Arial" w:eastAsia="Times New Roman" w:hAnsi="Arial"/>
            <w:color w:val="467886"/>
            <w:kern w:val="0"/>
            <w:sz w:val="22"/>
            <w:szCs w:val="22"/>
            <w:u w:val="single"/>
            <w:lang w:val="en-US"/>
          </w:rPr>
          <w:t>https://doi.org/10.1136/emermed-2020-209567</w:t>
        </w:r>
      </w:hyperlink>
      <w:r w:rsidRPr="00EE4FC1">
        <w:rPr>
          <w:rFonts w:ascii="Arial" w:eastAsia="Times New Roman" w:hAnsi="Arial"/>
          <w:kern w:val="0"/>
          <w:sz w:val="22"/>
          <w:szCs w:val="22"/>
          <w:lang w:val="en-US"/>
        </w:rPr>
        <w:t xml:space="preserve"> (Accessed: 06 June 2026)</w:t>
      </w:r>
    </w:p>
    <w:p w14:paraId="395CD733"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Anderson, J., Walsh, J., Anderson, M. and Burnley, R. (2021) ‘Patient satisfaction with remote consultations in a primary care setting’, </w:t>
      </w:r>
      <w:r w:rsidRPr="00EE4FC1">
        <w:rPr>
          <w:rFonts w:ascii="Arial" w:eastAsia="PMingLiU" w:hAnsi="Arial" w:cs="Arial"/>
          <w:i/>
          <w:iCs/>
          <w:sz w:val="22"/>
          <w:szCs w:val="22"/>
          <w:lang w:eastAsia="zh-CN"/>
        </w:rPr>
        <w:t>Cureus</w:t>
      </w:r>
      <w:r w:rsidRPr="00EE4FC1">
        <w:rPr>
          <w:rFonts w:ascii="Arial" w:eastAsia="PMingLiU" w:hAnsi="Arial" w:cs="Arial"/>
          <w:sz w:val="22"/>
          <w:szCs w:val="22"/>
          <w:lang w:eastAsia="zh-CN"/>
        </w:rPr>
        <w:t xml:space="preserve">, 13(9), p.  e17814. Available at: </w:t>
      </w:r>
      <w:hyperlink r:id="rId23" w:history="1">
        <w:r w:rsidRPr="00EE4FC1">
          <w:rPr>
            <w:rFonts w:ascii="Arial" w:eastAsia="PMingLiU" w:hAnsi="Arial" w:cs="Arial"/>
            <w:color w:val="0563C1"/>
            <w:sz w:val="22"/>
            <w:szCs w:val="22"/>
            <w:u w:val="single"/>
            <w:lang w:eastAsia="zh-CN"/>
          </w:rPr>
          <w:t>https://doi.org/10.7759/cureus.17814</w:t>
        </w:r>
      </w:hyperlink>
      <w:r w:rsidRPr="00EE4FC1">
        <w:rPr>
          <w:rFonts w:ascii="Arial" w:eastAsia="PMingLiU" w:hAnsi="Arial" w:cs="Arial"/>
          <w:sz w:val="22"/>
          <w:szCs w:val="22"/>
          <w:lang w:eastAsia="zh-CN"/>
        </w:rPr>
        <w:t xml:space="preserve"> (Accessed: 26 August 2026).</w:t>
      </w:r>
    </w:p>
    <w:p w14:paraId="39B89446"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Antonio, S., Joseph, D., Parsons, J. and Atherton, H. (2024) ‘Experiences of remote consultation in UK primary care for patients with mental health conditions: a systematic review’, </w:t>
      </w:r>
      <w:r w:rsidRPr="00EE4FC1">
        <w:rPr>
          <w:rFonts w:ascii="Arial" w:eastAsia="PMingLiU" w:hAnsi="Arial" w:cs="Arial"/>
          <w:i/>
          <w:iCs/>
          <w:sz w:val="22"/>
          <w:szCs w:val="22"/>
          <w:lang w:eastAsia="zh-CN"/>
        </w:rPr>
        <w:t>Digital Health</w:t>
      </w:r>
      <w:r w:rsidRPr="00EE4FC1">
        <w:rPr>
          <w:rFonts w:ascii="Arial" w:eastAsia="PMingLiU" w:hAnsi="Arial" w:cs="Arial"/>
          <w:sz w:val="22"/>
          <w:szCs w:val="22"/>
          <w:lang w:eastAsia="zh-CN"/>
        </w:rPr>
        <w:t xml:space="preserve">, 10, p. 20552076241233969. Available at: </w:t>
      </w:r>
      <w:hyperlink r:id="rId24" w:history="1">
        <w:r w:rsidRPr="00EE4FC1">
          <w:rPr>
            <w:rFonts w:ascii="Arial" w:eastAsia="PMingLiU" w:hAnsi="Arial" w:cs="Arial"/>
            <w:color w:val="0563C1"/>
            <w:sz w:val="22"/>
            <w:szCs w:val="22"/>
            <w:u w:val="single"/>
            <w:lang w:eastAsia="zh-CN"/>
          </w:rPr>
          <w:t>https://doi.org/10.1177/20552076241233969</w:t>
        </w:r>
      </w:hyperlink>
      <w:r w:rsidRPr="00EE4FC1">
        <w:rPr>
          <w:rFonts w:ascii="Arial" w:eastAsia="PMingLiU" w:hAnsi="Arial" w:cs="Arial"/>
          <w:sz w:val="22"/>
          <w:szCs w:val="22"/>
          <w:lang w:eastAsia="zh-CN"/>
        </w:rPr>
        <w:t xml:space="preserve"> (Accessed: 26 August 2026).</w:t>
      </w:r>
    </w:p>
    <w:p w14:paraId="791D059C"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val="en-US" w:eastAsia="zh-CN"/>
        </w:rPr>
      </w:pPr>
      <w:r w:rsidRPr="00EE4FC1">
        <w:rPr>
          <w:rFonts w:ascii="Arial" w:eastAsia="PMingLiU" w:hAnsi="Arial" w:cs="Arial"/>
          <w:sz w:val="22"/>
          <w:szCs w:val="22"/>
          <w:lang w:eastAsia="zh-CN"/>
        </w:rPr>
        <w:t xml:space="preserve">Archer, C., Ting, L., Kessler, D., Wiles, N. and Turner, K.M. (2025) ‘Primary care practitioners’ and patients’ views on the benefits and challenges of remote consulting for anxiety and depression in UK general practice: a qualitative interview study’, </w:t>
      </w:r>
      <w:r w:rsidRPr="00EE4FC1">
        <w:rPr>
          <w:rFonts w:ascii="Arial" w:eastAsia="PMingLiU" w:hAnsi="Arial" w:cs="Arial"/>
          <w:i/>
          <w:iCs/>
          <w:sz w:val="22"/>
          <w:szCs w:val="22"/>
          <w:lang w:eastAsia="zh-CN"/>
        </w:rPr>
        <w:t>British Medical Journal Open</w:t>
      </w:r>
      <w:r w:rsidRPr="00EE4FC1">
        <w:rPr>
          <w:rFonts w:ascii="Arial" w:eastAsia="PMingLiU" w:hAnsi="Arial" w:cs="Arial"/>
          <w:sz w:val="22"/>
          <w:szCs w:val="22"/>
          <w:lang w:eastAsia="zh-CN"/>
        </w:rPr>
        <w:t xml:space="preserve">, 15(6), p. e093795. Available at: </w:t>
      </w:r>
      <w:hyperlink r:id="rId25" w:history="1">
        <w:r w:rsidRPr="00EE4FC1">
          <w:rPr>
            <w:rFonts w:ascii="Arial" w:eastAsia="PMingLiU" w:hAnsi="Arial" w:cs="Arial"/>
            <w:color w:val="467886"/>
            <w:sz w:val="22"/>
            <w:szCs w:val="22"/>
            <w:u w:val="single"/>
            <w:lang w:eastAsia="zh-CN"/>
          </w:rPr>
          <w:t>https://doi.org/10.1136/bmjopen-2024-093795</w:t>
        </w:r>
      </w:hyperlink>
      <w:r w:rsidRPr="00EE4FC1">
        <w:rPr>
          <w:rFonts w:ascii="Arial" w:eastAsia="PMingLiU" w:hAnsi="Arial" w:cs="Arial"/>
          <w:sz w:val="22"/>
          <w:szCs w:val="22"/>
          <w:lang w:eastAsia="zh-CN"/>
        </w:rPr>
        <w:t xml:space="preserve"> (Accessed: 01 June 2026).</w:t>
      </w:r>
    </w:p>
    <w:p w14:paraId="696D3D1C"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val="en-US" w:eastAsia="zh-CN"/>
        </w:rPr>
      </w:pPr>
      <w:r w:rsidRPr="00EE4FC1">
        <w:rPr>
          <w:rFonts w:ascii="Arial" w:eastAsia="PMingLiU" w:hAnsi="Arial" w:cs="Arial"/>
          <w:sz w:val="22"/>
          <w:szCs w:val="22"/>
          <w:lang w:val="en-US" w:eastAsia="zh-CN"/>
        </w:rPr>
        <w:lastRenderedPageBreak/>
        <w:t xml:space="preserve">Association of Mental Health Providers and Mental Health Network, NHS Confederation (2020) ‘Digital inclusion in mental health: A guide to help increase choice and improve access to digital mental health services’, </w:t>
      </w:r>
      <w:r w:rsidRPr="00EE4FC1">
        <w:rPr>
          <w:rFonts w:ascii="Arial" w:eastAsia="PMingLiU" w:hAnsi="Arial" w:cs="Arial"/>
          <w:i/>
          <w:iCs/>
          <w:sz w:val="22"/>
          <w:szCs w:val="22"/>
          <w:lang w:val="en-US" w:eastAsia="zh-CN"/>
        </w:rPr>
        <w:t>London: NHS Confederation</w:t>
      </w:r>
      <w:r w:rsidRPr="00EE4FC1">
        <w:rPr>
          <w:rFonts w:ascii="Arial" w:eastAsia="PMingLiU" w:hAnsi="Arial" w:cs="Arial"/>
          <w:sz w:val="22"/>
          <w:szCs w:val="22"/>
          <w:lang w:val="en-US" w:eastAsia="zh-CN"/>
        </w:rPr>
        <w:t xml:space="preserve">. Available at: </w:t>
      </w:r>
      <w:hyperlink r:id="rId26" w:history="1">
        <w:r w:rsidRPr="00EE4FC1">
          <w:rPr>
            <w:rFonts w:ascii="Arial" w:eastAsia="PMingLiU" w:hAnsi="Arial" w:cs="Arial"/>
            <w:color w:val="467886"/>
            <w:sz w:val="22"/>
            <w:szCs w:val="22"/>
            <w:u w:val="single"/>
            <w:lang w:val="en-US" w:eastAsia="zh-CN"/>
          </w:rPr>
          <w:t>https://www.nhsconfed.org/publications/digital-inclusion-mental-health</w:t>
        </w:r>
      </w:hyperlink>
      <w:r w:rsidRPr="00EE4FC1">
        <w:rPr>
          <w:rFonts w:ascii="Arial" w:eastAsia="PMingLiU" w:hAnsi="Arial" w:cs="Arial"/>
          <w:sz w:val="22"/>
          <w:szCs w:val="22"/>
          <w:lang w:val="en-US" w:eastAsia="zh-CN"/>
        </w:rPr>
        <w:t xml:space="preserve"> (Accessed: 26 August 2026).</w:t>
      </w:r>
    </w:p>
    <w:p w14:paraId="1ECE5CBA"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eastAsia="zh-CN"/>
        </w:rPr>
      </w:pPr>
      <w:r w:rsidRPr="00EE4FC1">
        <w:rPr>
          <w:rFonts w:ascii="Arial" w:eastAsia="PMingLiU" w:hAnsi="Arial" w:cs="Arial"/>
          <w:sz w:val="22"/>
          <w:szCs w:val="22"/>
          <w:lang w:eastAsia="zh-CN"/>
        </w:rPr>
        <w:t xml:space="preserve">Barsom, E.Z., van Dalen, A.S.H.M., Blussé van Oud-Alblas, M., Buskens, C.J., van de Ven, A.W.H., Tanis, P.J., Schijven, M.P. and Bemelman, W.A. (2020) ‘Comparing video consultation and telephone consultation at the outpatient clinic of a tertiary referral centre: patient and provider benefits’, </w:t>
      </w:r>
      <w:r w:rsidRPr="00EE4FC1">
        <w:rPr>
          <w:rFonts w:ascii="Arial" w:eastAsia="PMingLiU" w:hAnsi="Arial" w:cs="Arial"/>
          <w:i/>
          <w:iCs/>
          <w:sz w:val="22"/>
          <w:szCs w:val="22"/>
          <w:lang w:eastAsia="zh-CN"/>
        </w:rPr>
        <w:t>BMJ Innovations</w:t>
      </w:r>
      <w:r w:rsidRPr="00EE4FC1">
        <w:rPr>
          <w:rFonts w:ascii="Arial" w:eastAsia="PMingLiU" w:hAnsi="Arial" w:cs="Arial"/>
          <w:sz w:val="22"/>
          <w:szCs w:val="22"/>
          <w:lang w:eastAsia="zh-CN"/>
        </w:rPr>
        <w:t xml:space="preserve">, 7(1), pp. 95-102. Available at: </w:t>
      </w:r>
      <w:hyperlink r:id="rId27">
        <w:r w:rsidRPr="00EE4FC1">
          <w:rPr>
            <w:rFonts w:ascii="Arial" w:eastAsia="PMingLiU" w:hAnsi="Arial" w:cs="Arial"/>
            <w:color w:val="0563C1"/>
            <w:sz w:val="22"/>
            <w:szCs w:val="22"/>
            <w:u w:val="single"/>
            <w:lang w:eastAsia="zh-CN"/>
          </w:rPr>
          <w:t>https://doi.org/10.1136/bmjinnov-2020-000512</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6DC80137"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val="en-US" w:eastAsia="zh-CN"/>
        </w:rPr>
      </w:pPr>
      <w:r w:rsidRPr="00EE4FC1">
        <w:rPr>
          <w:rFonts w:ascii="Arial" w:eastAsia="PMingLiU" w:hAnsi="Arial" w:cs="Arial"/>
          <w:sz w:val="22"/>
          <w:szCs w:val="22"/>
          <w:lang w:eastAsia="zh-CN"/>
        </w:rPr>
        <w:t>Batbaatar, E., Dorjdagva, J., Luvsannyam, A., Savino, M. M and Amenta, P. (2017) ‘Determinants of patient satisfaction: a systematic review’, </w:t>
      </w:r>
      <w:r w:rsidRPr="00EE4FC1">
        <w:rPr>
          <w:rFonts w:ascii="Arial" w:eastAsia="PMingLiU" w:hAnsi="Arial" w:cs="Arial"/>
          <w:i/>
          <w:iCs/>
          <w:sz w:val="22"/>
          <w:szCs w:val="22"/>
          <w:lang w:eastAsia="zh-CN"/>
        </w:rPr>
        <w:t>Perspectives in public health</w:t>
      </w:r>
      <w:r w:rsidRPr="00EE4FC1">
        <w:rPr>
          <w:rFonts w:ascii="Arial" w:eastAsia="PMingLiU" w:hAnsi="Arial" w:cs="Arial"/>
          <w:sz w:val="22"/>
          <w:szCs w:val="22"/>
          <w:lang w:eastAsia="zh-CN"/>
        </w:rPr>
        <w:t xml:space="preserve">, 137(2), pp. 89-101. Available at: </w:t>
      </w:r>
      <w:hyperlink r:id="rId28">
        <w:r w:rsidRPr="00EE4FC1">
          <w:rPr>
            <w:rFonts w:ascii="Arial" w:eastAsia="PMingLiU" w:hAnsi="Arial" w:cs="Arial"/>
            <w:color w:val="0563C1"/>
            <w:sz w:val="22"/>
            <w:szCs w:val="22"/>
            <w:u w:val="single"/>
            <w:lang w:eastAsia="zh-CN"/>
          </w:rPr>
          <w:t>https://doi.org/10.1177/1757913916634136</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2CE39D48"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Benis, A., Banker, M., Pinkasovich, D., Kirin, M., Yoshai, B., Benchoam-Ravid, R., Ashkenazi, S. and Seidmann, A. (2021) ‘Reasons for Utilizing Telemedicine during and after the COVID-19 Pandemic: An Internet-Based International Study’, </w:t>
      </w:r>
      <w:r w:rsidRPr="00EE4FC1">
        <w:rPr>
          <w:rFonts w:ascii="Arial" w:eastAsia="PMingLiU" w:hAnsi="Arial" w:cs="Arial"/>
          <w:i/>
          <w:iCs/>
          <w:sz w:val="22"/>
          <w:szCs w:val="22"/>
          <w:lang w:eastAsia="zh-CN"/>
        </w:rPr>
        <w:t>Journal of Clinical Medicine</w:t>
      </w:r>
      <w:r w:rsidRPr="00EE4FC1">
        <w:rPr>
          <w:rFonts w:ascii="Arial" w:eastAsia="PMingLiU" w:hAnsi="Arial" w:cs="Arial"/>
          <w:sz w:val="22"/>
          <w:szCs w:val="22"/>
          <w:lang w:eastAsia="zh-CN"/>
        </w:rPr>
        <w:t xml:space="preserve">, 10(23), p.5519. Available at: </w:t>
      </w:r>
      <w:hyperlink r:id="rId29" w:history="1">
        <w:r w:rsidRPr="00EE4FC1">
          <w:rPr>
            <w:rFonts w:ascii="Arial" w:eastAsia="PMingLiU" w:hAnsi="Arial" w:cs="Arial"/>
            <w:color w:val="0563C1"/>
            <w:sz w:val="22"/>
            <w:szCs w:val="22"/>
            <w:u w:val="single"/>
            <w:lang w:eastAsia="zh-CN"/>
          </w:rPr>
          <w:t>https://doi.org/10.3390/jcm10235519</w:t>
        </w:r>
      </w:hyperlink>
      <w:r w:rsidRPr="00EE4FC1">
        <w:rPr>
          <w:rFonts w:ascii="Arial" w:eastAsia="PMingLiU" w:hAnsi="Arial" w:cs="Arial"/>
          <w:sz w:val="22"/>
          <w:szCs w:val="22"/>
          <w:lang w:eastAsia="zh-CN"/>
        </w:rPr>
        <w:t xml:space="preserve"> (Accessed: 26 August 2026).</w:t>
      </w:r>
    </w:p>
    <w:p w14:paraId="3315A833"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Boland, A., Cherry, M.G. and Dickson, R. (2017) ‘Doing a Systematic Review: A Student’s Guide’, 2nd edn, </w:t>
      </w:r>
      <w:r w:rsidRPr="00EE4FC1">
        <w:rPr>
          <w:rFonts w:ascii="Arial" w:eastAsia="PMingLiU" w:hAnsi="Arial" w:cs="Arial"/>
          <w:i/>
          <w:iCs/>
          <w:sz w:val="22"/>
          <w:szCs w:val="22"/>
          <w:lang w:eastAsia="zh-CN"/>
        </w:rPr>
        <w:t>London: SAGE Publications Ltd</w:t>
      </w:r>
      <w:r w:rsidRPr="00EE4FC1">
        <w:rPr>
          <w:rFonts w:ascii="Arial" w:eastAsia="PMingLiU" w:hAnsi="Arial" w:cs="Arial"/>
          <w:sz w:val="22"/>
          <w:szCs w:val="22"/>
          <w:lang w:eastAsia="zh-CN"/>
        </w:rPr>
        <w:t xml:space="preserve">. Available at: </w:t>
      </w:r>
      <w:hyperlink r:id="rId30" w:history="1">
        <w:r w:rsidRPr="00EE4FC1">
          <w:rPr>
            <w:rFonts w:ascii="Arial" w:eastAsia="PMingLiU" w:hAnsi="Arial" w:cs="Arial"/>
            <w:color w:val="0563C1"/>
            <w:sz w:val="22"/>
            <w:szCs w:val="22"/>
            <w:u w:val="single"/>
            <w:lang w:eastAsia="zh-CN"/>
          </w:rPr>
          <w:t>https://study.sagepub.com/doingasystematicreview2e</w:t>
        </w:r>
      </w:hyperlink>
      <w:r w:rsidRPr="00EE4FC1">
        <w:rPr>
          <w:rFonts w:ascii="Arial" w:eastAsia="PMingLiU" w:hAnsi="Arial" w:cs="Arial"/>
          <w:sz w:val="22"/>
          <w:szCs w:val="22"/>
          <w:lang w:eastAsia="zh-CN"/>
        </w:rPr>
        <w:t xml:space="preserve">  (Accessed: 6 June 2026).</w:t>
      </w:r>
    </w:p>
    <w:p w14:paraId="60E28C95" w14:textId="77777777" w:rsidR="00042674" w:rsidRPr="00EE4FC1" w:rsidRDefault="00042674" w:rsidP="00820755">
      <w:pPr>
        <w:numPr>
          <w:ilvl w:val="0"/>
          <w:numId w:val="4"/>
        </w:numPr>
        <w:spacing w:line="360" w:lineRule="auto"/>
        <w:ind w:left="360"/>
        <w:contextualSpacing/>
        <w:jc w:val="both"/>
        <w:rPr>
          <w:rFonts w:ascii="Arial" w:eastAsia="PMingLiU" w:hAnsi="Arial" w:cs="Arial"/>
          <w:color w:val="ED7D31"/>
          <w:sz w:val="22"/>
          <w:szCs w:val="22"/>
          <w:lang w:eastAsia="zh-CN"/>
        </w:rPr>
      </w:pPr>
      <w:r w:rsidRPr="00EE4FC1">
        <w:rPr>
          <w:rFonts w:ascii="Arial" w:eastAsia="PMingLiU" w:hAnsi="Arial" w:cs="Arial"/>
          <w:sz w:val="22"/>
          <w:szCs w:val="22"/>
          <w:lang w:eastAsia="zh-CN"/>
        </w:rPr>
        <w:t xml:space="preserve">Booth, A., Sutton, A., Clowes, M. and Martyn-St James, M. (2022) ‘Systematic to a Successful Literature Review’, </w:t>
      </w:r>
      <w:r w:rsidRPr="00EE4FC1">
        <w:rPr>
          <w:rFonts w:ascii="Arial" w:eastAsia="PMingLiU" w:hAnsi="Arial" w:cs="Arial"/>
          <w:i/>
          <w:iCs/>
          <w:sz w:val="22"/>
          <w:szCs w:val="22"/>
          <w:lang w:eastAsia="zh-CN"/>
        </w:rPr>
        <w:t>Third Edition Vol. 0. 55 City Road: SAGE Publications Ltd</w:t>
      </w:r>
      <w:r w:rsidRPr="00EE4FC1">
        <w:rPr>
          <w:rFonts w:ascii="Arial" w:eastAsia="PMingLiU" w:hAnsi="Arial" w:cs="Arial"/>
          <w:sz w:val="22"/>
          <w:szCs w:val="22"/>
          <w:lang w:eastAsia="zh-CN"/>
        </w:rPr>
        <w:t xml:space="preserve">. Available at: </w:t>
      </w:r>
      <w:hyperlink r:id="rId31" w:history="1">
        <w:r w:rsidRPr="00EE4FC1">
          <w:rPr>
            <w:rFonts w:ascii="Arial" w:eastAsia="PMingLiU" w:hAnsi="Arial" w:cs="Arial"/>
            <w:color w:val="0563C1"/>
            <w:sz w:val="22"/>
            <w:szCs w:val="22"/>
            <w:u w:val="single"/>
            <w:lang w:eastAsia="zh-CN"/>
          </w:rPr>
          <w:t>https://doi.org/10.4135/9781036232009</w:t>
        </w:r>
      </w:hyperlink>
      <w:r w:rsidRPr="00EE4FC1">
        <w:rPr>
          <w:rFonts w:ascii="Arial" w:eastAsia="PMingLiU" w:hAnsi="Arial" w:cs="Arial"/>
          <w:color w:val="ED7D31"/>
          <w:sz w:val="22"/>
          <w:szCs w:val="22"/>
          <w:lang w:eastAsia="zh-CN"/>
        </w:rPr>
        <w:t xml:space="preserve"> </w:t>
      </w:r>
      <w:r w:rsidRPr="00EE4FC1">
        <w:rPr>
          <w:rFonts w:ascii="Arial" w:eastAsia="PMingLiU" w:hAnsi="Arial" w:cs="Arial"/>
          <w:sz w:val="22"/>
          <w:szCs w:val="22"/>
          <w:lang w:eastAsia="zh-CN"/>
        </w:rPr>
        <w:t>(Accessed: 06 June 2026).</w:t>
      </w:r>
    </w:p>
    <w:p w14:paraId="6E382B15"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Bramer, W. M., De Jonge, G. B., Rethlefsen, M. L., Mast, F. and Kleijnen, J. (2018) ‘A systematic approach to searching: an efficient and complete method to develop literature searches’, </w:t>
      </w:r>
      <w:r w:rsidRPr="00EE4FC1">
        <w:rPr>
          <w:rFonts w:ascii="Arial" w:eastAsia="PMingLiU" w:hAnsi="Arial" w:cs="Arial"/>
          <w:i/>
          <w:iCs/>
          <w:sz w:val="22"/>
          <w:szCs w:val="22"/>
          <w:lang w:eastAsia="zh-CN"/>
        </w:rPr>
        <w:t>Journal of the Medical Library Association: JMLA</w:t>
      </w:r>
      <w:r w:rsidRPr="00EE4FC1">
        <w:rPr>
          <w:rFonts w:ascii="Arial" w:eastAsia="PMingLiU" w:hAnsi="Arial" w:cs="Arial"/>
          <w:sz w:val="22"/>
          <w:szCs w:val="22"/>
          <w:lang w:eastAsia="zh-CN"/>
        </w:rPr>
        <w:t xml:space="preserve">, 106(4), pp. 531-541. Available at: </w:t>
      </w:r>
      <w:hyperlink r:id="rId32">
        <w:r w:rsidRPr="00EE4FC1">
          <w:rPr>
            <w:rFonts w:ascii="Arial" w:eastAsia="PMingLiU" w:hAnsi="Arial" w:cs="Arial"/>
            <w:color w:val="0563C1"/>
            <w:sz w:val="22"/>
            <w:szCs w:val="22"/>
            <w:u w:val="single"/>
            <w:lang w:eastAsia="zh-CN"/>
          </w:rPr>
          <w:t>https://doi.org/10.5195/jmla.2018.283</w:t>
        </w:r>
      </w:hyperlink>
      <w:r w:rsidRPr="00EE4FC1">
        <w:rPr>
          <w:rFonts w:ascii="Arial" w:eastAsia="PMingLiU" w:hAnsi="Arial" w:cs="Arial"/>
          <w:sz w:val="22"/>
          <w:szCs w:val="22"/>
          <w:lang w:eastAsia="zh-CN"/>
        </w:rPr>
        <w:t xml:space="preserve"> (Accessed: 06 June 2026).</w:t>
      </w:r>
    </w:p>
    <w:p w14:paraId="7BD9C79A"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Burch, P., McManus, E., Lau, Y.-S., Walter, A. and Whittaker, W. (2026) ‘Exploring the relationship between provision of online consultations in general practice and patient experience: an observational study in England’, </w:t>
      </w:r>
      <w:r w:rsidRPr="00EE4FC1">
        <w:rPr>
          <w:rFonts w:ascii="Arial" w:eastAsia="PMingLiU" w:hAnsi="Arial" w:cs="Arial"/>
          <w:i/>
          <w:iCs/>
          <w:sz w:val="22"/>
          <w:szCs w:val="22"/>
          <w:lang w:eastAsia="zh-CN"/>
        </w:rPr>
        <w:t>British Journal of General Practice</w:t>
      </w:r>
      <w:r w:rsidRPr="00EE4FC1">
        <w:rPr>
          <w:rFonts w:ascii="Arial" w:eastAsia="PMingLiU" w:hAnsi="Arial" w:cs="Arial"/>
          <w:sz w:val="22"/>
          <w:szCs w:val="22"/>
          <w:lang w:eastAsia="zh-CN"/>
        </w:rPr>
        <w:t xml:space="preserve">, 76(suppl 1), p. bjgp26X745137. Available at: </w:t>
      </w:r>
      <w:hyperlink r:id="rId33" w:history="1">
        <w:r w:rsidRPr="00EE4FC1">
          <w:rPr>
            <w:rFonts w:ascii="Arial" w:eastAsia="PMingLiU" w:hAnsi="Arial" w:cs="Arial"/>
            <w:color w:val="0563C1"/>
            <w:sz w:val="22"/>
            <w:szCs w:val="22"/>
            <w:u w:val="single"/>
            <w:lang w:eastAsia="zh-CN"/>
          </w:rPr>
          <w:t>https://doi.org/10.3399/bjgp26X745137</w:t>
        </w:r>
      </w:hyperlink>
      <w:r w:rsidRPr="00EE4FC1">
        <w:rPr>
          <w:rFonts w:ascii="Arial" w:eastAsia="PMingLiU" w:hAnsi="Arial" w:cs="Arial"/>
          <w:sz w:val="22"/>
          <w:szCs w:val="22"/>
          <w:lang w:eastAsia="zh-CN"/>
        </w:rPr>
        <w:t xml:space="preserve"> (Accessed: 26 August 2026).</w:t>
      </w:r>
    </w:p>
    <w:p w14:paraId="6CCB4C43"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val="en-US" w:eastAsia="zh-CN"/>
        </w:rPr>
      </w:pPr>
      <w:r w:rsidRPr="00EE4FC1">
        <w:rPr>
          <w:rFonts w:ascii="Arial" w:eastAsia="PMingLiU" w:hAnsi="Arial" w:cs="Arial"/>
          <w:sz w:val="22"/>
          <w:szCs w:val="22"/>
          <w:lang w:eastAsia="zh-CN"/>
        </w:rPr>
        <w:t xml:space="preserve">Byambasuren, O., Greenwood, H., Bakhit, M., Atkins, T., Clark, J., Scott, A. M., and Glasziou, P. (2023) ‘Comparison of telephone and video telehealth consultations: </w:t>
      </w:r>
      <w:r w:rsidRPr="00EE4FC1">
        <w:rPr>
          <w:rFonts w:ascii="Arial" w:eastAsia="PMingLiU" w:hAnsi="Arial" w:cs="Arial"/>
          <w:sz w:val="22"/>
          <w:szCs w:val="22"/>
          <w:lang w:eastAsia="zh-CN"/>
        </w:rPr>
        <w:lastRenderedPageBreak/>
        <w:t>systematic review’, </w:t>
      </w:r>
      <w:r w:rsidRPr="00EE4FC1">
        <w:rPr>
          <w:rFonts w:ascii="Arial" w:eastAsia="PMingLiU" w:hAnsi="Arial" w:cs="Arial"/>
          <w:i/>
          <w:iCs/>
          <w:sz w:val="22"/>
          <w:szCs w:val="22"/>
          <w:lang w:eastAsia="zh-CN"/>
        </w:rPr>
        <w:t>Journal of medical Internet research</w:t>
      </w:r>
      <w:r w:rsidRPr="00EE4FC1">
        <w:rPr>
          <w:rFonts w:ascii="Arial" w:eastAsia="PMingLiU" w:hAnsi="Arial" w:cs="Arial"/>
          <w:sz w:val="22"/>
          <w:szCs w:val="22"/>
          <w:lang w:eastAsia="zh-CN"/>
        </w:rPr>
        <w:t xml:space="preserve">, 25, p. e49942. Available at: </w:t>
      </w:r>
      <w:hyperlink r:id="rId34">
        <w:r w:rsidRPr="00EE4FC1">
          <w:rPr>
            <w:rFonts w:ascii="Arial" w:eastAsia="PMingLiU" w:hAnsi="Arial" w:cs="Arial"/>
            <w:color w:val="0563C1"/>
            <w:sz w:val="22"/>
            <w:szCs w:val="22"/>
            <w:u w:val="single"/>
            <w:lang w:eastAsia="zh-CN"/>
          </w:rPr>
          <w:t>https://doi.org/10.2196/49942</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4E39A724"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Caffery, L.J., De, S., Taylor, M.L., Kelly, J.T., Haydon, H.M., Smith, A.C. and Snoswell, C.L. (2024) ‘Telephone versus video consultations: A systematic review of comparative effectiveness studies and guidance for choosing the most appropriate modality’, </w:t>
      </w:r>
      <w:r w:rsidRPr="00EE4FC1">
        <w:rPr>
          <w:rFonts w:ascii="Arial" w:eastAsia="PMingLiU" w:hAnsi="Arial" w:cs="Arial"/>
          <w:i/>
          <w:iCs/>
          <w:sz w:val="22"/>
          <w:szCs w:val="22"/>
          <w:lang w:eastAsia="zh-CN"/>
        </w:rPr>
        <w:t>Journal of telemedicine and telecare</w:t>
      </w:r>
      <w:r w:rsidRPr="00EE4FC1">
        <w:rPr>
          <w:rFonts w:ascii="Arial" w:eastAsia="PMingLiU" w:hAnsi="Arial" w:cs="Arial"/>
          <w:sz w:val="22"/>
          <w:szCs w:val="22"/>
          <w:lang w:eastAsia="zh-CN"/>
        </w:rPr>
        <w:t xml:space="preserve">, 31(7), pp. 909-918. Available at: </w:t>
      </w:r>
      <w:hyperlink r:id="rId35">
        <w:r w:rsidRPr="00EE4FC1">
          <w:rPr>
            <w:rFonts w:ascii="Arial" w:eastAsia="PMingLiU" w:hAnsi="Arial" w:cs="Arial"/>
            <w:color w:val="0563C1"/>
            <w:sz w:val="22"/>
            <w:szCs w:val="22"/>
            <w:u w:val="single"/>
            <w:lang w:eastAsia="zh-CN"/>
          </w:rPr>
          <w:t>https://doi.org/10.1177/1357633X241232464</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14CDF336"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eastAsia="zh-CN"/>
        </w:rPr>
      </w:pPr>
      <w:r w:rsidRPr="00EE4FC1">
        <w:rPr>
          <w:rFonts w:ascii="Arial" w:eastAsia="Times New Roman" w:hAnsi="Arial"/>
          <w:kern w:val="0"/>
          <w:sz w:val="22"/>
          <w:szCs w:val="22"/>
        </w:rPr>
        <w:t xml:space="preserve">Campbell, M., McKenzie, J.E., Sowden, A., Katikireddi, S.V., Brennan, S.E., Ellis, S., Hartmann-Boyce, J., Ryan, R., Shepperd, S., Thomas, J., Welch, V. and Thomson, H. (2020) 'Synthesis without meta-analysis (SWiM) in systematic reviews: reporting guideline', </w:t>
      </w:r>
      <w:r w:rsidRPr="00EE4FC1">
        <w:rPr>
          <w:rFonts w:ascii="Arial" w:eastAsia="Times New Roman" w:hAnsi="Arial"/>
          <w:i/>
          <w:iCs/>
          <w:kern w:val="0"/>
          <w:sz w:val="22"/>
          <w:szCs w:val="22"/>
        </w:rPr>
        <w:t>British Medical Journal</w:t>
      </w:r>
      <w:r w:rsidRPr="00EE4FC1">
        <w:rPr>
          <w:rFonts w:ascii="Arial" w:eastAsia="Times New Roman" w:hAnsi="Arial"/>
          <w:kern w:val="0"/>
          <w:sz w:val="22"/>
          <w:szCs w:val="22"/>
        </w:rPr>
        <w:t xml:space="preserve">, 368(1), p. l6890. Available at: </w:t>
      </w:r>
      <w:hyperlink r:id="rId36" w:tgtFrame="_new" w:history="1">
        <w:r w:rsidRPr="00EE4FC1">
          <w:rPr>
            <w:rFonts w:ascii="Arial" w:eastAsia="Times New Roman" w:hAnsi="Arial"/>
            <w:color w:val="467886"/>
            <w:kern w:val="0"/>
            <w:sz w:val="22"/>
            <w:szCs w:val="22"/>
            <w:u w:val="single"/>
          </w:rPr>
          <w:t>https://doi.org/10.1136/bmj.l6890</w:t>
        </w:r>
      </w:hyperlink>
      <w:r w:rsidRPr="00EE4FC1">
        <w:rPr>
          <w:rFonts w:ascii="Arial" w:eastAsia="Times New Roman" w:hAnsi="Arial"/>
          <w:kern w:val="0"/>
          <w:sz w:val="22"/>
          <w:szCs w:val="22"/>
        </w:rPr>
        <w:t xml:space="preserve"> (Accessed: 6 June 2026).</w:t>
      </w:r>
    </w:p>
    <w:p w14:paraId="3BF81E02"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val="en-US" w:eastAsia="zh-CN"/>
        </w:rPr>
      </w:pPr>
      <w:r w:rsidRPr="00EE4FC1">
        <w:rPr>
          <w:rFonts w:ascii="Arial" w:eastAsia="PMingLiU" w:hAnsi="Arial" w:cs="Arial"/>
          <w:sz w:val="22"/>
          <w:szCs w:val="22"/>
          <w:lang w:eastAsia="zh-CN"/>
        </w:rPr>
        <w:t xml:space="preserve">Car, J., Koh, G. C. H., Foong, P. S. and Wang, C. J. (2020) ‘Video consultations in primary and specialist care during the covid-19 pandemic and beyond’, </w:t>
      </w:r>
      <w:r w:rsidRPr="00EE4FC1">
        <w:rPr>
          <w:rFonts w:ascii="Arial" w:eastAsia="Times New Roman" w:hAnsi="Arial"/>
          <w:i/>
          <w:iCs/>
          <w:kern w:val="0"/>
          <w:sz w:val="22"/>
          <w:szCs w:val="22"/>
        </w:rPr>
        <w:t>British Medical Journal</w:t>
      </w:r>
      <w:r w:rsidRPr="00EE4FC1">
        <w:rPr>
          <w:rFonts w:ascii="Arial" w:eastAsia="PMingLiU" w:hAnsi="Arial" w:cs="Arial"/>
          <w:sz w:val="22"/>
          <w:szCs w:val="22"/>
          <w:lang w:eastAsia="zh-CN"/>
        </w:rPr>
        <w:t xml:space="preserve">, 371(371), p. m3945. Available at: </w:t>
      </w:r>
      <w:hyperlink r:id="rId37">
        <w:r w:rsidRPr="00EE4FC1">
          <w:rPr>
            <w:rFonts w:ascii="Arial" w:eastAsia="PMingLiU" w:hAnsi="Arial" w:cs="Arial"/>
            <w:color w:val="0563C1"/>
            <w:sz w:val="22"/>
            <w:szCs w:val="22"/>
            <w:u w:val="single"/>
            <w:lang w:eastAsia="zh-CN"/>
          </w:rPr>
          <w:t>https://doi.org/10.1136/bmj.m3945</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38A3FFD4"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Carter, M., Fletcher, E., Sansom, A., Warren, F.C. and Campbell, J.L. (2018) ‘Feasibility, acceptability and effectiveness of an online alternative to face-to-face consultation in general practice: a mixed-methods study of webGP in six Devon practices’, </w:t>
      </w:r>
      <w:r w:rsidRPr="00EE4FC1">
        <w:rPr>
          <w:rFonts w:ascii="Arial" w:eastAsia="PMingLiU" w:hAnsi="Arial" w:cs="Arial"/>
          <w:i/>
          <w:iCs/>
          <w:sz w:val="22"/>
          <w:szCs w:val="22"/>
          <w:lang w:eastAsia="zh-CN"/>
        </w:rPr>
        <w:t>BMJ Open</w:t>
      </w:r>
      <w:r w:rsidRPr="00EE4FC1">
        <w:rPr>
          <w:rFonts w:ascii="Arial" w:eastAsia="PMingLiU" w:hAnsi="Arial" w:cs="Arial"/>
          <w:sz w:val="22"/>
          <w:szCs w:val="22"/>
          <w:lang w:eastAsia="zh-CN"/>
        </w:rPr>
        <w:t xml:space="preserve">, 8, p. e018688. Available at: </w:t>
      </w:r>
      <w:hyperlink r:id="rId38" w:history="1">
        <w:r w:rsidRPr="00EE4FC1">
          <w:rPr>
            <w:rFonts w:ascii="Arial" w:eastAsia="PMingLiU" w:hAnsi="Arial" w:cs="Arial"/>
            <w:color w:val="0563C1"/>
            <w:sz w:val="22"/>
            <w:szCs w:val="22"/>
            <w:u w:val="single"/>
            <w:lang w:eastAsia="zh-CN"/>
          </w:rPr>
          <w:t>https://doi.org/10.1136/bmjopen-2017-018688</w:t>
        </w:r>
      </w:hyperlink>
      <w:r w:rsidRPr="00EE4FC1">
        <w:rPr>
          <w:rFonts w:ascii="Arial" w:eastAsia="PMingLiU" w:hAnsi="Arial" w:cs="Arial"/>
          <w:sz w:val="22"/>
          <w:szCs w:val="22"/>
          <w:lang w:eastAsia="zh-CN"/>
        </w:rPr>
        <w:t xml:space="preserve"> (Accessed: 26 August 2026).</w:t>
      </w:r>
    </w:p>
    <w:p w14:paraId="069A3E56"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Chaloner, C., Stevenson, F.A., Rehill, N., Halvorsrud, K., Raine, R. and Barratt, H. (2025) ‘What is the impact of a shift to remote consultations? A qualitative interview study in primary and secondary healthcare’, </w:t>
      </w:r>
      <w:r w:rsidRPr="00EE4FC1">
        <w:rPr>
          <w:rFonts w:ascii="Arial" w:eastAsia="PMingLiU" w:hAnsi="Arial" w:cs="Arial"/>
          <w:i/>
          <w:iCs/>
          <w:sz w:val="22"/>
          <w:szCs w:val="22"/>
          <w:lang w:eastAsia="zh-CN"/>
        </w:rPr>
        <w:t>BMJ Open</w:t>
      </w:r>
      <w:r w:rsidRPr="00EE4FC1">
        <w:rPr>
          <w:rFonts w:ascii="Arial" w:eastAsia="PMingLiU" w:hAnsi="Arial" w:cs="Arial"/>
          <w:sz w:val="22"/>
          <w:szCs w:val="22"/>
          <w:lang w:eastAsia="zh-CN"/>
        </w:rPr>
        <w:t xml:space="preserve">, 15(6), p.  e097633. Available at: </w:t>
      </w:r>
      <w:hyperlink r:id="rId39" w:history="1">
        <w:r w:rsidRPr="00EE4FC1">
          <w:rPr>
            <w:rFonts w:ascii="Arial" w:eastAsia="PMingLiU" w:hAnsi="Arial" w:cs="Arial"/>
            <w:color w:val="0563C1"/>
            <w:sz w:val="22"/>
            <w:szCs w:val="22"/>
            <w:u w:val="single"/>
            <w:lang w:eastAsia="zh-CN"/>
          </w:rPr>
          <w:t>https://doi.org/10.1136/bmjopen-2024-097633</w:t>
        </w:r>
      </w:hyperlink>
      <w:r w:rsidRPr="00EE4FC1">
        <w:rPr>
          <w:rFonts w:ascii="Arial" w:eastAsia="PMingLiU" w:hAnsi="Arial" w:cs="Arial"/>
          <w:sz w:val="22"/>
          <w:szCs w:val="22"/>
          <w:lang w:eastAsia="zh-CN"/>
        </w:rPr>
        <w:t xml:space="preserve"> (Accessed: 26 August 2026).</w:t>
      </w:r>
    </w:p>
    <w:p w14:paraId="6656264F"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Chappell, P., Dias, A., Bakhai, M., Ledger, J. and Clarke, G.M. (2023) ‘How is primary care access changing? A retrospective, repeated cross-sectional study of patient-initiated demand at general practices in England using a modern access model, 2019–2022’, </w:t>
      </w:r>
      <w:r w:rsidRPr="00EE4FC1">
        <w:rPr>
          <w:rFonts w:ascii="Arial" w:eastAsia="PMingLiU" w:hAnsi="Arial" w:cs="Arial"/>
          <w:i/>
          <w:iCs/>
          <w:sz w:val="22"/>
          <w:szCs w:val="22"/>
          <w:lang w:eastAsia="zh-CN"/>
        </w:rPr>
        <w:t>BMJ Open</w:t>
      </w:r>
      <w:r w:rsidRPr="00EE4FC1">
        <w:rPr>
          <w:rFonts w:ascii="Arial" w:eastAsia="PMingLiU" w:hAnsi="Arial" w:cs="Arial"/>
          <w:sz w:val="22"/>
          <w:szCs w:val="22"/>
          <w:lang w:eastAsia="zh-CN"/>
        </w:rPr>
        <w:t xml:space="preserve">, 13(8), p. e072944. Available at: </w:t>
      </w:r>
      <w:hyperlink r:id="rId40" w:history="1">
        <w:r w:rsidRPr="00EE4FC1">
          <w:rPr>
            <w:rFonts w:ascii="Arial" w:eastAsia="PMingLiU" w:hAnsi="Arial" w:cs="Arial"/>
            <w:color w:val="0563C1"/>
            <w:sz w:val="22"/>
            <w:szCs w:val="22"/>
            <w:u w:val="single"/>
            <w:lang w:eastAsia="zh-CN"/>
          </w:rPr>
          <w:t>https://doi.org/10.1136/bmjopen-2023-072944</w:t>
        </w:r>
      </w:hyperlink>
      <w:r w:rsidRPr="00EE4FC1">
        <w:rPr>
          <w:rFonts w:ascii="Arial" w:eastAsia="PMingLiU" w:hAnsi="Arial" w:cs="Arial"/>
          <w:sz w:val="22"/>
          <w:szCs w:val="22"/>
          <w:lang w:eastAsia="zh-CN"/>
        </w:rPr>
        <w:t xml:space="preserve"> (Accessed: 26 August 2026).</w:t>
      </w:r>
    </w:p>
    <w:p w14:paraId="12087FF7"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Chen, C. (2017) ‘Science mapping: a systematic review of the literature’, </w:t>
      </w:r>
      <w:r w:rsidRPr="00EE4FC1">
        <w:rPr>
          <w:rFonts w:ascii="Arial" w:eastAsia="PMingLiU" w:hAnsi="Arial" w:cs="Arial"/>
          <w:i/>
          <w:iCs/>
          <w:sz w:val="22"/>
          <w:szCs w:val="22"/>
          <w:lang w:eastAsia="zh-CN"/>
        </w:rPr>
        <w:t>Journal of Data and Information Science</w:t>
      </w:r>
      <w:r w:rsidRPr="00EE4FC1">
        <w:rPr>
          <w:rFonts w:ascii="Arial" w:eastAsia="PMingLiU" w:hAnsi="Arial" w:cs="Arial"/>
          <w:sz w:val="22"/>
          <w:szCs w:val="22"/>
          <w:lang w:eastAsia="zh-CN"/>
        </w:rPr>
        <w:t xml:space="preserve">, 2(2), pp. 1–40. Available at: </w:t>
      </w:r>
      <w:hyperlink r:id="rId41" w:history="1">
        <w:r w:rsidRPr="00EE4FC1">
          <w:rPr>
            <w:rFonts w:ascii="Arial" w:eastAsia="PMingLiU" w:hAnsi="Arial" w:cs="Arial"/>
            <w:color w:val="0563C1"/>
            <w:sz w:val="22"/>
            <w:szCs w:val="22"/>
            <w:u w:val="single"/>
            <w:lang w:eastAsia="zh-CN"/>
          </w:rPr>
          <w:t>https://doi.org/10.1515/jdis-2017-0006</w:t>
        </w:r>
      </w:hyperlink>
      <w:r w:rsidRPr="00EE4FC1">
        <w:rPr>
          <w:rFonts w:ascii="Arial" w:eastAsia="PMingLiU" w:hAnsi="Arial" w:cs="Arial"/>
          <w:sz w:val="22"/>
          <w:szCs w:val="22"/>
          <w:lang w:eastAsia="zh-CN"/>
        </w:rPr>
        <w:t xml:space="preserve"> (Accessed: 6 June 2026).</w:t>
      </w:r>
    </w:p>
    <w:p w14:paraId="6B21E358"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Cooper, C., Booth, A., Varley-Campbell, J., Britten, N. and Garside, R. (2018) ‘Defining the process to literature searching in systematic reviews: a literature review of guidance and </w:t>
      </w:r>
      <w:r w:rsidRPr="00EE4FC1">
        <w:rPr>
          <w:rFonts w:ascii="Arial" w:eastAsia="PMingLiU" w:hAnsi="Arial" w:cs="Arial"/>
          <w:sz w:val="22"/>
          <w:szCs w:val="22"/>
          <w:lang w:eastAsia="zh-CN"/>
        </w:rPr>
        <w:lastRenderedPageBreak/>
        <w:t>supporting studies’, </w:t>
      </w:r>
      <w:r w:rsidRPr="00EE4FC1">
        <w:rPr>
          <w:rFonts w:ascii="Arial" w:eastAsia="PMingLiU" w:hAnsi="Arial" w:cs="Arial"/>
          <w:i/>
          <w:iCs/>
          <w:sz w:val="22"/>
          <w:szCs w:val="22"/>
          <w:lang w:eastAsia="zh-CN"/>
        </w:rPr>
        <w:t>BMC medical research methodology</w:t>
      </w:r>
      <w:r w:rsidRPr="00EE4FC1">
        <w:rPr>
          <w:rFonts w:ascii="Arial" w:eastAsia="PMingLiU" w:hAnsi="Arial" w:cs="Arial"/>
          <w:sz w:val="22"/>
          <w:szCs w:val="22"/>
          <w:lang w:eastAsia="zh-CN"/>
        </w:rPr>
        <w:t xml:space="preserve">, 18(1), p. 85. Available at: </w:t>
      </w:r>
      <w:hyperlink r:id="rId42">
        <w:r w:rsidRPr="00EE4FC1">
          <w:rPr>
            <w:rFonts w:ascii="Arial" w:eastAsia="PMingLiU" w:hAnsi="Arial" w:cs="Arial"/>
            <w:color w:val="0563C1"/>
            <w:sz w:val="22"/>
            <w:szCs w:val="22"/>
            <w:u w:val="single"/>
            <w:lang w:eastAsia="zh-CN"/>
          </w:rPr>
          <w:t>https://link.springer.com/article/10.1186/s12874-018-0545-3</w:t>
        </w:r>
      </w:hyperlink>
      <w:r w:rsidRPr="00EE4FC1">
        <w:rPr>
          <w:rFonts w:ascii="Arial" w:eastAsia="PMingLiU" w:hAnsi="Arial" w:cs="Arial"/>
          <w:sz w:val="22"/>
          <w:szCs w:val="22"/>
          <w:lang w:eastAsia="zh-CN"/>
        </w:rPr>
        <w:t xml:space="preserve"> (Accessed: 06 June 2026)</w:t>
      </w:r>
    </w:p>
    <w:p w14:paraId="0E1BA527" w14:textId="77777777" w:rsidR="00042674" w:rsidRPr="00EE4FC1" w:rsidRDefault="00042674" w:rsidP="00820755">
      <w:pPr>
        <w:numPr>
          <w:ilvl w:val="0"/>
          <w:numId w:val="4"/>
        </w:numPr>
        <w:spacing w:line="360" w:lineRule="auto"/>
        <w:ind w:left="360"/>
        <w:jc w:val="both"/>
        <w:rPr>
          <w:rFonts w:ascii="Arial" w:hAnsi="Arial" w:cs="Arial"/>
          <w:sz w:val="22"/>
          <w:szCs w:val="22"/>
        </w:rPr>
      </w:pPr>
      <w:r w:rsidRPr="00EE4FC1">
        <w:rPr>
          <w:rFonts w:ascii="Arial" w:hAnsi="Arial" w:cs="Arial"/>
          <w:sz w:val="22"/>
          <w:szCs w:val="22"/>
        </w:rPr>
        <w:t xml:space="preserve">Davies, A.R., Sharp, C.A., Homolova, L. and Bellis, M.A. (2019) ‘Population health in a digital age: The use of digital technology to support and monitor health in Wales’, </w:t>
      </w:r>
      <w:r w:rsidRPr="00EE4FC1">
        <w:rPr>
          <w:rFonts w:ascii="Arial" w:hAnsi="Arial" w:cs="Arial"/>
          <w:i/>
          <w:iCs/>
          <w:sz w:val="22"/>
          <w:szCs w:val="22"/>
        </w:rPr>
        <w:t>Cardiff: Public Health Wales and Bangor University</w:t>
      </w:r>
      <w:r w:rsidRPr="00EE4FC1">
        <w:rPr>
          <w:rFonts w:ascii="Arial" w:hAnsi="Arial" w:cs="Arial"/>
          <w:sz w:val="22"/>
          <w:szCs w:val="22"/>
        </w:rPr>
        <w:t xml:space="preserve">. Available at: </w:t>
      </w:r>
      <w:hyperlink r:id="rId43" w:history="1">
        <w:r w:rsidRPr="00EE4FC1">
          <w:rPr>
            <w:rFonts w:ascii="Arial" w:hAnsi="Arial" w:cs="Arial"/>
            <w:color w:val="467886"/>
            <w:sz w:val="22"/>
            <w:szCs w:val="22"/>
            <w:u w:val="single"/>
          </w:rPr>
          <w:t>https://phw.nhs.wales/files/research/population-health-in-a-digital-age/</w:t>
        </w:r>
      </w:hyperlink>
      <w:r w:rsidRPr="00EE4FC1">
        <w:rPr>
          <w:rFonts w:ascii="Arial" w:hAnsi="Arial" w:cs="Arial"/>
          <w:sz w:val="22"/>
          <w:szCs w:val="22"/>
        </w:rPr>
        <w:t xml:space="preserve"> (Accessed: 26 August 2026).</w:t>
      </w:r>
    </w:p>
    <w:p w14:paraId="559B7826"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eastAsia="zh-CN"/>
        </w:rPr>
      </w:pPr>
      <w:r w:rsidRPr="00EE4FC1">
        <w:rPr>
          <w:rFonts w:ascii="Arial" w:eastAsia="PMingLiU" w:hAnsi="Arial" w:cs="Arial"/>
          <w:sz w:val="22"/>
          <w:szCs w:val="22"/>
          <w:lang w:eastAsia="zh-CN"/>
        </w:rPr>
        <w:t>Davis, F. D. (1989) ‘Perceived usefulness, perceived ease of use, and user acceptance of information technology’, </w:t>
      </w:r>
      <w:r w:rsidRPr="00EE4FC1">
        <w:rPr>
          <w:rFonts w:ascii="Arial" w:eastAsia="PMingLiU" w:hAnsi="Arial" w:cs="Arial"/>
          <w:i/>
          <w:iCs/>
          <w:sz w:val="22"/>
          <w:szCs w:val="22"/>
          <w:lang w:eastAsia="zh-CN"/>
        </w:rPr>
        <w:t>MIS quarterly</w:t>
      </w:r>
      <w:r w:rsidRPr="00EE4FC1">
        <w:rPr>
          <w:rFonts w:ascii="Arial" w:eastAsia="PMingLiU" w:hAnsi="Arial" w:cs="Arial"/>
          <w:sz w:val="22"/>
          <w:szCs w:val="22"/>
          <w:lang w:eastAsia="zh-CN"/>
        </w:rPr>
        <w:t xml:space="preserve">, 13(3), pp. 319-340. Available at: </w:t>
      </w:r>
      <w:hyperlink r:id="rId44">
        <w:r w:rsidRPr="00EE4FC1">
          <w:rPr>
            <w:rFonts w:ascii="Arial" w:eastAsia="PMingLiU" w:hAnsi="Arial" w:cs="Arial"/>
            <w:color w:val="0563C1"/>
            <w:sz w:val="22"/>
            <w:szCs w:val="22"/>
            <w:u w:val="single"/>
            <w:lang w:eastAsia="zh-CN"/>
          </w:rPr>
          <w:t>https://doi.org/10.2307/249008</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485D1F5F"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de Visser, R.O., Nwamba, C., Brearley, E., Shafiei, V. and Hart, L. (2024) ‘Remote consultations in primary care: patient experiences and suggestions for improvement’, </w:t>
      </w:r>
      <w:r w:rsidRPr="00EE4FC1">
        <w:rPr>
          <w:rFonts w:ascii="Arial" w:eastAsia="PMingLiU" w:hAnsi="Arial" w:cs="Arial"/>
          <w:i/>
          <w:iCs/>
          <w:sz w:val="22"/>
          <w:szCs w:val="22"/>
          <w:lang w:eastAsia="zh-CN"/>
        </w:rPr>
        <w:t>Journal of Health Psychology</w:t>
      </w:r>
      <w:r w:rsidRPr="00EE4FC1">
        <w:rPr>
          <w:rFonts w:ascii="Arial" w:eastAsia="PMingLiU" w:hAnsi="Arial" w:cs="Arial"/>
          <w:sz w:val="22"/>
          <w:szCs w:val="22"/>
          <w:lang w:eastAsia="zh-CN"/>
        </w:rPr>
        <w:t xml:space="preserve">, 29(12), pp. 1321–1335. Available at: </w:t>
      </w:r>
      <w:hyperlink r:id="rId45" w:history="1">
        <w:r w:rsidRPr="00EE4FC1">
          <w:rPr>
            <w:rFonts w:ascii="Arial" w:eastAsia="PMingLiU" w:hAnsi="Arial" w:cs="Arial"/>
            <w:color w:val="0563C1"/>
            <w:sz w:val="22"/>
            <w:szCs w:val="22"/>
            <w:u w:val="single"/>
            <w:lang w:eastAsia="zh-CN"/>
          </w:rPr>
          <w:t>https://doi.org/10.1177/13591053241240383</w:t>
        </w:r>
      </w:hyperlink>
      <w:r w:rsidRPr="00EE4FC1">
        <w:rPr>
          <w:rFonts w:ascii="Arial" w:eastAsia="PMingLiU" w:hAnsi="Arial" w:cs="Arial"/>
          <w:sz w:val="22"/>
          <w:szCs w:val="22"/>
          <w:lang w:eastAsia="zh-CN"/>
        </w:rPr>
        <w:t xml:space="preserve"> (Accessed: 26 August 2026).</w:t>
      </w:r>
    </w:p>
    <w:p w14:paraId="378969FC"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Department of Health Northern Ireland (2022</w:t>
      </w:r>
      <w:r w:rsidRPr="00EE4FC1">
        <w:rPr>
          <w:rFonts w:ascii="Arial" w:eastAsia="PMingLiU" w:hAnsi="Arial" w:cs="Arial"/>
          <w:i/>
          <w:iCs/>
          <w:sz w:val="22"/>
          <w:szCs w:val="22"/>
          <w:lang w:eastAsia="zh-CN"/>
        </w:rPr>
        <w:t>) Digital Strategy Health and Social Care Northern Ireland 2022–2030</w:t>
      </w:r>
      <w:r w:rsidRPr="00EE4FC1">
        <w:rPr>
          <w:rFonts w:ascii="Arial" w:eastAsia="PMingLiU" w:hAnsi="Arial" w:cs="Arial"/>
          <w:sz w:val="22"/>
          <w:szCs w:val="22"/>
          <w:lang w:eastAsia="zh-CN"/>
        </w:rPr>
        <w:t xml:space="preserve">. Available at: </w:t>
      </w:r>
      <w:hyperlink r:id="rId46" w:history="1">
        <w:r w:rsidRPr="00EE4FC1">
          <w:rPr>
            <w:rFonts w:ascii="Arial" w:eastAsia="PMingLiU" w:hAnsi="Arial" w:cs="Arial"/>
            <w:color w:val="0563C1"/>
            <w:sz w:val="22"/>
            <w:szCs w:val="22"/>
            <w:u w:val="single"/>
            <w:lang w:eastAsia="zh-CN"/>
          </w:rPr>
          <w:t>https://www.health-ni.gov.uk/publications/digital-strategy-health-and-social-care-northern-ireland-2022-2030</w:t>
        </w:r>
      </w:hyperlink>
      <w:r w:rsidRPr="00EE4FC1">
        <w:rPr>
          <w:rFonts w:ascii="Arial" w:eastAsia="PMingLiU" w:hAnsi="Arial" w:cs="Arial"/>
          <w:sz w:val="22"/>
          <w:szCs w:val="22"/>
          <w:lang w:eastAsia="zh-CN"/>
        </w:rPr>
        <w:t xml:space="preserve"> (Accessed: 26 August 2026).</w:t>
      </w:r>
    </w:p>
    <w:p w14:paraId="2DB3C6A9"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Donabedian A. (1988) ‘The quality of care. How can it be assessed?’, </w:t>
      </w:r>
      <w:r w:rsidRPr="00EE4FC1">
        <w:rPr>
          <w:rFonts w:ascii="Arial" w:eastAsia="PMingLiU" w:hAnsi="Arial" w:cs="Arial"/>
          <w:i/>
          <w:iCs/>
          <w:sz w:val="22"/>
          <w:szCs w:val="22"/>
          <w:lang w:eastAsia="zh-CN"/>
        </w:rPr>
        <w:t>JAMA</w:t>
      </w:r>
      <w:r w:rsidRPr="00EE4FC1">
        <w:rPr>
          <w:rFonts w:ascii="Arial" w:eastAsia="PMingLiU" w:hAnsi="Arial" w:cs="Arial"/>
          <w:sz w:val="22"/>
          <w:szCs w:val="22"/>
          <w:lang w:eastAsia="zh-CN"/>
        </w:rPr>
        <w:t xml:space="preserve">, 260(12), pp. 1743–1748. Available at: </w:t>
      </w:r>
      <w:hyperlink r:id="rId47">
        <w:r w:rsidRPr="00EE4FC1">
          <w:rPr>
            <w:rFonts w:ascii="Arial" w:eastAsia="PMingLiU" w:hAnsi="Arial" w:cs="Arial"/>
            <w:color w:val="0563C1"/>
            <w:sz w:val="22"/>
            <w:szCs w:val="22"/>
            <w:u w:val="single"/>
            <w:lang w:eastAsia="zh-CN"/>
          </w:rPr>
          <w:t>https://doi.org/10.1001/jama.260.12.1743</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64D8FA43"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Donaghy, E., Atherton, H., Hammersley, V., McNeilly, H., Bikker, A., Robbins, L., Campbell, J. and McKinstry, B. (2019) ‘Acceptability, benefits, and challenges of video consulting: a qualitative study in primary care’, </w:t>
      </w:r>
      <w:r w:rsidRPr="00EE4FC1">
        <w:rPr>
          <w:rFonts w:ascii="Arial" w:eastAsia="PMingLiU" w:hAnsi="Arial" w:cs="Arial"/>
          <w:i/>
          <w:iCs/>
          <w:sz w:val="22"/>
          <w:szCs w:val="22"/>
          <w:lang w:eastAsia="zh-CN"/>
        </w:rPr>
        <w:t>British Journal of General Practice</w:t>
      </w:r>
      <w:r w:rsidRPr="00EE4FC1">
        <w:rPr>
          <w:rFonts w:ascii="Arial" w:eastAsia="PMingLiU" w:hAnsi="Arial" w:cs="Arial"/>
          <w:sz w:val="22"/>
          <w:szCs w:val="22"/>
          <w:lang w:eastAsia="zh-CN"/>
        </w:rPr>
        <w:t xml:space="preserve">, 69(686), pp.586–594. Available at: </w:t>
      </w:r>
      <w:hyperlink r:id="rId48">
        <w:r w:rsidRPr="00EE4FC1">
          <w:rPr>
            <w:rFonts w:ascii="Arial" w:eastAsia="PMingLiU" w:hAnsi="Arial" w:cs="Arial"/>
            <w:color w:val="0563C1"/>
            <w:sz w:val="22"/>
            <w:szCs w:val="22"/>
            <w:u w:val="single"/>
            <w:lang w:eastAsia="zh-CN"/>
          </w:rPr>
          <w:t>https://doi.org/10.3399/bjgp19X704141</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7305D75F"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Dubgorn, A., Kalinina, O., Lyovina, A.I. and Rotar, O. (2018) ‘Foundation architecture of telemedicine system services based on Health 4.0 concept’, </w:t>
      </w:r>
      <w:r w:rsidRPr="00EE4FC1">
        <w:rPr>
          <w:rFonts w:ascii="Arial" w:eastAsia="PMingLiU" w:hAnsi="Arial" w:cs="Arial"/>
          <w:i/>
          <w:iCs/>
          <w:sz w:val="22"/>
          <w:szCs w:val="22"/>
          <w:lang w:eastAsia="zh-CN"/>
        </w:rPr>
        <w:t>SHS web of conferences</w:t>
      </w:r>
      <w:r w:rsidRPr="00EE4FC1">
        <w:rPr>
          <w:rFonts w:ascii="Arial" w:eastAsia="PMingLiU" w:hAnsi="Arial" w:cs="Arial"/>
          <w:sz w:val="22"/>
          <w:szCs w:val="22"/>
          <w:lang w:eastAsia="zh-CN"/>
        </w:rPr>
        <w:t xml:space="preserve">, 44, pp. 00032–00032. Available at: </w:t>
      </w:r>
      <w:hyperlink r:id="rId49">
        <w:r w:rsidRPr="00EE4FC1">
          <w:rPr>
            <w:rFonts w:ascii="Arial" w:eastAsia="PMingLiU" w:hAnsi="Arial" w:cs="Arial"/>
            <w:color w:val="0563C1"/>
            <w:sz w:val="22"/>
            <w:szCs w:val="22"/>
            <w:u w:val="single"/>
            <w:lang w:eastAsia="zh-CN"/>
          </w:rPr>
          <w:t>https://doi.org/10.1051/shsconf/20184400032</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30 June 2026)</w:t>
      </w:r>
    </w:p>
    <w:p w14:paraId="42243B17"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Eriksen, M. B. and Frandsen, T. F. (2018) ‘The impact of patient, intervention, comparison, outcome (PICO) as a search strategy tool on literature search quality: a systematic review’, </w:t>
      </w:r>
      <w:r w:rsidRPr="00EE4FC1">
        <w:rPr>
          <w:rFonts w:ascii="Arial" w:eastAsia="PMingLiU" w:hAnsi="Arial" w:cs="Arial"/>
          <w:i/>
          <w:iCs/>
          <w:sz w:val="22"/>
          <w:szCs w:val="22"/>
          <w:lang w:eastAsia="zh-CN"/>
        </w:rPr>
        <w:t>Journal of the Medical Library Association: JMLA</w:t>
      </w:r>
      <w:r w:rsidRPr="00EE4FC1">
        <w:rPr>
          <w:rFonts w:ascii="Arial" w:eastAsia="PMingLiU" w:hAnsi="Arial" w:cs="Arial"/>
          <w:sz w:val="22"/>
          <w:szCs w:val="22"/>
          <w:lang w:eastAsia="zh-CN"/>
        </w:rPr>
        <w:t xml:space="preserve">, 106(4), p. 420. Available at: </w:t>
      </w:r>
      <w:hyperlink r:id="rId50">
        <w:r w:rsidRPr="00EE4FC1">
          <w:rPr>
            <w:rFonts w:ascii="Arial" w:eastAsia="PMingLiU" w:hAnsi="Arial" w:cs="Arial"/>
            <w:color w:val="0563C1"/>
            <w:sz w:val="22"/>
            <w:szCs w:val="22"/>
            <w:u w:val="single"/>
            <w:lang w:eastAsia="zh-CN"/>
          </w:rPr>
          <w:t>https://doi.org/10.5195/jmla.2018.345</w:t>
        </w:r>
      </w:hyperlink>
      <w:r w:rsidRPr="00EE4FC1">
        <w:rPr>
          <w:rFonts w:ascii="Arial" w:eastAsia="PMingLiU" w:hAnsi="Arial" w:cs="Arial"/>
          <w:sz w:val="22"/>
          <w:szCs w:val="22"/>
          <w:lang w:eastAsia="zh-CN"/>
        </w:rPr>
        <w:t xml:space="preserve"> (Accessed: 06 June 2026)</w:t>
      </w:r>
    </w:p>
    <w:p w14:paraId="02FBCAA2"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Farr, M., Banks, J., Edwards, H.B., Northstone, K., Bernard, E., Salisbury, C. and Horwood, J. (2018) ‘Implementing online consultations in primary care: a mixed-method evaluation extending normalisation process theory through service co-production’, </w:t>
      </w:r>
      <w:r w:rsidRPr="00EE4FC1">
        <w:rPr>
          <w:rFonts w:ascii="Arial" w:eastAsia="PMingLiU" w:hAnsi="Arial" w:cs="Arial"/>
          <w:i/>
          <w:iCs/>
          <w:sz w:val="22"/>
          <w:szCs w:val="22"/>
          <w:lang w:eastAsia="zh-CN"/>
        </w:rPr>
        <w:t>BMJ Open</w:t>
      </w:r>
      <w:r w:rsidRPr="00EE4FC1">
        <w:rPr>
          <w:rFonts w:ascii="Arial" w:eastAsia="PMingLiU" w:hAnsi="Arial" w:cs="Arial"/>
          <w:sz w:val="22"/>
          <w:szCs w:val="22"/>
          <w:lang w:eastAsia="zh-CN"/>
        </w:rPr>
        <w:t xml:space="preserve">, 8, p. </w:t>
      </w:r>
      <w:r w:rsidRPr="00EE4FC1">
        <w:rPr>
          <w:rFonts w:ascii="Arial" w:eastAsia="PMingLiU" w:hAnsi="Arial" w:cs="Arial"/>
          <w:sz w:val="22"/>
          <w:szCs w:val="22"/>
          <w:lang w:eastAsia="zh-CN"/>
        </w:rPr>
        <w:lastRenderedPageBreak/>
        <w:t xml:space="preserve">e019966. Available at: </w:t>
      </w:r>
      <w:hyperlink r:id="rId51" w:history="1">
        <w:r w:rsidRPr="00EE4FC1">
          <w:rPr>
            <w:rFonts w:ascii="Arial" w:eastAsia="PMingLiU" w:hAnsi="Arial" w:cs="Arial"/>
            <w:color w:val="0563C1"/>
            <w:sz w:val="22"/>
            <w:szCs w:val="22"/>
            <w:u w:val="single"/>
            <w:lang w:eastAsia="zh-CN"/>
          </w:rPr>
          <w:t>https://doi.org/10.1136/bmjopen-2017-019966</w:t>
        </w:r>
      </w:hyperlink>
      <w:r w:rsidRPr="00EE4FC1">
        <w:rPr>
          <w:rFonts w:ascii="Arial" w:eastAsia="PMingLiU" w:hAnsi="Arial" w:cs="Arial"/>
          <w:sz w:val="22"/>
          <w:szCs w:val="22"/>
          <w:lang w:eastAsia="zh-CN"/>
        </w:rPr>
        <w:t xml:space="preserve"> (Accessed: 26 August 2026).</w:t>
      </w:r>
    </w:p>
    <w:p w14:paraId="10996433"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Fonseca, M., MacKenna, B., Amir Mehrkar, Walters, C.E., Hickman, G., Pearson, J., Fisher, L., Inglesby, P., Bacon, S., Davy, S., Hulme, W., Goldacre, B., Koffman, O. and Minal Bakhai (2024) ‘The use of online consultation systems or remote consulting in England characterized through the primary care health records of 53 million people in the OpenSAFELY platform: retrospective cohort study’, </w:t>
      </w:r>
      <w:r w:rsidRPr="00EE4FC1">
        <w:rPr>
          <w:rFonts w:ascii="Arial" w:eastAsia="PMingLiU" w:hAnsi="Arial" w:cs="Arial"/>
          <w:i/>
          <w:iCs/>
          <w:sz w:val="22"/>
          <w:szCs w:val="22"/>
          <w:lang w:eastAsia="zh-CN"/>
        </w:rPr>
        <w:t>JMIR Public Health and Surveillance</w:t>
      </w:r>
      <w:r w:rsidRPr="00EE4FC1">
        <w:rPr>
          <w:rFonts w:ascii="Arial" w:eastAsia="PMingLiU" w:hAnsi="Arial" w:cs="Arial"/>
          <w:sz w:val="22"/>
          <w:szCs w:val="22"/>
          <w:lang w:eastAsia="zh-CN"/>
        </w:rPr>
        <w:t xml:space="preserve">, 10(1), p. e46485. Available at: </w:t>
      </w:r>
      <w:hyperlink r:id="rId52" w:history="1">
        <w:r w:rsidRPr="00EE4FC1">
          <w:rPr>
            <w:rFonts w:ascii="Arial" w:eastAsia="PMingLiU" w:hAnsi="Arial" w:cs="Arial"/>
            <w:color w:val="467886"/>
            <w:sz w:val="22"/>
            <w:szCs w:val="22"/>
            <w:u w:val="single"/>
            <w:lang w:eastAsia="zh-CN"/>
          </w:rPr>
          <w:t>https://doi.org/10.2196/46485</w:t>
        </w:r>
      </w:hyperlink>
      <w:r w:rsidRPr="00EE4FC1">
        <w:rPr>
          <w:rFonts w:ascii="Arial" w:eastAsia="PMingLiU" w:hAnsi="Arial" w:cs="Arial"/>
          <w:sz w:val="22"/>
          <w:szCs w:val="22"/>
          <w:lang w:eastAsia="zh-CN"/>
        </w:rPr>
        <w:t xml:space="preserve"> (Accessed 06 June 2026).</w:t>
      </w:r>
    </w:p>
    <w:p w14:paraId="67A5A69C"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val="en-US" w:eastAsia="zh-CN"/>
        </w:rPr>
      </w:pPr>
      <w:bookmarkStart w:id="94" w:name="_Hlk236912708"/>
      <w:r w:rsidRPr="00EE4FC1">
        <w:rPr>
          <w:rFonts w:ascii="Arial" w:eastAsia="PMingLiU" w:hAnsi="Arial" w:cs="Arial"/>
          <w:sz w:val="22"/>
          <w:szCs w:val="22"/>
          <w:lang w:eastAsia="zh-CN"/>
        </w:rPr>
        <w:t xml:space="preserve">Gage, A.D., Knight, M.A., Bintz, C., Aldridge, R.W., Angelino, O., Dieleman, J.L., Ashworth Dirac, M., Dwyer-Lindgren, L., Hay, S.I., Lozano, R., Mokdad, A.H. and Haakenstad, A. (2025) ‘Disparities in telemedicine use and payment policies in the United States between 2019 and 2023’, </w:t>
      </w:r>
      <w:r w:rsidRPr="00EE4FC1">
        <w:rPr>
          <w:rFonts w:ascii="Arial" w:eastAsia="PMingLiU" w:hAnsi="Arial" w:cs="Arial"/>
          <w:i/>
          <w:iCs/>
          <w:sz w:val="22"/>
          <w:szCs w:val="22"/>
          <w:lang w:eastAsia="zh-CN"/>
        </w:rPr>
        <w:t>Communications Medicine</w:t>
      </w:r>
      <w:r w:rsidRPr="00EE4FC1">
        <w:rPr>
          <w:rFonts w:ascii="Arial" w:eastAsia="PMingLiU" w:hAnsi="Arial" w:cs="Arial"/>
          <w:sz w:val="22"/>
          <w:szCs w:val="22"/>
          <w:lang w:eastAsia="zh-CN"/>
        </w:rPr>
        <w:t xml:space="preserve">, 5, p. 52. Available at: </w:t>
      </w:r>
      <w:hyperlink r:id="rId53" w:tgtFrame="_blank" w:history="1">
        <w:r w:rsidRPr="00EE4FC1">
          <w:rPr>
            <w:rFonts w:ascii="Arial" w:eastAsia="PMingLiU" w:hAnsi="Arial" w:cs="Arial"/>
            <w:color w:val="0563C1"/>
            <w:sz w:val="22"/>
            <w:szCs w:val="22"/>
            <w:u w:val="single"/>
            <w:lang w:eastAsia="zh-CN"/>
          </w:rPr>
          <w:t>https://doi.org/10.1038/s43856-025-00757-2</w:t>
        </w:r>
      </w:hyperlink>
      <w:r w:rsidRPr="00EE4FC1">
        <w:rPr>
          <w:rFonts w:ascii="Calibri" w:eastAsia="PMingLiU" w:hAnsi="Calibri"/>
          <w:sz w:val="22"/>
          <w:szCs w:val="22"/>
          <w:lang w:eastAsia="zh-CN"/>
        </w:rPr>
        <w:t xml:space="preserve"> </w:t>
      </w:r>
      <w:r w:rsidRPr="00EE4FC1">
        <w:rPr>
          <w:rFonts w:ascii="Arial" w:eastAsia="PMingLiU" w:hAnsi="Arial" w:cs="Arial"/>
          <w:sz w:val="22"/>
          <w:szCs w:val="22"/>
          <w:lang w:val="en-US" w:eastAsia="zh-CN"/>
        </w:rPr>
        <w:t>(Accessed: 21 June 2026)</w:t>
      </w:r>
    </w:p>
    <w:bookmarkEnd w:id="94"/>
    <w:p w14:paraId="58F59459"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Garcia-Huidobro, D., Rivera, S., Valderrama, S., Bravo, P. and Capurro, D. (2020) ‘System-wide Accelerated Implementation of Telemedicine in Response to COVID-19: A Mixed-Methods Evaluation (Preprint)’, </w:t>
      </w:r>
      <w:r w:rsidRPr="00EE4FC1">
        <w:rPr>
          <w:rFonts w:ascii="Arial" w:eastAsia="PMingLiU" w:hAnsi="Arial" w:cs="Arial"/>
          <w:i/>
          <w:iCs/>
          <w:sz w:val="22"/>
          <w:szCs w:val="22"/>
          <w:lang w:eastAsia="zh-CN"/>
        </w:rPr>
        <w:t>Journal of Medical Internet Research</w:t>
      </w:r>
      <w:r w:rsidRPr="00EE4FC1">
        <w:rPr>
          <w:rFonts w:ascii="Arial" w:eastAsia="PMingLiU" w:hAnsi="Arial" w:cs="Arial"/>
          <w:sz w:val="22"/>
          <w:szCs w:val="22"/>
          <w:lang w:eastAsia="zh-CN"/>
        </w:rPr>
        <w:t xml:space="preserve">, 22(10). Available at: </w:t>
      </w:r>
      <w:hyperlink r:id="rId54" w:history="1">
        <w:r w:rsidRPr="00EE4FC1">
          <w:rPr>
            <w:rFonts w:ascii="Arial" w:eastAsia="PMingLiU" w:hAnsi="Arial" w:cs="Arial"/>
            <w:color w:val="0563C1"/>
            <w:sz w:val="22"/>
            <w:szCs w:val="22"/>
            <w:u w:val="single"/>
            <w:lang w:eastAsia="zh-CN"/>
          </w:rPr>
          <w:t>https://doi.org/10.2196/22146</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604906D4"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Gartlehner, G., Patel, S. V., Reddy, S., Rains, C., Coker-Schwimmer, M. and Kahwati, L. (2022) ‘Inclusion and Exclusion Criteria. In Hormone Therapy for the Primary Prevention of Chronic Conditions in Postmenopausal Persons: An Evidence Review for the US Preventive Services Task Force’, </w:t>
      </w:r>
      <w:r w:rsidRPr="00EE4FC1">
        <w:rPr>
          <w:rFonts w:ascii="Arial" w:eastAsia="PMingLiU" w:hAnsi="Arial" w:cs="Arial"/>
          <w:i/>
          <w:iCs/>
          <w:sz w:val="22"/>
          <w:szCs w:val="22"/>
          <w:lang w:eastAsia="zh-CN"/>
        </w:rPr>
        <w:t>Agency for Healthcare Research and Quality (US)</w:t>
      </w:r>
      <w:r w:rsidRPr="00EE4FC1">
        <w:rPr>
          <w:rFonts w:ascii="Arial" w:eastAsia="PMingLiU" w:hAnsi="Arial" w:cs="Arial"/>
          <w:sz w:val="22"/>
          <w:szCs w:val="22"/>
          <w:lang w:eastAsia="zh-CN"/>
        </w:rPr>
        <w:t xml:space="preserve">. Available at: </w:t>
      </w:r>
      <w:hyperlink r:id="rId55">
        <w:r w:rsidRPr="00EE4FC1">
          <w:rPr>
            <w:rFonts w:ascii="Arial" w:eastAsia="PMingLiU" w:hAnsi="Arial" w:cs="Arial"/>
            <w:color w:val="0563C1"/>
            <w:sz w:val="22"/>
            <w:szCs w:val="22"/>
            <w:u w:val="single"/>
            <w:lang w:eastAsia="zh-CN"/>
          </w:rPr>
          <w:t>https://europepmc.org/article/NBK/nbk586478</w:t>
        </w:r>
      </w:hyperlink>
      <w:r w:rsidRPr="00EE4FC1">
        <w:rPr>
          <w:rFonts w:ascii="Arial" w:eastAsia="PMingLiU" w:hAnsi="Arial" w:cs="Arial"/>
          <w:sz w:val="22"/>
          <w:szCs w:val="22"/>
          <w:lang w:eastAsia="zh-CN"/>
        </w:rPr>
        <w:t xml:space="preserve"> (Accessed: 06 June 2026).</w:t>
      </w:r>
    </w:p>
    <w:p w14:paraId="6C97CD74"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Gavurova, B., Dvorsky, J. and Popesko, B. (2021) ‘Patient satisfaction determinants of inpatient healthcare’, </w:t>
      </w:r>
      <w:r w:rsidRPr="00EE4FC1">
        <w:rPr>
          <w:rFonts w:ascii="Arial" w:eastAsia="PMingLiU" w:hAnsi="Arial" w:cs="Arial"/>
          <w:i/>
          <w:iCs/>
          <w:sz w:val="22"/>
          <w:szCs w:val="22"/>
          <w:lang w:eastAsia="zh-CN"/>
        </w:rPr>
        <w:t>International journal of environmental research and public health</w:t>
      </w:r>
      <w:r w:rsidRPr="00EE4FC1">
        <w:rPr>
          <w:rFonts w:ascii="Arial" w:eastAsia="PMingLiU" w:hAnsi="Arial" w:cs="Arial"/>
          <w:sz w:val="22"/>
          <w:szCs w:val="22"/>
          <w:lang w:eastAsia="zh-CN"/>
        </w:rPr>
        <w:t xml:space="preserve">, 18(21), p. 11337. Available at: </w:t>
      </w:r>
      <w:hyperlink r:id="rId56">
        <w:r w:rsidRPr="00EE4FC1">
          <w:rPr>
            <w:rFonts w:ascii="Arial" w:eastAsia="PMingLiU" w:hAnsi="Arial" w:cs="Arial"/>
            <w:color w:val="0563C1"/>
            <w:sz w:val="22"/>
            <w:szCs w:val="22"/>
            <w:u w:val="single"/>
            <w:lang w:eastAsia="zh-CN"/>
          </w:rPr>
          <w:t>https://doi.org/10.3390/ijerph182111337</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16B1BE33"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Geifman, N., Armes, J. and Whetton, A. D. (2023) ‘Identifying developments over a decade in the digital health and telemedicine landscape in the UK using quantitative text mining’, </w:t>
      </w:r>
      <w:r w:rsidRPr="00EE4FC1">
        <w:rPr>
          <w:rFonts w:ascii="Arial" w:eastAsia="PMingLiU" w:hAnsi="Arial" w:cs="Arial"/>
          <w:i/>
          <w:iCs/>
          <w:sz w:val="22"/>
          <w:szCs w:val="22"/>
          <w:lang w:eastAsia="zh-CN"/>
        </w:rPr>
        <w:t>Frontiers in Digital Health</w:t>
      </w:r>
      <w:r w:rsidRPr="00EE4FC1">
        <w:rPr>
          <w:rFonts w:ascii="Arial" w:eastAsia="PMingLiU" w:hAnsi="Arial" w:cs="Arial"/>
          <w:sz w:val="22"/>
          <w:szCs w:val="22"/>
          <w:lang w:eastAsia="zh-CN"/>
        </w:rPr>
        <w:t xml:space="preserve">, 5, p. 1092008. Available at: </w:t>
      </w:r>
      <w:hyperlink r:id="rId57">
        <w:r w:rsidRPr="00EE4FC1">
          <w:rPr>
            <w:rFonts w:ascii="Arial" w:eastAsia="PMingLiU" w:hAnsi="Arial" w:cs="Arial"/>
            <w:color w:val="0563C1"/>
            <w:sz w:val="22"/>
            <w:szCs w:val="22"/>
            <w:u w:val="single"/>
            <w:lang w:eastAsia="zh-CN"/>
          </w:rPr>
          <w:t>https://doi.org/10.3389/fdgth.2023.1092008</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3BDA62F3"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Greenhalgh, T., Koh, G.C.H. and Car, J. (2020a) ‘Covid-19: a remote assessment in primary care’, </w:t>
      </w:r>
      <w:r w:rsidRPr="00EE4FC1">
        <w:rPr>
          <w:rFonts w:ascii="Arial" w:eastAsia="PMingLiU" w:hAnsi="Arial" w:cs="Arial"/>
          <w:i/>
          <w:iCs/>
          <w:sz w:val="22"/>
          <w:szCs w:val="22"/>
          <w:lang w:eastAsia="zh-CN"/>
        </w:rPr>
        <w:t>BMJ</w:t>
      </w:r>
      <w:r w:rsidRPr="00EE4FC1">
        <w:rPr>
          <w:rFonts w:ascii="Arial" w:eastAsia="PMingLiU" w:hAnsi="Arial" w:cs="Arial"/>
          <w:sz w:val="22"/>
          <w:szCs w:val="22"/>
          <w:lang w:eastAsia="zh-CN"/>
        </w:rPr>
        <w:t xml:space="preserve">, 368, p. m1182. Available at: </w:t>
      </w:r>
      <w:hyperlink r:id="rId58" w:history="1">
        <w:r w:rsidRPr="00EE4FC1">
          <w:rPr>
            <w:rFonts w:ascii="Arial" w:eastAsia="PMingLiU" w:hAnsi="Arial" w:cs="Arial"/>
            <w:color w:val="0563C1"/>
            <w:sz w:val="22"/>
            <w:szCs w:val="22"/>
            <w:u w:val="single"/>
            <w:lang w:eastAsia="zh-CN"/>
          </w:rPr>
          <w:t>https://doi.org/10.1136/bmj.m1182</w:t>
        </w:r>
      </w:hyperlink>
      <w:r w:rsidRPr="00EE4FC1">
        <w:rPr>
          <w:rFonts w:ascii="Arial" w:eastAsia="PMingLiU" w:hAnsi="Arial" w:cs="Arial"/>
          <w:sz w:val="22"/>
          <w:szCs w:val="22"/>
          <w:lang w:eastAsia="zh-CN"/>
        </w:rPr>
        <w:t xml:space="preserve"> (Accessed: 26 August 2026).</w:t>
      </w:r>
    </w:p>
    <w:p w14:paraId="4412D580"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Greenhalgh, T., Wherton, J., Shaw, S. and Morrison, C. (2020b) ‘Video consultations for covid-19’, </w:t>
      </w:r>
      <w:r w:rsidRPr="00EE4FC1">
        <w:rPr>
          <w:rFonts w:ascii="Arial" w:eastAsia="PMingLiU" w:hAnsi="Arial" w:cs="Arial"/>
          <w:i/>
          <w:iCs/>
          <w:sz w:val="22"/>
          <w:szCs w:val="22"/>
          <w:lang w:eastAsia="zh-CN"/>
        </w:rPr>
        <w:t>BMJ</w:t>
      </w:r>
      <w:r w:rsidRPr="00EE4FC1">
        <w:rPr>
          <w:rFonts w:ascii="Arial" w:eastAsia="PMingLiU" w:hAnsi="Arial" w:cs="Arial"/>
          <w:sz w:val="22"/>
          <w:szCs w:val="22"/>
          <w:lang w:eastAsia="zh-CN"/>
        </w:rPr>
        <w:t xml:space="preserve">, 368, p. m998. Available at: </w:t>
      </w:r>
      <w:hyperlink r:id="rId59">
        <w:r w:rsidRPr="00EE4FC1">
          <w:rPr>
            <w:rFonts w:ascii="Arial" w:eastAsia="PMingLiU" w:hAnsi="Arial" w:cs="Arial"/>
            <w:color w:val="0563C1"/>
            <w:sz w:val="22"/>
            <w:szCs w:val="22"/>
            <w:u w:val="single"/>
            <w:lang w:eastAsia="zh-CN"/>
          </w:rPr>
          <w:t>https://doi.org/10.1136/bmj.m998</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21956572"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lastRenderedPageBreak/>
        <w:t>Guo, H., Frost, R., Rait, G. and Burns, F. (2026) ‘Older Chinese migrants’ experiences of remote primary care in England: a semi-structured interview study’, </w:t>
      </w:r>
      <w:r w:rsidRPr="00EE4FC1">
        <w:rPr>
          <w:rFonts w:ascii="Arial" w:eastAsia="PMingLiU" w:hAnsi="Arial" w:cs="Arial"/>
          <w:i/>
          <w:iCs/>
          <w:sz w:val="22"/>
          <w:szCs w:val="22"/>
          <w:lang w:eastAsia="zh-CN"/>
        </w:rPr>
        <w:t>BJGP open</w:t>
      </w:r>
      <w:r w:rsidRPr="00EE4FC1">
        <w:rPr>
          <w:rFonts w:ascii="Arial" w:eastAsia="PMingLiU" w:hAnsi="Arial" w:cs="Arial"/>
          <w:sz w:val="22"/>
          <w:szCs w:val="22"/>
          <w:lang w:eastAsia="zh-CN"/>
        </w:rPr>
        <w:t>, 10(1), p.</w:t>
      </w:r>
      <w:r>
        <w:rPr>
          <w:rFonts w:ascii="Arial" w:eastAsia="PMingLiU" w:hAnsi="Arial" w:cs="Arial"/>
          <w:sz w:val="22"/>
          <w:szCs w:val="22"/>
          <w:lang w:eastAsia="zh-CN"/>
        </w:rPr>
        <w:t xml:space="preserve"> </w:t>
      </w:r>
      <w:r w:rsidRPr="00EE4FC1">
        <w:rPr>
          <w:rFonts w:ascii="Arial" w:eastAsia="PMingLiU" w:hAnsi="Arial" w:cs="Arial"/>
          <w:sz w:val="22"/>
          <w:szCs w:val="22"/>
          <w:lang w:eastAsia="zh-CN"/>
        </w:rPr>
        <w:t xml:space="preserve">BJGPO.2025.0106. Available at: </w:t>
      </w:r>
      <w:hyperlink r:id="rId60" w:history="1">
        <w:r w:rsidRPr="00EE4FC1">
          <w:rPr>
            <w:rFonts w:ascii="Arial" w:eastAsia="PMingLiU" w:hAnsi="Arial" w:cs="Arial"/>
            <w:color w:val="0563C1"/>
            <w:sz w:val="22"/>
            <w:szCs w:val="22"/>
            <w:u w:val="single"/>
            <w:lang w:eastAsia="zh-CN"/>
          </w:rPr>
          <w:t>https://doi.org/10.3399/BJGPO.2025.0106</w:t>
        </w:r>
      </w:hyperlink>
      <w:r w:rsidRPr="00EE4FC1">
        <w:rPr>
          <w:rFonts w:ascii="Arial" w:eastAsia="PMingLiU" w:hAnsi="Arial" w:cs="Arial"/>
          <w:sz w:val="22"/>
          <w:szCs w:val="22"/>
          <w:lang w:eastAsia="zh-CN"/>
        </w:rPr>
        <w:t xml:space="preserve"> (Accessed: 06 June 2026)</w:t>
      </w:r>
    </w:p>
    <w:p w14:paraId="7B618700"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Gupta, S., Rajiah, P., Middlebrooks, E.H., Baruah, D., Carter, B.W., Burton, K.R., Chatterjee, A.R. and Miller, M.M. (2018) ‘Systematic review of the literature: best practices’, </w:t>
      </w:r>
      <w:r w:rsidRPr="00EE4FC1">
        <w:rPr>
          <w:rFonts w:ascii="Arial" w:eastAsia="PMingLiU" w:hAnsi="Arial" w:cs="Arial"/>
          <w:i/>
          <w:iCs/>
          <w:sz w:val="22"/>
          <w:szCs w:val="22"/>
          <w:lang w:eastAsia="zh-CN"/>
        </w:rPr>
        <w:t>Academic radiology</w:t>
      </w:r>
      <w:r w:rsidRPr="00EE4FC1">
        <w:rPr>
          <w:rFonts w:ascii="Arial" w:eastAsia="PMingLiU" w:hAnsi="Arial" w:cs="Arial"/>
          <w:sz w:val="22"/>
          <w:szCs w:val="22"/>
          <w:lang w:eastAsia="zh-CN"/>
        </w:rPr>
        <w:t xml:space="preserve">, 25(11), pp. 1481-1490. Available at: </w:t>
      </w:r>
      <w:hyperlink r:id="rId61">
        <w:r w:rsidRPr="00EE4FC1">
          <w:rPr>
            <w:rFonts w:ascii="Arial" w:eastAsia="PMingLiU" w:hAnsi="Arial" w:cs="Arial"/>
            <w:color w:val="0563C1"/>
            <w:sz w:val="22"/>
            <w:szCs w:val="22"/>
            <w:u w:val="single"/>
            <w:lang w:eastAsia="zh-CN"/>
          </w:rPr>
          <w:t>https://doi.org/10.1016/j.acra.2018.04.025</w:t>
        </w:r>
      </w:hyperlink>
      <w:r w:rsidRPr="00EE4FC1">
        <w:rPr>
          <w:rFonts w:ascii="Arial" w:eastAsia="PMingLiU" w:hAnsi="Arial" w:cs="Arial"/>
          <w:sz w:val="22"/>
          <w:szCs w:val="22"/>
          <w:lang w:eastAsia="zh-CN"/>
        </w:rPr>
        <w:t xml:space="preserve"> (Accessed: 06 June 2026)</w:t>
      </w:r>
    </w:p>
    <w:p w14:paraId="6784FADE"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eastAsia="zh-CN"/>
        </w:rPr>
      </w:pPr>
      <w:r w:rsidRPr="00EE4FC1">
        <w:rPr>
          <w:rFonts w:ascii="Arial" w:eastAsia="PMingLiU" w:hAnsi="Arial" w:cs="Arial"/>
          <w:sz w:val="22"/>
          <w:szCs w:val="22"/>
          <w:lang w:eastAsia="zh-CN"/>
        </w:rPr>
        <w:t>Hammersley, V., Donaghy, E., Parker, R., McNeilly, H., Atherton, H., Bikker, A., Campbell, J. and McKinstry, B. (2019) ‘Comparing the content and quality of video, telephone, and face-to-face consultations: a non-randomised, quasi-experimental, exploratory study in UK primary care’, </w:t>
      </w:r>
      <w:r w:rsidRPr="00EE4FC1">
        <w:rPr>
          <w:rFonts w:ascii="Arial" w:eastAsia="PMingLiU" w:hAnsi="Arial" w:cs="Arial"/>
          <w:i/>
          <w:iCs/>
          <w:sz w:val="22"/>
          <w:szCs w:val="22"/>
          <w:lang w:eastAsia="zh-CN"/>
        </w:rPr>
        <w:t>British Journal of General Practice</w:t>
      </w:r>
      <w:r w:rsidRPr="00EE4FC1">
        <w:rPr>
          <w:rFonts w:ascii="Arial" w:eastAsia="PMingLiU" w:hAnsi="Arial" w:cs="Arial"/>
          <w:sz w:val="22"/>
          <w:szCs w:val="22"/>
          <w:lang w:eastAsia="zh-CN"/>
        </w:rPr>
        <w:t xml:space="preserve">, 69(686), pp. e595–e604. Available at: </w:t>
      </w:r>
      <w:hyperlink r:id="rId62">
        <w:r w:rsidRPr="00EE4FC1">
          <w:rPr>
            <w:rFonts w:ascii="Arial" w:eastAsia="PMingLiU" w:hAnsi="Arial" w:cs="Arial"/>
            <w:color w:val="0563C1"/>
            <w:sz w:val="22"/>
            <w:szCs w:val="22"/>
            <w:u w:val="single"/>
            <w:lang w:eastAsia="zh-CN"/>
          </w:rPr>
          <w:t>https://doi.org/10.3399/bjgp19x704573</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7398F7D4"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eastAsia="zh-CN"/>
        </w:rPr>
      </w:pPr>
      <w:r w:rsidRPr="00EE4FC1">
        <w:rPr>
          <w:rFonts w:ascii="Arial" w:eastAsia="PMingLiU" w:hAnsi="Arial" w:cs="Arial"/>
          <w:sz w:val="22"/>
          <w:szCs w:val="22"/>
          <w:lang w:eastAsia="zh-CN"/>
        </w:rPr>
        <w:t>Hayıroğlu, M.İ. (2019) ‘Telemedicine: Current Concepts and Future Perceptions’, </w:t>
      </w:r>
      <w:r w:rsidRPr="00EE4FC1">
        <w:rPr>
          <w:rFonts w:ascii="Arial" w:eastAsia="PMingLiU" w:hAnsi="Arial" w:cs="Arial"/>
          <w:i/>
          <w:iCs/>
          <w:sz w:val="22"/>
          <w:szCs w:val="22"/>
          <w:lang w:eastAsia="zh-CN"/>
        </w:rPr>
        <w:t>The Anatolian Journal of Cardiology</w:t>
      </w:r>
      <w:r w:rsidRPr="00EE4FC1">
        <w:rPr>
          <w:rFonts w:ascii="Arial" w:eastAsia="PMingLiU" w:hAnsi="Arial" w:cs="Arial"/>
          <w:sz w:val="22"/>
          <w:szCs w:val="22"/>
          <w:lang w:eastAsia="zh-CN"/>
        </w:rPr>
        <w:t xml:space="preserve">, 22(Suppl 2), pp. 21-22. Available at: </w:t>
      </w:r>
      <w:hyperlink r:id="rId63">
        <w:r w:rsidRPr="00EE4FC1">
          <w:rPr>
            <w:rFonts w:ascii="Arial" w:eastAsia="PMingLiU" w:hAnsi="Arial" w:cs="Arial"/>
            <w:color w:val="0563C1"/>
            <w:sz w:val="22"/>
            <w:szCs w:val="22"/>
            <w:u w:val="single"/>
            <w:lang w:eastAsia="zh-CN"/>
          </w:rPr>
          <w:t>https://doi.org/10.14744/anatoljcardiol.2019.12525</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4E687068"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Healthwatch England (2021) </w:t>
      </w:r>
      <w:r w:rsidRPr="00EE4FC1">
        <w:rPr>
          <w:rFonts w:ascii="Arial" w:eastAsia="PMingLiU" w:hAnsi="Arial" w:cs="Arial"/>
          <w:i/>
          <w:iCs/>
          <w:sz w:val="22"/>
          <w:szCs w:val="22"/>
          <w:lang w:eastAsia="zh-CN"/>
        </w:rPr>
        <w:t>Locked out: digitally excluded people’s experiences of remote GP appointments</w:t>
      </w:r>
      <w:r w:rsidRPr="00EE4FC1">
        <w:rPr>
          <w:rFonts w:ascii="Arial" w:eastAsia="PMingLiU" w:hAnsi="Arial" w:cs="Arial"/>
          <w:sz w:val="22"/>
          <w:szCs w:val="22"/>
          <w:lang w:eastAsia="zh-CN"/>
        </w:rPr>
        <w:t xml:space="preserve">. Available at: </w:t>
      </w:r>
      <w:hyperlink r:id="rId64" w:history="1">
        <w:r w:rsidRPr="00EE4FC1">
          <w:rPr>
            <w:rFonts w:ascii="Arial" w:eastAsia="PMingLiU" w:hAnsi="Arial" w:cs="Arial"/>
            <w:color w:val="0563C1"/>
            <w:sz w:val="22"/>
            <w:szCs w:val="22"/>
            <w:u w:val="single"/>
            <w:lang w:eastAsia="zh-CN"/>
          </w:rPr>
          <w:t>https://www.healthwatch.co.uk/sites/healthwatch.co.uk/files/Digital%20Exclusion%20v4.pdf</w:t>
        </w:r>
      </w:hyperlink>
      <w:r w:rsidRPr="00EE4FC1">
        <w:rPr>
          <w:rFonts w:ascii="Arial" w:eastAsia="PMingLiU" w:hAnsi="Arial" w:cs="Arial"/>
          <w:sz w:val="22"/>
          <w:szCs w:val="22"/>
          <w:lang w:eastAsia="zh-CN"/>
        </w:rPr>
        <w:t xml:space="preserve"> (Accessed: 26 August 2026).</w:t>
      </w:r>
    </w:p>
    <w:p w14:paraId="17AD314E"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Hong, Q. N., Fàbregues, S., Bartlett, G., Boardman, F., Cargo, M., Dagenais, P., Gagnon, M.-P., Griffiths, F., Nicolau, B., O’Cathain, A., Rousseau, M.-C., Vedel, I. and Pluye, P. (2018) ‘The Mixed Methods Appraisal Tool (MMAT) version 2018 for information professionals and researchers’, </w:t>
      </w:r>
      <w:r w:rsidRPr="00EE4FC1">
        <w:rPr>
          <w:rFonts w:ascii="Arial" w:eastAsia="PMingLiU" w:hAnsi="Arial" w:cs="Arial"/>
          <w:i/>
          <w:iCs/>
          <w:sz w:val="22"/>
          <w:szCs w:val="22"/>
          <w:lang w:eastAsia="zh-CN"/>
        </w:rPr>
        <w:t>Education for information</w:t>
      </w:r>
      <w:r w:rsidRPr="00EE4FC1">
        <w:rPr>
          <w:rFonts w:ascii="Arial" w:eastAsia="PMingLiU" w:hAnsi="Arial" w:cs="Arial"/>
          <w:sz w:val="22"/>
          <w:szCs w:val="22"/>
          <w:lang w:eastAsia="zh-CN"/>
        </w:rPr>
        <w:t xml:space="preserve">, 34(4), pp. 285-291. Available at: </w:t>
      </w:r>
      <w:hyperlink r:id="rId65">
        <w:r w:rsidRPr="00EE4FC1">
          <w:rPr>
            <w:rFonts w:ascii="Arial" w:eastAsia="PMingLiU" w:hAnsi="Arial" w:cs="Arial"/>
            <w:color w:val="0563C1"/>
            <w:sz w:val="22"/>
            <w:szCs w:val="22"/>
            <w:u w:val="single"/>
            <w:lang w:eastAsia="zh-CN"/>
          </w:rPr>
          <w:t>https://doi.org/10.3233/EFI-180221</w:t>
        </w:r>
      </w:hyperlink>
      <w:r w:rsidRPr="00EE4FC1">
        <w:rPr>
          <w:rFonts w:ascii="Arial" w:eastAsia="PMingLiU" w:hAnsi="Arial" w:cs="Arial"/>
          <w:sz w:val="22"/>
          <w:szCs w:val="22"/>
          <w:lang w:eastAsia="zh-CN"/>
        </w:rPr>
        <w:t xml:space="preserve"> (Accessed: 01 June 2026).</w:t>
      </w:r>
    </w:p>
    <w:p w14:paraId="6A4949E9"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Hong, Q. N., Pluye, P., Bujold, M. and Wassef, M. (2017) ‘Convergent and sequential synthesis designs: implications for conducting and reporting systematic reviews of qualitative and quantitative evidence’, </w:t>
      </w:r>
      <w:r w:rsidRPr="00EE4FC1">
        <w:rPr>
          <w:rFonts w:ascii="Arial" w:eastAsia="PMingLiU" w:hAnsi="Arial" w:cs="Arial"/>
          <w:i/>
          <w:iCs/>
          <w:sz w:val="22"/>
          <w:szCs w:val="22"/>
          <w:lang w:eastAsia="zh-CN"/>
        </w:rPr>
        <w:t>Systematic reviews</w:t>
      </w:r>
      <w:r w:rsidRPr="00EE4FC1">
        <w:rPr>
          <w:rFonts w:ascii="Arial" w:eastAsia="PMingLiU" w:hAnsi="Arial" w:cs="Arial"/>
          <w:sz w:val="22"/>
          <w:szCs w:val="22"/>
          <w:lang w:eastAsia="zh-CN"/>
        </w:rPr>
        <w:t xml:space="preserve">, 6(1), p. 61. Available at: </w:t>
      </w:r>
      <w:hyperlink r:id="rId66">
        <w:r w:rsidRPr="00EE4FC1">
          <w:rPr>
            <w:rFonts w:ascii="Arial" w:eastAsia="PMingLiU" w:hAnsi="Arial" w:cs="Arial"/>
            <w:color w:val="0563C1"/>
            <w:sz w:val="22"/>
            <w:szCs w:val="22"/>
            <w:u w:val="single"/>
            <w:lang w:eastAsia="zh-CN"/>
          </w:rPr>
          <w:t>https://link.springer.com/article/10.1186/s13643-017-0454-2</w:t>
        </w:r>
      </w:hyperlink>
      <w:r w:rsidRPr="00EE4FC1">
        <w:rPr>
          <w:rFonts w:ascii="Arial" w:eastAsia="PMingLiU" w:hAnsi="Arial" w:cs="Arial"/>
          <w:sz w:val="22"/>
          <w:szCs w:val="22"/>
          <w:lang w:eastAsia="zh-CN"/>
        </w:rPr>
        <w:t xml:space="preserve"> (Accessed: 06 June 2026)</w:t>
      </w:r>
    </w:p>
    <w:p w14:paraId="18A561EA"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eastAsia="zh-CN"/>
        </w:rPr>
      </w:pPr>
      <w:r w:rsidRPr="00EE4FC1">
        <w:rPr>
          <w:rFonts w:ascii="Arial" w:eastAsia="PMingLiU" w:hAnsi="Arial" w:cs="Arial"/>
          <w:sz w:val="22"/>
          <w:szCs w:val="22"/>
          <w:lang w:eastAsia="zh-CN"/>
        </w:rPr>
        <w:t xml:space="preserve">Ilali, M., Le Berre, M., Vedel, I. and Khanassov, V. (2023) ‘Telemedicine in the primary care of older adults: a systematic mixed studies review’, </w:t>
      </w:r>
      <w:r w:rsidRPr="00EE4FC1">
        <w:rPr>
          <w:rFonts w:ascii="Arial" w:eastAsia="PMingLiU" w:hAnsi="Arial" w:cs="Arial"/>
          <w:i/>
          <w:iCs/>
          <w:sz w:val="22"/>
          <w:szCs w:val="22"/>
          <w:lang w:eastAsia="zh-CN"/>
        </w:rPr>
        <w:t>BMC primary care</w:t>
      </w:r>
      <w:r w:rsidRPr="00EE4FC1">
        <w:rPr>
          <w:rFonts w:ascii="Arial" w:eastAsia="PMingLiU" w:hAnsi="Arial" w:cs="Arial"/>
          <w:sz w:val="22"/>
          <w:szCs w:val="22"/>
          <w:lang w:eastAsia="zh-CN"/>
        </w:rPr>
        <w:t xml:space="preserve">, 24(1), p.152. Available at: </w:t>
      </w:r>
      <w:hyperlink r:id="rId67">
        <w:r w:rsidRPr="00EE4FC1">
          <w:rPr>
            <w:rFonts w:ascii="Arial" w:eastAsia="PMingLiU" w:hAnsi="Arial" w:cs="Arial"/>
            <w:color w:val="0563C1"/>
            <w:sz w:val="22"/>
            <w:szCs w:val="22"/>
            <w:u w:val="single"/>
            <w:lang w:eastAsia="zh-CN"/>
          </w:rPr>
          <w:t>https://doi.org/10.1186/s12875-023-02085-7</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1BAA0190"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eastAsia="zh-CN"/>
        </w:rPr>
      </w:pPr>
      <w:r w:rsidRPr="00EE4FC1">
        <w:rPr>
          <w:rFonts w:ascii="Arial" w:eastAsia="DengXian" w:hAnsi="Arial" w:cs="Arial"/>
          <w:sz w:val="22"/>
          <w:szCs w:val="22"/>
          <w:lang w:eastAsia="zh-CN"/>
        </w:rPr>
        <w:t xml:space="preserve">Islam, F., Bailey, S. and Netto, G. (2024) ‘Digitalised primary care in the UK: a qualitative study of the experiences of minoritised ethnic communities’, </w:t>
      </w:r>
      <w:r w:rsidRPr="00EE4FC1">
        <w:rPr>
          <w:rFonts w:ascii="Arial" w:eastAsia="DengXian" w:hAnsi="Arial" w:cs="Arial"/>
          <w:i/>
          <w:iCs/>
          <w:sz w:val="22"/>
          <w:szCs w:val="22"/>
          <w:lang w:eastAsia="zh-CN"/>
        </w:rPr>
        <w:t>British Journal of General Practice</w:t>
      </w:r>
      <w:r w:rsidRPr="00EE4FC1">
        <w:rPr>
          <w:rFonts w:ascii="Arial" w:eastAsia="DengXian" w:hAnsi="Arial" w:cs="Arial"/>
          <w:sz w:val="22"/>
          <w:szCs w:val="22"/>
          <w:lang w:eastAsia="zh-CN"/>
        </w:rPr>
        <w:t xml:space="preserve">, </w:t>
      </w:r>
      <w:r w:rsidRPr="00EE4FC1">
        <w:rPr>
          <w:rFonts w:ascii="Arial" w:eastAsia="Times New Roman" w:hAnsi="Arial" w:cs="Arial"/>
          <w:kern w:val="0"/>
          <w:sz w:val="22"/>
          <w:szCs w:val="22"/>
          <w:lang w:eastAsia="en-GB"/>
        </w:rPr>
        <w:t>74(749), pp. BJGP.2024.0308-BJGP.2024.0308</w:t>
      </w:r>
      <w:r w:rsidRPr="00EE4FC1">
        <w:rPr>
          <w:rFonts w:ascii="Arial" w:eastAsia="DengXian" w:hAnsi="Arial" w:cs="Arial"/>
          <w:sz w:val="22"/>
          <w:szCs w:val="22"/>
          <w:lang w:eastAsia="zh-CN"/>
        </w:rPr>
        <w:t xml:space="preserve"> Available at: </w:t>
      </w:r>
      <w:hyperlink r:id="rId68" w:history="1">
        <w:r w:rsidRPr="00EE4FC1">
          <w:rPr>
            <w:rFonts w:ascii="Arial" w:eastAsia="DengXian" w:hAnsi="Arial" w:cs="Arial"/>
            <w:color w:val="0563C1"/>
            <w:sz w:val="22"/>
            <w:szCs w:val="22"/>
            <w:u w:val="single"/>
            <w:lang w:eastAsia="zh-CN"/>
          </w:rPr>
          <w:t>https://doi.org/10.3399/BJGP.2024.0308</w:t>
        </w:r>
      </w:hyperlink>
      <w:r w:rsidRPr="00EE4FC1">
        <w:rPr>
          <w:rFonts w:ascii="Arial" w:eastAsia="DengXian"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640AA396"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val="en-US" w:eastAsia="zh-CN"/>
        </w:rPr>
      </w:pPr>
      <w:r w:rsidRPr="00EE4FC1">
        <w:rPr>
          <w:rFonts w:ascii="Arial" w:eastAsia="PMingLiU" w:hAnsi="Arial" w:cs="Arial"/>
          <w:sz w:val="22"/>
          <w:szCs w:val="22"/>
          <w:lang w:eastAsia="zh-CN"/>
        </w:rPr>
        <w:lastRenderedPageBreak/>
        <w:t xml:space="preserve">Harris, P. and Maine, I. (2025) 'JBI Checklist for Systematic Reviews and Research Syntheses (2020),' Figshare [Preprint]. Available at: </w:t>
      </w:r>
      <w:hyperlink r:id="rId69">
        <w:r w:rsidRPr="00EE4FC1">
          <w:rPr>
            <w:rFonts w:ascii="Arial" w:eastAsia="PMingLiU" w:hAnsi="Arial" w:cs="Arial"/>
            <w:color w:val="0563C1"/>
            <w:sz w:val="22"/>
            <w:szCs w:val="22"/>
            <w:u w:val="single"/>
            <w:lang w:eastAsia="zh-CN"/>
          </w:rPr>
          <w:t>doi.org/10.6084/m9.figshare.29876660</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0732AD21" w14:textId="77777777" w:rsidR="00042674" w:rsidRPr="00EE4FC1" w:rsidRDefault="00042674" w:rsidP="00820755">
      <w:pPr>
        <w:numPr>
          <w:ilvl w:val="0"/>
          <w:numId w:val="4"/>
        </w:numPr>
        <w:spacing w:before="100" w:beforeAutospacing="1" w:after="100" w:afterAutospacing="1" w:line="360" w:lineRule="auto"/>
        <w:ind w:left="360"/>
        <w:contextualSpacing/>
        <w:jc w:val="both"/>
        <w:rPr>
          <w:rFonts w:ascii="Arial" w:eastAsia="DengXian" w:hAnsi="Arial" w:cs="Arial"/>
          <w:sz w:val="22"/>
          <w:szCs w:val="22"/>
          <w:lang w:eastAsia="en-GB"/>
        </w:rPr>
      </w:pPr>
      <w:r w:rsidRPr="00EE4FC1">
        <w:rPr>
          <w:rFonts w:ascii="Arial" w:eastAsia="PMingLiU" w:hAnsi="Arial" w:cs="Arial"/>
          <w:sz w:val="22"/>
          <w:szCs w:val="22"/>
          <w:lang w:eastAsia="zh-CN"/>
        </w:rPr>
        <w:t xml:space="preserve">Jokisch, M.R., Schmidt, L.I. and Doh, M. (2022) ‘Acceptance of digital health services among older adults: Findings on perceived usefulness, self-efficacy, privacy concerns, ICT knowledge, and support seeking’, </w:t>
      </w:r>
      <w:r w:rsidRPr="00EE4FC1">
        <w:rPr>
          <w:rFonts w:ascii="Arial" w:eastAsia="PMingLiU" w:hAnsi="Arial" w:cs="Arial"/>
          <w:i/>
          <w:iCs/>
          <w:sz w:val="22"/>
          <w:szCs w:val="22"/>
          <w:lang w:eastAsia="zh-CN"/>
        </w:rPr>
        <w:t>Frontiers in Public Health</w:t>
      </w:r>
      <w:r w:rsidRPr="00EE4FC1">
        <w:rPr>
          <w:rFonts w:ascii="Arial" w:eastAsia="PMingLiU" w:hAnsi="Arial" w:cs="Arial"/>
          <w:sz w:val="22"/>
          <w:szCs w:val="22"/>
          <w:lang w:eastAsia="zh-CN"/>
        </w:rPr>
        <w:t xml:space="preserve">, 10, p. 1073756. Available at: </w:t>
      </w:r>
      <w:hyperlink r:id="rId70">
        <w:r w:rsidRPr="00EE4FC1">
          <w:rPr>
            <w:rFonts w:ascii="Arial" w:eastAsia="PMingLiU" w:hAnsi="Arial" w:cs="Arial"/>
            <w:color w:val="0563C1"/>
            <w:sz w:val="22"/>
            <w:szCs w:val="22"/>
            <w:u w:val="single"/>
            <w:lang w:eastAsia="zh-CN"/>
          </w:rPr>
          <w:t>https://doi.org/10.3389/fpubh.2022.1073756</w:t>
        </w:r>
      </w:hyperlink>
      <w:r w:rsidRPr="00EE4FC1">
        <w:rPr>
          <w:rFonts w:ascii="Calibri" w:eastAsia="PMingLiU" w:hAnsi="Calibri"/>
          <w:sz w:val="22"/>
          <w:szCs w:val="22"/>
          <w:lang w:eastAsia="zh-CN"/>
        </w:rPr>
        <w:t xml:space="preserve"> </w:t>
      </w:r>
      <w:r w:rsidRPr="00EE4FC1">
        <w:rPr>
          <w:rFonts w:ascii="Arial" w:eastAsia="PMingLiU" w:hAnsi="Arial" w:cs="Arial"/>
          <w:sz w:val="22"/>
          <w:szCs w:val="22"/>
          <w:lang w:val="en-US" w:eastAsia="zh-CN"/>
        </w:rPr>
        <w:t>(Accessed: 28 June 2026)</w:t>
      </w:r>
    </w:p>
    <w:p w14:paraId="3E28733A"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Kahale, L.A., Elkhoury, R., Mikati, I. El, Pardo-Hernandez, H., Khamis, A.M., Schünemann, H.J., Haddaway, N.R. and Akl, E.A. (2022) ‘Tailored PRISMA 2020 flow diagrams for living systematic reviews: a methodological survey and a proposal’, </w:t>
      </w:r>
      <w:r w:rsidRPr="00EE4FC1">
        <w:rPr>
          <w:rFonts w:ascii="Arial" w:eastAsia="PMingLiU" w:hAnsi="Arial" w:cs="Arial"/>
          <w:i/>
          <w:iCs/>
          <w:sz w:val="22"/>
          <w:szCs w:val="22"/>
          <w:lang w:eastAsia="zh-CN"/>
        </w:rPr>
        <w:t>F1000Research</w:t>
      </w:r>
      <w:r w:rsidRPr="00EE4FC1">
        <w:rPr>
          <w:rFonts w:ascii="Arial" w:eastAsia="PMingLiU" w:hAnsi="Arial" w:cs="Arial"/>
          <w:sz w:val="22"/>
          <w:szCs w:val="22"/>
          <w:lang w:eastAsia="zh-CN"/>
        </w:rPr>
        <w:t xml:space="preserve">, 10, p. 192. Available at: </w:t>
      </w:r>
      <w:hyperlink r:id="rId71">
        <w:r w:rsidRPr="00EE4FC1">
          <w:rPr>
            <w:rFonts w:ascii="Arial" w:eastAsia="PMingLiU" w:hAnsi="Arial" w:cs="Arial"/>
            <w:color w:val="0563C1"/>
            <w:sz w:val="22"/>
            <w:szCs w:val="22"/>
            <w:u w:val="single"/>
            <w:lang w:eastAsia="zh-CN"/>
          </w:rPr>
          <w:t>https://doi.org/10.12688/f1000research.51723.3</w:t>
        </w:r>
      </w:hyperlink>
      <w:r w:rsidRPr="00EE4FC1">
        <w:rPr>
          <w:rFonts w:ascii="Arial" w:eastAsia="PMingLiU" w:hAnsi="Arial" w:cs="Arial"/>
          <w:sz w:val="22"/>
          <w:szCs w:val="22"/>
          <w:lang w:eastAsia="zh-CN"/>
        </w:rPr>
        <w:t xml:space="preserve"> (Accessed: 21 June 2026)</w:t>
      </w:r>
    </w:p>
    <w:p w14:paraId="30D9404D"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Keesara, S., Jonas, A. and Schulman, K. (2020) ‘Covid-19 and Health Care's Digital Revolution’</w:t>
      </w:r>
      <w:r w:rsidRPr="00EE4FC1">
        <w:rPr>
          <w:rFonts w:ascii="Arial" w:eastAsia="PMingLiU" w:hAnsi="Arial" w:cs="Arial"/>
          <w:i/>
          <w:iCs/>
          <w:sz w:val="22"/>
          <w:szCs w:val="22"/>
          <w:lang w:eastAsia="zh-CN"/>
        </w:rPr>
        <w:t>, New England Journal of Medicine</w:t>
      </w:r>
      <w:r w:rsidRPr="00EE4FC1">
        <w:rPr>
          <w:rFonts w:ascii="Arial" w:eastAsia="PMingLiU" w:hAnsi="Arial" w:cs="Arial"/>
          <w:sz w:val="22"/>
          <w:szCs w:val="22"/>
          <w:lang w:eastAsia="zh-CN"/>
        </w:rPr>
        <w:t xml:space="preserve">, 382(23), p. e82. Available at: </w:t>
      </w:r>
      <w:hyperlink r:id="rId72">
        <w:r w:rsidRPr="00EE4FC1">
          <w:rPr>
            <w:rFonts w:ascii="Arial" w:eastAsia="PMingLiU" w:hAnsi="Arial" w:cs="Arial"/>
            <w:color w:val="0563C1"/>
            <w:sz w:val="22"/>
            <w:szCs w:val="22"/>
            <w:u w:val="single"/>
            <w:lang w:eastAsia="zh-CN"/>
          </w:rPr>
          <w:t>https://doi.org/10.1056/NEJMp2005835</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1984A7B6"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Knights, F., Carter, J., Deal, A., Crawshaw, A.F., Hayward, S.E., Jones, L. and Hargreaves, S. (2021b) ‘Impact of COVID-19 on migrants’ access to primary care and implications for vaccine roll-out: a national qualitative study’, </w:t>
      </w:r>
      <w:r w:rsidRPr="00EE4FC1">
        <w:rPr>
          <w:rFonts w:ascii="Arial" w:eastAsia="PMingLiU" w:hAnsi="Arial" w:cs="Arial"/>
          <w:i/>
          <w:iCs/>
          <w:sz w:val="22"/>
          <w:szCs w:val="22"/>
          <w:lang w:eastAsia="zh-CN"/>
        </w:rPr>
        <w:t>British Journal of General Practice</w:t>
      </w:r>
      <w:r w:rsidRPr="00EE4FC1">
        <w:rPr>
          <w:rFonts w:ascii="Arial" w:eastAsia="PMingLiU" w:hAnsi="Arial" w:cs="Arial"/>
          <w:sz w:val="22"/>
          <w:szCs w:val="22"/>
          <w:lang w:eastAsia="zh-CN"/>
        </w:rPr>
        <w:t xml:space="preserve">, 71(709), p. BJGP.2021.0028. Available at: </w:t>
      </w:r>
      <w:hyperlink r:id="rId73" w:history="1">
        <w:r w:rsidRPr="00EE4FC1">
          <w:rPr>
            <w:rFonts w:ascii="Arial" w:eastAsia="PMingLiU" w:hAnsi="Arial" w:cs="Arial"/>
            <w:color w:val="0563C1"/>
            <w:sz w:val="22"/>
            <w:szCs w:val="22"/>
            <w:u w:val="single"/>
            <w:lang w:eastAsia="zh-CN"/>
          </w:rPr>
          <w:t>https://doi.org/10.3399/BJGP.2021.0028</w:t>
        </w:r>
      </w:hyperlink>
      <w:r w:rsidRPr="00EE4FC1">
        <w:rPr>
          <w:rFonts w:ascii="Arial" w:eastAsia="PMingLiU" w:hAnsi="Arial" w:cs="Arial"/>
          <w:sz w:val="22"/>
          <w:szCs w:val="22"/>
          <w:lang w:eastAsia="zh-CN"/>
        </w:rPr>
        <w:t xml:space="preserve"> (Accessed: 26 August 2026).</w:t>
      </w:r>
    </w:p>
    <w:p w14:paraId="1122AD83"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Knights, F.A.E., Carter, J., Deal, A. and Hargreaves, S. (2021a) ‘Face-to-face GP consultations: avoiding digital exclusion of marginalised groups’, </w:t>
      </w:r>
      <w:r w:rsidRPr="00EE4FC1">
        <w:rPr>
          <w:rFonts w:ascii="Arial" w:eastAsia="PMingLiU" w:hAnsi="Arial" w:cs="Arial"/>
          <w:i/>
          <w:iCs/>
          <w:sz w:val="22"/>
          <w:szCs w:val="22"/>
          <w:lang w:eastAsia="zh-CN"/>
        </w:rPr>
        <w:t>BMJ</w:t>
      </w:r>
      <w:r w:rsidRPr="00EE4FC1">
        <w:rPr>
          <w:rFonts w:ascii="Arial" w:eastAsia="PMingLiU" w:hAnsi="Arial" w:cs="Arial"/>
          <w:sz w:val="22"/>
          <w:szCs w:val="22"/>
          <w:lang w:eastAsia="zh-CN"/>
        </w:rPr>
        <w:t xml:space="preserve">, 373, p. n1542. Available at: </w:t>
      </w:r>
      <w:hyperlink r:id="rId74" w:history="1">
        <w:r w:rsidRPr="00EE4FC1">
          <w:rPr>
            <w:rFonts w:ascii="Arial" w:eastAsia="PMingLiU" w:hAnsi="Arial" w:cs="Arial"/>
            <w:color w:val="0563C1"/>
            <w:sz w:val="22"/>
            <w:szCs w:val="22"/>
            <w:u w:val="single"/>
            <w:lang w:eastAsia="zh-CN"/>
          </w:rPr>
          <w:t>https://doi.org/10.1136/bmj.n1542</w:t>
        </w:r>
      </w:hyperlink>
      <w:r w:rsidRPr="00EE4FC1">
        <w:rPr>
          <w:rFonts w:ascii="Arial" w:eastAsia="PMingLiU" w:hAnsi="Arial" w:cs="Arial"/>
          <w:sz w:val="22"/>
          <w:szCs w:val="22"/>
          <w:lang w:eastAsia="zh-CN"/>
        </w:rPr>
        <w:t xml:space="preserve"> (Accessed: 26 August 2026).</w:t>
      </w:r>
    </w:p>
    <w:p w14:paraId="7A673D7F"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Kruse, C.S., Krowski, N., Rodriguez, B., Tran, L., Vela, J. and Brooks, M. (2017) ‘Telehealth and patient satisfaction: a systematic review and narrative analysis’, </w:t>
      </w:r>
      <w:r w:rsidRPr="00EE4FC1">
        <w:rPr>
          <w:rFonts w:ascii="Arial" w:eastAsia="PMingLiU" w:hAnsi="Arial" w:cs="Arial"/>
          <w:i/>
          <w:iCs/>
          <w:sz w:val="22"/>
          <w:szCs w:val="22"/>
          <w:lang w:eastAsia="zh-CN"/>
        </w:rPr>
        <w:t>BMJ Open</w:t>
      </w:r>
      <w:r w:rsidRPr="00EE4FC1">
        <w:rPr>
          <w:rFonts w:ascii="Arial" w:eastAsia="PMingLiU" w:hAnsi="Arial" w:cs="Arial"/>
          <w:sz w:val="22"/>
          <w:szCs w:val="22"/>
          <w:lang w:eastAsia="zh-CN"/>
        </w:rPr>
        <w:t xml:space="preserve">, 7(8), p. e016242. Available at:  </w:t>
      </w:r>
      <w:hyperlink r:id="rId75">
        <w:r w:rsidRPr="00EE4FC1">
          <w:rPr>
            <w:rFonts w:ascii="Arial" w:eastAsia="PMingLiU" w:hAnsi="Arial" w:cs="Arial"/>
            <w:color w:val="0563C1"/>
            <w:sz w:val="22"/>
            <w:szCs w:val="22"/>
            <w:u w:val="single"/>
            <w:lang w:eastAsia="zh-CN"/>
          </w:rPr>
          <w:t>https://doi.org/10.1136/bmjopen-2017-016242</w:t>
        </w:r>
      </w:hyperlink>
      <w:r w:rsidRPr="00EE4FC1">
        <w:rPr>
          <w:rFonts w:ascii="Arial" w:eastAsia="PMingLiU" w:hAnsi="Arial" w:cs="Arial"/>
          <w:sz w:val="22"/>
          <w:szCs w:val="22"/>
          <w:lang w:eastAsia="zh-CN"/>
        </w:rPr>
        <w:t xml:space="preserve"> (Accessed: 22 May 2026).</w:t>
      </w:r>
    </w:p>
    <w:p w14:paraId="65AF3934"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Leach, H., Eccles, A., Chew-Graham, C. A. and Atherton, H. (2025) ‘Patient experiences of remote consulting with chronic fatigue syndrome/myalgic encephalomyelitis and fibromyalgia: a qualitative study’, </w:t>
      </w:r>
      <w:r w:rsidRPr="00EE4FC1">
        <w:rPr>
          <w:rFonts w:ascii="Arial" w:eastAsia="PMingLiU" w:hAnsi="Arial" w:cs="Arial"/>
          <w:i/>
          <w:iCs/>
          <w:sz w:val="22"/>
          <w:szCs w:val="22"/>
          <w:lang w:eastAsia="zh-CN"/>
        </w:rPr>
        <w:t>BJGP open</w:t>
      </w:r>
      <w:r w:rsidRPr="00EE4FC1">
        <w:rPr>
          <w:rFonts w:ascii="Arial" w:eastAsia="PMingLiU" w:hAnsi="Arial" w:cs="Arial"/>
          <w:sz w:val="22"/>
          <w:szCs w:val="22"/>
          <w:lang w:eastAsia="zh-CN"/>
        </w:rPr>
        <w:t>, </w:t>
      </w:r>
      <w:r w:rsidRPr="00EE4FC1">
        <w:rPr>
          <w:rFonts w:ascii="Arial" w:eastAsia="PMingLiU" w:hAnsi="Arial" w:cs="Arial"/>
          <w:i/>
          <w:iCs/>
          <w:sz w:val="22"/>
          <w:szCs w:val="22"/>
          <w:lang w:eastAsia="zh-CN"/>
        </w:rPr>
        <w:t>9</w:t>
      </w:r>
      <w:r w:rsidRPr="00EE4FC1">
        <w:rPr>
          <w:rFonts w:ascii="Arial" w:eastAsia="PMingLiU" w:hAnsi="Arial" w:cs="Arial"/>
          <w:sz w:val="22"/>
          <w:szCs w:val="22"/>
          <w:lang w:eastAsia="zh-CN"/>
        </w:rPr>
        <w:t xml:space="preserve">(1), </w:t>
      </w:r>
      <w:r w:rsidRPr="00EE4FC1">
        <w:rPr>
          <w:rFonts w:ascii="Arial" w:eastAsia="Times New Roman" w:hAnsi="Arial" w:cs="Arial"/>
          <w:kern w:val="0"/>
          <w:sz w:val="22"/>
          <w:szCs w:val="22"/>
          <w:lang w:eastAsia="en-GB"/>
        </w:rPr>
        <w:t>pp. BJGPO.2024.0079-BJGPO.2024.0079</w:t>
      </w:r>
      <w:r w:rsidRPr="00EE4FC1">
        <w:rPr>
          <w:rFonts w:ascii="Arial" w:eastAsia="PMingLiU" w:hAnsi="Arial" w:cs="Arial"/>
          <w:sz w:val="22"/>
          <w:szCs w:val="22"/>
          <w:lang w:eastAsia="zh-CN"/>
        </w:rPr>
        <w:t xml:space="preserve">. Available at: </w:t>
      </w:r>
      <w:hyperlink r:id="rId76" w:history="1">
        <w:r w:rsidRPr="00EE4FC1">
          <w:rPr>
            <w:rFonts w:ascii="Arial" w:eastAsia="PMingLiU" w:hAnsi="Arial" w:cs="Arial"/>
            <w:color w:val="0563C1"/>
            <w:sz w:val="22"/>
            <w:szCs w:val="22"/>
            <w:u w:val="single"/>
            <w:lang w:eastAsia="zh-CN"/>
          </w:rPr>
          <w:t>https://doi.org/10.3399/BJGPO.2024.0079</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0E327AB4"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eastAsia="zh-CN"/>
        </w:rPr>
      </w:pPr>
      <w:r w:rsidRPr="00EE4FC1">
        <w:rPr>
          <w:rFonts w:ascii="Arial" w:eastAsia="PMingLiU" w:hAnsi="Arial" w:cs="Arial"/>
          <w:sz w:val="22"/>
          <w:szCs w:val="22"/>
          <w:lang w:eastAsia="zh-CN"/>
        </w:rPr>
        <w:t xml:space="preserve">Li, E., Tsopra, R., Jimenez, G., Serafini, A., Gusso, G., Lingner, H., Fernandez, M.J., Irving, G., Petek, D., Hoffman, R., Lazic, V., Memarian, E., Koskela, T., Collins, C., Espitia, S.M., Clavería, A., Nessler, K., O’Neill, B.G., Hoedebecke, K. and Ungan, M. (2022) ‘General practitioners’ perceptions of using virtual primary care during the COVID-19 pandemic: An </w:t>
      </w:r>
      <w:r w:rsidRPr="00EE4FC1">
        <w:rPr>
          <w:rFonts w:ascii="Arial" w:eastAsia="PMingLiU" w:hAnsi="Arial" w:cs="Arial"/>
          <w:sz w:val="22"/>
          <w:szCs w:val="22"/>
          <w:lang w:eastAsia="zh-CN"/>
        </w:rPr>
        <w:lastRenderedPageBreak/>
        <w:t>international cross-sectional survey study’, </w:t>
      </w:r>
      <w:r w:rsidRPr="00EE4FC1">
        <w:rPr>
          <w:rFonts w:ascii="Arial" w:eastAsia="PMingLiU" w:hAnsi="Arial" w:cs="Arial"/>
          <w:i/>
          <w:iCs/>
          <w:sz w:val="22"/>
          <w:szCs w:val="22"/>
          <w:lang w:eastAsia="zh-CN"/>
        </w:rPr>
        <w:t>PLOS Digital Health</w:t>
      </w:r>
      <w:r w:rsidRPr="00EE4FC1">
        <w:rPr>
          <w:rFonts w:ascii="Arial" w:eastAsia="PMingLiU" w:hAnsi="Arial" w:cs="Arial"/>
          <w:sz w:val="22"/>
          <w:szCs w:val="22"/>
          <w:lang w:eastAsia="zh-CN"/>
        </w:rPr>
        <w:t xml:space="preserve">, 1(5), p. e0000029. Available at: </w:t>
      </w:r>
      <w:hyperlink r:id="rId77">
        <w:r w:rsidRPr="00EE4FC1">
          <w:rPr>
            <w:rFonts w:ascii="Arial" w:eastAsia="PMingLiU" w:hAnsi="Arial" w:cs="Arial"/>
            <w:color w:val="0563C1"/>
            <w:sz w:val="22"/>
            <w:szCs w:val="22"/>
            <w:u w:val="single"/>
            <w:lang w:eastAsia="zh-CN"/>
          </w:rPr>
          <w:t>https://doi.org/10.1371/journal.pdig.0000029</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June 2026)</w:t>
      </w:r>
    </w:p>
    <w:p w14:paraId="4199F3B4"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eastAsia="zh-CN"/>
        </w:rPr>
      </w:pPr>
      <w:r w:rsidRPr="00EE4FC1">
        <w:rPr>
          <w:rFonts w:ascii="Arial" w:eastAsia="PMingLiU" w:hAnsi="Arial" w:cs="Arial"/>
          <w:sz w:val="22"/>
          <w:szCs w:val="22"/>
          <w:lang w:eastAsia="zh-CN"/>
        </w:rPr>
        <w:t>Lifford, K.J., Detelina Grozeva, Cannings-John, R., Harriet Dorothy Quinn-Scoggins, Moriarty, Y., Ardiana Gjini, Goddard, M., Hepburn, J., Hughes, J., Moore, G., Osborne, K., Robling, M., Townson, J., Waller, J., Whitelock, V., Whitaker, K. and Brain, K.E. (2023) ‘Satisfaction with remote consultations in primary care during COVID-19: a population survey of UK adults’, </w:t>
      </w:r>
      <w:r w:rsidRPr="00EE4FC1">
        <w:rPr>
          <w:rFonts w:ascii="Arial" w:eastAsia="PMingLiU" w:hAnsi="Arial" w:cs="Arial"/>
          <w:i/>
          <w:iCs/>
          <w:sz w:val="22"/>
          <w:szCs w:val="22"/>
          <w:lang w:eastAsia="zh-CN"/>
        </w:rPr>
        <w:t>British Journal of General Practice</w:t>
      </w:r>
      <w:r w:rsidRPr="00EE4FC1">
        <w:rPr>
          <w:rFonts w:ascii="Arial" w:eastAsia="PMingLiU" w:hAnsi="Arial" w:cs="Arial"/>
          <w:sz w:val="22"/>
          <w:szCs w:val="22"/>
          <w:lang w:eastAsia="zh-CN"/>
        </w:rPr>
        <w:t xml:space="preserve">, 74(739), pp. e96–e103. Available at: </w:t>
      </w:r>
      <w:hyperlink r:id="rId78">
        <w:r w:rsidRPr="00EE4FC1">
          <w:rPr>
            <w:rFonts w:ascii="Arial" w:eastAsia="PMingLiU" w:hAnsi="Arial" w:cs="Arial"/>
            <w:color w:val="0563C1"/>
            <w:sz w:val="22"/>
            <w:szCs w:val="22"/>
            <w:u w:val="single"/>
            <w:lang w:eastAsia="zh-CN"/>
          </w:rPr>
          <w:t>https://doi.org/10.3399/bjgp.2023.0092</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12 June 2026)</w:t>
      </w:r>
    </w:p>
    <w:p w14:paraId="4A270F97"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Long, H. A., French, D. P. and Brooks, J. M. (2020) ‘Optimising the value of the critical appraisal skills programme (CASP) tool for quality appraisal in qualitative evidence synthesis’, </w:t>
      </w:r>
      <w:r w:rsidRPr="00EE4FC1">
        <w:rPr>
          <w:rFonts w:ascii="Arial" w:eastAsia="PMingLiU" w:hAnsi="Arial" w:cs="Arial"/>
          <w:i/>
          <w:iCs/>
          <w:sz w:val="22"/>
          <w:szCs w:val="22"/>
          <w:lang w:eastAsia="zh-CN"/>
        </w:rPr>
        <w:t>Research Methods in Medicine &amp; Health Sciences</w:t>
      </w:r>
      <w:r w:rsidRPr="00EE4FC1">
        <w:rPr>
          <w:rFonts w:ascii="Arial" w:eastAsia="PMingLiU" w:hAnsi="Arial" w:cs="Arial"/>
          <w:sz w:val="22"/>
          <w:szCs w:val="22"/>
          <w:lang w:eastAsia="zh-CN"/>
        </w:rPr>
        <w:t xml:space="preserve">, 1(1), pp.  31-42. Available at: </w:t>
      </w:r>
      <w:hyperlink r:id="rId79">
        <w:r w:rsidRPr="00EE4FC1">
          <w:rPr>
            <w:rFonts w:ascii="Arial" w:eastAsia="PMingLiU" w:hAnsi="Arial" w:cs="Arial"/>
            <w:color w:val="0563C1"/>
            <w:sz w:val="22"/>
            <w:szCs w:val="22"/>
            <w:u w:val="single"/>
            <w:lang w:eastAsia="zh-CN"/>
          </w:rPr>
          <w:t>https://doi.org/10.1177/2632084320947559</w:t>
        </w:r>
      </w:hyperlink>
      <w:r w:rsidRPr="00EE4FC1">
        <w:rPr>
          <w:rFonts w:ascii="Arial" w:eastAsia="PMingLiU" w:hAnsi="Arial" w:cs="Arial"/>
          <w:sz w:val="22"/>
          <w:szCs w:val="22"/>
          <w:lang w:eastAsia="zh-CN"/>
        </w:rPr>
        <w:t xml:space="preserve"> (Accessed: 06 June 2026)</w:t>
      </w:r>
    </w:p>
    <w:p w14:paraId="578DED78"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Marshall, M., Shah, R. and Stokes-Lampard, H. (2018) ‘Online consulting in general practice: making the move from disruptive innovation to mainstream service’, </w:t>
      </w:r>
      <w:r w:rsidRPr="00EE4FC1">
        <w:rPr>
          <w:rFonts w:ascii="Arial" w:eastAsia="PMingLiU" w:hAnsi="Arial" w:cs="Arial"/>
          <w:i/>
          <w:iCs/>
          <w:sz w:val="22"/>
          <w:szCs w:val="22"/>
          <w:lang w:eastAsia="zh-CN"/>
        </w:rPr>
        <w:t>BMJ</w:t>
      </w:r>
      <w:r w:rsidRPr="00EE4FC1">
        <w:rPr>
          <w:rFonts w:ascii="Arial" w:eastAsia="PMingLiU" w:hAnsi="Arial" w:cs="Arial"/>
          <w:sz w:val="22"/>
          <w:szCs w:val="22"/>
          <w:lang w:eastAsia="zh-CN"/>
        </w:rPr>
        <w:t xml:space="preserve">, 360, p. k1195. Available at: </w:t>
      </w:r>
      <w:hyperlink r:id="rId80" w:history="1">
        <w:r w:rsidRPr="00EE4FC1">
          <w:rPr>
            <w:rFonts w:ascii="Arial" w:eastAsia="PMingLiU" w:hAnsi="Arial" w:cs="Arial"/>
            <w:color w:val="0563C1"/>
            <w:sz w:val="22"/>
            <w:szCs w:val="22"/>
            <w:u w:val="single"/>
            <w:lang w:eastAsia="zh-CN"/>
          </w:rPr>
          <w:t>https://doi.org/10.1136/bmj.k1195</w:t>
        </w:r>
      </w:hyperlink>
      <w:r w:rsidRPr="00EE4FC1">
        <w:rPr>
          <w:rFonts w:ascii="Arial" w:eastAsia="PMingLiU" w:hAnsi="Arial" w:cs="Arial"/>
          <w:sz w:val="22"/>
          <w:szCs w:val="22"/>
          <w:lang w:eastAsia="zh-CN"/>
        </w:rPr>
        <w:t xml:space="preserve"> (Accessed: 26 August 2026).</w:t>
      </w:r>
    </w:p>
    <w:p w14:paraId="7ADBF7B8"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Martinez, K.A., Rood, M., Jhangiani, N., Kou, L., Rose, S., Boissy, A. and Rothberg, M.B. (2018) ‘Patterns of Use and Correlates of Patient Satisfaction with a Large Nationwide Direct to Consumer Telemedicine Service’, </w:t>
      </w:r>
      <w:r w:rsidRPr="00EE4FC1">
        <w:rPr>
          <w:rFonts w:ascii="Arial" w:eastAsia="PMingLiU" w:hAnsi="Arial" w:cs="Arial"/>
          <w:i/>
          <w:iCs/>
          <w:sz w:val="22"/>
          <w:szCs w:val="22"/>
          <w:lang w:eastAsia="zh-CN"/>
        </w:rPr>
        <w:t>Journal of General Internal Medicine</w:t>
      </w:r>
      <w:r w:rsidRPr="00EE4FC1">
        <w:rPr>
          <w:rFonts w:ascii="Arial" w:eastAsia="PMingLiU" w:hAnsi="Arial" w:cs="Arial"/>
          <w:sz w:val="22"/>
          <w:szCs w:val="22"/>
          <w:lang w:eastAsia="zh-CN"/>
        </w:rPr>
        <w:t xml:space="preserve">, 33(10), pp.1768–1773. Available at: </w:t>
      </w:r>
      <w:hyperlink r:id="rId81">
        <w:r w:rsidRPr="00EE4FC1">
          <w:rPr>
            <w:rFonts w:ascii="Arial" w:eastAsia="PMingLiU" w:hAnsi="Arial" w:cs="Arial"/>
            <w:color w:val="0563C1"/>
            <w:sz w:val="22"/>
            <w:szCs w:val="22"/>
            <w:u w:val="single"/>
            <w:lang w:eastAsia="zh-CN"/>
          </w:rPr>
          <w:t>https://doi.org/10.1007/s11606-018-4621-5</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22 June 2026)</w:t>
      </w:r>
    </w:p>
    <w:p w14:paraId="63BB59F5"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eastAsia="en-GB"/>
        </w:rPr>
      </w:pPr>
      <w:r w:rsidRPr="00EE4FC1">
        <w:rPr>
          <w:rFonts w:ascii="Arial" w:eastAsia="PMingLiU" w:hAnsi="Arial" w:cs="Arial"/>
          <w:sz w:val="22"/>
          <w:szCs w:val="22"/>
          <w:lang w:eastAsia="zh-CN"/>
        </w:rPr>
        <w:t>Martin-Khan, M., Freeman, S., Adam, K. and Betkus, G. (2017) ‘The Evolution of Telehealth’, </w:t>
      </w:r>
      <w:r w:rsidRPr="00EE4FC1">
        <w:rPr>
          <w:rFonts w:ascii="Arial" w:eastAsia="PMingLiU" w:hAnsi="Arial" w:cs="Arial"/>
          <w:i/>
          <w:iCs/>
          <w:sz w:val="22"/>
          <w:szCs w:val="22"/>
          <w:lang w:eastAsia="zh-CN"/>
        </w:rPr>
        <w:t>Human–Computer Interaction Series</w:t>
      </w:r>
      <w:r w:rsidRPr="00EE4FC1">
        <w:rPr>
          <w:rFonts w:ascii="Arial" w:eastAsia="PMingLiU" w:hAnsi="Arial" w:cs="Arial"/>
          <w:sz w:val="22"/>
          <w:szCs w:val="22"/>
          <w:lang w:eastAsia="zh-CN"/>
        </w:rPr>
        <w:t xml:space="preserve">, pp.173–198. Available at: </w:t>
      </w:r>
      <w:hyperlink r:id="rId82">
        <w:r w:rsidRPr="00EE4FC1">
          <w:rPr>
            <w:rFonts w:ascii="Arial" w:eastAsia="PMingLiU" w:hAnsi="Arial" w:cs="Arial"/>
            <w:color w:val="0563C1"/>
            <w:sz w:val="22"/>
            <w:szCs w:val="22"/>
            <w:u w:val="single"/>
            <w:lang w:eastAsia="zh-CN"/>
          </w:rPr>
          <w:t>https://doi.org/10.1007/978-3-319-60672-9_8</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August 2026)</w:t>
      </w:r>
    </w:p>
    <w:p w14:paraId="2576FF78" w14:textId="77777777" w:rsidR="00042674" w:rsidRPr="00EE4FC1" w:rsidRDefault="00042674" w:rsidP="00820755">
      <w:pPr>
        <w:numPr>
          <w:ilvl w:val="0"/>
          <w:numId w:val="4"/>
        </w:numPr>
        <w:spacing w:before="100" w:beforeAutospacing="1" w:after="100" w:afterAutospacing="1" w:line="360" w:lineRule="auto"/>
        <w:ind w:left="360"/>
        <w:contextualSpacing/>
        <w:jc w:val="both"/>
        <w:rPr>
          <w:rFonts w:ascii="Arial" w:eastAsia="DengXian" w:hAnsi="Arial" w:cs="Arial"/>
          <w:sz w:val="22"/>
          <w:szCs w:val="22"/>
          <w:lang w:eastAsia="zh-CN"/>
        </w:rPr>
      </w:pPr>
      <w:r w:rsidRPr="00EE4FC1">
        <w:rPr>
          <w:rFonts w:ascii="Arial" w:eastAsia="PMingLiU" w:hAnsi="Arial" w:cs="Arial"/>
          <w:sz w:val="22"/>
          <w:szCs w:val="22"/>
          <w:lang w:eastAsia="zh-CN"/>
        </w:rPr>
        <w:t xml:space="preserve">Mason, A. N. (2022) ‘The most important telemedicine patient satisfaction dimension: patient-centered care’, </w:t>
      </w:r>
      <w:r w:rsidRPr="00EE4FC1">
        <w:rPr>
          <w:rFonts w:ascii="Arial" w:eastAsia="PMingLiU" w:hAnsi="Arial" w:cs="Arial"/>
          <w:i/>
          <w:iCs/>
          <w:sz w:val="22"/>
          <w:szCs w:val="22"/>
          <w:lang w:eastAsia="zh-CN"/>
        </w:rPr>
        <w:t>Telemedicine and e-Health</w:t>
      </w:r>
      <w:r w:rsidRPr="00EE4FC1">
        <w:rPr>
          <w:rFonts w:ascii="Arial" w:eastAsia="PMingLiU" w:hAnsi="Arial" w:cs="Arial"/>
          <w:sz w:val="22"/>
          <w:szCs w:val="22"/>
          <w:lang w:eastAsia="zh-CN"/>
        </w:rPr>
        <w:t xml:space="preserve">, 28(8), pp. 1206-1214. Available at: </w:t>
      </w:r>
      <w:hyperlink r:id="rId83">
        <w:r w:rsidRPr="00EE4FC1">
          <w:rPr>
            <w:rFonts w:ascii="Arial" w:eastAsia="PMingLiU" w:hAnsi="Arial" w:cs="Arial"/>
            <w:color w:val="0563C1"/>
            <w:sz w:val="22"/>
            <w:szCs w:val="22"/>
            <w:u w:val="single"/>
            <w:lang w:eastAsia="zh-CN"/>
          </w:rPr>
          <w:t>https://doi.org/10.1089/tmj.2021.0322</w:t>
        </w:r>
      </w:hyperlink>
      <w:r w:rsidRPr="00EE4FC1">
        <w:rPr>
          <w:rFonts w:ascii="Calibri" w:eastAsia="PMingLiU" w:hAnsi="Calibri"/>
          <w:sz w:val="22"/>
          <w:szCs w:val="22"/>
          <w:lang w:eastAsia="zh-CN"/>
        </w:rPr>
        <w:t xml:space="preserve"> </w:t>
      </w:r>
      <w:r w:rsidRPr="00EE4FC1">
        <w:rPr>
          <w:rFonts w:ascii="Arial" w:eastAsia="PMingLiU" w:hAnsi="Arial" w:cs="Arial"/>
          <w:sz w:val="22"/>
          <w:szCs w:val="22"/>
          <w:lang w:val="en-US" w:eastAsia="zh-CN"/>
        </w:rPr>
        <w:t>(Accessed: 16 August 2026)</w:t>
      </w:r>
    </w:p>
    <w:p w14:paraId="613374E9"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eastAsia="zh-CN"/>
        </w:rPr>
      </w:pPr>
      <w:r w:rsidRPr="00EE4FC1">
        <w:rPr>
          <w:rFonts w:ascii="Arial" w:eastAsia="PMingLiU" w:hAnsi="Arial" w:cs="Arial"/>
          <w:sz w:val="22"/>
          <w:szCs w:val="22"/>
          <w:lang w:eastAsia="zh-CN"/>
        </w:rPr>
        <w:t>McFarland, S., Coufopolous, A. and Lycett, D. (2021) ‘The effect of telehealth versus usual care for home-care patients with long-term conditions: a systematic review, meta-analysis and qualitative synthesis’, </w:t>
      </w:r>
      <w:r w:rsidRPr="00EE4FC1">
        <w:rPr>
          <w:rFonts w:ascii="Arial" w:eastAsia="PMingLiU" w:hAnsi="Arial" w:cs="Arial"/>
          <w:i/>
          <w:iCs/>
          <w:sz w:val="22"/>
          <w:szCs w:val="22"/>
          <w:lang w:eastAsia="zh-CN"/>
        </w:rPr>
        <w:t>Journal of telemedicine and telecare</w:t>
      </w:r>
      <w:r w:rsidRPr="00EE4FC1">
        <w:rPr>
          <w:rFonts w:ascii="Arial" w:eastAsia="PMingLiU" w:hAnsi="Arial" w:cs="Arial"/>
          <w:sz w:val="22"/>
          <w:szCs w:val="22"/>
          <w:lang w:eastAsia="zh-CN"/>
        </w:rPr>
        <w:t xml:space="preserve">, 27(2), pp. 69-87. Available at: </w:t>
      </w:r>
      <w:hyperlink r:id="rId84" w:history="1">
        <w:r w:rsidRPr="00EE4FC1">
          <w:rPr>
            <w:rFonts w:ascii="Arial" w:eastAsia="PMingLiU" w:hAnsi="Arial" w:cs="Arial"/>
            <w:color w:val="0563C1"/>
            <w:sz w:val="22"/>
            <w:szCs w:val="22"/>
            <w:u w:val="single"/>
            <w:lang w:eastAsia="zh-CN"/>
          </w:rPr>
          <w:t>https://doi.org/10.1177/1357633X19862956</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August 2026)</w:t>
      </w:r>
    </w:p>
    <w:p w14:paraId="0E18F214"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McLean, G., Murray, E., Band, R., Moffat, K., Hanlon, P., Bruton, A., Thomas, M., Yardley, L. and Mair, F.S. (2016) ‘Interactive digital interventions to promote self-management in adults with asthma: Systematic review and meta-analysis’, </w:t>
      </w:r>
      <w:r w:rsidRPr="00EE4FC1">
        <w:rPr>
          <w:rFonts w:ascii="Arial" w:eastAsia="PMingLiU" w:hAnsi="Arial" w:cs="Arial"/>
          <w:i/>
          <w:iCs/>
          <w:sz w:val="22"/>
          <w:szCs w:val="22"/>
          <w:lang w:eastAsia="zh-CN"/>
        </w:rPr>
        <w:t>BMC Pulmonary Medicine</w:t>
      </w:r>
      <w:r w:rsidRPr="00EE4FC1">
        <w:rPr>
          <w:rFonts w:ascii="Arial" w:eastAsia="PMingLiU" w:hAnsi="Arial" w:cs="Arial"/>
          <w:sz w:val="22"/>
          <w:szCs w:val="22"/>
          <w:lang w:eastAsia="zh-CN"/>
        </w:rPr>
        <w:t xml:space="preserve">, 16(1), p. 83. </w:t>
      </w:r>
      <w:hyperlink r:id="rId85" w:history="1">
        <w:r w:rsidRPr="00EE4FC1">
          <w:rPr>
            <w:rFonts w:ascii="Arial" w:eastAsia="PMingLiU" w:hAnsi="Arial" w:cs="Arial"/>
            <w:color w:val="0563C1"/>
            <w:sz w:val="22"/>
            <w:szCs w:val="22"/>
            <w:u w:val="single"/>
            <w:lang w:eastAsia="zh-CN"/>
          </w:rPr>
          <w:t>https://doi.org/10.1186/s12890-016-0248-7</w:t>
        </w:r>
      </w:hyperlink>
      <w:r w:rsidRPr="00EE4FC1">
        <w:rPr>
          <w:rFonts w:ascii="Arial" w:eastAsia="PMingLiU" w:hAnsi="Arial" w:cs="Arial"/>
          <w:sz w:val="22"/>
          <w:szCs w:val="22"/>
          <w:lang w:eastAsia="zh-CN"/>
        </w:rPr>
        <w:t xml:space="preserve"> (Accessed: 26 August 2026).</w:t>
      </w:r>
    </w:p>
    <w:p w14:paraId="6E0B9E2A"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Medvedeva, E. I., Aleksandrova, O. A. and Kroshilin, S. V. (2022) ‘Telemedicine in modern conditions: the attitude of society and the vector of development’, </w:t>
      </w:r>
      <w:r w:rsidRPr="00EE4FC1">
        <w:rPr>
          <w:rFonts w:ascii="Arial" w:eastAsia="PMingLiU" w:hAnsi="Arial" w:cs="Arial"/>
          <w:i/>
          <w:iCs/>
          <w:sz w:val="22"/>
          <w:szCs w:val="22"/>
          <w:lang w:eastAsia="zh-CN"/>
        </w:rPr>
        <w:t xml:space="preserve">Economic And Social </w:t>
      </w:r>
      <w:r w:rsidRPr="00EE4FC1">
        <w:rPr>
          <w:rFonts w:ascii="Arial" w:eastAsia="PMingLiU" w:hAnsi="Arial" w:cs="Arial"/>
          <w:i/>
          <w:iCs/>
          <w:sz w:val="22"/>
          <w:szCs w:val="22"/>
          <w:lang w:eastAsia="zh-CN"/>
        </w:rPr>
        <w:lastRenderedPageBreak/>
        <w:t xml:space="preserve">Changes: Facts, Trends, Forecast, </w:t>
      </w:r>
      <w:r w:rsidRPr="00EE4FC1">
        <w:rPr>
          <w:rFonts w:ascii="Arial" w:eastAsia="PMingLiU" w:hAnsi="Arial" w:cs="Arial"/>
          <w:sz w:val="22"/>
          <w:szCs w:val="22"/>
          <w:lang w:eastAsia="zh-CN"/>
        </w:rPr>
        <w:t xml:space="preserve">15(3), pp.  200–222. Available at: </w:t>
      </w:r>
      <w:hyperlink r:id="rId86">
        <w:r w:rsidRPr="00EE4FC1">
          <w:rPr>
            <w:rFonts w:ascii="Arial" w:eastAsia="PMingLiU" w:hAnsi="Arial" w:cs="Arial"/>
            <w:color w:val="0563C1"/>
            <w:sz w:val="22"/>
            <w:szCs w:val="22"/>
            <w:u w:val="single"/>
            <w:lang w:eastAsia="zh-CN"/>
          </w:rPr>
          <w:t>https://doi.org/10.15838/esc.2022.3.81.11</w:t>
        </w:r>
      </w:hyperlink>
      <w:r w:rsidRPr="00EE4FC1">
        <w:rPr>
          <w:rFonts w:ascii="Calibri" w:eastAsia="PMingLiU" w:hAnsi="Calibri"/>
          <w:sz w:val="22"/>
          <w:szCs w:val="22"/>
          <w:lang w:eastAsia="zh-CN"/>
        </w:rPr>
        <w:t xml:space="preserve"> </w:t>
      </w:r>
      <w:r w:rsidRPr="00EE4FC1">
        <w:rPr>
          <w:rFonts w:ascii="Arial" w:eastAsia="PMingLiU" w:hAnsi="Arial" w:cs="Arial"/>
          <w:sz w:val="22"/>
          <w:szCs w:val="22"/>
          <w:lang w:val="en-US" w:eastAsia="zh-CN"/>
        </w:rPr>
        <w:t>(Accessed: 19 August 2026)</w:t>
      </w:r>
    </w:p>
    <w:p w14:paraId="4EBF943D" w14:textId="77777777" w:rsidR="00042674" w:rsidRPr="00EE4FC1" w:rsidRDefault="00042674" w:rsidP="00820755">
      <w:pPr>
        <w:numPr>
          <w:ilvl w:val="0"/>
          <w:numId w:val="4"/>
        </w:numPr>
        <w:spacing w:after="0" w:line="360" w:lineRule="auto"/>
        <w:ind w:left="360"/>
        <w:contextualSpacing/>
        <w:jc w:val="both"/>
      </w:pPr>
      <w:r w:rsidRPr="00EE4FC1">
        <w:rPr>
          <w:rFonts w:ascii="Arial" w:eastAsia="DengXian" w:hAnsi="Arial" w:cs="Arial"/>
          <w:sz w:val="22"/>
          <w:szCs w:val="22"/>
          <w:lang w:eastAsia="zh-CN"/>
        </w:rPr>
        <w:t>Middle, R. and Welch, L. (2022) ‘Experiences of digital exclusion and the impact on health in people living with severe mental illness’, </w:t>
      </w:r>
      <w:r w:rsidRPr="00EE4FC1">
        <w:rPr>
          <w:rFonts w:ascii="Arial" w:eastAsia="DengXian" w:hAnsi="Arial" w:cs="Arial"/>
          <w:i/>
          <w:iCs/>
          <w:sz w:val="22"/>
          <w:szCs w:val="22"/>
          <w:lang w:eastAsia="zh-CN"/>
        </w:rPr>
        <w:t>Frontiers in digital health</w:t>
      </w:r>
      <w:r w:rsidRPr="00EE4FC1">
        <w:rPr>
          <w:rFonts w:ascii="Arial" w:eastAsia="DengXian" w:hAnsi="Arial" w:cs="Arial"/>
          <w:sz w:val="22"/>
          <w:szCs w:val="22"/>
          <w:lang w:eastAsia="zh-CN"/>
        </w:rPr>
        <w:t>, </w:t>
      </w:r>
      <w:r w:rsidRPr="00EE4FC1">
        <w:rPr>
          <w:rFonts w:ascii="Arial" w:eastAsia="DengXian" w:hAnsi="Arial" w:cs="Arial"/>
          <w:i/>
          <w:iCs/>
          <w:sz w:val="22"/>
          <w:szCs w:val="22"/>
          <w:lang w:eastAsia="zh-CN"/>
        </w:rPr>
        <w:t>4</w:t>
      </w:r>
      <w:r w:rsidRPr="00EE4FC1">
        <w:rPr>
          <w:rFonts w:ascii="Arial" w:eastAsia="DengXian" w:hAnsi="Arial" w:cs="Arial"/>
          <w:sz w:val="22"/>
          <w:szCs w:val="22"/>
          <w:lang w:eastAsia="zh-CN"/>
        </w:rPr>
        <w:t xml:space="preserve">, p. 1004547. Available at: </w:t>
      </w:r>
      <w:hyperlink r:id="rId87" w:history="1">
        <w:r w:rsidRPr="00EE4FC1">
          <w:rPr>
            <w:rFonts w:ascii="Arial" w:hAnsi="Arial" w:cs="Arial"/>
            <w:color w:val="467886"/>
            <w:sz w:val="22"/>
            <w:szCs w:val="22"/>
            <w:u w:val="single"/>
          </w:rPr>
          <w:t>https://doi.org/10.3389/fdgth.2022.1004547</w:t>
        </w:r>
      </w:hyperlink>
      <w:r w:rsidRPr="00EE4FC1">
        <w:rPr>
          <w:rFonts w:ascii="Arial" w:eastAsia="DengXian" w:hAnsi="Arial" w:cs="Arial"/>
          <w:sz w:val="22"/>
          <w:szCs w:val="22"/>
          <w:lang w:eastAsia="zh-CN"/>
        </w:rPr>
        <w:t xml:space="preserve"> </w:t>
      </w:r>
      <w:r w:rsidRPr="00EE4FC1">
        <w:rPr>
          <w:rFonts w:ascii="Arial" w:eastAsia="PMingLiU" w:hAnsi="Arial" w:cs="Arial"/>
          <w:sz w:val="22"/>
          <w:szCs w:val="22"/>
          <w:lang w:val="en-US" w:eastAsia="zh-CN"/>
        </w:rPr>
        <w:t>(Accessed: 19 August 2026)</w:t>
      </w:r>
    </w:p>
    <w:p w14:paraId="26A6C00E"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Mills, E. C., Savage, E., Lieder, J. and Chiu, E. S. (2020) ‘Telemedicine and the COVID-19 pandemic: are we ready to go live?’, </w:t>
      </w:r>
      <w:r w:rsidRPr="00EE4FC1">
        <w:rPr>
          <w:rFonts w:ascii="Arial" w:eastAsia="PMingLiU" w:hAnsi="Arial" w:cs="Arial"/>
          <w:i/>
          <w:iCs/>
          <w:sz w:val="22"/>
          <w:szCs w:val="22"/>
          <w:lang w:eastAsia="zh-CN"/>
        </w:rPr>
        <w:t>Advances in skin &amp; wound care</w:t>
      </w:r>
      <w:r w:rsidRPr="00EE4FC1">
        <w:rPr>
          <w:rFonts w:ascii="Arial" w:eastAsia="PMingLiU" w:hAnsi="Arial" w:cs="Arial"/>
          <w:sz w:val="22"/>
          <w:szCs w:val="22"/>
          <w:lang w:eastAsia="zh-CN"/>
        </w:rPr>
        <w:t xml:space="preserve">, 33(8), pp. 410-417. Available at: </w:t>
      </w:r>
      <w:hyperlink r:id="rId88" w:history="1">
        <w:r w:rsidRPr="00EE4FC1">
          <w:rPr>
            <w:rFonts w:ascii="Arial" w:eastAsia="PMingLiU" w:hAnsi="Arial" w:cs="Arial"/>
            <w:color w:val="0563C1"/>
            <w:sz w:val="22"/>
            <w:szCs w:val="22"/>
            <w:u w:val="single"/>
            <w:lang w:eastAsia="zh-CN"/>
          </w:rPr>
          <w:t>https://doi.org/10.1097/01.ASW.0000669916.01793.93</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21 August 2026)</w:t>
      </w:r>
    </w:p>
    <w:p w14:paraId="66228F08"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Mold, F., Hendy, J., Lai, Y.-L. and de Lusignan, S. (2019) ‘Electronic consultation in primary care between providers and patients: systematic review’, </w:t>
      </w:r>
      <w:r w:rsidRPr="00EE4FC1">
        <w:rPr>
          <w:rFonts w:ascii="Arial" w:eastAsia="PMingLiU" w:hAnsi="Arial" w:cs="Arial"/>
          <w:i/>
          <w:iCs/>
          <w:sz w:val="22"/>
          <w:szCs w:val="22"/>
          <w:lang w:eastAsia="zh-CN"/>
        </w:rPr>
        <w:t>JMIR Medical Informatics</w:t>
      </w:r>
      <w:r w:rsidRPr="00EE4FC1">
        <w:rPr>
          <w:rFonts w:ascii="Arial" w:eastAsia="PMingLiU" w:hAnsi="Arial" w:cs="Arial"/>
          <w:sz w:val="22"/>
          <w:szCs w:val="22"/>
          <w:lang w:eastAsia="zh-CN"/>
        </w:rPr>
        <w:t xml:space="preserve">, 7(4), p. e13042. Available at: </w:t>
      </w:r>
      <w:hyperlink r:id="rId89" w:history="1">
        <w:r w:rsidRPr="00EE4FC1">
          <w:rPr>
            <w:rFonts w:ascii="Arial" w:eastAsia="PMingLiU" w:hAnsi="Arial" w:cs="Arial"/>
            <w:color w:val="0563C1"/>
            <w:sz w:val="22"/>
            <w:szCs w:val="22"/>
            <w:u w:val="single"/>
            <w:lang w:eastAsia="zh-CN"/>
          </w:rPr>
          <w:t>https://doi.org/10.2196/13042</w:t>
        </w:r>
      </w:hyperlink>
      <w:r w:rsidRPr="00EE4FC1">
        <w:rPr>
          <w:rFonts w:ascii="Arial" w:eastAsia="PMingLiU" w:hAnsi="Arial" w:cs="Arial"/>
          <w:sz w:val="22"/>
          <w:szCs w:val="22"/>
          <w:lang w:eastAsia="zh-CN"/>
        </w:rPr>
        <w:t xml:space="preserve"> (Accessed: 26 August 2026).</w:t>
      </w:r>
    </w:p>
    <w:p w14:paraId="56D61DB7"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Mularczyk-Tomczewska, P., Gujski, M., Koperdowska, J. M., Wojcik, J., and Silczuk, A. (2025) ‘Factors influencing patient satisfaction with healthcare Services in Poland’, </w:t>
      </w:r>
      <w:r w:rsidRPr="00EE4FC1">
        <w:rPr>
          <w:rFonts w:ascii="Arial" w:eastAsia="PMingLiU" w:hAnsi="Arial" w:cs="Arial"/>
          <w:i/>
          <w:iCs/>
          <w:sz w:val="22"/>
          <w:szCs w:val="22"/>
          <w:lang w:eastAsia="zh-CN"/>
        </w:rPr>
        <w:t>Medical Science Monitor: International Medical Journal of Experimental and Clinical Research</w:t>
      </w:r>
      <w:r w:rsidRPr="00EE4FC1">
        <w:rPr>
          <w:rFonts w:ascii="Arial" w:eastAsia="PMingLiU" w:hAnsi="Arial" w:cs="Arial"/>
          <w:sz w:val="22"/>
          <w:szCs w:val="22"/>
          <w:lang w:eastAsia="zh-CN"/>
        </w:rPr>
        <w:t xml:space="preserve">, 31, pp. e948225. Available at: </w:t>
      </w:r>
      <w:hyperlink r:id="rId90">
        <w:r w:rsidRPr="00EE4FC1">
          <w:rPr>
            <w:rFonts w:ascii="Arial" w:eastAsia="PMingLiU" w:hAnsi="Arial" w:cs="Arial"/>
            <w:color w:val="0563C1"/>
            <w:sz w:val="22"/>
            <w:szCs w:val="22"/>
            <w:u w:val="single"/>
            <w:lang w:eastAsia="zh-CN"/>
          </w:rPr>
          <w:t>https://doi.org/10.12659/MSM.948225</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16 August 2026)</w:t>
      </w:r>
    </w:p>
    <w:p w14:paraId="6F3EE053"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Mulugeta, H., Wagnew, F., Dessie, G., Biresaw, H. and Habtewold, T.D. (2019) ‘Patient satisfaction with nursing care in Ethiopia: a systematic review and meta-analysis’, </w:t>
      </w:r>
      <w:r w:rsidRPr="00EE4FC1">
        <w:rPr>
          <w:rFonts w:ascii="Arial" w:eastAsia="PMingLiU" w:hAnsi="Arial" w:cs="Arial"/>
          <w:i/>
          <w:iCs/>
          <w:sz w:val="22"/>
          <w:szCs w:val="22"/>
          <w:lang w:eastAsia="zh-CN"/>
        </w:rPr>
        <w:t>BMC Nursing</w:t>
      </w:r>
      <w:r w:rsidRPr="00EE4FC1">
        <w:rPr>
          <w:rFonts w:ascii="Arial" w:eastAsia="PMingLiU" w:hAnsi="Arial" w:cs="Arial"/>
          <w:sz w:val="22"/>
          <w:szCs w:val="22"/>
          <w:lang w:eastAsia="zh-CN"/>
        </w:rPr>
        <w:t xml:space="preserve">, 18(1), p. 27. Available at: </w:t>
      </w:r>
      <w:hyperlink r:id="rId91">
        <w:r w:rsidRPr="00EE4FC1">
          <w:rPr>
            <w:rFonts w:ascii="Arial" w:eastAsia="PMingLiU" w:hAnsi="Arial" w:cs="Arial"/>
            <w:color w:val="0563C1"/>
            <w:sz w:val="22"/>
            <w:szCs w:val="22"/>
            <w:u w:val="single"/>
            <w:lang w:eastAsia="zh-CN"/>
          </w:rPr>
          <w:t>https://doi.org/10.1186/s12912-019-0348-9</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12 August 2026)</w:t>
      </w:r>
    </w:p>
    <w:p w14:paraId="5A30D11A"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Munn, Z., Barker, T. H., Moola, S., Tufanaru, C., Stern, C., McArthur, A., Stephenson, M. and Aromataris, E.  (2019) ‘Methodological quality of case series studies: an introduction to the JBI critical appraisal tool’, </w:t>
      </w:r>
      <w:r w:rsidRPr="00EE4FC1">
        <w:rPr>
          <w:rFonts w:ascii="Arial" w:eastAsia="PMingLiU" w:hAnsi="Arial" w:cs="Arial"/>
          <w:i/>
          <w:iCs/>
          <w:sz w:val="22"/>
          <w:szCs w:val="22"/>
          <w:lang w:eastAsia="zh-CN"/>
        </w:rPr>
        <w:t>JBI evidence synthesis</w:t>
      </w:r>
      <w:r w:rsidRPr="00EE4FC1">
        <w:rPr>
          <w:rFonts w:ascii="Arial" w:eastAsia="PMingLiU" w:hAnsi="Arial" w:cs="Arial"/>
          <w:sz w:val="22"/>
          <w:szCs w:val="22"/>
          <w:lang w:eastAsia="zh-CN"/>
        </w:rPr>
        <w:t xml:space="preserve">, 18(10), pp. 2127-2133. Available at: </w:t>
      </w:r>
      <w:hyperlink r:id="rId92" w:history="1">
        <w:r w:rsidRPr="00EE4FC1">
          <w:rPr>
            <w:rFonts w:ascii="Arial" w:eastAsia="PMingLiU" w:hAnsi="Arial" w:cs="Arial"/>
            <w:color w:val="0563C1"/>
            <w:sz w:val="22"/>
            <w:szCs w:val="22"/>
            <w:u w:val="single"/>
            <w:lang w:eastAsia="zh-CN"/>
          </w:rPr>
          <w:t>https://doi.org/10.11124/jbisrir-d-19-00099</w:t>
        </w:r>
      </w:hyperlink>
      <w:r w:rsidRPr="00EE4FC1">
        <w:rPr>
          <w:rFonts w:ascii="Calibri" w:eastAsia="PMingLiU" w:hAnsi="Calibri"/>
          <w:sz w:val="22"/>
          <w:szCs w:val="22"/>
          <w:lang w:eastAsia="zh-CN"/>
        </w:rPr>
        <w:t xml:space="preserve"> </w:t>
      </w:r>
      <w:r w:rsidRPr="00EE4FC1">
        <w:rPr>
          <w:rFonts w:ascii="Arial" w:eastAsia="PMingLiU" w:hAnsi="Arial" w:cs="Arial"/>
          <w:sz w:val="22"/>
          <w:szCs w:val="22"/>
          <w:lang w:val="en-US" w:eastAsia="zh-CN"/>
        </w:rPr>
        <w:t>(Accessed: 29 August 2026)</w:t>
      </w:r>
    </w:p>
    <w:p w14:paraId="1DD2C384"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Murphy, M., Scott, L.J., Salisbury, C., Turner, A., Scott, A., Denholm, R., Lewis, R., Iyer, G., Macleod, J., Horwood, J. and Tallon, D. (2021) ‘Implementation of remote consulting in UK primary care following the COVID-19 pandemic: a mixed-methods longitudinal study’, </w:t>
      </w:r>
      <w:r w:rsidRPr="00EE4FC1">
        <w:rPr>
          <w:rFonts w:ascii="Arial" w:eastAsia="PMingLiU" w:hAnsi="Arial" w:cs="Arial"/>
          <w:i/>
          <w:iCs/>
          <w:sz w:val="22"/>
          <w:szCs w:val="22"/>
          <w:lang w:eastAsia="zh-CN"/>
        </w:rPr>
        <w:t>British Journal of General Practice</w:t>
      </w:r>
      <w:r w:rsidRPr="00EE4FC1">
        <w:rPr>
          <w:rFonts w:ascii="Arial" w:eastAsia="PMingLiU" w:hAnsi="Arial" w:cs="Arial"/>
          <w:sz w:val="22"/>
          <w:szCs w:val="22"/>
          <w:lang w:eastAsia="zh-CN"/>
        </w:rPr>
        <w:t xml:space="preserve">, 71(704), pp. e166–e177. Available at: </w:t>
      </w:r>
      <w:hyperlink r:id="rId93">
        <w:r w:rsidRPr="00EE4FC1">
          <w:rPr>
            <w:rFonts w:ascii="Arial" w:eastAsia="PMingLiU" w:hAnsi="Arial" w:cs="Arial"/>
            <w:color w:val="0563C1"/>
            <w:sz w:val="22"/>
            <w:szCs w:val="22"/>
            <w:u w:val="single"/>
            <w:lang w:eastAsia="zh-CN"/>
          </w:rPr>
          <w:t>https://doi.org/10.3399/bjgp.2020.0948</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August 2026)</w:t>
      </w:r>
    </w:p>
    <w:p w14:paraId="39A3561A"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eastAsia="zh-CN"/>
        </w:rPr>
      </w:pPr>
      <w:r w:rsidRPr="00EE4FC1">
        <w:rPr>
          <w:rFonts w:ascii="Arial" w:eastAsia="PMingLiU" w:hAnsi="Arial" w:cs="Arial"/>
          <w:sz w:val="22"/>
          <w:szCs w:val="22"/>
          <w:lang w:eastAsia="zh-CN"/>
        </w:rPr>
        <w:t>Neves, A.L., van Dael, J., O’Brien, N., Flott, K., Ghafur, S., Darzi, A. and Mayer, E. (2024) ‘Use and impact of virtual primary care on quality and safety: The public’s perspectives during the COVID-19 pandemic’, </w:t>
      </w:r>
      <w:r w:rsidRPr="00EE4FC1">
        <w:rPr>
          <w:rFonts w:ascii="Arial" w:eastAsia="PMingLiU" w:hAnsi="Arial" w:cs="Arial"/>
          <w:i/>
          <w:iCs/>
          <w:sz w:val="22"/>
          <w:szCs w:val="22"/>
          <w:lang w:eastAsia="zh-CN"/>
        </w:rPr>
        <w:t>Journal of Telemedicine and Telecare</w:t>
      </w:r>
      <w:r w:rsidRPr="00EE4FC1">
        <w:rPr>
          <w:rFonts w:ascii="Arial" w:eastAsia="PMingLiU" w:hAnsi="Arial" w:cs="Arial"/>
          <w:sz w:val="22"/>
          <w:szCs w:val="22"/>
          <w:lang w:eastAsia="zh-CN"/>
        </w:rPr>
        <w:t xml:space="preserve">, 30(2), pp. 393-401. Available at: </w:t>
      </w:r>
      <w:hyperlink r:id="rId94">
        <w:r w:rsidRPr="00EE4FC1">
          <w:rPr>
            <w:rFonts w:ascii="Arial" w:eastAsia="PMingLiU" w:hAnsi="Arial" w:cs="Arial"/>
            <w:color w:val="0563C1"/>
            <w:sz w:val="22"/>
            <w:szCs w:val="22"/>
            <w:u w:val="single"/>
            <w:lang w:eastAsia="zh-CN"/>
          </w:rPr>
          <w:t>https://doi.org/10.1177/1357633x211066235</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23 August 2026)</w:t>
      </w:r>
    </w:p>
    <w:p w14:paraId="4A2AF14C"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lastRenderedPageBreak/>
        <w:t xml:space="preserve">NHS England (2019) </w:t>
      </w:r>
      <w:r w:rsidRPr="00EE4FC1">
        <w:rPr>
          <w:rFonts w:ascii="Arial" w:eastAsia="PMingLiU" w:hAnsi="Arial" w:cs="Arial"/>
          <w:i/>
          <w:iCs/>
          <w:sz w:val="22"/>
          <w:szCs w:val="22"/>
          <w:lang w:eastAsia="zh-CN"/>
        </w:rPr>
        <w:t>The NHS Long Term Plan</w:t>
      </w:r>
      <w:r w:rsidRPr="00EE4FC1">
        <w:rPr>
          <w:rFonts w:ascii="Arial" w:eastAsia="PMingLiU" w:hAnsi="Arial" w:cs="Arial"/>
          <w:sz w:val="22"/>
          <w:szCs w:val="22"/>
          <w:lang w:eastAsia="zh-CN"/>
        </w:rPr>
        <w:t xml:space="preserve">. Available at: </w:t>
      </w:r>
      <w:hyperlink r:id="rId95" w:history="1">
        <w:r w:rsidRPr="00EE4FC1">
          <w:rPr>
            <w:rFonts w:ascii="Arial" w:eastAsia="PMingLiU" w:hAnsi="Arial" w:cs="Arial"/>
            <w:color w:val="0563C1"/>
            <w:sz w:val="22"/>
            <w:szCs w:val="22"/>
            <w:u w:val="single"/>
            <w:lang w:eastAsia="zh-CN"/>
          </w:rPr>
          <w:t>https://www.longtermplan.nhs.uk/</w:t>
        </w:r>
      </w:hyperlink>
      <w:r w:rsidRPr="00EE4FC1">
        <w:rPr>
          <w:rFonts w:ascii="Arial" w:eastAsia="PMingLiU" w:hAnsi="Arial" w:cs="Arial"/>
          <w:sz w:val="22"/>
          <w:szCs w:val="22"/>
          <w:lang w:eastAsia="zh-CN"/>
        </w:rPr>
        <w:t xml:space="preserve"> (Accessed: 26 August 2026).</w:t>
      </w:r>
    </w:p>
    <w:p w14:paraId="6C77BFE2"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NHS England (2022) </w:t>
      </w:r>
      <w:r w:rsidRPr="00EE4FC1">
        <w:rPr>
          <w:rFonts w:ascii="Arial" w:eastAsia="PMingLiU" w:hAnsi="Arial" w:cs="Arial"/>
          <w:i/>
          <w:iCs/>
          <w:sz w:val="22"/>
          <w:szCs w:val="22"/>
          <w:lang w:eastAsia="zh-CN"/>
        </w:rPr>
        <w:t>Next steps for integrating primary care: Fuller Stocktake report</w:t>
      </w:r>
      <w:r w:rsidRPr="00EE4FC1">
        <w:rPr>
          <w:rFonts w:ascii="Arial" w:eastAsia="PMingLiU" w:hAnsi="Arial" w:cs="Arial"/>
          <w:sz w:val="22"/>
          <w:szCs w:val="22"/>
          <w:lang w:eastAsia="zh-CN"/>
        </w:rPr>
        <w:t xml:space="preserve">. Available at: </w:t>
      </w:r>
      <w:hyperlink r:id="rId96" w:history="1">
        <w:r w:rsidRPr="00EE4FC1">
          <w:rPr>
            <w:rFonts w:ascii="Arial" w:eastAsia="PMingLiU" w:hAnsi="Arial" w:cs="Arial"/>
            <w:color w:val="0563C1"/>
            <w:sz w:val="22"/>
            <w:szCs w:val="22"/>
            <w:u w:val="single"/>
            <w:lang w:eastAsia="zh-CN"/>
          </w:rPr>
          <w:t>https://www.england.nhs.uk/publication/next-steps-for-integrating-primary-care-fuller-stocktake-report/</w:t>
        </w:r>
      </w:hyperlink>
      <w:r w:rsidRPr="00EE4FC1">
        <w:rPr>
          <w:rFonts w:ascii="Arial" w:eastAsia="PMingLiU" w:hAnsi="Arial" w:cs="Arial"/>
          <w:sz w:val="22"/>
          <w:szCs w:val="22"/>
          <w:lang w:eastAsia="zh-CN"/>
        </w:rPr>
        <w:t xml:space="preserve"> (Accessed: 26 August 2026).</w:t>
      </w:r>
    </w:p>
    <w:p w14:paraId="490921AF"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NHS England (2023a) </w:t>
      </w:r>
      <w:r w:rsidRPr="00EE4FC1">
        <w:rPr>
          <w:rFonts w:ascii="Arial" w:eastAsia="PMingLiU" w:hAnsi="Arial" w:cs="Arial"/>
          <w:i/>
          <w:iCs/>
          <w:sz w:val="22"/>
          <w:szCs w:val="22"/>
          <w:lang w:eastAsia="zh-CN"/>
        </w:rPr>
        <w:t>Delivery plan for recovering access to primary care</w:t>
      </w:r>
      <w:r w:rsidRPr="00EE4FC1">
        <w:rPr>
          <w:rFonts w:ascii="Arial" w:eastAsia="PMingLiU" w:hAnsi="Arial" w:cs="Arial"/>
          <w:sz w:val="22"/>
          <w:szCs w:val="22"/>
          <w:lang w:eastAsia="zh-CN"/>
        </w:rPr>
        <w:t xml:space="preserve">. Available at: </w:t>
      </w:r>
      <w:hyperlink r:id="rId97" w:history="1">
        <w:r w:rsidRPr="00EE4FC1">
          <w:rPr>
            <w:rFonts w:ascii="Arial" w:eastAsia="PMingLiU" w:hAnsi="Arial" w:cs="Arial"/>
            <w:color w:val="0563C1"/>
            <w:sz w:val="22"/>
            <w:szCs w:val="22"/>
            <w:u w:val="single"/>
            <w:lang w:eastAsia="zh-CN"/>
          </w:rPr>
          <w:t>https://www.england.nhs.uk/wp-content/uploads/2023/05/PRN00283-delivery-plan-for-recovering-access-to-primary-care-may-2023.pdf</w:t>
        </w:r>
      </w:hyperlink>
      <w:r w:rsidRPr="00EE4FC1">
        <w:rPr>
          <w:rFonts w:ascii="Arial" w:eastAsia="PMingLiU" w:hAnsi="Arial" w:cs="Arial"/>
          <w:sz w:val="22"/>
          <w:szCs w:val="22"/>
          <w:lang w:eastAsia="zh-CN"/>
        </w:rPr>
        <w:t xml:space="preserve"> (Accessed: 26 August 2026).</w:t>
      </w:r>
    </w:p>
    <w:p w14:paraId="7E5E15A8"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NHS England (2023) </w:t>
      </w:r>
      <w:r w:rsidRPr="00EE4FC1">
        <w:rPr>
          <w:rFonts w:ascii="Arial" w:eastAsia="PMingLiU" w:hAnsi="Arial" w:cs="Arial"/>
          <w:i/>
          <w:iCs/>
          <w:sz w:val="22"/>
          <w:szCs w:val="22"/>
          <w:lang w:eastAsia="zh-CN"/>
        </w:rPr>
        <w:t>Transforming primary care through digital and remote consultations</w:t>
      </w:r>
      <w:r w:rsidRPr="00EE4FC1">
        <w:rPr>
          <w:rFonts w:ascii="Arial" w:eastAsia="PMingLiU" w:hAnsi="Arial" w:cs="Arial"/>
          <w:sz w:val="22"/>
          <w:szCs w:val="22"/>
          <w:lang w:eastAsia="zh-CN"/>
        </w:rPr>
        <w:t xml:space="preserve">. Available at: </w:t>
      </w:r>
      <w:hyperlink r:id="rId98">
        <w:r w:rsidRPr="00EE4FC1">
          <w:rPr>
            <w:rFonts w:ascii="Arial" w:eastAsia="PMingLiU" w:hAnsi="Arial" w:cs="Arial"/>
            <w:color w:val="0563C1"/>
            <w:sz w:val="22"/>
            <w:szCs w:val="22"/>
            <w:u w:val="single"/>
            <w:lang w:eastAsia="zh-CN"/>
          </w:rPr>
          <w:t>https://www.england.nhs.uk/</w:t>
        </w:r>
      </w:hyperlink>
      <w:r w:rsidRPr="00EE4FC1">
        <w:rPr>
          <w:rFonts w:ascii="Arial" w:eastAsia="PMingLiU" w:hAnsi="Arial" w:cs="Arial"/>
          <w:sz w:val="22"/>
          <w:szCs w:val="22"/>
          <w:lang w:eastAsia="zh-CN"/>
        </w:rPr>
        <w:t xml:space="preserve"> (Accessed: 18 May 2026).</w:t>
      </w:r>
    </w:p>
    <w:p w14:paraId="7A71BB20"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NHS England (2024) </w:t>
      </w:r>
      <w:r w:rsidRPr="00EE4FC1">
        <w:rPr>
          <w:rFonts w:ascii="Arial" w:eastAsia="PMingLiU" w:hAnsi="Arial" w:cs="Arial"/>
          <w:i/>
          <w:iCs/>
          <w:sz w:val="22"/>
          <w:szCs w:val="22"/>
          <w:lang w:eastAsia="zh-CN"/>
        </w:rPr>
        <w:t>GP Patient Survey 2024</w:t>
      </w:r>
      <w:r w:rsidRPr="00EE4FC1">
        <w:rPr>
          <w:rFonts w:ascii="Arial" w:eastAsia="PMingLiU" w:hAnsi="Arial" w:cs="Arial"/>
          <w:sz w:val="22"/>
          <w:szCs w:val="22"/>
          <w:lang w:eastAsia="zh-CN"/>
        </w:rPr>
        <w:t xml:space="preserve">. Available at: </w:t>
      </w:r>
      <w:hyperlink r:id="rId99">
        <w:r w:rsidRPr="00EE4FC1">
          <w:rPr>
            <w:rFonts w:ascii="Arial" w:eastAsia="PMingLiU" w:hAnsi="Arial" w:cs="Arial"/>
            <w:color w:val="0563C1"/>
            <w:sz w:val="22"/>
            <w:szCs w:val="22"/>
            <w:u w:val="single"/>
            <w:lang w:eastAsia="zh-CN"/>
          </w:rPr>
          <w:t>https://www.england.nhs.uk/statistics/2024/07/11/gp-patient-survey-2024/</w:t>
        </w:r>
      </w:hyperlink>
      <w:r w:rsidRPr="00EE4FC1">
        <w:rPr>
          <w:rFonts w:ascii="Arial" w:eastAsia="PMingLiU" w:hAnsi="Arial" w:cs="Arial"/>
          <w:sz w:val="22"/>
          <w:szCs w:val="22"/>
          <w:lang w:eastAsia="zh-CN"/>
        </w:rPr>
        <w:t xml:space="preserve"> (Accessed: 19 May 2026).</w:t>
      </w:r>
    </w:p>
    <w:p w14:paraId="7824A672"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NHS England (2025) </w:t>
      </w:r>
      <w:r w:rsidRPr="00EE4FC1">
        <w:rPr>
          <w:rFonts w:ascii="Arial" w:eastAsia="PMingLiU" w:hAnsi="Arial" w:cs="Arial"/>
          <w:i/>
          <w:iCs/>
          <w:sz w:val="22"/>
          <w:szCs w:val="22"/>
          <w:lang w:eastAsia="zh-CN"/>
        </w:rPr>
        <w:t>Remote consulting</w:t>
      </w:r>
      <w:r w:rsidRPr="00EE4FC1">
        <w:rPr>
          <w:rFonts w:ascii="Arial" w:eastAsia="PMingLiU" w:hAnsi="Arial" w:cs="Arial"/>
          <w:sz w:val="22"/>
          <w:szCs w:val="22"/>
          <w:lang w:eastAsia="zh-CN"/>
        </w:rPr>
        <w:t xml:space="preserve">. Available at: </w:t>
      </w:r>
      <w:hyperlink r:id="rId100">
        <w:r w:rsidRPr="00EE4FC1">
          <w:rPr>
            <w:rFonts w:ascii="Arial" w:eastAsia="PMingLiU" w:hAnsi="Arial" w:cs="Arial"/>
            <w:color w:val="0563C1"/>
            <w:sz w:val="22"/>
            <w:szCs w:val="22"/>
            <w:u w:val="single"/>
            <w:lang w:eastAsia="zh-CN"/>
          </w:rPr>
          <w:t>https://www.england.nhs.uk/long-read/remote-consulting/</w:t>
        </w:r>
      </w:hyperlink>
      <w:r w:rsidRPr="00EE4FC1">
        <w:rPr>
          <w:rFonts w:ascii="Arial" w:eastAsia="PMingLiU" w:hAnsi="Arial" w:cs="Arial"/>
          <w:sz w:val="22"/>
          <w:szCs w:val="22"/>
          <w:lang w:eastAsia="zh-CN"/>
        </w:rPr>
        <w:t xml:space="preserve"> (Accessed: 12 June 2026).</w:t>
      </w:r>
    </w:p>
    <w:p w14:paraId="31124BF1"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NHS England Digital (2026) </w:t>
      </w:r>
      <w:r w:rsidRPr="00EE4FC1">
        <w:rPr>
          <w:rFonts w:ascii="Arial" w:eastAsia="PMingLiU" w:hAnsi="Arial" w:cs="Arial"/>
          <w:i/>
          <w:iCs/>
          <w:sz w:val="22"/>
          <w:szCs w:val="22"/>
          <w:lang w:eastAsia="zh-CN"/>
        </w:rPr>
        <w:t>Submissions via Online Consultation Systems in General Practice, June 2026</w:t>
      </w:r>
      <w:r w:rsidRPr="00EE4FC1">
        <w:rPr>
          <w:rFonts w:ascii="Arial" w:eastAsia="PMingLiU" w:hAnsi="Arial" w:cs="Arial"/>
          <w:sz w:val="22"/>
          <w:szCs w:val="22"/>
          <w:lang w:eastAsia="zh-CN"/>
        </w:rPr>
        <w:t xml:space="preserve">. Available at: </w:t>
      </w:r>
      <w:hyperlink r:id="rId101" w:history="1">
        <w:r w:rsidRPr="00EE4FC1">
          <w:rPr>
            <w:rFonts w:ascii="Arial" w:eastAsia="PMingLiU" w:hAnsi="Arial" w:cs="Arial"/>
            <w:color w:val="0563C1"/>
            <w:sz w:val="22"/>
            <w:szCs w:val="22"/>
            <w:u w:val="single"/>
            <w:lang w:eastAsia="zh-CN"/>
          </w:rPr>
          <w:t>https://digital.nhs.uk/data-and-information/publications/statistical/submissions-via-online-consultation-systems-in-general-practice/june-2026</w:t>
        </w:r>
      </w:hyperlink>
      <w:r w:rsidRPr="00EE4FC1">
        <w:rPr>
          <w:rFonts w:ascii="Arial" w:eastAsia="PMingLiU" w:hAnsi="Arial" w:cs="Arial"/>
          <w:sz w:val="22"/>
          <w:szCs w:val="22"/>
          <w:lang w:eastAsia="zh-CN"/>
        </w:rPr>
        <w:t xml:space="preserve"> (Accessed: 26 August 2026).</w:t>
      </w:r>
    </w:p>
    <w:p w14:paraId="25F81F04"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Nittari, G., Savva, D., Tomassoni, D., Tayebati, S. K., and Amenta, F. (2022) ‘Telemedicine in the COVID-19 era: a narrative review based on current evidence’, </w:t>
      </w:r>
      <w:r w:rsidRPr="00EE4FC1">
        <w:rPr>
          <w:rFonts w:ascii="Arial" w:eastAsia="PMingLiU" w:hAnsi="Arial" w:cs="Arial"/>
          <w:i/>
          <w:iCs/>
          <w:sz w:val="22"/>
          <w:szCs w:val="22"/>
          <w:lang w:eastAsia="zh-CN"/>
        </w:rPr>
        <w:t>International journal of environmental research and public health</w:t>
      </w:r>
      <w:r w:rsidRPr="00EE4FC1">
        <w:rPr>
          <w:rFonts w:ascii="Arial" w:eastAsia="PMingLiU" w:hAnsi="Arial" w:cs="Arial"/>
          <w:sz w:val="22"/>
          <w:szCs w:val="22"/>
          <w:lang w:eastAsia="zh-CN"/>
        </w:rPr>
        <w:t>, </w:t>
      </w:r>
      <w:r w:rsidRPr="00EE4FC1">
        <w:rPr>
          <w:rFonts w:ascii="Arial" w:eastAsia="PMingLiU" w:hAnsi="Arial" w:cs="Arial"/>
          <w:i/>
          <w:iCs/>
          <w:sz w:val="22"/>
          <w:szCs w:val="22"/>
          <w:lang w:eastAsia="zh-CN"/>
        </w:rPr>
        <w:t>19</w:t>
      </w:r>
      <w:r w:rsidRPr="00EE4FC1">
        <w:rPr>
          <w:rFonts w:ascii="Arial" w:eastAsia="PMingLiU" w:hAnsi="Arial" w:cs="Arial"/>
          <w:sz w:val="22"/>
          <w:szCs w:val="22"/>
          <w:lang w:eastAsia="zh-CN"/>
        </w:rPr>
        <w:t xml:space="preserve">(9), p. 5101. Available at: </w:t>
      </w:r>
      <w:hyperlink r:id="rId102" w:history="1">
        <w:r w:rsidRPr="00EE4FC1">
          <w:rPr>
            <w:rFonts w:ascii="Arial" w:eastAsia="PMingLiU" w:hAnsi="Arial" w:cs="Arial"/>
            <w:color w:val="0563C1"/>
            <w:sz w:val="22"/>
            <w:szCs w:val="22"/>
            <w:u w:val="single"/>
            <w:lang w:eastAsia="zh-CN"/>
          </w:rPr>
          <w:t>https://doi.org/10.3390/ijerph19095101</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16 August 2026)</w:t>
      </w:r>
    </w:p>
    <w:p w14:paraId="3ACA945A"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val="en-US" w:eastAsia="zh-CN"/>
        </w:rPr>
      </w:pPr>
      <w:r w:rsidRPr="00EE4FC1">
        <w:rPr>
          <w:rFonts w:ascii="Arial" w:eastAsia="PMingLiU" w:hAnsi="Arial" w:cs="Arial"/>
          <w:sz w:val="22"/>
          <w:szCs w:val="22"/>
          <w:lang w:eastAsia="zh-CN"/>
        </w:rPr>
        <w:t>Papoutsi, C., Shaw, S. and Greenhalgh, T. (2022) ‘Implementing video group consultations in general practice during COVID-19: a qualitative study’, </w:t>
      </w:r>
      <w:r w:rsidRPr="00EE4FC1">
        <w:rPr>
          <w:rFonts w:ascii="Arial" w:eastAsia="PMingLiU" w:hAnsi="Arial" w:cs="Arial"/>
          <w:i/>
          <w:iCs/>
          <w:sz w:val="22"/>
          <w:szCs w:val="22"/>
          <w:lang w:eastAsia="zh-CN"/>
        </w:rPr>
        <w:t>British Journal of General Practice</w:t>
      </w:r>
      <w:r w:rsidRPr="00EE4FC1">
        <w:rPr>
          <w:rFonts w:ascii="Arial" w:eastAsia="PMingLiU" w:hAnsi="Arial" w:cs="Arial"/>
          <w:sz w:val="22"/>
          <w:szCs w:val="22"/>
          <w:lang w:eastAsia="zh-CN"/>
        </w:rPr>
        <w:t xml:space="preserve">. </w:t>
      </w:r>
      <w:r w:rsidRPr="00EE4FC1">
        <w:rPr>
          <w:rFonts w:ascii="Arial" w:eastAsia="DengXian" w:hAnsi="Arial" w:cs="Arial"/>
          <w:sz w:val="22"/>
          <w:szCs w:val="22"/>
          <w:lang w:val="en-US" w:eastAsia="zh-CN"/>
        </w:rPr>
        <w:t xml:space="preserve">72(720), pp. e483–e491. </w:t>
      </w:r>
      <w:r w:rsidRPr="00EE4FC1">
        <w:rPr>
          <w:rFonts w:ascii="Arial" w:eastAsia="PMingLiU" w:hAnsi="Arial" w:cs="Arial"/>
          <w:sz w:val="22"/>
          <w:szCs w:val="22"/>
          <w:lang w:eastAsia="zh-CN"/>
        </w:rPr>
        <w:t xml:space="preserve">Available at: </w:t>
      </w:r>
      <w:hyperlink r:id="rId103">
        <w:r w:rsidRPr="00EE4FC1">
          <w:rPr>
            <w:rFonts w:ascii="Arial" w:eastAsia="PMingLiU" w:hAnsi="Arial" w:cs="Arial"/>
            <w:color w:val="0563C1"/>
            <w:sz w:val="22"/>
            <w:szCs w:val="22"/>
            <w:u w:val="single"/>
            <w:lang w:eastAsia="zh-CN"/>
          </w:rPr>
          <w:t>https://doi.org/10.3399/BJGP.2021.0673</w:t>
        </w:r>
      </w:hyperlink>
      <w:r w:rsidRPr="00EE4FC1">
        <w:rPr>
          <w:rFonts w:ascii="Arial" w:eastAsia="PMingLiU" w:hAnsi="Arial" w:cs="Arial"/>
          <w:sz w:val="22"/>
          <w:szCs w:val="22"/>
          <w:lang w:eastAsia="zh-CN"/>
        </w:rPr>
        <w:t xml:space="preserve"> (Accessed: 01 June 2026).</w:t>
      </w:r>
    </w:p>
    <w:p w14:paraId="08AA0782"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Pati, D. and Lorusso, L.N. (2018) ‘How to write a systematic review of the literature’, </w:t>
      </w:r>
      <w:r w:rsidRPr="00EE4FC1">
        <w:rPr>
          <w:rFonts w:ascii="Arial" w:eastAsia="PMingLiU" w:hAnsi="Arial" w:cs="Arial"/>
          <w:i/>
          <w:iCs/>
          <w:sz w:val="22"/>
          <w:szCs w:val="22"/>
          <w:lang w:eastAsia="zh-CN"/>
        </w:rPr>
        <w:t>HERD: Health Environments Research &amp; Design Journal</w:t>
      </w:r>
      <w:r w:rsidRPr="00EE4FC1">
        <w:rPr>
          <w:rFonts w:ascii="Arial" w:eastAsia="PMingLiU" w:hAnsi="Arial" w:cs="Arial"/>
          <w:sz w:val="22"/>
          <w:szCs w:val="22"/>
          <w:lang w:eastAsia="zh-CN"/>
        </w:rPr>
        <w:t xml:space="preserve">, 11(1), pp. 15–30. Available at: </w:t>
      </w:r>
      <w:hyperlink r:id="rId104" w:history="1">
        <w:r w:rsidRPr="00EE4FC1">
          <w:rPr>
            <w:rFonts w:ascii="Arial" w:eastAsia="PMingLiU" w:hAnsi="Arial" w:cs="Arial"/>
            <w:color w:val="0563C1"/>
            <w:sz w:val="22"/>
            <w:szCs w:val="22"/>
            <w:u w:val="single"/>
            <w:lang w:eastAsia="zh-CN"/>
          </w:rPr>
          <w:t>https://doi.org/10.1177/1937586717747384</w:t>
        </w:r>
      </w:hyperlink>
      <w:r w:rsidRPr="00EE4FC1">
        <w:rPr>
          <w:rFonts w:ascii="Arial" w:eastAsia="PMingLiU" w:hAnsi="Arial" w:cs="Arial"/>
          <w:sz w:val="22"/>
          <w:szCs w:val="22"/>
          <w:lang w:eastAsia="zh-CN"/>
        </w:rPr>
        <w:t xml:space="preserve">  (Accessed: 6 June 2026).</w:t>
      </w:r>
    </w:p>
    <w:p w14:paraId="7DEEAC49"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Peters, L., Greenfield, G., Majeed, A. and Hayhoe, B. (2018) ‘The impact of private online video consulting in primary care’, </w:t>
      </w:r>
      <w:r w:rsidRPr="00EE4FC1">
        <w:rPr>
          <w:rFonts w:ascii="Arial" w:eastAsia="PMingLiU" w:hAnsi="Arial" w:cs="Arial"/>
          <w:i/>
          <w:iCs/>
          <w:sz w:val="22"/>
          <w:szCs w:val="22"/>
          <w:lang w:eastAsia="zh-CN"/>
        </w:rPr>
        <w:t>Journal of the Royal Society of Medicine,</w:t>
      </w:r>
      <w:r w:rsidRPr="00EE4FC1">
        <w:rPr>
          <w:rFonts w:ascii="Arial" w:eastAsia="PMingLiU" w:hAnsi="Arial" w:cs="Arial"/>
          <w:sz w:val="22"/>
          <w:szCs w:val="22"/>
          <w:lang w:eastAsia="zh-CN"/>
        </w:rPr>
        <w:t xml:space="preserve"> 111(5), pp. 162–166. Available at: </w:t>
      </w:r>
      <w:hyperlink r:id="rId105" w:history="1">
        <w:r w:rsidRPr="00EE4FC1">
          <w:rPr>
            <w:rFonts w:ascii="Arial" w:eastAsia="PMingLiU" w:hAnsi="Arial" w:cs="Arial"/>
            <w:color w:val="0563C1"/>
            <w:sz w:val="22"/>
            <w:szCs w:val="22"/>
            <w:u w:val="single"/>
            <w:lang w:eastAsia="zh-CN"/>
          </w:rPr>
          <w:t>https://doi.org/10.1177/0141076818761383</w:t>
        </w:r>
      </w:hyperlink>
      <w:r w:rsidRPr="00EE4FC1">
        <w:rPr>
          <w:rFonts w:ascii="Arial" w:eastAsia="PMingLiU" w:hAnsi="Arial" w:cs="Arial"/>
          <w:sz w:val="22"/>
          <w:szCs w:val="22"/>
          <w:lang w:eastAsia="zh-CN"/>
        </w:rPr>
        <w:t xml:space="preserve"> (Accessed: 26 August 2026).</w:t>
      </w:r>
    </w:p>
    <w:p w14:paraId="48547736"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eastAsia="zh-CN"/>
        </w:rPr>
      </w:pPr>
      <w:r w:rsidRPr="00EE4FC1">
        <w:rPr>
          <w:rFonts w:ascii="Arial" w:eastAsia="PMingLiU" w:hAnsi="Arial" w:cs="Arial"/>
          <w:sz w:val="22"/>
          <w:szCs w:val="22"/>
          <w:lang w:eastAsia="zh-CN"/>
        </w:rPr>
        <w:t>Pilbery, R., Smith, M., Green, J., Chalk, D. and O’Keeffe, C. (2024) ‘An analysis of NHS 111 demand for primary care services: A retrospective cohort study’, </w:t>
      </w:r>
      <w:r w:rsidRPr="00EE4FC1">
        <w:rPr>
          <w:rFonts w:ascii="Arial" w:eastAsia="PMingLiU" w:hAnsi="Arial" w:cs="Arial"/>
          <w:i/>
          <w:iCs/>
          <w:sz w:val="22"/>
          <w:szCs w:val="22"/>
          <w:lang w:eastAsia="zh-CN"/>
        </w:rPr>
        <w:t>PloS one</w:t>
      </w:r>
      <w:r w:rsidRPr="00EE4FC1">
        <w:rPr>
          <w:rFonts w:ascii="Arial" w:eastAsia="PMingLiU" w:hAnsi="Arial" w:cs="Arial"/>
          <w:sz w:val="22"/>
          <w:szCs w:val="22"/>
          <w:lang w:eastAsia="zh-CN"/>
        </w:rPr>
        <w:t xml:space="preserve">, 19(7), pp. </w:t>
      </w:r>
      <w:r w:rsidRPr="00EE4FC1">
        <w:rPr>
          <w:rFonts w:ascii="Arial" w:eastAsia="PMingLiU" w:hAnsi="Arial" w:cs="Arial"/>
          <w:sz w:val="22"/>
          <w:szCs w:val="22"/>
          <w:lang w:eastAsia="zh-CN"/>
        </w:rPr>
        <w:lastRenderedPageBreak/>
        <w:t xml:space="preserve">e0300193–e0300193. Available at: </w:t>
      </w:r>
      <w:hyperlink r:id="rId106">
        <w:r w:rsidRPr="00EE4FC1">
          <w:rPr>
            <w:rFonts w:ascii="Arial" w:eastAsia="PMingLiU" w:hAnsi="Arial" w:cs="Arial"/>
            <w:color w:val="0563C1"/>
            <w:sz w:val="22"/>
            <w:szCs w:val="22"/>
            <w:u w:val="single"/>
            <w:lang w:eastAsia="zh-CN"/>
          </w:rPr>
          <w:t>https://doi.org/10.1371/journal.pone.0300193</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August 2026)</w:t>
      </w:r>
    </w:p>
    <w:p w14:paraId="6B6E34D9" w14:textId="77777777" w:rsidR="00042674" w:rsidRPr="00EE4FC1" w:rsidRDefault="00042674" w:rsidP="00820755">
      <w:pPr>
        <w:numPr>
          <w:ilvl w:val="0"/>
          <w:numId w:val="4"/>
        </w:numPr>
        <w:spacing w:line="360" w:lineRule="auto"/>
        <w:ind w:left="360"/>
        <w:jc w:val="both"/>
        <w:rPr>
          <w:rFonts w:ascii="Arial" w:hAnsi="Arial" w:cs="Arial"/>
          <w:sz w:val="22"/>
          <w:szCs w:val="22"/>
        </w:rPr>
      </w:pPr>
      <w:r w:rsidRPr="00EE4FC1">
        <w:rPr>
          <w:rFonts w:ascii="Arial" w:hAnsi="Arial" w:cs="Arial"/>
          <w:sz w:val="22"/>
          <w:szCs w:val="22"/>
        </w:rPr>
        <w:t xml:space="preserve">Riedel, L., Uscher-Pines, L., Mehrotra, A., Busch, A.B., Barnett, M.L., Raja, P. and Huskamp, H.A. (2021) ‘Use of telemedicine for opioid use disorder treatment – Perceptions and experiences of opioid use disorder clinicians’, </w:t>
      </w:r>
      <w:r w:rsidRPr="00EE4FC1">
        <w:rPr>
          <w:rFonts w:ascii="Arial" w:hAnsi="Arial" w:cs="Arial"/>
          <w:i/>
          <w:iCs/>
          <w:sz w:val="22"/>
          <w:szCs w:val="22"/>
        </w:rPr>
        <w:t>Drug and Alcohol Dependence</w:t>
      </w:r>
      <w:r w:rsidRPr="00EE4FC1">
        <w:rPr>
          <w:rFonts w:ascii="Arial" w:hAnsi="Arial" w:cs="Arial"/>
          <w:sz w:val="22"/>
          <w:szCs w:val="22"/>
        </w:rPr>
        <w:t xml:space="preserve">, 228, p. 108999. Available at: </w:t>
      </w:r>
      <w:hyperlink r:id="rId107" w:history="1">
        <w:r w:rsidRPr="00EE4FC1">
          <w:rPr>
            <w:rFonts w:ascii="Arial" w:hAnsi="Arial" w:cs="Arial"/>
            <w:color w:val="467886"/>
            <w:sz w:val="22"/>
            <w:szCs w:val="22"/>
            <w:u w:val="single"/>
          </w:rPr>
          <w:t>https://doi.org/10.1016/j.drugalcdep.2021.108999</w:t>
        </w:r>
      </w:hyperlink>
      <w:r w:rsidRPr="00EE4FC1">
        <w:rPr>
          <w:rFonts w:ascii="Arial" w:hAnsi="Arial" w:cs="Arial"/>
          <w:sz w:val="22"/>
          <w:szCs w:val="22"/>
        </w:rPr>
        <w:t xml:space="preserve"> (Accessed: 06 June 2026).</w:t>
      </w:r>
    </w:p>
    <w:p w14:paraId="7DEE47B0"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Royal College of General Practitioners (2021) </w:t>
      </w:r>
      <w:r w:rsidRPr="00EE4FC1">
        <w:rPr>
          <w:rFonts w:ascii="Arial" w:eastAsia="PMingLiU" w:hAnsi="Arial" w:cs="Arial"/>
          <w:i/>
          <w:iCs/>
          <w:sz w:val="22"/>
          <w:szCs w:val="22"/>
          <w:lang w:eastAsia="zh-CN"/>
        </w:rPr>
        <w:t>The future role of remote consultations &amp; patient ‘triage’: General practice COVID-19 recovery</w:t>
      </w:r>
      <w:r w:rsidRPr="00EE4FC1">
        <w:rPr>
          <w:rFonts w:ascii="Arial" w:eastAsia="PMingLiU" w:hAnsi="Arial" w:cs="Arial"/>
          <w:sz w:val="22"/>
          <w:szCs w:val="22"/>
          <w:lang w:eastAsia="zh-CN"/>
        </w:rPr>
        <w:t xml:space="preserve">. Available at: </w:t>
      </w:r>
      <w:hyperlink r:id="rId108" w:history="1">
        <w:r w:rsidRPr="00EE4FC1">
          <w:rPr>
            <w:rFonts w:ascii="Arial" w:eastAsia="PMingLiU" w:hAnsi="Arial" w:cs="Arial"/>
            <w:color w:val="0563C1"/>
            <w:sz w:val="22"/>
            <w:szCs w:val="22"/>
            <w:u w:val="single"/>
            <w:lang w:eastAsia="zh-CN"/>
          </w:rPr>
          <w:t>https://www.rcgp.org.uk/getmedia/72f052b6-3227-48b4-87c9-b05ff90517c4/future-role-of-remote-consultations-patient-triage.pdf</w:t>
        </w:r>
      </w:hyperlink>
      <w:r w:rsidRPr="00EE4FC1">
        <w:rPr>
          <w:rFonts w:ascii="Arial" w:eastAsia="PMingLiU" w:hAnsi="Arial" w:cs="Arial"/>
          <w:sz w:val="22"/>
          <w:szCs w:val="22"/>
          <w:lang w:eastAsia="zh-CN"/>
        </w:rPr>
        <w:t xml:space="preserve"> (Accessed: 26 August 2026).</w:t>
      </w:r>
    </w:p>
    <w:p w14:paraId="3941297E"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Rush, K. L., Howlett, L., Munro, A. and Burton, L. (2018) ‘Videoconference compared to telephone in healthcare delivery: a systematic review’, </w:t>
      </w:r>
      <w:r w:rsidRPr="00EE4FC1">
        <w:rPr>
          <w:rFonts w:ascii="Arial" w:eastAsia="PMingLiU" w:hAnsi="Arial" w:cs="Arial"/>
          <w:i/>
          <w:iCs/>
          <w:sz w:val="22"/>
          <w:szCs w:val="22"/>
          <w:lang w:eastAsia="zh-CN"/>
        </w:rPr>
        <w:t>International journal of medical informatics</w:t>
      </w:r>
      <w:r w:rsidRPr="00EE4FC1">
        <w:rPr>
          <w:rFonts w:ascii="Arial" w:eastAsia="PMingLiU" w:hAnsi="Arial" w:cs="Arial"/>
          <w:sz w:val="22"/>
          <w:szCs w:val="22"/>
          <w:lang w:eastAsia="zh-CN"/>
        </w:rPr>
        <w:t xml:space="preserve">, 118, pp. 44-53. Available at: </w:t>
      </w:r>
      <w:hyperlink r:id="rId109">
        <w:r w:rsidRPr="00EE4FC1">
          <w:rPr>
            <w:rFonts w:ascii="Arial" w:eastAsia="PMingLiU" w:hAnsi="Arial" w:cs="Arial"/>
            <w:color w:val="0563C1"/>
            <w:sz w:val="22"/>
            <w:szCs w:val="22"/>
            <w:u w:val="single"/>
            <w:lang w:eastAsia="zh-CN"/>
          </w:rPr>
          <w:t>https://doi.org/10.1016/j.ijmedinf.2018.07.007</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19 August 2026)</w:t>
      </w:r>
    </w:p>
    <w:p w14:paraId="13E198AC"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Salisbury, C., Murphy, M. and Duncan, P. (2020) ‘The impact of digital-first consultations on workload in general practice: modeling study’, </w:t>
      </w:r>
      <w:r w:rsidRPr="00EE4FC1">
        <w:rPr>
          <w:rFonts w:ascii="Arial" w:eastAsia="PMingLiU" w:hAnsi="Arial" w:cs="Arial"/>
          <w:i/>
          <w:iCs/>
          <w:sz w:val="22"/>
          <w:szCs w:val="22"/>
          <w:lang w:eastAsia="zh-CN"/>
        </w:rPr>
        <w:t>Journal of Medical Internet Research</w:t>
      </w:r>
      <w:r w:rsidRPr="00EE4FC1">
        <w:rPr>
          <w:rFonts w:ascii="Arial" w:eastAsia="PMingLiU" w:hAnsi="Arial" w:cs="Arial"/>
          <w:sz w:val="22"/>
          <w:szCs w:val="22"/>
          <w:lang w:eastAsia="zh-CN"/>
        </w:rPr>
        <w:t xml:space="preserve">, 22(6), p. e18203. Available at: </w:t>
      </w:r>
      <w:hyperlink r:id="rId110">
        <w:r w:rsidRPr="00EE4FC1">
          <w:rPr>
            <w:rFonts w:ascii="Arial" w:eastAsia="PMingLiU" w:hAnsi="Arial" w:cs="Arial"/>
            <w:color w:val="0563C1"/>
            <w:sz w:val="22"/>
            <w:szCs w:val="22"/>
            <w:u w:val="single"/>
            <w:lang w:eastAsia="zh-CN"/>
          </w:rPr>
          <w:t>https://doi.org/10.2196/18203</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06 August 2026)</w:t>
      </w:r>
    </w:p>
    <w:p w14:paraId="50AAC66A"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Salman, M., Kimball, R., Bromley, S., Belleville, T., Ali, Mirza, M., Hayat, S., Sood, A. and Tauseef, A. (2024) ‘Telemedicine: Future of the healthcare system and its impact on patient satisfaction: A literature review’, </w:t>
      </w:r>
      <w:r w:rsidRPr="00EE4FC1">
        <w:rPr>
          <w:rFonts w:ascii="Arial" w:eastAsia="PMingLiU" w:hAnsi="Arial" w:cs="Arial"/>
          <w:i/>
          <w:iCs/>
          <w:sz w:val="22"/>
          <w:szCs w:val="22"/>
          <w:lang w:eastAsia="zh-CN"/>
        </w:rPr>
        <w:t>Journal of Family Medicine and Primary Care</w:t>
      </w:r>
      <w:r w:rsidRPr="00EE4FC1">
        <w:rPr>
          <w:rFonts w:ascii="Arial" w:eastAsia="PMingLiU" w:hAnsi="Arial" w:cs="Arial"/>
          <w:sz w:val="22"/>
          <w:szCs w:val="22"/>
          <w:lang w:eastAsia="zh-CN"/>
        </w:rPr>
        <w:t xml:space="preserve">, 13(11), pp. 4810–4814. Available at: </w:t>
      </w:r>
      <w:hyperlink r:id="rId111">
        <w:r w:rsidRPr="00EE4FC1">
          <w:rPr>
            <w:rFonts w:ascii="Arial" w:eastAsia="PMingLiU" w:hAnsi="Arial" w:cs="Arial"/>
            <w:color w:val="0563C1"/>
            <w:sz w:val="22"/>
            <w:szCs w:val="22"/>
            <w:u w:val="single"/>
            <w:lang w:eastAsia="zh-CN"/>
          </w:rPr>
          <w:t>https://doi.org/10.4103/jfmpc.jfmpc_830_24</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19 August 2026)</w:t>
      </w:r>
    </w:p>
    <w:p w14:paraId="428AB8BC"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Sanfilippo, F., Tigano, S., Palumbo, G. J., Astuto, M. and Murabito, P. (2020) ‘Importance of inclusion criteria in systematic reviews’, </w:t>
      </w:r>
      <w:r w:rsidRPr="00EE4FC1">
        <w:rPr>
          <w:rFonts w:ascii="Arial" w:eastAsia="PMingLiU" w:hAnsi="Arial" w:cs="Arial"/>
          <w:i/>
          <w:iCs/>
          <w:sz w:val="22"/>
          <w:szCs w:val="22"/>
          <w:lang w:eastAsia="zh-CN"/>
        </w:rPr>
        <w:t>British journal of anaesthesia</w:t>
      </w:r>
      <w:r w:rsidRPr="00EE4FC1">
        <w:rPr>
          <w:rFonts w:ascii="Arial" w:eastAsia="PMingLiU" w:hAnsi="Arial" w:cs="Arial"/>
          <w:sz w:val="22"/>
          <w:szCs w:val="22"/>
          <w:lang w:eastAsia="zh-CN"/>
        </w:rPr>
        <w:t xml:space="preserve">, 125(5), pp. e398-e399. Available at: </w:t>
      </w:r>
      <w:hyperlink r:id="rId112">
        <w:r w:rsidRPr="00EE4FC1">
          <w:rPr>
            <w:rFonts w:ascii="Arial" w:eastAsia="PMingLiU" w:hAnsi="Arial" w:cs="Arial"/>
            <w:color w:val="0563C1"/>
            <w:sz w:val="22"/>
            <w:szCs w:val="22"/>
            <w:u w:val="single"/>
            <w:lang w:eastAsia="zh-CN"/>
          </w:rPr>
          <w:t>https://www.bjanaesthesia.org/article/S0007-0912(20)30562-6/fulltext</w:t>
        </w:r>
      </w:hyperlink>
      <w:r w:rsidRPr="00EE4FC1">
        <w:rPr>
          <w:rFonts w:ascii="Arial" w:eastAsia="PMingLiU" w:hAnsi="Arial" w:cs="Arial"/>
          <w:sz w:val="22"/>
          <w:szCs w:val="22"/>
          <w:lang w:eastAsia="zh-CN"/>
        </w:rPr>
        <w:t xml:space="preserve"> (Accessed: 06 June 2026)</w:t>
      </w:r>
    </w:p>
    <w:p w14:paraId="5EDDD12C"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Scottish Government and COSLA (2021) </w:t>
      </w:r>
      <w:r w:rsidRPr="00EE4FC1">
        <w:rPr>
          <w:rFonts w:ascii="Arial" w:eastAsia="PMingLiU" w:hAnsi="Arial" w:cs="Arial"/>
          <w:i/>
          <w:iCs/>
          <w:sz w:val="22"/>
          <w:szCs w:val="22"/>
          <w:lang w:eastAsia="zh-CN"/>
        </w:rPr>
        <w:t>Enabling, Connecting and Empowering: Care in the Digital Age — Scotland’s Digital Health and Care Strategy</w:t>
      </w:r>
      <w:r w:rsidRPr="00EE4FC1">
        <w:rPr>
          <w:rFonts w:ascii="Arial" w:eastAsia="PMingLiU" w:hAnsi="Arial" w:cs="Arial"/>
          <w:sz w:val="22"/>
          <w:szCs w:val="22"/>
          <w:lang w:eastAsia="zh-CN"/>
        </w:rPr>
        <w:t xml:space="preserve">. Available at: </w:t>
      </w:r>
      <w:hyperlink r:id="rId113" w:history="1">
        <w:r w:rsidRPr="00EE4FC1">
          <w:rPr>
            <w:rFonts w:ascii="Arial" w:eastAsia="PMingLiU" w:hAnsi="Arial" w:cs="Arial"/>
            <w:color w:val="0563C1"/>
            <w:sz w:val="22"/>
            <w:szCs w:val="22"/>
            <w:u w:val="single"/>
            <w:lang w:eastAsia="zh-CN"/>
          </w:rPr>
          <w:t>https://www.gov.scot/publications/scotlands-digital-health-care-strategy/</w:t>
        </w:r>
      </w:hyperlink>
      <w:r w:rsidRPr="00EE4FC1">
        <w:rPr>
          <w:rFonts w:ascii="Arial" w:eastAsia="PMingLiU" w:hAnsi="Arial" w:cs="Arial"/>
          <w:sz w:val="22"/>
          <w:szCs w:val="22"/>
          <w:lang w:eastAsia="zh-CN"/>
        </w:rPr>
        <w:t xml:space="preserve"> (Accessed: 26 August 2026).</w:t>
      </w:r>
    </w:p>
    <w:p w14:paraId="7EAE6CC2"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val="en-US" w:eastAsia="zh-CN"/>
        </w:rPr>
      </w:pPr>
      <w:r w:rsidRPr="00EE4FC1">
        <w:rPr>
          <w:rFonts w:ascii="Arial" w:eastAsia="PMingLiU" w:hAnsi="Arial" w:cs="Arial"/>
          <w:sz w:val="22"/>
          <w:szCs w:val="22"/>
          <w:lang w:eastAsia="zh-CN"/>
        </w:rPr>
        <w:t>Selçuk, A. A. (2019) ‘A guide for systematic reviews: PRISMA’, </w:t>
      </w:r>
      <w:r w:rsidRPr="00EE4FC1">
        <w:rPr>
          <w:rFonts w:ascii="Arial" w:eastAsia="PMingLiU" w:hAnsi="Arial" w:cs="Arial"/>
          <w:i/>
          <w:iCs/>
          <w:sz w:val="22"/>
          <w:szCs w:val="22"/>
          <w:lang w:eastAsia="zh-CN"/>
        </w:rPr>
        <w:t>Turkish archives of otorhinolaryngology</w:t>
      </w:r>
      <w:r w:rsidRPr="00EE4FC1">
        <w:rPr>
          <w:rFonts w:ascii="Arial" w:eastAsia="PMingLiU" w:hAnsi="Arial" w:cs="Arial"/>
          <w:sz w:val="22"/>
          <w:szCs w:val="22"/>
          <w:lang w:eastAsia="zh-CN"/>
        </w:rPr>
        <w:t xml:space="preserve">, 57(1), pp. 57-58. Available at: </w:t>
      </w:r>
      <w:hyperlink r:id="rId114">
        <w:r w:rsidRPr="00EE4FC1">
          <w:rPr>
            <w:rFonts w:ascii="Arial" w:eastAsia="PMingLiU" w:hAnsi="Arial" w:cs="Arial"/>
            <w:color w:val="0563C1"/>
            <w:sz w:val="22"/>
            <w:szCs w:val="22"/>
            <w:u w:val="single"/>
            <w:lang w:eastAsia="zh-CN"/>
          </w:rPr>
          <w:t>https://doi.org/10.5152/tao.2019.4058</w:t>
        </w:r>
      </w:hyperlink>
      <w:r w:rsidRPr="00EE4FC1">
        <w:rPr>
          <w:rFonts w:ascii="Arial" w:eastAsia="PMingLiU" w:hAnsi="Arial" w:cs="Arial"/>
          <w:sz w:val="22"/>
          <w:szCs w:val="22"/>
          <w:lang w:eastAsia="zh-CN"/>
        </w:rPr>
        <w:t xml:space="preserve"> (Accessed: 06 June 2026)</w:t>
      </w:r>
    </w:p>
    <w:p w14:paraId="048F3E46"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Smith, A. C., Thomas, E., Snoswell, C. L., Haydon, H., Mehrotra, A., Clemensen, J. and Caffery, L. J. (2020) ‘Telehealth for global emergencies: Implications for coronavirus </w:t>
      </w:r>
      <w:r w:rsidRPr="00EE4FC1">
        <w:rPr>
          <w:rFonts w:ascii="Arial" w:eastAsia="PMingLiU" w:hAnsi="Arial" w:cs="Arial"/>
          <w:sz w:val="22"/>
          <w:szCs w:val="22"/>
          <w:lang w:eastAsia="zh-CN"/>
        </w:rPr>
        <w:lastRenderedPageBreak/>
        <w:t>disease 2019 (COVID-19)’, </w:t>
      </w:r>
      <w:r w:rsidRPr="00EE4FC1">
        <w:rPr>
          <w:rFonts w:ascii="Arial" w:eastAsia="PMingLiU" w:hAnsi="Arial" w:cs="Arial"/>
          <w:i/>
          <w:iCs/>
          <w:sz w:val="22"/>
          <w:szCs w:val="22"/>
          <w:lang w:eastAsia="zh-CN"/>
        </w:rPr>
        <w:t>Journal of telemedicine and telecare</w:t>
      </w:r>
      <w:r w:rsidRPr="00EE4FC1">
        <w:rPr>
          <w:rFonts w:ascii="Arial" w:eastAsia="PMingLiU" w:hAnsi="Arial" w:cs="Arial"/>
          <w:sz w:val="22"/>
          <w:szCs w:val="22"/>
          <w:lang w:eastAsia="zh-CN"/>
        </w:rPr>
        <w:t xml:space="preserve">, 26(5), pp. 309-313. Available at: </w:t>
      </w:r>
      <w:hyperlink r:id="rId115">
        <w:r w:rsidRPr="00EE4FC1">
          <w:rPr>
            <w:rFonts w:ascii="Arial" w:eastAsia="PMingLiU" w:hAnsi="Arial" w:cs="Arial"/>
            <w:color w:val="0563C1"/>
            <w:sz w:val="22"/>
            <w:szCs w:val="22"/>
            <w:u w:val="single"/>
            <w:lang w:eastAsia="zh-CN"/>
          </w:rPr>
          <w:t>https://doi.org/10.1177/1357633X20916567</w:t>
        </w:r>
      </w:hyperlink>
      <w:r w:rsidRPr="00EE4FC1">
        <w:rPr>
          <w:rFonts w:ascii="Arial" w:eastAsia="PMingLiU" w:hAnsi="Arial" w:cs="Arial"/>
          <w:sz w:val="22"/>
          <w:szCs w:val="22"/>
          <w:lang w:eastAsia="zh-CN"/>
        </w:rPr>
        <w:t xml:space="preserve"> (Accessed: 28 May 2026).</w:t>
      </w:r>
    </w:p>
    <w:p w14:paraId="0654B736"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Snoswell, C.L., Haydon, H.M., Catapan, S. de C., Kelly, J.T., Thomas, E.E., Neil, L.J., Taylor, M.L., Smith, A.C. and Caffery, L.J. (2025) ‘Telephone versus video consultations: A systematic review of consumer and provider preferences’, </w:t>
      </w:r>
      <w:r w:rsidRPr="00EE4FC1">
        <w:rPr>
          <w:rFonts w:ascii="Arial" w:eastAsia="PMingLiU" w:hAnsi="Arial" w:cs="Arial"/>
          <w:i/>
          <w:iCs/>
          <w:sz w:val="22"/>
          <w:szCs w:val="22"/>
          <w:lang w:eastAsia="zh-CN"/>
        </w:rPr>
        <w:t>Journal of telemedicine and telecare</w:t>
      </w:r>
      <w:r w:rsidRPr="00EE4FC1">
        <w:rPr>
          <w:rFonts w:ascii="Arial" w:eastAsia="PMingLiU" w:hAnsi="Arial" w:cs="Arial"/>
          <w:sz w:val="22"/>
          <w:szCs w:val="22"/>
          <w:lang w:eastAsia="zh-CN"/>
        </w:rPr>
        <w:t xml:space="preserve">, 32(4), pp.  316-335. Available at: </w:t>
      </w:r>
      <w:hyperlink r:id="rId116">
        <w:r w:rsidRPr="00EE4FC1">
          <w:rPr>
            <w:rFonts w:ascii="Arial" w:eastAsia="PMingLiU" w:hAnsi="Arial" w:cs="Arial"/>
            <w:color w:val="0563C1"/>
            <w:sz w:val="22"/>
            <w:szCs w:val="22"/>
            <w:u w:val="single"/>
            <w:lang w:eastAsia="zh-CN"/>
          </w:rPr>
          <w:t>https://doi.org/10.1177/1357633X251341199</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18 August 2026)</w:t>
      </w:r>
    </w:p>
    <w:p w14:paraId="7B05336F"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Sohrabi, C., Khalid, A. A., Halari, S. and Bindra, H. S. (2020) ‘Letter to the editor in response to the ‘Home-based video visits for paediatric patients with poorly controlled type I diabetes’ study’, </w:t>
      </w:r>
      <w:r w:rsidRPr="00EE4FC1">
        <w:rPr>
          <w:rFonts w:ascii="Arial" w:eastAsia="PMingLiU" w:hAnsi="Arial" w:cs="Arial"/>
          <w:i/>
          <w:iCs/>
          <w:sz w:val="22"/>
          <w:szCs w:val="22"/>
          <w:lang w:eastAsia="zh-CN"/>
        </w:rPr>
        <w:t>Journal of Telemedicine and Telecare</w:t>
      </w:r>
      <w:r w:rsidRPr="00EE4FC1">
        <w:rPr>
          <w:rFonts w:ascii="Arial" w:eastAsia="PMingLiU" w:hAnsi="Arial" w:cs="Arial"/>
          <w:sz w:val="22"/>
          <w:szCs w:val="22"/>
          <w:lang w:eastAsia="zh-CN"/>
        </w:rPr>
        <w:t xml:space="preserve">, 26(6), pp. 376-377. Available at: </w:t>
      </w:r>
      <w:hyperlink r:id="rId117" w:history="1">
        <w:r w:rsidRPr="00EE4FC1">
          <w:rPr>
            <w:rFonts w:ascii="Arial" w:eastAsia="PMingLiU" w:hAnsi="Arial" w:cs="Arial"/>
            <w:color w:val="0563C1"/>
            <w:sz w:val="22"/>
            <w:szCs w:val="22"/>
            <w:u w:val="single"/>
            <w:lang w:eastAsia="zh-CN"/>
          </w:rPr>
          <w:t>https://doi.org/10.1177/1357633X19861235</w:t>
        </w:r>
      </w:hyperlink>
      <w:r w:rsidRPr="00EE4FC1">
        <w:rPr>
          <w:rFonts w:ascii="Arial" w:eastAsia="PMingLiU" w:hAnsi="Arial" w:cs="Arial"/>
          <w:sz w:val="22"/>
          <w:szCs w:val="22"/>
          <w:lang w:eastAsia="zh-CN"/>
        </w:rPr>
        <w:t xml:space="preserve"> (Accessed: 26 August 2026).</w:t>
      </w:r>
    </w:p>
    <w:p w14:paraId="11931899"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Stoll, J., Sadler, J. Z. and Trachsel, M. (2020) ‘The ethical use of telepsychiatry in the Covid-19 pandemic’, </w:t>
      </w:r>
      <w:r w:rsidRPr="00EE4FC1">
        <w:rPr>
          <w:rFonts w:ascii="Arial" w:eastAsia="PMingLiU" w:hAnsi="Arial" w:cs="Arial"/>
          <w:i/>
          <w:iCs/>
          <w:sz w:val="22"/>
          <w:szCs w:val="22"/>
          <w:lang w:eastAsia="zh-CN"/>
        </w:rPr>
        <w:t>Frontiers in psychiatry</w:t>
      </w:r>
      <w:r w:rsidRPr="00EE4FC1">
        <w:rPr>
          <w:rFonts w:ascii="Arial" w:eastAsia="PMingLiU" w:hAnsi="Arial" w:cs="Arial"/>
          <w:sz w:val="22"/>
          <w:szCs w:val="22"/>
          <w:lang w:eastAsia="zh-CN"/>
        </w:rPr>
        <w:t xml:space="preserve">, 11, p. 665. Available at: </w:t>
      </w:r>
      <w:hyperlink r:id="rId118" w:history="1">
        <w:r w:rsidRPr="00EE4FC1">
          <w:rPr>
            <w:rFonts w:ascii="Arial" w:eastAsia="PMingLiU" w:hAnsi="Arial" w:cs="Arial"/>
            <w:color w:val="0563C1"/>
            <w:sz w:val="22"/>
            <w:szCs w:val="22"/>
            <w:u w:val="single"/>
            <w:lang w:eastAsia="zh-CN"/>
          </w:rPr>
          <w:t>https://doi.org/10.3389/fpsyt.2020.00665</w:t>
        </w:r>
      </w:hyperlink>
      <w:r w:rsidRPr="00EE4FC1">
        <w:rPr>
          <w:rFonts w:ascii="Arial" w:eastAsia="PMingLiU" w:hAnsi="Arial" w:cs="Arial"/>
          <w:sz w:val="22"/>
          <w:szCs w:val="22"/>
          <w:lang w:eastAsia="zh-CN"/>
        </w:rPr>
        <w:t xml:space="preserve"> (Accessed: 26 August 2026).</w:t>
      </w:r>
    </w:p>
    <w:p w14:paraId="53234F04"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Sutherland, A. E., Stickland, J. and Wee, B. (2020) ‘Can video consultations replace face-to-face interviews? Palliative medicine and the Covid-19 pandemic: rapid review’, </w:t>
      </w:r>
      <w:r w:rsidRPr="00EE4FC1">
        <w:rPr>
          <w:rFonts w:ascii="Arial" w:eastAsia="PMingLiU" w:hAnsi="Arial" w:cs="Arial"/>
          <w:i/>
          <w:iCs/>
          <w:sz w:val="22"/>
          <w:szCs w:val="22"/>
          <w:lang w:eastAsia="zh-CN"/>
        </w:rPr>
        <w:t>BMJ supportive &amp; palliative care</w:t>
      </w:r>
      <w:r w:rsidRPr="00EE4FC1">
        <w:rPr>
          <w:rFonts w:ascii="Arial" w:eastAsia="PMingLiU" w:hAnsi="Arial" w:cs="Arial"/>
          <w:sz w:val="22"/>
          <w:szCs w:val="22"/>
          <w:lang w:eastAsia="zh-CN"/>
        </w:rPr>
        <w:t xml:space="preserve">, 10(3), pp. 271-275. Available at: </w:t>
      </w:r>
      <w:hyperlink r:id="rId119">
        <w:r w:rsidRPr="00EE4FC1">
          <w:rPr>
            <w:rFonts w:ascii="Arial" w:eastAsia="PMingLiU" w:hAnsi="Arial" w:cs="Arial"/>
            <w:color w:val="0563C1"/>
            <w:sz w:val="22"/>
            <w:szCs w:val="22"/>
            <w:u w:val="single"/>
            <w:lang w:eastAsia="zh-CN"/>
          </w:rPr>
          <w:t>https://doi.org/10.1136/bmjspcare-2020-002326</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20 August 2026)</w:t>
      </w:r>
    </w:p>
    <w:p w14:paraId="0C9B3774"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val="en-US" w:eastAsia="zh-CN"/>
        </w:rPr>
      </w:pPr>
      <w:r w:rsidRPr="00EE4FC1">
        <w:rPr>
          <w:rFonts w:ascii="Arial" w:eastAsia="PMingLiU" w:hAnsi="Arial" w:cs="Arial"/>
          <w:sz w:val="22"/>
          <w:szCs w:val="22"/>
          <w:lang w:eastAsia="zh-CN"/>
        </w:rPr>
        <w:t>Turner, A., Morris, R., Rakhra, D., Stevenson, F., McDonagh, L., Hamilton, F. and Horwood, J. (2021) ‘Unintended consequences of online consultations: a qualitative study in UK primary care’,</w:t>
      </w:r>
      <w:r w:rsidRPr="00EE4FC1">
        <w:rPr>
          <w:rFonts w:ascii="Arial" w:eastAsia="PMingLiU" w:hAnsi="Arial" w:cs="Arial"/>
          <w:i/>
          <w:iCs/>
          <w:sz w:val="22"/>
          <w:szCs w:val="22"/>
          <w:lang w:eastAsia="zh-CN"/>
        </w:rPr>
        <w:t xml:space="preserve"> British Journal of General Practice</w:t>
      </w:r>
      <w:r w:rsidRPr="00EE4FC1">
        <w:rPr>
          <w:rFonts w:ascii="Arial" w:eastAsia="PMingLiU" w:hAnsi="Arial" w:cs="Arial"/>
          <w:sz w:val="22"/>
          <w:szCs w:val="22"/>
          <w:lang w:eastAsia="zh-CN"/>
        </w:rPr>
        <w:t xml:space="preserve">, </w:t>
      </w:r>
      <w:r w:rsidRPr="00EE4FC1">
        <w:rPr>
          <w:rFonts w:ascii="Arial" w:eastAsia="Times New Roman" w:hAnsi="Arial" w:cs="Arial"/>
          <w:kern w:val="0"/>
          <w:sz w:val="22"/>
          <w:szCs w:val="22"/>
          <w:lang w:eastAsia="en-GB"/>
        </w:rPr>
        <w:t>72(715), p. BJGP.2021.0426.</w:t>
      </w:r>
      <w:r w:rsidRPr="00EE4FC1">
        <w:rPr>
          <w:rFonts w:ascii="Calibri" w:eastAsia="Times New Roman" w:hAnsi="Calibri" w:cs="Calibri"/>
          <w:kern w:val="0"/>
          <w:lang w:eastAsia="en-GB"/>
        </w:rPr>
        <w:t xml:space="preserve"> </w:t>
      </w:r>
      <w:r w:rsidRPr="00EE4FC1">
        <w:rPr>
          <w:rFonts w:ascii="Arial" w:eastAsia="PMingLiU" w:hAnsi="Arial" w:cs="Arial"/>
          <w:sz w:val="22"/>
          <w:szCs w:val="22"/>
          <w:lang w:eastAsia="zh-CN"/>
        </w:rPr>
        <w:t xml:space="preserve"> Available at: </w:t>
      </w:r>
      <w:hyperlink r:id="rId120">
        <w:r w:rsidRPr="00EE4FC1">
          <w:rPr>
            <w:rFonts w:ascii="Arial" w:eastAsia="PMingLiU" w:hAnsi="Arial" w:cs="Arial"/>
            <w:color w:val="0563C1"/>
            <w:sz w:val="22"/>
            <w:szCs w:val="22"/>
            <w:u w:val="single"/>
            <w:lang w:eastAsia="zh-CN"/>
          </w:rPr>
          <w:t>https://doi.org/10.3399/BJGP.2021.0426</w:t>
        </w:r>
      </w:hyperlink>
      <w:r w:rsidRPr="00EE4FC1">
        <w:rPr>
          <w:rFonts w:ascii="Arial" w:eastAsia="PMingLiU" w:hAnsi="Arial" w:cs="Arial"/>
          <w:sz w:val="22"/>
          <w:szCs w:val="22"/>
          <w:lang w:eastAsia="zh-CN"/>
        </w:rPr>
        <w:t xml:space="preserve"> (Accessed: 01 June 2026).</w:t>
      </w:r>
    </w:p>
    <w:p w14:paraId="39AB1F4E"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van Galen, L. S. and Car, J. (2018) ‘Telephone consultations’, </w:t>
      </w:r>
      <w:r w:rsidRPr="00EE4FC1">
        <w:rPr>
          <w:rFonts w:ascii="Arial" w:eastAsia="PMingLiU" w:hAnsi="Arial" w:cs="Arial"/>
          <w:i/>
          <w:iCs/>
          <w:sz w:val="22"/>
          <w:szCs w:val="22"/>
          <w:lang w:eastAsia="zh-CN"/>
        </w:rPr>
        <w:t>BMJ</w:t>
      </w:r>
      <w:r w:rsidRPr="00EE4FC1">
        <w:rPr>
          <w:rFonts w:ascii="Arial" w:eastAsia="PMingLiU" w:hAnsi="Arial" w:cs="Arial"/>
          <w:sz w:val="22"/>
          <w:szCs w:val="22"/>
          <w:lang w:eastAsia="zh-CN"/>
        </w:rPr>
        <w:t xml:space="preserve">, 360, p.k1047. Available at: </w:t>
      </w:r>
      <w:hyperlink r:id="rId121">
        <w:r w:rsidRPr="00EE4FC1">
          <w:rPr>
            <w:rFonts w:ascii="Arial" w:eastAsia="PMingLiU" w:hAnsi="Arial" w:cs="Arial"/>
            <w:color w:val="0563C1"/>
            <w:sz w:val="22"/>
            <w:szCs w:val="22"/>
            <w:u w:val="single"/>
            <w:lang w:eastAsia="zh-CN"/>
          </w:rPr>
          <w:t>https://doi.org/10.1136/bmj.k1047</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29 August 2026)</w:t>
      </w:r>
    </w:p>
    <w:p w14:paraId="74DCB5B8"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Wale, A., Everitt, J., Ayres, T., Okolie, C., Morgan, H.E., Shaw, H., Cooper, A., Edwards, A. and Lewis, R. (2025) ‘Effectiveness of interventions for addressing digital exclusion in older adults in the social care domain: rapid review’, </w:t>
      </w:r>
      <w:r w:rsidRPr="00EE4FC1">
        <w:rPr>
          <w:rFonts w:ascii="Arial" w:eastAsia="PMingLiU" w:hAnsi="Arial" w:cs="Arial"/>
          <w:i/>
          <w:iCs/>
          <w:sz w:val="22"/>
          <w:szCs w:val="22"/>
          <w:lang w:eastAsia="zh-CN"/>
        </w:rPr>
        <w:t>JMIR aging</w:t>
      </w:r>
      <w:r w:rsidRPr="00EE4FC1">
        <w:rPr>
          <w:rFonts w:ascii="Arial" w:eastAsia="PMingLiU" w:hAnsi="Arial" w:cs="Arial"/>
          <w:sz w:val="22"/>
          <w:szCs w:val="22"/>
          <w:lang w:eastAsia="zh-CN"/>
        </w:rPr>
        <w:t xml:space="preserve">, 8, p. e70377. Available at: </w:t>
      </w:r>
      <w:hyperlink r:id="rId122">
        <w:r w:rsidRPr="00EE4FC1">
          <w:rPr>
            <w:rFonts w:ascii="Arial" w:eastAsia="PMingLiU" w:hAnsi="Arial" w:cs="Arial"/>
            <w:color w:val="0563C1"/>
            <w:sz w:val="22"/>
            <w:szCs w:val="22"/>
            <w:u w:val="single"/>
            <w:lang w:eastAsia="zh-CN"/>
          </w:rPr>
          <w:t>https://doi.org/10.2196/70377</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12 August 2026)</w:t>
      </w:r>
    </w:p>
    <w:p w14:paraId="5234517F" w14:textId="77777777" w:rsidR="00042674" w:rsidRPr="00EE4FC1" w:rsidRDefault="00042674" w:rsidP="00820755">
      <w:pPr>
        <w:numPr>
          <w:ilvl w:val="0"/>
          <w:numId w:val="4"/>
        </w:numPr>
        <w:spacing w:after="0"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t>Wang, Y., Zhao, Y., Zheng, J., Zhang, A. and Dong, H. (2017) ‘The evolution of publication hotspots in the field of telemedicine from 1962 to 2015 and differences among six countries’, </w:t>
      </w:r>
      <w:r w:rsidRPr="00EE4FC1">
        <w:rPr>
          <w:rFonts w:ascii="Arial" w:eastAsia="PMingLiU" w:hAnsi="Arial" w:cs="Arial"/>
          <w:i/>
          <w:iCs/>
          <w:sz w:val="22"/>
          <w:szCs w:val="22"/>
          <w:lang w:eastAsia="zh-CN"/>
        </w:rPr>
        <w:t>Journal of telemedicine and telecare</w:t>
      </w:r>
      <w:r w:rsidRPr="00EE4FC1">
        <w:rPr>
          <w:rFonts w:ascii="Arial" w:eastAsia="PMingLiU" w:hAnsi="Arial" w:cs="Arial"/>
          <w:sz w:val="22"/>
          <w:szCs w:val="22"/>
          <w:lang w:eastAsia="zh-CN"/>
        </w:rPr>
        <w:t xml:space="preserve">, 24(3), pp. 238–253. Available at: </w:t>
      </w:r>
      <w:hyperlink r:id="rId123">
        <w:r w:rsidRPr="00EE4FC1">
          <w:rPr>
            <w:rFonts w:ascii="Arial" w:eastAsia="PMingLiU" w:hAnsi="Arial" w:cs="Arial"/>
            <w:color w:val="0563C1"/>
            <w:sz w:val="22"/>
            <w:szCs w:val="22"/>
            <w:u w:val="single"/>
            <w:lang w:eastAsia="zh-CN"/>
          </w:rPr>
          <w:t>https://doi.org/10.1177/1357633x17693749</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28 August 2026)</w:t>
      </w:r>
    </w:p>
    <w:p w14:paraId="3C276681" w14:textId="77777777" w:rsidR="00042674" w:rsidRPr="00EE4FC1" w:rsidRDefault="00042674" w:rsidP="00820755">
      <w:pPr>
        <w:numPr>
          <w:ilvl w:val="0"/>
          <w:numId w:val="4"/>
        </w:numPr>
        <w:spacing w:after="0" w:line="360" w:lineRule="auto"/>
        <w:ind w:left="360"/>
        <w:contextualSpacing/>
        <w:jc w:val="both"/>
        <w:rPr>
          <w:rFonts w:ascii="Arial" w:eastAsia="DengXian" w:hAnsi="Arial" w:cs="Arial"/>
          <w:sz w:val="22"/>
          <w:szCs w:val="22"/>
          <w:lang w:eastAsia="zh-CN"/>
        </w:rPr>
      </w:pPr>
      <w:r w:rsidRPr="00EE4FC1">
        <w:rPr>
          <w:rFonts w:ascii="Arial" w:eastAsia="PMingLiU" w:hAnsi="Arial" w:cs="Arial"/>
          <w:sz w:val="22"/>
          <w:szCs w:val="22"/>
          <w:lang w:eastAsia="zh-CN"/>
        </w:rPr>
        <w:t xml:space="preserve">Wardlow, L., Roberts, C. and Archbald-Pannone, L. (2022) ‘Perceptions and uses of telehealth in the care of older adults’, </w:t>
      </w:r>
      <w:r w:rsidRPr="00EE4FC1">
        <w:rPr>
          <w:rFonts w:ascii="Arial" w:eastAsia="PMingLiU" w:hAnsi="Arial" w:cs="Arial"/>
          <w:i/>
          <w:iCs/>
          <w:sz w:val="22"/>
          <w:szCs w:val="22"/>
          <w:lang w:eastAsia="zh-CN"/>
        </w:rPr>
        <w:t>Telemedicine and e-Health</w:t>
      </w:r>
      <w:r w:rsidRPr="00EE4FC1">
        <w:rPr>
          <w:rFonts w:ascii="Arial" w:eastAsia="PMingLiU" w:hAnsi="Arial" w:cs="Arial"/>
          <w:sz w:val="22"/>
          <w:szCs w:val="22"/>
          <w:lang w:eastAsia="zh-CN"/>
        </w:rPr>
        <w:t xml:space="preserve">, 29(8), pp. 1143-1151. Available at: </w:t>
      </w:r>
      <w:hyperlink r:id="rId124">
        <w:r w:rsidRPr="00EE4FC1">
          <w:rPr>
            <w:rFonts w:ascii="Arial" w:eastAsia="PMingLiU" w:hAnsi="Arial" w:cs="Arial"/>
            <w:color w:val="0563C1"/>
            <w:sz w:val="22"/>
            <w:szCs w:val="22"/>
            <w:u w:val="single"/>
            <w:lang w:eastAsia="zh-CN"/>
          </w:rPr>
          <w:t>https://doi.org/10.1089/tmj.2022.0378</w:t>
        </w:r>
      </w:hyperlink>
      <w:r w:rsidRPr="00EE4FC1">
        <w:rPr>
          <w:rFonts w:ascii="Arial" w:eastAsia="PMingLiU" w:hAnsi="Arial" w:cs="Arial"/>
          <w:sz w:val="22"/>
          <w:szCs w:val="22"/>
          <w:lang w:eastAsia="zh-CN"/>
        </w:rPr>
        <w:t xml:space="preserve">  </w:t>
      </w:r>
      <w:r w:rsidRPr="00EE4FC1">
        <w:rPr>
          <w:rFonts w:ascii="Arial" w:eastAsia="PMingLiU" w:hAnsi="Arial" w:cs="Arial"/>
          <w:sz w:val="22"/>
          <w:szCs w:val="22"/>
          <w:lang w:val="en-US" w:eastAsia="zh-CN"/>
        </w:rPr>
        <w:t>(Accessed: 13 August 2026)</w:t>
      </w:r>
    </w:p>
    <w:p w14:paraId="4E9435E2" w14:textId="77777777" w:rsidR="00042674" w:rsidRPr="00EE4FC1" w:rsidRDefault="00042674" w:rsidP="00820755">
      <w:pPr>
        <w:numPr>
          <w:ilvl w:val="0"/>
          <w:numId w:val="4"/>
        </w:numPr>
        <w:spacing w:line="360" w:lineRule="auto"/>
        <w:ind w:left="360"/>
        <w:contextualSpacing/>
        <w:jc w:val="both"/>
        <w:rPr>
          <w:rFonts w:ascii="Arial" w:eastAsia="PMingLiU" w:hAnsi="Arial" w:cs="Arial"/>
          <w:sz w:val="22"/>
          <w:szCs w:val="22"/>
          <w:lang w:eastAsia="zh-CN"/>
        </w:rPr>
      </w:pPr>
      <w:r w:rsidRPr="00EE4FC1">
        <w:rPr>
          <w:rFonts w:ascii="Arial" w:eastAsia="PMingLiU" w:hAnsi="Arial" w:cs="Arial"/>
          <w:sz w:val="22"/>
          <w:szCs w:val="22"/>
          <w:lang w:eastAsia="zh-CN"/>
        </w:rPr>
        <w:lastRenderedPageBreak/>
        <w:t xml:space="preserve">Welsh Government (2023) </w:t>
      </w:r>
      <w:r w:rsidRPr="00EE4FC1">
        <w:rPr>
          <w:rFonts w:ascii="Arial" w:eastAsia="PMingLiU" w:hAnsi="Arial" w:cs="Arial"/>
          <w:i/>
          <w:iCs/>
          <w:sz w:val="22"/>
          <w:szCs w:val="22"/>
          <w:lang w:eastAsia="zh-CN"/>
        </w:rPr>
        <w:t>Digital and data strategy for health and social care in Wales</w:t>
      </w:r>
      <w:r w:rsidRPr="00EE4FC1">
        <w:rPr>
          <w:rFonts w:ascii="Arial" w:eastAsia="PMingLiU" w:hAnsi="Arial" w:cs="Arial"/>
          <w:sz w:val="22"/>
          <w:szCs w:val="22"/>
          <w:lang w:eastAsia="zh-CN"/>
        </w:rPr>
        <w:t xml:space="preserve">. Available at: </w:t>
      </w:r>
      <w:hyperlink r:id="rId125" w:history="1">
        <w:r w:rsidRPr="00EE4FC1">
          <w:rPr>
            <w:rFonts w:ascii="Arial" w:eastAsia="PMingLiU" w:hAnsi="Arial" w:cs="Arial"/>
            <w:color w:val="0563C1"/>
            <w:sz w:val="22"/>
            <w:szCs w:val="22"/>
            <w:u w:val="single"/>
            <w:lang w:eastAsia="zh-CN"/>
          </w:rPr>
          <w:t>https://www.gov.wales/digital-and-data-strategy-health-and-social-care-wales-html</w:t>
        </w:r>
      </w:hyperlink>
      <w:r w:rsidRPr="00EE4FC1">
        <w:rPr>
          <w:rFonts w:ascii="Arial" w:eastAsia="PMingLiU" w:hAnsi="Arial" w:cs="Arial"/>
          <w:sz w:val="22"/>
          <w:szCs w:val="22"/>
          <w:lang w:eastAsia="zh-CN"/>
        </w:rPr>
        <w:t xml:space="preserve"> (Accessed: 26 August 2026).</w:t>
      </w:r>
    </w:p>
    <w:p w14:paraId="26E402D5" w14:textId="77777777" w:rsidR="00EE4FC1" w:rsidRPr="00EE4FC1" w:rsidRDefault="00EE4FC1" w:rsidP="00820755">
      <w:pPr>
        <w:spacing w:after="194" w:line="360" w:lineRule="auto"/>
        <w:jc w:val="both"/>
        <w:rPr>
          <w:rFonts w:ascii="Arial" w:eastAsia="PMingLiU" w:hAnsi="Arial" w:cs="Arial"/>
          <w:sz w:val="22"/>
          <w:szCs w:val="22"/>
          <w:lang w:eastAsia="zh-CN"/>
        </w:rPr>
      </w:pPr>
    </w:p>
    <w:p w14:paraId="144D7628" w14:textId="77777777" w:rsidR="00EE4FC1" w:rsidRPr="00EE4FC1" w:rsidRDefault="00EE4FC1" w:rsidP="00EE4FC1">
      <w:pPr>
        <w:spacing w:line="360" w:lineRule="auto"/>
        <w:jc w:val="both"/>
        <w:rPr>
          <w:rFonts w:ascii="Arial" w:eastAsia="PMingLiU" w:hAnsi="Arial" w:cs="Arial"/>
          <w:sz w:val="22"/>
          <w:szCs w:val="22"/>
          <w:lang w:eastAsia="zh-CN"/>
        </w:rPr>
      </w:pPr>
    </w:p>
    <w:p w14:paraId="7ABA88A9" w14:textId="77777777" w:rsidR="00EE4FC1" w:rsidRPr="00EE4FC1" w:rsidRDefault="00EE4FC1" w:rsidP="00EE4FC1"/>
    <w:p w14:paraId="6119BB12" w14:textId="77777777" w:rsidR="00EE4FC1" w:rsidRPr="00EE4FC1" w:rsidRDefault="00EE4FC1" w:rsidP="00EE4FC1">
      <w:pPr>
        <w:spacing w:line="360" w:lineRule="auto"/>
        <w:jc w:val="both"/>
        <w:rPr>
          <w:rFonts w:ascii="Arial" w:eastAsia="PMingLiU" w:hAnsi="Arial" w:cs="Arial"/>
          <w:sz w:val="22"/>
          <w:szCs w:val="22"/>
          <w:lang w:eastAsia="zh-CN"/>
        </w:rPr>
        <w:sectPr w:rsidR="00EE4FC1" w:rsidRPr="00EE4FC1" w:rsidSect="00EE4FC1">
          <w:footerReference w:type="even" r:id="rId126"/>
          <w:footerReference w:type="default" r:id="rId127"/>
          <w:footerReference w:type="first" r:id="rId128"/>
          <w:pgSz w:w="11906" w:h="16838"/>
          <w:pgMar w:top="1440" w:right="1440" w:bottom="1440" w:left="1440" w:header="708" w:footer="708" w:gutter="0"/>
          <w:cols w:space="708"/>
          <w:docGrid w:linePitch="360"/>
        </w:sectPr>
      </w:pPr>
    </w:p>
    <w:p w14:paraId="332A8F29" w14:textId="77777777" w:rsidR="00EE4FC1" w:rsidRPr="00EE4FC1" w:rsidRDefault="00EE4FC1" w:rsidP="00EE4FC1">
      <w:pPr>
        <w:spacing w:line="360" w:lineRule="auto"/>
        <w:jc w:val="both"/>
        <w:rPr>
          <w:rFonts w:ascii="Arial" w:eastAsia="PMingLiU" w:hAnsi="Arial" w:cs="Arial"/>
          <w:b/>
          <w:bCs/>
          <w:sz w:val="22"/>
          <w:szCs w:val="22"/>
          <w:lang w:eastAsia="zh-CN"/>
        </w:rPr>
      </w:pPr>
      <w:r w:rsidRPr="00EE4FC1">
        <w:rPr>
          <w:rFonts w:ascii="Arial" w:eastAsia="PMingLiU" w:hAnsi="Arial" w:cs="Arial"/>
          <w:b/>
          <w:bCs/>
          <w:sz w:val="22"/>
          <w:szCs w:val="22"/>
          <w:lang w:eastAsia="zh-CN"/>
        </w:rPr>
        <w:lastRenderedPageBreak/>
        <w:t xml:space="preserve">Appendices </w:t>
      </w:r>
    </w:p>
    <w:p w14:paraId="02C2E7C6" w14:textId="77777777" w:rsidR="00EE4FC1" w:rsidRPr="00EE4FC1" w:rsidRDefault="00EE4FC1" w:rsidP="00EE4FC1">
      <w:pPr>
        <w:spacing w:line="360" w:lineRule="auto"/>
        <w:jc w:val="both"/>
        <w:rPr>
          <w:rFonts w:ascii="Arial" w:eastAsia="PMingLiU" w:hAnsi="Arial" w:cs="Arial"/>
          <w:sz w:val="22"/>
          <w:szCs w:val="22"/>
          <w:lang w:eastAsia="zh-CN"/>
        </w:rPr>
      </w:pPr>
      <w:r w:rsidRPr="00EE4FC1">
        <w:rPr>
          <w:rFonts w:ascii="Arial" w:eastAsia="PMingLiU" w:hAnsi="Arial" w:cs="Arial"/>
          <w:sz w:val="22"/>
          <w:szCs w:val="22"/>
          <w:lang w:eastAsia="zh-CN"/>
        </w:rPr>
        <w:t xml:space="preserve">Appendix 1: </w:t>
      </w:r>
      <w:bookmarkStart w:id="95" w:name="X830d1a00a57ca7abc41d9032fb7d7165de4db53"/>
      <w:r w:rsidRPr="00EE4FC1">
        <w:rPr>
          <w:rFonts w:ascii="Arial" w:eastAsia="PMingLiU" w:hAnsi="Arial" w:cs="Arial"/>
          <w:sz w:val="22"/>
          <w:szCs w:val="22"/>
          <w:lang w:eastAsia="zh-CN"/>
        </w:rPr>
        <w:t>Quality Appraisal of Included Studies</w:t>
      </w:r>
    </w:p>
    <w:tbl>
      <w:tblPr>
        <w:tblW w:w="5909" w:type="pct"/>
        <w:tblInd w:w="-1350" w:type="dxa"/>
        <w:tblLayout w:type="fixed"/>
        <w:tblLook w:val="0020" w:firstRow="1" w:lastRow="0" w:firstColumn="0" w:lastColumn="0" w:noHBand="0" w:noVBand="0"/>
      </w:tblPr>
      <w:tblGrid>
        <w:gridCol w:w="628"/>
        <w:gridCol w:w="1694"/>
        <w:gridCol w:w="4943"/>
        <w:gridCol w:w="1976"/>
        <w:gridCol w:w="1976"/>
        <w:gridCol w:w="1976"/>
        <w:gridCol w:w="3303"/>
      </w:tblGrid>
      <w:tr w:rsidR="00EE4FC1" w:rsidRPr="00EE4FC1" w14:paraId="571D9758" w14:textId="77777777" w:rsidTr="00E036D3">
        <w:trPr>
          <w:trHeight w:val="589"/>
          <w:tblHeader/>
        </w:trPr>
        <w:tc>
          <w:tcPr>
            <w:tcW w:w="634" w:type="dxa"/>
            <w:tcBorders>
              <w:bottom w:val="single" w:sz="0" w:space="0" w:color="auto"/>
            </w:tcBorders>
            <w:vAlign w:val="bottom"/>
          </w:tcPr>
          <w:p w14:paraId="0A423C2C"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No.</w:t>
            </w:r>
          </w:p>
        </w:tc>
        <w:tc>
          <w:tcPr>
            <w:tcW w:w="1719" w:type="dxa"/>
            <w:tcBorders>
              <w:bottom w:val="single" w:sz="0" w:space="0" w:color="auto"/>
            </w:tcBorders>
            <w:vAlign w:val="bottom"/>
          </w:tcPr>
          <w:p w14:paraId="2A0B2207"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Included study</w:t>
            </w:r>
          </w:p>
        </w:tc>
        <w:tc>
          <w:tcPr>
            <w:tcW w:w="5024" w:type="dxa"/>
            <w:tcBorders>
              <w:bottom w:val="single" w:sz="0" w:space="0" w:color="auto"/>
            </w:tcBorders>
            <w:vAlign w:val="bottom"/>
          </w:tcPr>
          <w:p w14:paraId="0825404D"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Study design</w:t>
            </w:r>
          </w:p>
        </w:tc>
        <w:tc>
          <w:tcPr>
            <w:tcW w:w="2006" w:type="dxa"/>
            <w:tcBorders>
              <w:bottom w:val="single" w:sz="0" w:space="0" w:color="auto"/>
            </w:tcBorders>
            <w:vAlign w:val="bottom"/>
          </w:tcPr>
          <w:p w14:paraId="1820856E"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Appraisal tool</w:t>
            </w:r>
          </w:p>
        </w:tc>
        <w:tc>
          <w:tcPr>
            <w:tcW w:w="2006" w:type="dxa"/>
            <w:tcBorders>
              <w:bottom w:val="single" w:sz="0" w:space="0" w:color="auto"/>
            </w:tcBorders>
            <w:vAlign w:val="bottom"/>
          </w:tcPr>
          <w:p w14:paraId="32AB98AD"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Overall appraisal</w:t>
            </w:r>
          </w:p>
        </w:tc>
        <w:tc>
          <w:tcPr>
            <w:tcW w:w="2006" w:type="dxa"/>
            <w:tcBorders>
              <w:bottom w:val="single" w:sz="0" w:space="0" w:color="auto"/>
            </w:tcBorders>
            <w:vAlign w:val="bottom"/>
          </w:tcPr>
          <w:p w14:paraId="7C0D0085"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Key quality strengths</w:t>
            </w:r>
          </w:p>
        </w:tc>
        <w:tc>
          <w:tcPr>
            <w:tcW w:w="3356" w:type="dxa"/>
            <w:tcBorders>
              <w:bottom w:val="single" w:sz="0" w:space="0" w:color="auto"/>
            </w:tcBorders>
            <w:vAlign w:val="bottom"/>
          </w:tcPr>
          <w:p w14:paraId="19D9E472"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Key quality concerns</w:t>
            </w:r>
          </w:p>
        </w:tc>
      </w:tr>
      <w:tr w:rsidR="00EE4FC1" w:rsidRPr="00EE4FC1" w14:paraId="507462C6" w14:textId="77777777" w:rsidTr="00E036D3">
        <w:trPr>
          <w:trHeight w:val="3181"/>
        </w:trPr>
        <w:tc>
          <w:tcPr>
            <w:tcW w:w="634" w:type="dxa"/>
          </w:tcPr>
          <w:p w14:paraId="2543F212"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1</w:t>
            </w:r>
          </w:p>
        </w:tc>
        <w:tc>
          <w:tcPr>
            <w:tcW w:w="1719" w:type="dxa"/>
          </w:tcPr>
          <w:p w14:paraId="3AAA73FB"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Lifford et al. (2023)</w:t>
            </w:r>
          </w:p>
        </w:tc>
        <w:tc>
          <w:tcPr>
            <w:tcW w:w="5024" w:type="dxa"/>
          </w:tcPr>
          <w:p w14:paraId="38303D0D"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Cross-sectional online survey; 1,426 UK adults</w:t>
            </w:r>
          </w:p>
        </w:tc>
        <w:tc>
          <w:tcPr>
            <w:tcW w:w="2006" w:type="dxa"/>
          </w:tcPr>
          <w:p w14:paraId="2DA2DF89"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JBI Critical Appraisal Checklist for Analytical Cross-Sectional Studies</w:t>
            </w:r>
          </w:p>
        </w:tc>
        <w:tc>
          <w:tcPr>
            <w:tcW w:w="2006" w:type="dxa"/>
          </w:tcPr>
          <w:p w14:paraId="5C664D01" w14:textId="77777777" w:rsidR="00EE4FC1" w:rsidRPr="00EE4FC1" w:rsidRDefault="00EE4FC1" w:rsidP="00EE4FC1">
            <w:pPr>
              <w:spacing w:before="36" w:after="36" w:line="240" w:lineRule="auto"/>
              <w:jc w:val="center"/>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Good</w:t>
            </w:r>
          </w:p>
        </w:tc>
        <w:tc>
          <w:tcPr>
            <w:tcW w:w="2006" w:type="dxa"/>
          </w:tcPr>
          <w:p w14:paraId="5BA50F14"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Large sample size; UK adult population; directly examined satisfaction with remote consultations; quantitative data allowed comparison across patient characteristics.</w:t>
            </w:r>
          </w:p>
        </w:tc>
        <w:tc>
          <w:tcPr>
            <w:tcW w:w="3356" w:type="dxa"/>
          </w:tcPr>
          <w:p w14:paraId="66406BCC"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Cross-sectional design prevents causal conclusions; online recruitment may exclude people with limited digital access; self-reported satisfaction may introduce response bias; findings may not represent adults who did not use online services.</w:t>
            </w:r>
          </w:p>
        </w:tc>
      </w:tr>
      <w:tr w:rsidR="00EE4FC1" w:rsidRPr="00EE4FC1" w14:paraId="4B34023B" w14:textId="77777777" w:rsidTr="00E036D3">
        <w:trPr>
          <w:trHeight w:val="3697"/>
        </w:trPr>
        <w:tc>
          <w:tcPr>
            <w:tcW w:w="634" w:type="dxa"/>
          </w:tcPr>
          <w:p w14:paraId="1BFE34D3"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2</w:t>
            </w:r>
          </w:p>
        </w:tc>
        <w:tc>
          <w:tcPr>
            <w:tcW w:w="1719" w:type="dxa"/>
          </w:tcPr>
          <w:p w14:paraId="023D55E7"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Islam et al. (2024)</w:t>
            </w:r>
          </w:p>
        </w:tc>
        <w:tc>
          <w:tcPr>
            <w:tcW w:w="5024" w:type="dxa"/>
          </w:tcPr>
          <w:p w14:paraId="06152AD4"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Qualitative interview study involving 100 minoritised ethnic adults in the UK</w:t>
            </w:r>
          </w:p>
        </w:tc>
        <w:tc>
          <w:tcPr>
            <w:tcW w:w="2006" w:type="dxa"/>
          </w:tcPr>
          <w:p w14:paraId="7518CB6D"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CASP Qualitative Checklist</w:t>
            </w:r>
          </w:p>
        </w:tc>
        <w:tc>
          <w:tcPr>
            <w:tcW w:w="2006" w:type="dxa"/>
          </w:tcPr>
          <w:p w14:paraId="5340FF37" w14:textId="77777777" w:rsidR="00EE4FC1" w:rsidRPr="00EE4FC1" w:rsidRDefault="00EE4FC1" w:rsidP="00EE4FC1">
            <w:pPr>
              <w:spacing w:before="36" w:after="36" w:line="240" w:lineRule="auto"/>
              <w:jc w:val="center"/>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Good</w:t>
            </w:r>
          </w:p>
        </w:tc>
        <w:tc>
          <w:tcPr>
            <w:tcW w:w="2006" w:type="dxa"/>
          </w:tcPr>
          <w:p w14:paraId="7F8BC575"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Clear qualitative approach; direct exploration of experiences of minoritised ethnic communities; interviews provided detailed patient perspectives; strong relevance to inequalities in digital primary care</w:t>
            </w:r>
          </w:p>
        </w:tc>
        <w:tc>
          <w:tcPr>
            <w:tcW w:w="3356" w:type="dxa"/>
          </w:tcPr>
          <w:p w14:paraId="30230999"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Relatively specific participant group limits transferability; findings may be influenced by participants' willingness to discuss experiences; qualitative findings cannot establish prevalence</w:t>
            </w:r>
          </w:p>
        </w:tc>
      </w:tr>
      <w:tr w:rsidR="00EE4FC1" w:rsidRPr="00EE4FC1" w14:paraId="18739FD8" w14:textId="77777777" w:rsidTr="00E036D3">
        <w:trPr>
          <w:trHeight w:val="589"/>
        </w:trPr>
        <w:tc>
          <w:tcPr>
            <w:tcW w:w="634" w:type="dxa"/>
          </w:tcPr>
          <w:p w14:paraId="25466E7F"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lastRenderedPageBreak/>
              <w:t>3</w:t>
            </w:r>
          </w:p>
        </w:tc>
        <w:tc>
          <w:tcPr>
            <w:tcW w:w="1719" w:type="dxa"/>
          </w:tcPr>
          <w:p w14:paraId="1A09C88B"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Turner et al. (2021)</w:t>
            </w:r>
          </w:p>
        </w:tc>
        <w:tc>
          <w:tcPr>
            <w:tcW w:w="5024" w:type="dxa"/>
          </w:tcPr>
          <w:p w14:paraId="045F3E23"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Qualitative interview study; 19 UK patients</w:t>
            </w:r>
          </w:p>
        </w:tc>
        <w:tc>
          <w:tcPr>
            <w:tcW w:w="2006" w:type="dxa"/>
          </w:tcPr>
          <w:p w14:paraId="54DF7CAF"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CASP Qualitative Checklist</w:t>
            </w:r>
          </w:p>
        </w:tc>
        <w:tc>
          <w:tcPr>
            <w:tcW w:w="2006" w:type="dxa"/>
          </w:tcPr>
          <w:p w14:paraId="1CBF39B7" w14:textId="77777777" w:rsidR="00EE4FC1" w:rsidRPr="00EE4FC1" w:rsidRDefault="00EE4FC1" w:rsidP="00EE4FC1">
            <w:pPr>
              <w:spacing w:before="36" w:after="36" w:line="240" w:lineRule="auto"/>
              <w:jc w:val="center"/>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Good</w:t>
            </w:r>
          </w:p>
        </w:tc>
        <w:tc>
          <w:tcPr>
            <w:tcW w:w="2006" w:type="dxa"/>
          </w:tcPr>
          <w:p w14:paraId="6F15E9C9"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Appropriate qualitative methodology; direct exploration of unintended consequences of online consultations; detailed patient accounts.</w:t>
            </w:r>
          </w:p>
        </w:tc>
        <w:tc>
          <w:tcPr>
            <w:tcW w:w="3356" w:type="dxa"/>
          </w:tcPr>
          <w:p w14:paraId="36B6A8B9"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Small qualitative sample; findings are context-dependent; potential selection bias in recruitment; limited generalisability to all UK primary-care patients.</w:t>
            </w:r>
          </w:p>
        </w:tc>
      </w:tr>
      <w:tr w:rsidR="00EE4FC1" w:rsidRPr="00EE4FC1" w14:paraId="4BF9B9E7" w14:textId="77777777" w:rsidTr="00E036D3">
        <w:trPr>
          <w:trHeight w:val="147"/>
        </w:trPr>
        <w:tc>
          <w:tcPr>
            <w:tcW w:w="634" w:type="dxa"/>
          </w:tcPr>
          <w:p w14:paraId="26C7E4C2"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4</w:t>
            </w:r>
          </w:p>
        </w:tc>
        <w:tc>
          <w:tcPr>
            <w:tcW w:w="1719" w:type="dxa"/>
          </w:tcPr>
          <w:p w14:paraId="5D9F9E4C"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Chadwick et al. (2024)</w:t>
            </w:r>
          </w:p>
        </w:tc>
        <w:tc>
          <w:tcPr>
            <w:tcW w:w="5024" w:type="dxa"/>
          </w:tcPr>
          <w:p w14:paraId="4F88AFD0"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Qualitative interview study</w:t>
            </w:r>
          </w:p>
        </w:tc>
        <w:tc>
          <w:tcPr>
            <w:tcW w:w="2006" w:type="dxa"/>
          </w:tcPr>
          <w:p w14:paraId="49CD8F1C"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CASP</w:t>
            </w:r>
          </w:p>
        </w:tc>
        <w:tc>
          <w:tcPr>
            <w:tcW w:w="2006" w:type="dxa"/>
          </w:tcPr>
          <w:p w14:paraId="6DF80920" w14:textId="77777777" w:rsidR="00EE4FC1" w:rsidRPr="00EE4FC1" w:rsidRDefault="00EE4FC1" w:rsidP="00EE4FC1">
            <w:pPr>
              <w:spacing w:before="36" w:after="36" w:line="240" w:lineRule="auto"/>
              <w:jc w:val="center"/>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Good</w:t>
            </w:r>
          </w:p>
        </w:tc>
        <w:tc>
          <w:tcPr>
            <w:tcW w:w="2006" w:type="dxa"/>
          </w:tcPr>
          <w:p w14:paraId="5F82F64D"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Focused on older adults in socially deprived areas; qualitative design captured barriers and influencing factors in depth; strong relevance to digital inclusion</w:t>
            </w:r>
          </w:p>
        </w:tc>
        <w:tc>
          <w:tcPr>
            <w:tcW w:w="3356" w:type="dxa"/>
          </w:tcPr>
          <w:p w14:paraId="3E2FD48B"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Small purposive sample; findings may have limited generalisability; focus on a specific age and socioeconomic group limits wider applicability</w:t>
            </w:r>
          </w:p>
        </w:tc>
      </w:tr>
      <w:tr w:rsidR="00EE4FC1" w:rsidRPr="00EE4FC1" w14:paraId="6B192617" w14:textId="77777777" w:rsidTr="00E036D3">
        <w:trPr>
          <w:trHeight w:val="147"/>
        </w:trPr>
        <w:tc>
          <w:tcPr>
            <w:tcW w:w="634" w:type="dxa"/>
          </w:tcPr>
          <w:p w14:paraId="465DB1DA"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5</w:t>
            </w:r>
          </w:p>
        </w:tc>
        <w:tc>
          <w:tcPr>
            <w:tcW w:w="1719" w:type="dxa"/>
          </w:tcPr>
          <w:p w14:paraId="137CD75B"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Anderson et al. (2021)</w:t>
            </w:r>
          </w:p>
        </w:tc>
        <w:tc>
          <w:tcPr>
            <w:tcW w:w="5024" w:type="dxa"/>
          </w:tcPr>
          <w:p w14:paraId="375E8BC3"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Cross-sectional questionnaire survey</w:t>
            </w:r>
          </w:p>
        </w:tc>
        <w:tc>
          <w:tcPr>
            <w:tcW w:w="2006" w:type="dxa"/>
          </w:tcPr>
          <w:p w14:paraId="4124792D"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JBI Cross-Sectional Studies Checklist</w:t>
            </w:r>
          </w:p>
        </w:tc>
        <w:tc>
          <w:tcPr>
            <w:tcW w:w="2006" w:type="dxa"/>
          </w:tcPr>
          <w:p w14:paraId="2F499C2C" w14:textId="77777777" w:rsidR="00EE4FC1" w:rsidRPr="00EE4FC1" w:rsidRDefault="00EE4FC1" w:rsidP="00EE4FC1">
            <w:pPr>
              <w:spacing w:before="36" w:after="36" w:line="240" w:lineRule="auto"/>
              <w:jc w:val="center"/>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Good</w:t>
            </w:r>
          </w:p>
        </w:tc>
        <w:tc>
          <w:tcPr>
            <w:tcW w:w="2006" w:type="dxa"/>
          </w:tcPr>
          <w:p w14:paraId="35F9223F"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Patient feedback was collected directly following primary-care consultations; clear survey-based approach; relevant to patient satisfaction with remote consultations</w:t>
            </w:r>
          </w:p>
        </w:tc>
        <w:tc>
          <w:tcPr>
            <w:tcW w:w="3356" w:type="dxa"/>
          </w:tcPr>
          <w:p w14:paraId="31A391B2"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Cross-sectional design prevents assessment of changes over time; questionnaire responses are self-reported; potential non-response and selection bias</w:t>
            </w:r>
          </w:p>
        </w:tc>
      </w:tr>
      <w:tr w:rsidR="00EE4FC1" w:rsidRPr="00EE4FC1" w14:paraId="055212E6" w14:textId="77777777" w:rsidTr="00E036D3">
        <w:trPr>
          <w:trHeight w:val="1080"/>
        </w:trPr>
        <w:tc>
          <w:tcPr>
            <w:tcW w:w="634" w:type="dxa"/>
          </w:tcPr>
          <w:p w14:paraId="3ED724AF"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lastRenderedPageBreak/>
              <w:t>6</w:t>
            </w:r>
          </w:p>
        </w:tc>
        <w:tc>
          <w:tcPr>
            <w:tcW w:w="1719" w:type="dxa"/>
          </w:tcPr>
          <w:p w14:paraId="5EA72FCE"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Leach et al. (2025)</w:t>
            </w:r>
          </w:p>
        </w:tc>
        <w:tc>
          <w:tcPr>
            <w:tcW w:w="5024" w:type="dxa"/>
          </w:tcPr>
          <w:p w14:paraId="4EE1D0B2"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Qualitative semi-structured interview study</w:t>
            </w:r>
          </w:p>
        </w:tc>
        <w:tc>
          <w:tcPr>
            <w:tcW w:w="2006" w:type="dxa"/>
          </w:tcPr>
          <w:p w14:paraId="481014DB"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CASP</w:t>
            </w:r>
          </w:p>
        </w:tc>
        <w:tc>
          <w:tcPr>
            <w:tcW w:w="2006" w:type="dxa"/>
          </w:tcPr>
          <w:p w14:paraId="2BFCE762" w14:textId="77777777" w:rsidR="00EE4FC1" w:rsidRPr="00EE4FC1" w:rsidRDefault="00EE4FC1" w:rsidP="00EE4FC1">
            <w:pPr>
              <w:spacing w:before="36" w:after="36" w:line="240" w:lineRule="auto"/>
              <w:jc w:val="center"/>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Good</w:t>
            </w:r>
          </w:p>
        </w:tc>
        <w:tc>
          <w:tcPr>
            <w:tcW w:w="2006" w:type="dxa"/>
          </w:tcPr>
          <w:p w14:paraId="20455B91"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In-depth exploration of patient experiences; semi-structured interviews allowed detailed accounts; focuses on patients with chronic conditions who may have distinctive remote-consulting needs</w:t>
            </w:r>
          </w:p>
        </w:tc>
        <w:tc>
          <w:tcPr>
            <w:tcW w:w="3356" w:type="dxa"/>
          </w:tcPr>
          <w:p w14:paraId="1FD68FA9"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Small sample; participants had specific chronic conditions, limiting transferability; findings depend on participants' subjective accounts</w:t>
            </w:r>
          </w:p>
        </w:tc>
      </w:tr>
      <w:tr w:rsidR="00EE4FC1" w:rsidRPr="00EE4FC1" w14:paraId="1A27E226" w14:textId="77777777" w:rsidTr="00E036D3">
        <w:trPr>
          <w:trHeight w:val="147"/>
        </w:trPr>
        <w:tc>
          <w:tcPr>
            <w:tcW w:w="634" w:type="dxa"/>
          </w:tcPr>
          <w:p w14:paraId="38ABC67D"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7</w:t>
            </w:r>
          </w:p>
        </w:tc>
        <w:tc>
          <w:tcPr>
            <w:tcW w:w="1719" w:type="dxa"/>
          </w:tcPr>
          <w:p w14:paraId="30EA8772"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de Visser (2024)</w:t>
            </w:r>
          </w:p>
        </w:tc>
        <w:tc>
          <w:tcPr>
            <w:tcW w:w="5024" w:type="dxa"/>
          </w:tcPr>
          <w:p w14:paraId="305AF8AE"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Qualitative interview study</w:t>
            </w:r>
          </w:p>
        </w:tc>
        <w:tc>
          <w:tcPr>
            <w:tcW w:w="2006" w:type="dxa"/>
          </w:tcPr>
          <w:p w14:paraId="2D030401"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CASP</w:t>
            </w:r>
          </w:p>
        </w:tc>
        <w:tc>
          <w:tcPr>
            <w:tcW w:w="2006" w:type="dxa"/>
          </w:tcPr>
          <w:p w14:paraId="67BD5734" w14:textId="77777777" w:rsidR="00EE4FC1" w:rsidRPr="00EE4FC1" w:rsidRDefault="00EE4FC1" w:rsidP="00EE4FC1">
            <w:pPr>
              <w:spacing w:before="36" w:after="36" w:line="240" w:lineRule="auto"/>
              <w:jc w:val="center"/>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Good</w:t>
            </w:r>
          </w:p>
        </w:tc>
        <w:tc>
          <w:tcPr>
            <w:tcW w:w="2006" w:type="dxa"/>
          </w:tcPr>
          <w:p w14:paraId="65C7529C"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Direct exploration of patient experiences and suggestions for improvement; inclusion of participants with different first languages strengthened attention to accessibility; UK primary-care focus</w:t>
            </w:r>
          </w:p>
        </w:tc>
        <w:tc>
          <w:tcPr>
            <w:tcW w:w="3356" w:type="dxa"/>
          </w:tcPr>
          <w:p w14:paraId="2AB91A04"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Small sample; limited representation of the wider UK population; qualitative design limits generalisability</w:t>
            </w:r>
          </w:p>
        </w:tc>
      </w:tr>
      <w:tr w:rsidR="00EE4FC1" w:rsidRPr="00EE4FC1" w14:paraId="5ABADD49" w14:textId="77777777" w:rsidTr="00E036D3">
        <w:trPr>
          <w:trHeight w:val="2370"/>
        </w:trPr>
        <w:tc>
          <w:tcPr>
            <w:tcW w:w="634" w:type="dxa"/>
          </w:tcPr>
          <w:p w14:paraId="071B855A"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lastRenderedPageBreak/>
              <w:t>8</w:t>
            </w:r>
          </w:p>
        </w:tc>
        <w:tc>
          <w:tcPr>
            <w:tcW w:w="1719" w:type="dxa"/>
          </w:tcPr>
          <w:p w14:paraId="45D7945A"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Guo et al. (2026)</w:t>
            </w:r>
          </w:p>
        </w:tc>
        <w:tc>
          <w:tcPr>
            <w:tcW w:w="5024" w:type="dxa"/>
          </w:tcPr>
          <w:p w14:paraId="7A63258C"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Qualitative semi-structured interview study</w:t>
            </w:r>
          </w:p>
        </w:tc>
        <w:tc>
          <w:tcPr>
            <w:tcW w:w="2006" w:type="dxa"/>
          </w:tcPr>
          <w:p w14:paraId="48A4586E"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CASP Qualitative Checklist</w:t>
            </w:r>
          </w:p>
        </w:tc>
        <w:tc>
          <w:tcPr>
            <w:tcW w:w="2006" w:type="dxa"/>
          </w:tcPr>
          <w:p w14:paraId="63E15571" w14:textId="77777777" w:rsidR="00EE4FC1" w:rsidRPr="00EE4FC1" w:rsidRDefault="00EE4FC1" w:rsidP="00EE4FC1">
            <w:pPr>
              <w:spacing w:before="36" w:after="36" w:line="240" w:lineRule="auto"/>
              <w:jc w:val="center"/>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Good</w:t>
            </w:r>
          </w:p>
        </w:tc>
        <w:tc>
          <w:tcPr>
            <w:tcW w:w="2006" w:type="dxa"/>
          </w:tcPr>
          <w:p w14:paraId="5697B5F4"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Focused on an underrepresented patient population; detailed exploration of experiences of older Chinese migrants; semi-structured interviews enabled rich patient accounts</w:t>
            </w:r>
          </w:p>
        </w:tc>
        <w:tc>
          <w:tcPr>
            <w:tcW w:w="3356" w:type="dxa"/>
          </w:tcPr>
          <w:p w14:paraId="152C2CAE"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 xml:space="preserve">Small, specific participant group; findings may not </w:t>
            </w:r>
            <w:r w:rsidR="00FC2F72" w:rsidRPr="00EE4FC1">
              <w:rPr>
                <w:rFonts w:ascii="Arial" w:eastAsia="Times New Roman" w:hAnsi="Arial" w:cs="Arial"/>
                <w:kern w:val="0"/>
                <w:sz w:val="22"/>
                <w:szCs w:val="22"/>
                <w:lang w:val="en-US" w:eastAsia="zh-CN"/>
              </w:rPr>
              <w:t>be transferred</w:t>
            </w:r>
            <w:r w:rsidRPr="00EE4FC1">
              <w:rPr>
                <w:rFonts w:ascii="Arial" w:eastAsia="Times New Roman" w:hAnsi="Arial" w:cs="Arial"/>
                <w:kern w:val="0"/>
                <w:sz w:val="22"/>
                <w:szCs w:val="22"/>
                <w:lang w:val="en-US" w:eastAsia="zh-CN"/>
              </w:rPr>
              <w:t xml:space="preserve"> to other ethnic or age groups; experiences may be shaped by cultural and language factors</w:t>
            </w:r>
          </w:p>
        </w:tc>
      </w:tr>
      <w:tr w:rsidR="00EE4FC1" w:rsidRPr="00EE4FC1" w14:paraId="59C65F57" w14:textId="77777777" w:rsidTr="00E036D3">
        <w:trPr>
          <w:trHeight w:val="147"/>
        </w:trPr>
        <w:tc>
          <w:tcPr>
            <w:tcW w:w="634" w:type="dxa"/>
          </w:tcPr>
          <w:p w14:paraId="4DC81DB3"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9</w:t>
            </w:r>
          </w:p>
        </w:tc>
        <w:tc>
          <w:tcPr>
            <w:tcW w:w="1719" w:type="dxa"/>
          </w:tcPr>
          <w:p w14:paraId="11283040"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Hammersley et al. (2019)</w:t>
            </w:r>
          </w:p>
        </w:tc>
        <w:tc>
          <w:tcPr>
            <w:tcW w:w="5024" w:type="dxa"/>
          </w:tcPr>
          <w:p w14:paraId="4DCFC105"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Non-randomised quasi-experimental study; 119 patients across six Scottish practices</w:t>
            </w:r>
          </w:p>
        </w:tc>
        <w:tc>
          <w:tcPr>
            <w:tcW w:w="2006" w:type="dxa"/>
          </w:tcPr>
          <w:p w14:paraId="362CB861"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JBI Quasi-Experimental Studies Checklist</w:t>
            </w:r>
          </w:p>
        </w:tc>
        <w:tc>
          <w:tcPr>
            <w:tcW w:w="2006" w:type="dxa"/>
          </w:tcPr>
          <w:p w14:paraId="6CAA39BA" w14:textId="77777777" w:rsidR="00EE4FC1" w:rsidRPr="00EE4FC1" w:rsidRDefault="00EE4FC1" w:rsidP="00EE4FC1">
            <w:pPr>
              <w:spacing w:before="36" w:after="36" w:line="240" w:lineRule="auto"/>
              <w:jc w:val="center"/>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Good</w:t>
            </w:r>
          </w:p>
        </w:tc>
        <w:tc>
          <w:tcPr>
            <w:tcW w:w="2006" w:type="dxa"/>
          </w:tcPr>
          <w:p w14:paraId="59758244"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Direct comparison of video, telephone and face-to-face consultations; objective analysis of recorded consultations; multi-practice design; patient satisfaction data complemented consultation-content analysis.</w:t>
            </w:r>
          </w:p>
        </w:tc>
        <w:tc>
          <w:tcPr>
            <w:tcW w:w="3356" w:type="dxa"/>
          </w:tcPr>
          <w:p w14:paraId="0C13418C"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Non-randomised design creates potential selection bias because patients chose consultation modality; exploratory design; relatively small sample; technical infrastructure may limit replication.</w:t>
            </w:r>
          </w:p>
        </w:tc>
      </w:tr>
      <w:tr w:rsidR="00EE4FC1" w:rsidRPr="00EE4FC1" w14:paraId="371A6188" w14:textId="77777777" w:rsidTr="00E036D3">
        <w:trPr>
          <w:trHeight w:val="147"/>
        </w:trPr>
        <w:tc>
          <w:tcPr>
            <w:tcW w:w="634" w:type="dxa"/>
          </w:tcPr>
          <w:p w14:paraId="2A447163"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10</w:t>
            </w:r>
          </w:p>
        </w:tc>
        <w:tc>
          <w:tcPr>
            <w:tcW w:w="1719" w:type="dxa"/>
          </w:tcPr>
          <w:p w14:paraId="1EBEA235"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Donaghy et al. (2019)</w:t>
            </w:r>
          </w:p>
        </w:tc>
        <w:tc>
          <w:tcPr>
            <w:tcW w:w="5024" w:type="dxa"/>
          </w:tcPr>
          <w:p w14:paraId="12618A6C"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Qualitative semi-structured interviews; 21 patients</w:t>
            </w:r>
          </w:p>
        </w:tc>
        <w:tc>
          <w:tcPr>
            <w:tcW w:w="2006" w:type="dxa"/>
          </w:tcPr>
          <w:p w14:paraId="4308096E"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CASP Qualitative Checklist</w:t>
            </w:r>
          </w:p>
        </w:tc>
        <w:tc>
          <w:tcPr>
            <w:tcW w:w="2006" w:type="dxa"/>
          </w:tcPr>
          <w:p w14:paraId="265EA3A5" w14:textId="77777777" w:rsidR="00EE4FC1" w:rsidRPr="00EE4FC1" w:rsidRDefault="00EE4FC1" w:rsidP="00EE4FC1">
            <w:pPr>
              <w:spacing w:before="36" w:after="36" w:line="240" w:lineRule="auto"/>
              <w:jc w:val="center"/>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Good</w:t>
            </w:r>
          </w:p>
        </w:tc>
        <w:tc>
          <w:tcPr>
            <w:tcW w:w="2006" w:type="dxa"/>
          </w:tcPr>
          <w:p w14:paraId="17B8ACE3"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 xml:space="preserve">Appropriate qualitative design; direct patient interviews following video </w:t>
            </w:r>
            <w:r w:rsidRPr="00EE4FC1">
              <w:rPr>
                <w:rFonts w:ascii="Arial" w:eastAsia="Times New Roman" w:hAnsi="Arial" w:cs="Arial"/>
                <w:kern w:val="0"/>
                <w:sz w:val="22"/>
                <w:szCs w:val="22"/>
                <w:lang w:val="en-US" w:eastAsia="zh-CN"/>
              </w:rPr>
              <w:lastRenderedPageBreak/>
              <w:t>consultations; thematic analysis provided detailed information about acceptability and perceived benefits/challenges.</w:t>
            </w:r>
          </w:p>
        </w:tc>
        <w:tc>
          <w:tcPr>
            <w:tcW w:w="3356" w:type="dxa"/>
          </w:tcPr>
          <w:p w14:paraId="22CD3FEE"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lastRenderedPageBreak/>
              <w:t xml:space="preserve">Small sample; focused specifically on video consultations; participants who completed video consultations may have been more digitally </w:t>
            </w:r>
            <w:r w:rsidRPr="00EE4FC1">
              <w:rPr>
                <w:rFonts w:ascii="Arial" w:eastAsia="Times New Roman" w:hAnsi="Arial" w:cs="Arial"/>
                <w:kern w:val="0"/>
                <w:sz w:val="22"/>
                <w:szCs w:val="22"/>
                <w:lang w:val="en-US" w:eastAsia="zh-CN"/>
              </w:rPr>
              <w:lastRenderedPageBreak/>
              <w:t>confident; limited transferability to patients unable or unwilling to use video.</w:t>
            </w:r>
          </w:p>
        </w:tc>
      </w:tr>
      <w:tr w:rsidR="00EE4FC1" w:rsidRPr="00EE4FC1" w14:paraId="1DE39A53" w14:textId="77777777" w:rsidTr="00E036D3">
        <w:trPr>
          <w:trHeight w:val="601"/>
        </w:trPr>
        <w:tc>
          <w:tcPr>
            <w:tcW w:w="634" w:type="dxa"/>
          </w:tcPr>
          <w:p w14:paraId="0A1C709B"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lastRenderedPageBreak/>
              <w:t>11</w:t>
            </w:r>
          </w:p>
        </w:tc>
        <w:tc>
          <w:tcPr>
            <w:tcW w:w="1719" w:type="dxa"/>
          </w:tcPr>
          <w:p w14:paraId="0018A7C1"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Archer et al. (2025)</w:t>
            </w:r>
          </w:p>
        </w:tc>
        <w:tc>
          <w:tcPr>
            <w:tcW w:w="5024" w:type="dxa"/>
          </w:tcPr>
          <w:p w14:paraId="4CE8487E"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Qualitative semi-structured interviews; 21 patients</w:t>
            </w:r>
          </w:p>
        </w:tc>
        <w:tc>
          <w:tcPr>
            <w:tcW w:w="2006" w:type="dxa"/>
          </w:tcPr>
          <w:p w14:paraId="0631D827"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CASP Qualitative Checklist</w:t>
            </w:r>
          </w:p>
        </w:tc>
        <w:tc>
          <w:tcPr>
            <w:tcW w:w="2006" w:type="dxa"/>
          </w:tcPr>
          <w:p w14:paraId="413E1122" w14:textId="77777777" w:rsidR="00EE4FC1" w:rsidRPr="00EE4FC1" w:rsidRDefault="00EE4FC1" w:rsidP="00EE4FC1">
            <w:pPr>
              <w:spacing w:before="36" w:after="36" w:line="240" w:lineRule="auto"/>
              <w:jc w:val="center"/>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Good</w:t>
            </w:r>
          </w:p>
        </w:tc>
        <w:tc>
          <w:tcPr>
            <w:tcW w:w="2006" w:type="dxa"/>
          </w:tcPr>
          <w:p w14:paraId="05240B57"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Recent UK evidence; direct patient accounts; focused on remote consulting for anxiety and depression; qualitative interviews enabled detailed exploration of communication and continuity.</w:t>
            </w:r>
          </w:p>
        </w:tc>
        <w:tc>
          <w:tcPr>
            <w:tcW w:w="3356" w:type="dxa"/>
          </w:tcPr>
          <w:p w14:paraId="52D3AEBE"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Small sample; condition-specific population limits generalisability; qualitative self-report data may be influenced by recall and selection bias; findings may not represent patients using telemedicine for other conditions.</w:t>
            </w:r>
          </w:p>
        </w:tc>
      </w:tr>
      <w:tr w:rsidR="00EE4FC1" w:rsidRPr="00EE4FC1" w14:paraId="3A00764F" w14:textId="77777777" w:rsidTr="00E036D3">
        <w:trPr>
          <w:trHeight w:val="3697"/>
        </w:trPr>
        <w:tc>
          <w:tcPr>
            <w:tcW w:w="634" w:type="dxa"/>
          </w:tcPr>
          <w:p w14:paraId="3FA419D3"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lastRenderedPageBreak/>
              <w:t>12</w:t>
            </w:r>
          </w:p>
        </w:tc>
        <w:tc>
          <w:tcPr>
            <w:tcW w:w="1719" w:type="dxa"/>
          </w:tcPr>
          <w:p w14:paraId="157F8BEC"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Papoutsi et al. (2022)</w:t>
            </w:r>
          </w:p>
        </w:tc>
        <w:tc>
          <w:tcPr>
            <w:tcW w:w="5024" w:type="dxa"/>
          </w:tcPr>
          <w:p w14:paraId="59278F29"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Qualitative study; 32 semi-structured interviews</w:t>
            </w:r>
          </w:p>
        </w:tc>
        <w:tc>
          <w:tcPr>
            <w:tcW w:w="2006" w:type="dxa"/>
          </w:tcPr>
          <w:p w14:paraId="5DABFB19"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CASP Qualitative Checklist</w:t>
            </w:r>
          </w:p>
        </w:tc>
        <w:tc>
          <w:tcPr>
            <w:tcW w:w="2006" w:type="dxa"/>
          </w:tcPr>
          <w:p w14:paraId="29CCDACE" w14:textId="77777777" w:rsidR="00EE4FC1" w:rsidRPr="00EE4FC1" w:rsidRDefault="00EE4FC1" w:rsidP="00EE4FC1">
            <w:pPr>
              <w:spacing w:before="36" w:after="36" w:line="240" w:lineRule="auto"/>
              <w:jc w:val="center"/>
              <w:rPr>
                <w:rFonts w:ascii="Arial" w:eastAsia="Times New Roman" w:hAnsi="Arial" w:cs="Arial"/>
                <w:kern w:val="0"/>
                <w:sz w:val="22"/>
                <w:szCs w:val="22"/>
                <w:lang w:val="en-US" w:eastAsia="zh-CN"/>
              </w:rPr>
            </w:pPr>
            <w:r w:rsidRPr="00EE4FC1">
              <w:rPr>
                <w:rFonts w:ascii="Arial" w:eastAsia="Times New Roman" w:hAnsi="Arial" w:cs="Arial"/>
                <w:b/>
                <w:bCs/>
                <w:kern w:val="0"/>
                <w:sz w:val="22"/>
                <w:szCs w:val="22"/>
                <w:lang w:val="en-US" w:eastAsia="zh-CN"/>
              </w:rPr>
              <w:t>Good</w:t>
            </w:r>
          </w:p>
        </w:tc>
        <w:tc>
          <w:tcPr>
            <w:tcW w:w="2006" w:type="dxa"/>
          </w:tcPr>
          <w:p w14:paraId="32F2D9D1"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Relatively substantial qualitative sample; directly examined implementation of video group consultations in general practice; detailed exploration of patient and service experiences.</w:t>
            </w:r>
          </w:p>
        </w:tc>
        <w:tc>
          <w:tcPr>
            <w:tcW w:w="3356" w:type="dxa"/>
          </w:tcPr>
          <w:p w14:paraId="299AFD9F" w14:textId="77777777" w:rsidR="00EE4FC1" w:rsidRPr="00EE4FC1" w:rsidRDefault="00EE4FC1" w:rsidP="00EE4FC1">
            <w:pPr>
              <w:spacing w:before="36" w:after="36" w:line="240" w:lineRule="auto"/>
              <w:rPr>
                <w:rFonts w:ascii="Arial" w:eastAsia="Times New Roman" w:hAnsi="Arial" w:cs="Arial"/>
                <w:kern w:val="0"/>
                <w:sz w:val="22"/>
                <w:szCs w:val="22"/>
                <w:lang w:val="en-US" w:eastAsia="zh-CN"/>
              </w:rPr>
            </w:pPr>
            <w:r w:rsidRPr="00EE4FC1">
              <w:rPr>
                <w:rFonts w:ascii="Arial" w:eastAsia="Times New Roman" w:hAnsi="Arial" w:cs="Arial"/>
                <w:kern w:val="0"/>
                <w:sz w:val="22"/>
                <w:szCs w:val="22"/>
                <w:lang w:val="en-US" w:eastAsia="zh-CN"/>
              </w:rPr>
              <w:t xml:space="preserve">Focused on video </w:t>
            </w:r>
            <w:r w:rsidRPr="00EE4FC1">
              <w:rPr>
                <w:rFonts w:ascii="Arial" w:eastAsia="Times New Roman" w:hAnsi="Arial" w:cs="Arial"/>
                <w:b/>
                <w:bCs/>
                <w:kern w:val="0"/>
                <w:sz w:val="22"/>
                <w:szCs w:val="22"/>
                <w:lang w:val="en-US" w:eastAsia="zh-CN"/>
              </w:rPr>
              <w:t>group</w:t>
            </w:r>
            <w:r w:rsidRPr="00EE4FC1">
              <w:rPr>
                <w:rFonts w:ascii="Arial" w:eastAsia="Times New Roman" w:hAnsi="Arial" w:cs="Arial"/>
                <w:kern w:val="0"/>
                <w:sz w:val="22"/>
                <w:szCs w:val="22"/>
                <w:lang w:val="en-US" w:eastAsia="zh-CN"/>
              </w:rPr>
              <w:t xml:space="preserve"> consultations rather than routine one-to-one consultations; COVID-19 implementation context may limit transferability; qualitative findings cannot establish effectiveness or causality.</w:t>
            </w:r>
          </w:p>
        </w:tc>
      </w:tr>
      <w:bookmarkEnd w:id="95"/>
    </w:tbl>
    <w:p w14:paraId="3EC77B5B" w14:textId="77777777" w:rsidR="00EE4FC1" w:rsidRPr="00EE4FC1" w:rsidRDefault="00EE4FC1" w:rsidP="00EE4FC1">
      <w:pPr>
        <w:spacing w:line="360" w:lineRule="auto"/>
        <w:jc w:val="both"/>
        <w:rPr>
          <w:rFonts w:ascii="Arial" w:eastAsia="PMingLiU" w:hAnsi="Arial" w:cs="Arial"/>
          <w:sz w:val="22"/>
          <w:szCs w:val="22"/>
          <w:lang w:eastAsia="zh-CN"/>
        </w:rPr>
      </w:pPr>
    </w:p>
    <w:p w14:paraId="05D436EA" w14:textId="77777777" w:rsidR="000B563E" w:rsidRDefault="000B563E"/>
    <w:sectPr w:rsidR="000B563E" w:rsidSect="00EE4FC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5BC9CA" w14:textId="77777777" w:rsidR="00F92EDE" w:rsidRDefault="00F92EDE">
      <w:pPr>
        <w:spacing w:after="0" w:line="240" w:lineRule="auto"/>
      </w:pPr>
      <w:r>
        <w:separator/>
      </w:r>
    </w:p>
  </w:endnote>
  <w:endnote w:type="continuationSeparator" w:id="0">
    <w:p w14:paraId="10BC5659" w14:textId="77777777" w:rsidR="00F92EDE" w:rsidRDefault="00F92E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MingLiU">
    <w:panose1 w:val="02010601000101010101"/>
    <w:charset w:val="88"/>
    <w:family w:val="roman"/>
    <w:pitch w:val="variable"/>
    <w:sig w:usb0="A00002FF" w:usb1="28CFFCFA" w:usb2="00000016" w:usb3="00000000" w:csb0="00100001" w:csb1="00000000"/>
  </w:font>
  <w:font w:name="DengXian">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82D96F" w14:textId="77777777" w:rsidR="00EE4FC1" w:rsidRDefault="00EE4FC1">
    <w:pPr>
      <w:spacing w:after="0"/>
      <w:ind w:right="-3"/>
      <w:jc w:val="right"/>
    </w:pPr>
    <w:r>
      <w:rPr>
        <w:rFonts w:eastAsia="PMingLiU"/>
      </w:rPr>
      <w:fldChar w:fldCharType="begin"/>
    </w:r>
    <w:r>
      <w:instrText xml:space="preserve"> PAGE   \* MERGEFORMAT </w:instrText>
    </w:r>
    <w:r>
      <w:rPr>
        <w:rFonts w:eastAsia="PMingLiU"/>
      </w:rPr>
      <w:fldChar w:fldCharType="separate"/>
    </w:r>
    <w:r>
      <w:rPr>
        <w:rFonts w:eastAsia="Calibri" w:cs="Calibri"/>
      </w:rPr>
      <w:t>1</w:t>
    </w:r>
    <w:r>
      <w:rPr>
        <w:rFonts w:eastAsia="Calibri" w:cs="Calibri"/>
      </w:rPr>
      <w:fldChar w:fldCharType="end"/>
    </w:r>
    <w:r>
      <w:rPr>
        <w:rFonts w:eastAsia="Calibri" w:cs="Calibri"/>
      </w:rPr>
      <w:t xml:space="preserve"> </w:t>
    </w:r>
  </w:p>
  <w:p w14:paraId="71DC792C" w14:textId="77777777" w:rsidR="00EE4FC1" w:rsidRDefault="00EE4FC1">
    <w:pPr>
      <w:tabs>
        <w:tab w:val="center" w:pos="4405"/>
      </w:tabs>
      <w:spacing w:after="0"/>
    </w:pPr>
    <w:r>
      <w:rPr>
        <w:rFonts w:eastAsia="Calibri" w:cs="Calibri"/>
      </w:rPr>
      <w:t xml:space="preserve">[Your Name] </w:t>
    </w:r>
    <w:r>
      <w:rPr>
        <w:rFonts w:eastAsia="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F60A69" w14:textId="77777777" w:rsidR="00EE4FC1" w:rsidRDefault="00EE4FC1">
    <w:pPr>
      <w:spacing w:after="0"/>
      <w:ind w:right="-3"/>
      <w:jc w:val="right"/>
    </w:pPr>
    <w:r>
      <w:rPr>
        <w:rFonts w:eastAsia="PMingLiU"/>
      </w:rPr>
      <w:fldChar w:fldCharType="begin"/>
    </w:r>
    <w:r>
      <w:instrText xml:space="preserve"> PAGE   \* MERGEFORMAT </w:instrText>
    </w:r>
    <w:r>
      <w:rPr>
        <w:rFonts w:eastAsia="PMingLiU"/>
      </w:rPr>
      <w:fldChar w:fldCharType="separate"/>
    </w:r>
    <w:r w:rsidR="00053BAE" w:rsidRPr="00053BAE">
      <w:rPr>
        <w:rFonts w:eastAsia="Calibri" w:cs="Calibri"/>
        <w:noProof/>
      </w:rPr>
      <w:t>1</w:t>
    </w:r>
    <w:r>
      <w:rPr>
        <w:rFonts w:eastAsia="Calibri" w:cs="Calibri"/>
      </w:rPr>
      <w:fldChar w:fldCharType="end"/>
    </w:r>
    <w:r>
      <w:rPr>
        <w:rFonts w:eastAsia="Calibri" w:cs="Calibri"/>
      </w:rPr>
      <w:t xml:space="preserve"> </w:t>
    </w:r>
  </w:p>
  <w:p w14:paraId="5BFA3775" w14:textId="77777777" w:rsidR="00EE4FC1" w:rsidRDefault="00EE4FC1">
    <w:pPr>
      <w:tabs>
        <w:tab w:val="center" w:pos="4405"/>
      </w:tabs>
      <w:spacing w:after="0"/>
    </w:pPr>
    <w:r>
      <w:rPr>
        <w:rFonts w:eastAsia="Calibri" w:cs="Calibri"/>
      </w:rPr>
      <w:t>Mrs Patricia Kelly-Lambo</w:t>
    </w:r>
    <w:r>
      <w:rPr>
        <w:rFonts w:eastAsia="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B6A87F" w14:textId="77777777" w:rsidR="00EE4FC1" w:rsidRDefault="00EE4FC1">
    <w:pPr>
      <w:spacing w:after="0"/>
      <w:ind w:right="-3"/>
      <w:jc w:val="right"/>
    </w:pPr>
    <w:r>
      <w:rPr>
        <w:rFonts w:eastAsia="PMingLiU"/>
      </w:rPr>
      <w:fldChar w:fldCharType="begin"/>
    </w:r>
    <w:r>
      <w:instrText xml:space="preserve"> PAGE   \* MERGEFORMAT </w:instrText>
    </w:r>
    <w:r>
      <w:rPr>
        <w:rFonts w:eastAsia="PMingLiU"/>
      </w:rPr>
      <w:fldChar w:fldCharType="separate"/>
    </w:r>
    <w:r>
      <w:rPr>
        <w:rFonts w:eastAsia="Calibri" w:cs="Calibri"/>
      </w:rPr>
      <w:t>1</w:t>
    </w:r>
    <w:r>
      <w:rPr>
        <w:rFonts w:eastAsia="Calibri" w:cs="Calibri"/>
      </w:rPr>
      <w:fldChar w:fldCharType="end"/>
    </w:r>
    <w:r>
      <w:rPr>
        <w:rFonts w:eastAsia="Calibri" w:cs="Calibri"/>
      </w:rPr>
      <w:t xml:space="preserve"> </w:t>
    </w:r>
  </w:p>
  <w:p w14:paraId="7B6B0219" w14:textId="77777777" w:rsidR="00EE4FC1" w:rsidRDefault="00EE4FC1">
    <w:pPr>
      <w:tabs>
        <w:tab w:val="center" w:pos="4405"/>
      </w:tabs>
      <w:spacing w:after="0"/>
    </w:pPr>
    <w:r>
      <w:rPr>
        <w:rFonts w:eastAsia="Calibri" w:cs="Calibri"/>
      </w:rPr>
      <w:t xml:space="preserve">[Your Name] </w:t>
    </w:r>
    <w:r>
      <w:rPr>
        <w:rFonts w:eastAsia="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187F3" w14:textId="77777777" w:rsidR="00F92EDE" w:rsidRDefault="00F92EDE">
      <w:pPr>
        <w:spacing w:after="0" w:line="240" w:lineRule="auto"/>
      </w:pPr>
      <w:r>
        <w:separator/>
      </w:r>
    </w:p>
  </w:footnote>
  <w:footnote w:type="continuationSeparator" w:id="0">
    <w:p w14:paraId="09BC3653" w14:textId="77777777" w:rsidR="00F92EDE" w:rsidRDefault="00F92E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F46C2"/>
    <w:multiLevelType w:val="hybridMultilevel"/>
    <w:tmpl w:val="F7B68B42"/>
    <w:lvl w:ilvl="0" w:tplc="056C67C2">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B07FD"/>
    <w:multiLevelType w:val="multilevel"/>
    <w:tmpl w:val="377E39B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9906FE7"/>
    <w:multiLevelType w:val="hybridMultilevel"/>
    <w:tmpl w:val="881C403E"/>
    <w:lvl w:ilvl="0" w:tplc="0409000F">
      <w:start w:val="1"/>
      <w:numFmt w:val="decimal"/>
      <w:lvlText w:val="%1."/>
      <w:lvlJc w:val="left"/>
      <w:pPr>
        <w:ind w:left="502" w:hanging="360"/>
      </w:pPr>
      <w:rPr>
        <w:rFonts w:hint="default"/>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abstractNum w:abstractNumId="3" w15:restartNumberingAfterBreak="0">
    <w:nsid w:val="66C674D6"/>
    <w:multiLevelType w:val="hybridMultilevel"/>
    <w:tmpl w:val="EBE8AB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963186">
    <w:abstractNumId w:val="1"/>
  </w:num>
  <w:num w:numId="2" w16cid:durableId="2025008580">
    <w:abstractNumId w:val="2"/>
  </w:num>
  <w:num w:numId="3" w16cid:durableId="19399291">
    <w:abstractNumId w:val="3"/>
  </w:num>
  <w:num w:numId="4" w16cid:durableId="1719742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FC1"/>
    <w:rsid w:val="00042674"/>
    <w:rsid w:val="00053BAE"/>
    <w:rsid w:val="00095A06"/>
    <w:rsid w:val="000A0ADD"/>
    <w:rsid w:val="000B563E"/>
    <w:rsid w:val="000D0B91"/>
    <w:rsid w:val="001D4698"/>
    <w:rsid w:val="00207456"/>
    <w:rsid w:val="00253BD9"/>
    <w:rsid w:val="002558E3"/>
    <w:rsid w:val="00262BF1"/>
    <w:rsid w:val="002854DB"/>
    <w:rsid w:val="002B6203"/>
    <w:rsid w:val="002E3285"/>
    <w:rsid w:val="00316EC9"/>
    <w:rsid w:val="00320D83"/>
    <w:rsid w:val="00343CD3"/>
    <w:rsid w:val="00376AE4"/>
    <w:rsid w:val="003808F6"/>
    <w:rsid w:val="003810A5"/>
    <w:rsid w:val="003D0729"/>
    <w:rsid w:val="003D0DA4"/>
    <w:rsid w:val="003F2B59"/>
    <w:rsid w:val="003F4D5D"/>
    <w:rsid w:val="004410C0"/>
    <w:rsid w:val="0046380A"/>
    <w:rsid w:val="00495703"/>
    <w:rsid w:val="004B120E"/>
    <w:rsid w:val="004B1FCF"/>
    <w:rsid w:val="004D4173"/>
    <w:rsid w:val="0057706A"/>
    <w:rsid w:val="00580FC5"/>
    <w:rsid w:val="005D70B8"/>
    <w:rsid w:val="005E05CA"/>
    <w:rsid w:val="005E7247"/>
    <w:rsid w:val="006230A8"/>
    <w:rsid w:val="0062322E"/>
    <w:rsid w:val="00625EAC"/>
    <w:rsid w:val="0064308C"/>
    <w:rsid w:val="00643D59"/>
    <w:rsid w:val="0064510C"/>
    <w:rsid w:val="006A0E04"/>
    <w:rsid w:val="006A0E69"/>
    <w:rsid w:val="006A504E"/>
    <w:rsid w:val="006B271B"/>
    <w:rsid w:val="006C4473"/>
    <w:rsid w:val="006E4838"/>
    <w:rsid w:val="00722D8E"/>
    <w:rsid w:val="00725F03"/>
    <w:rsid w:val="00776A62"/>
    <w:rsid w:val="007A2C5D"/>
    <w:rsid w:val="007B305E"/>
    <w:rsid w:val="00811FF2"/>
    <w:rsid w:val="00812B6F"/>
    <w:rsid w:val="00820755"/>
    <w:rsid w:val="008238F1"/>
    <w:rsid w:val="0084650B"/>
    <w:rsid w:val="00857578"/>
    <w:rsid w:val="0086027D"/>
    <w:rsid w:val="008608A7"/>
    <w:rsid w:val="008713DF"/>
    <w:rsid w:val="008725FF"/>
    <w:rsid w:val="00873449"/>
    <w:rsid w:val="008751FA"/>
    <w:rsid w:val="00875C99"/>
    <w:rsid w:val="008965A8"/>
    <w:rsid w:val="008A7B71"/>
    <w:rsid w:val="0093203B"/>
    <w:rsid w:val="00993C31"/>
    <w:rsid w:val="009A716A"/>
    <w:rsid w:val="009C76E9"/>
    <w:rsid w:val="009D036F"/>
    <w:rsid w:val="009E69CA"/>
    <w:rsid w:val="00A200AC"/>
    <w:rsid w:val="00A37781"/>
    <w:rsid w:val="00AB00DE"/>
    <w:rsid w:val="00AB50EF"/>
    <w:rsid w:val="00AC7633"/>
    <w:rsid w:val="00AD330F"/>
    <w:rsid w:val="00B053B1"/>
    <w:rsid w:val="00B14507"/>
    <w:rsid w:val="00B55844"/>
    <w:rsid w:val="00B968FB"/>
    <w:rsid w:val="00BA6E96"/>
    <w:rsid w:val="00BC2320"/>
    <w:rsid w:val="00BC5916"/>
    <w:rsid w:val="00C3475F"/>
    <w:rsid w:val="00C7013D"/>
    <w:rsid w:val="00C82DC4"/>
    <w:rsid w:val="00CC564B"/>
    <w:rsid w:val="00CF1AE0"/>
    <w:rsid w:val="00D43AFC"/>
    <w:rsid w:val="00E036D3"/>
    <w:rsid w:val="00E24537"/>
    <w:rsid w:val="00E76113"/>
    <w:rsid w:val="00E87F1E"/>
    <w:rsid w:val="00EA0CD3"/>
    <w:rsid w:val="00EA7C99"/>
    <w:rsid w:val="00ED742B"/>
    <w:rsid w:val="00EE1663"/>
    <w:rsid w:val="00EE4FC1"/>
    <w:rsid w:val="00F167B9"/>
    <w:rsid w:val="00F170B1"/>
    <w:rsid w:val="00F92EDE"/>
    <w:rsid w:val="00F9724A"/>
    <w:rsid w:val="00FA0317"/>
    <w:rsid w:val="00FA0B40"/>
    <w:rsid w:val="00FA60CA"/>
    <w:rsid w:val="00FB072C"/>
    <w:rsid w:val="00FC2F72"/>
    <w:rsid w:val="00FF45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0E67D"/>
  <w15:chartTrackingRefBased/>
  <w15:docId w15:val="{CC1EA9D1-E834-FB46-BA9C-9115A0856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rPr>
  </w:style>
  <w:style w:type="paragraph" w:styleId="Heading1">
    <w:name w:val="heading 1"/>
    <w:basedOn w:val="Normal"/>
    <w:next w:val="Normal"/>
    <w:link w:val="Heading1Char"/>
    <w:uiPriority w:val="9"/>
    <w:qFormat/>
    <w:rsid w:val="00EE4FC1"/>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EE4FC1"/>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unhideWhenUsed/>
    <w:qFormat/>
    <w:rsid w:val="00EE4FC1"/>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EE4FC1"/>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EE4FC1"/>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EE4FC1"/>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EE4FC1"/>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EE4FC1"/>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EE4FC1"/>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E4FC1"/>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EE4FC1"/>
    <w:rPr>
      <w:rFonts w:ascii="Aptos Display" w:eastAsia="Times New Roman" w:hAnsi="Aptos Display" w:cs="Times New Roman"/>
      <w:color w:val="0F4761"/>
      <w:sz w:val="32"/>
      <w:szCs w:val="32"/>
    </w:rPr>
  </w:style>
  <w:style w:type="character" w:customStyle="1" w:styleId="Heading3Char">
    <w:name w:val="Heading 3 Char"/>
    <w:link w:val="Heading3"/>
    <w:uiPriority w:val="9"/>
    <w:rsid w:val="00EE4FC1"/>
    <w:rPr>
      <w:rFonts w:eastAsia="Times New Roman" w:cs="Times New Roman"/>
      <w:color w:val="0F4761"/>
      <w:sz w:val="28"/>
      <w:szCs w:val="28"/>
    </w:rPr>
  </w:style>
  <w:style w:type="character" w:customStyle="1" w:styleId="Heading4Char">
    <w:name w:val="Heading 4 Char"/>
    <w:link w:val="Heading4"/>
    <w:uiPriority w:val="9"/>
    <w:semiHidden/>
    <w:rsid w:val="00EE4FC1"/>
    <w:rPr>
      <w:rFonts w:eastAsia="Times New Roman" w:cs="Times New Roman"/>
      <w:i/>
      <w:iCs/>
      <w:color w:val="0F4761"/>
    </w:rPr>
  </w:style>
  <w:style w:type="character" w:customStyle="1" w:styleId="Heading5Char">
    <w:name w:val="Heading 5 Char"/>
    <w:link w:val="Heading5"/>
    <w:uiPriority w:val="9"/>
    <w:semiHidden/>
    <w:rsid w:val="00EE4FC1"/>
    <w:rPr>
      <w:rFonts w:eastAsia="Times New Roman" w:cs="Times New Roman"/>
      <w:color w:val="0F4761"/>
    </w:rPr>
  </w:style>
  <w:style w:type="character" w:customStyle="1" w:styleId="Heading6Char">
    <w:name w:val="Heading 6 Char"/>
    <w:link w:val="Heading6"/>
    <w:uiPriority w:val="9"/>
    <w:semiHidden/>
    <w:rsid w:val="00EE4FC1"/>
    <w:rPr>
      <w:rFonts w:eastAsia="Times New Roman" w:cs="Times New Roman"/>
      <w:i/>
      <w:iCs/>
      <w:color w:val="595959"/>
    </w:rPr>
  </w:style>
  <w:style w:type="character" w:customStyle="1" w:styleId="Heading7Char">
    <w:name w:val="Heading 7 Char"/>
    <w:link w:val="Heading7"/>
    <w:uiPriority w:val="9"/>
    <w:semiHidden/>
    <w:rsid w:val="00EE4FC1"/>
    <w:rPr>
      <w:rFonts w:eastAsia="Times New Roman" w:cs="Times New Roman"/>
      <w:color w:val="595959"/>
    </w:rPr>
  </w:style>
  <w:style w:type="character" w:customStyle="1" w:styleId="Heading8Char">
    <w:name w:val="Heading 8 Char"/>
    <w:link w:val="Heading8"/>
    <w:uiPriority w:val="9"/>
    <w:semiHidden/>
    <w:rsid w:val="00EE4FC1"/>
    <w:rPr>
      <w:rFonts w:eastAsia="Times New Roman" w:cs="Times New Roman"/>
      <w:i/>
      <w:iCs/>
      <w:color w:val="272727"/>
    </w:rPr>
  </w:style>
  <w:style w:type="character" w:customStyle="1" w:styleId="Heading9Char">
    <w:name w:val="Heading 9 Char"/>
    <w:link w:val="Heading9"/>
    <w:uiPriority w:val="9"/>
    <w:semiHidden/>
    <w:rsid w:val="00EE4FC1"/>
    <w:rPr>
      <w:rFonts w:eastAsia="Times New Roman" w:cs="Times New Roman"/>
      <w:color w:val="272727"/>
    </w:rPr>
  </w:style>
  <w:style w:type="paragraph" w:styleId="Title">
    <w:name w:val="Title"/>
    <w:basedOn w:val="Normal"/>
    <w:next w:val="Normal"/>
    <w:link w:val="TitleChar"/>
    <w:uiPriority w:val="10"/>
    <w:qFormat/>
    <w:rsid w:val="00EE4FC1"/>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EE4FC1"/>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EE4FC1"/>
    <w:pPr>
      <w:numPr>
        <w:ilvl w:val="1"/>
      </w:numPr>
    </w:pPr>
    <w:rPr>
      <w:rFonts w:eastAsia="Times New Roman"/>
      <w:color w:val="595959"/>
      <w:spacing w:val="15"/>
      <w:sz w:val="28"/>
      <w:szCs w:val="28"/>
    </w:rPr>
  </w:style>
  <w:style w:type="character" w:customStyle="1" w:styleId="SubtitleChar">
    <w:name w:val="Subtitle Char"/>
    <w:link w:val="Subtitle"/>
    <w:uiPriority w:val="11"/>
    <w:rsid w:val="00EE4FC1"/>
    <w:rPr>
      <w:rFonts w:eastAsia="Times New Roman" w:cs="Times New Roman"/>
      <w:color w:val="595959"/>
      <w:spacing w:val="15"/>
      <w:sz w:val="28"/>
      <w:szCs w:val="28"/>
    </w:rPr>
  </w:style>
  <w:style w:type="paragraph" w:styleId="Quote">
    <w:name w:val="Quote"/>
    <w:basedOn w:val="Normal"/>
    <w:next w:val="Normal"/>
    <w:link w:val="QuoteChar"/>
    <w:uiPriority w:val="29"/>
    <w:qFormat/>
    <w:rsid w:val="00EE4FC1"/>
    <w:pPr>
      <w:spacing w:before="160"/>
      <w:jc w:val="center"/>
    </w:pPr>
    <w:rPr>
      <w:i/>
      <w:iCs/>
      <w:color w:val="404040"/>
    </w:rPr>
  </w:style>
  <w:style w:type="character" w:customStyle="1" w:styleId="QuoteChar">
    <w:name w:val="Quote Char"/>
    <w:link w:val="Quote"/>
    <w:uiPriority w:val="29"/>
    <w:rsid w:val="00EE4FC1"/>
    <w:rPr>
      <w:i/>
      <w:iCs/>
      <w:color w:val="404040"/>
    </w:rPr>
  </w:style>
  <w:style w:type="paragraph" w:styleId="ListParagraph">
    <w:name w:val="List Paragraph"/>
    <w:basedOn w:val="Normal"/>
    <w:uiPriority w:val="34"/>
    <w:qFormat/>
    <w:rsid w:val="00EE4FC1"/>
    <w:pPr>
      <w:ind w:left="720"/>
      <w:contextualSpacing/>
    </w:pPr>
  </w:style>
  <w:style w:type="character" w:styleId="IntenseEmphasis">
    <w:name w:val="Intense Emphasis"/>
    <w:uiPriority w:val="21"/>
    <w:qFormat/>
    <w:rsid w:val="00EE4FC1"/>
    <w:rPr>
      <w:i/>
      <w:iCs/>
      <w:color w:val="0F4761"/>
    </w:rPr>
  </w:style>
  <w:style w:type="paragraph" w:styleId="IntenseQuote">
    <w:name w:val="Intense Quote"/>
    <w:basedOn w:val="Normal"/>
    <w:next w:val="Normal"/>
    <w:link w:val="IntenseQuoteChar"/>
    <w:uiPriority w:val="30"/>
    <w:qFormat/>
    <w:rsid w:val="00EE4FC1"/>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EE4FC1"/>
    <w:rPr>
      <w:i/>
      <w:iCs/>
      <w:color w:val="0F4761"/>
    </w:rPr>
  </w:style>
  <w:style w:type="character" w:styleId="IntenseReference">
    <w:name w:val="Intense Reference"/>
    <w:uiPriority w:val="32"/>
    <w:qFormat/>
    <w:rsid w:val="00EE4FC1"/>
    <w:rPr>
      <w:b/>
      <w:bCs/>
      <w:smallCaps/>
      <w:color w:val="0F4761"/>
      <w:spacing w:val="5"/>
    </w:rPr>
  </w:style>
  <w:style w:type="numbering" w:customStyle="1" w:styleId="NoList1">
    <w:name w:val="No List1"/>
    <w:next w:val="NoList"/>
    <w:uiPriority w:val="99"/>
    <w:semiHidden/>
    <w:unhideWhenUsed/>
    <w:rsid w:val="00EE4FC1"/>
  </w:style>
  <w:style w:type="paragraph" w:customStyle="1" w:styleId="pf0">
    <w:name w:val="pf0"/>
    <w:basedOn w:val="Normal"/>
    <w:rsid w:val="00EE4FC1"/>
    <w:pPr>
      <w:spacing w:before="100" w:beforeAutospacing="1" w:after="100" w:afterAutospacing="1" w:line="240" w:lineRule="auto"/>
    </w:pPr>
    <w:rPr>
      <w:rFonts w:ascii="Times New Roman" w:eastAsia="Times New Roman" w:hAnsi="Times New Roman"/>
      <w:kern w:val="0"/>
      <w:lang w:eastAsia="en-GB"/>
    </w:rPr>
  </w:style>
  <w:style w:type="table" w:styleId="TableGrid">
    <w:name w:val="Table Grid"/>
    <w:basedOn w:val="TableNormal"/>
    <w:uiPriority w:val="39"/>
    <w:rsid w:val="00EE4FC1"/>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E4FC1"/>
    <w:pPr>
      <w:spacing w:after="200" w:line="240" w:lineRule="auto"/>
    </w:pPr>
    <w:rPr>
      <w:rFonts w:ascii="Arial" w:eastAsia="Arial" w:hAnsi="Arial" w:cs="Arial"/>
      <w:i/>
      <w:iCs/>
      <w:color w:val="44546A"/>
      <w:kern w:val="0"/>
      <w:sz w:val="18"/>
      <w:szCs w:val="18"/>
    </w:rPr>
  </w:style>
  <w:style w:type="character" w:styleId="Hyperlink">
    <w:name w:val="Hyperlink"/>
    <w:uiPriority w:val="99"/>
    <w:unhideWhenUsed/>
    <w:rsid w:val="00EE4FC1"/>
    <w:rPr>
      <w:color w:val="0563C1"/>
      <w:u w:val="single"/>
    </w:rPr>
  </w:style>
  <w:style w:type="character" w:styleId="UnresolvedMention">
    <w:name w:val="Unresolved Mention"/>
    <w:uiPriority w:val="99"/>
    <w:semiHidden/>
    <w:unhideWhenUsed/>
    <w:rsid w:val="00EE4FC1"/>
    <w:rPr>
      <w:color w:val="605E5C"/>
      <w:shd w:val="clear" w:color="auto" w:fill="E1DFDD"/>
    </w:rPr>
  </w:style>
  <w:style w:type="paragraph" w:styleId="TOCHeading">
    <w:name w:val="TOC Heading"/>
    <w:basedOn w:val="Heading1"/>
    <w:next w:val="Normal"/>
    <w:uiPriority w:val="39"/>
    <w:unhideWhenUsed/>
    <w:qFormat/>
    <w:rsid w:val="00EE4FC1"/>
    <w:pPr>
      <w:spacing w:before="240" w:after="0" w:line="259" w:lineRule="auto"/>
      <w:outlineLvl w:val="9"/>
    </w:pPr>
    <w:rPr>
      <w:rFonts w:ascii="Calibri Light" w:eastAsia="PMingLiU" w:hAnsi="Calibri Light"/>
      <w:color w:val="2F5496"/>
      <w:kern w:val="0"/>
      <w:sz w:val="32"/>
      <w:szCs w:val="32"/>
      <w:lang w:val="en-US"/>
    </w:rPr>
  </w:style>
  <w:style w:type="paragraph" w:styleId="TOC1">
    <w:name w:val="toc 1"/>
    <w:basedOn w:val="Normal"/>
    <w:next w:val="Normal"/>
    <w:autoRedefine/>
    <w:uiPriority w:val="39"/>
    <w:unhideWhenUsed/>
    <w:rsid w:val="00EE4FC1"/>
    <w:pPr>
      <w:spacing w:after="100" w:line="259" w:lineRule="auto"/>
    </w:pPr>
    <w:rPr>
      <w:rFonts w:ascii="Calibri" w:eastAsia="PMingLiU" w:hAnsi="Calibri"/>
      <w:sz w:val="22"/>
      <w:szCs w:val="22"/>
      <w:lang w:eastAsia="zh-CN"/>
    </w:rPr>
  </w:style>
  <w:style w:type="paragraph" w:styleId="TOC2">
    <w:name w:val="toc 2"/>
    <w:basedOn w:val="Normal"/>
    <w:next w:val="Normal"/>
    <w:autoRedefine/>
    <w:uiPriority w:val="39"/>
    <w:unhideWhenUsed/>
    <w:rsid w:val="00EE4FC1"/>
    <w:pPr>
      <w:spacing w:after="100" w:line="259" w:lineRule="auto"/>
      <w:ind w:left="220"/>
    </w:pPr>
    <w:rPr>
      <w:rFonts w:ascii="Calibri" w:eastAsia="PMingLiU" w:hAnsi="Calibri"/>
      <w:sz w:val="22"/>
      <w:szCs w:val="22"/>
      <w:lang w:eastAsia="zh-CN"/>
    </w:rPr>
  </w:style>
  <w:style w:type="paragraph" w:styleId="TOC3">
    <w:name w:val="toc 3"/>
    <w:basedOn w:val="Normal"/>
    <w:next w:val="Normal"/>
    <w:autoRedefine/>
    <w:uiPriority w:val="39"/>
    <w:unhideWhenUsed/>
    <w:rsid w:val="00EE4FC1"/>
    <w:pPr>
      <w:spacing w:after="100" w:line="259" w:lineRule="auto"/>
      <w:ind w:left="440"/>
    </w:pPr>
    <w:rPr>
      <w:rFonts w:ascii="Calibri" w:eastAsia="PMingLiU" w:hAnsi="Calibri"/>
      <w:sz w:val="22"/>
      <w:szCs w:val="22"/>
      <w:lang w:eastAsia="zh-CN"/>
    </w:rPr>
  </w:style>
  <w:style w:type="paragraph" w:styleId="TableofFigures">
    <w:name w:val="table of figures"/>
    <w:basedOn w:val="Normal"/>
    <w:next w:val="Normal"/>
    <w:uiPriority w:val="99"/>
    <w:unhideWhenUsed/>
    <w:rsid w:val="00EE4FC1"/>
    <w:pPr>
      <w:spacing w:after="0" w:line="259" w:lineRule="auto"/>
    </w:pPr>
    <w:rPr>
      <w:rFonts w:ascii="Arial" w:eastAsia="PMingLiU" w:hAnsi="Arial"/>
      <w:sz w:val="22"/>
      <w:szCs w:val="22"/>
      <w:lang w:eastAsia="zh-CN"/>
    </w:rPr>
  </w:style>
  <w:style w:type="paragraph" w:styleId="NormalWeb">
    <w:name w:val="Normal (Web)"/>
    <w:basedOn w:val="Normal"/>
    <w:uiPriority w:val="99"/>
    <w:unhideWhenUsed/>
    <w:rsid w:val="00EE4FC1"/>
    <w:pPr>
      <w:spacing w:line="259" w:lineRule="auto"/>
    </w:pPr>
    <w:rPr>
      <w:rFonts w:ascii="Times New Roman" w:eastAsia="PMingLiU" w:hAnsi="Times New Roman"/>
      <w:lang w:eastAsia="zh-CN"/>
    </w:rPr>
  </w:style>
  <w:style w:type="character" w:styleId="FollowedHyperlink">
    <w:name w:val="FollowedHyperlink"/>
    <w:uiPriority w:val="99"/>
    <w:semiHidden/>
    <w:unhideWhenUsed/>
    <w:rsid w:val="00EE4FC1"/>
    <w:rPr>
      <w:color w:val="954F72"/>
      <w:u w:val="single"/>
    </w:rPr>
  </w:style>
  <w:style w:type="paragraph" w:styleId="BodyText">
    <w:name w:val="Body Text"/>
    <w:basedOn w:val="Normal"/>
    <w:link w:val="BodyTextChar"/>
    <w:qFormat/>
    <w:rsid w:val="00EE4FC1"/>
    <w:pPr>
      <w:spacing w:before="180" w:after="180" w:line="240" w:lineRule="auto"/>
    </w:pPr>
    <w:rPr>
      <w:rFonts w:eastAsia="Times New Roman"/>
      <w:kern w:val="0"/>
      <w:lang w:val="en-US" w:eastAsia="zh-CN"/>
    </w:rPr>
  </w:style>
  <w:style w:type="character" w:customStyle="1" w:styleId="BodyTextChar">
    <w:name w:val="Body Text Char"/>
    <w:link w:val="BodyText"/>
    <w:rsid w:val="00EE4FC1"/>
    <w:rPr>
      <w:rFonts w:eastAsia="Times New Roman"/>
      <w:kern w:val="0"/>
      <w:lang w:val="en-US" w:eastAsia="zh-CN"/>
    </w:rPr>
  </w:style>
  <w:style w:type="paragraph" w:customStyle="1" w:styleId="Compact">
    <w:name w:val="Compact"/>
    <w:basedOn w:val="BodyText"/>
    <w:qFormat/>
    <w:rsid w:val="00EE4FC1"/>
    <w:pPr>
      <w:spacing w:before="36" w:after="36"/>
    </w:pPr>
  </w:style>
  <w:style w:type="table" w:customStyle="1" w:styleId="Table">
    <w:name w:val="Table"/>
    <w:semiHidden/>
    <w:unhideWhenUsed/>
    <w:qFormat/>
    <w:rsid w:val="00EE4FC1"/>
    <w:pPr>
      <w:spacing w:after="200"/>
    </w:pPr>
    <w:rPr>
      <w:rFonts w:eastAsia="Times New Roman"/>
      <w:sz w:val="24"/>
      <w:szCs w:val="24"/>
      <w:lang w:val="en-US" w:eastAsia="zh-CN"/>
    </w:rPr>
    <w:tblPr>
      <w:tblInd w:w="0" w:type="dxa"/>
      <w:tblCellMar>
        <w:top w:w="0" w:type="dxa"/>
        <w:left w:w="108" w:type="dxa"/>
        <w:bottom w:w="0" w:type="dxa"/>
        <w:right w:w="108" w:type="dxa"/>
      </w:tblCellMar>
    </w:tblPr>
  </w:style>
  <w:style w:type="table" w:styleId="GridTable2-Accent1">
    <w:name w:val="Grid Table 2 Accent 1"/>
    <w:basedOn w:val="TableNormal"/>
    <w:uiPriority w:val="47"/>
    <w:rsid w:val="00EE4FC1"/>
    <w:rPr>
      <w:rFonts w:eastAsia="Times New Roman"/>
      <w:sz w:val="22"/>
      <w:szCs w:val="22"/>
      <w:lang w:val="en-US" w:eastAsia="zh-TW"/>
    </w:rPr>
    <w:tblPr>
      <w:tblStyleRowBandSize w:val="1"/>
      <w:tblStyleColBandSize w:val="1"/>
      <w:tblBorders>
        <w:top w:val="single" w:sz="2" w:space="0" w:color="45B0E1"/>
        <w:bottom w:val="single" w:sz="2" w:space="0" w:color="45B0E1"/>
        <w:insideH w:val="single" w:sz="2" w:space="0" w:color="45B0E1"/>
        <w:insideV w:val="single" w:sz="2" w:space="0" w:color="45B0E1"/>
      </w:tblBorders>
    </w:tblPr>
    <w:tblStylePr w:type="firstRow">
      <w:rPr>
        <w:b/>
        <w:bCs/>
      </w:rPr>
      <w:tblPr/>
      <w:tcPr>
        <w:tcBorders>
          <w:top w:val="nil"/>
          <w:bottom w:val="single" w:sz="12" w:space="0" w:color="45B0E1"/>
          <w:insideH w:val="nil"/>
          <w:insideV w:val="nil"/>
        </w:tcBorders>
        <w:shd w:val="clear" w:color="auto" w:fill="FFFFFF"/>
      </w:tcPr>
    </w:tblStylePr>
    <w:tblStylePr w:type="lastRow">
      <w:rPr>
        <w:b/>
        <w:bCs/>
      </w:rPr>
      <w:tblPr/>
      <w:tcPr>
        <w:tcBorders>
          <w:top w:val="double" w:sz="2" w:space="0" w:color="45B0E1"/>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C1E4F5"/>
      </w:tcPr>
    </w:tblStylePr>
    <w:tblStylePr w:type="band1Horz">
      <w:tblPr/>
      <w:tcPr>
        <w:shd w:val="clear" w:color="auto" w:fill="C1E4F5"/>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177/1357633X19861235" TargetMode="External"/><Relationship Id="rId21" Type="http://schemas.openxmlformats.org/officeDocument/2006/relationships/hyperlink" Target="https://doi.org/10.5195/ijms.2022.1363" TargetMode="External"/><Relationship Id="rId42" Type="http://schemas.openxmlformats.org/officeDocument/2006/relationships/hyperlink" Target="https://link.springer.com/article/10.1186/s12874-018-0545-3" TargetMode="External"/><Relationship Id="rId47" Type="http://schemas.openxmlformats.org/officeDocument/2006/relationships/hyperlink" Target="https://doi.org/10.1001/jama.260.12.1743" TargetMode="External"/><Relationship Id="rId63" Type="http://schemas.openxmlformats.org/officeDocument/2006/relationships/hyperlink" Target="https://doi.org/10.14744/anatoljcardiol.2019.12525" TargetMode="External"/><Relationship Id="rId68" Type="http://schemas.openxmlformats.org/officeDocument/2006/relationships/hyperlink" Target="https://doi.org/10.3399/BJGP.2024.0308" TargetMode="External"/><Relationship Id="rId84" Type="http://schemas.openxmlformats.org/officeDocument/2006/relationships/hyperlink" Target="https://doi.org/10.1177/1357633X19862956" TargetMode="External"/><Relationship Id="rId89" Type="http://schemas.openxmlformats.org/officeDocument/2006/relationships/hyperlink" Target="https://doi.org/10.2196/13042" TargetMode="External"/><Relationship Id="rId112" Type="http://schemas.openxmlformats.org/officeDocument/2006/relationships/hyperlink" Target="https://www.bjanaesthesia.org/article/S0007-0912(20)30562-6/fulltext" TargetMode="External"/><Relationship Id="rId16" Type="http://schemas.openxmlformats.org/officeDocument/2006/relationships/image" Target="media/image3.png"/><Relationship Id="rId107" Type="http://schemas.openxmlformats.org/officeDocument/2006/relationships/hyperlink" Target="https://doi.org/10.1016/j.drugalcdep.2021.108999" TargetMode="External"/><Relationship Id="rId11" Type="http://schemas.openxmlformats.org/officeDocument/2006/relationships/customXml" Target="ink/ink2.xml"/><Relationship Id="rId32" Type="http://schemas.openxmlformats.org/officeDocument/2006/relationships/hyperlink" Target="https://doi.org/10.5195/jmla.2018.283" TargetMode="External"/><Relationship Id="rId37" Type="http://schemas.openxmlformats.org/officeDocument/2006/relationships/hyperlink" Target="https://doi.org/10.1136/bmj.m3945" TargetMode="External"/><Relationship Id="rId53" Type="http://schemas.openxmlformats.org/officeDocument/2006/relationships/hyperlink" Target="https://doi.org/10.1038/s43856-025-00757-2?utm_source=chatgpt.com" TargetMode="External"/><Relationship Id="rId58" Type="http://schemas.openxmlformats.org/officeDocument/2006/relationships/hyperlink" Target="https://doi.org/10.1136/bmj.m1182" TargetMode="External"/><Relationship Id="rId74" Type="http://schemas.openxmlformats.org/officeDocument/2006/relationships/hyperlink" Target="https://doi.org/10.1136/bmj.n1542" TargetMode="External"/><Relationship Id="rId79" Type="http://schemas.openxmlformats.org/officeDocument/2006/relationships/hyperlink" Target="https://doi.org/10.1177/2632084320947559" TargetMode="External"/><Relationship Id="rId102" Type="http://schemas.openxmlformats.org/officeDocument/2006/relationships/hyperlink" Target="https://doi.org/10.3390/ijerph19095101" TargetMode="External"/><Relationship Id="rId123" Type="http://schemas.openxmlformats.org/officeDocument/2006/relationships/hyperlink" Target="https://doi.org/10.1177/1357633x17693749" TargetMode="External"/><Relationship Id="rId128" Type="http://schemas.openxmlformats.org/officeDocument/2006/relationships/footer" Target="footer3.xml"/><Relationship Id="rId5" Type="http://schemas.openxmlformats.org/officeDocument/2006/relationships/webSettings" Target="webSettings.xml"/><Relationship Id="rId90" Type="http://schemas.openxmlformats.org/officeDocument/2006/relationships/hyperlink" Target="https://doi.org/10.12659/MSM.948225" TargetMode="External"/><Relationship Id="rId95" Type="http://schemas.openxmlformats.org/officeDocument/2006/relationships/hyperlink" Target="https://www.longtermplan.nhs.uk/" TargetMode="External"/><Relationship Id="rId22" Type="http://schemas.openxmlformats.org/officeDocument/2006/relationships/hyperlink" Target="https://doi.org/10.1136/emermed-2020-209567" TargetMode="External"/><Relationship Id="rId27" Type="http://schemas.openxmlformats.org/officeDocument/2006/relationships/hyperlink" Target="https://doi.org/10.1136/bmjinnov-2020-000512" TargetMode="External"/><Relationship Id="rId43" Type="http://schemas.openxmlformats.org/officeDocument/2006/relationships/hyperlink" Target="https://phw.nhs.wales/files/research/population-health-in-a-digital-age/" TargetMode="External"/><Relationship Id="rId48" Type="http://schemas.openxmlformats.org/officeDocument/2006/relationships/hyperlink" Target="https://doi.org/10.3399/bjgp19X704141" TargetMode="External"/><Relationship Id="rId64" Type="http://schemas.openxmlformats.org/officeDocument/2006/relationships/hyperlink" Target="https://www.healthwatch.co.uk/sites/healthwatch.co.uk/files/Digital%20Exclusion%20v4.pdf" TargetMode="External"/><Relationship Id="rId69" Type="http://schemas.openxmlformats.org/officeDocument/2006/relationships/hyperlink" Target="https://doi.org/10.6084/m9.figshare.29876660" TargetMode="External"/><Relationship Id="rId113" Type="http://schemas.openxmlformats.org/officeDocument/2006/relationships/hyperlink" Target="https://www.gov.scot/publications/scotlands-digital-health-care-strategy/" TargetMode="External"/><Relationship Id="rId118" Type="http://schemas.openxmlformats.org/officeDocument/2006/relationships/hyperlink" Target="https://doi.org/10.3389/fpsyt.2020.00665" TargetMode="External"/><Relationship Id="rId80" Type="http://schemas.openxmlformats.org/officeDocument/2006/relationships/hyperlink" Target="https://doi.org/10.1136/bmj.k1195" TargetMode="External"/><Relationship Id="rId85" Type="http://schemas.openxmlformats.org/officeDocument/2006/relationships/hyperlink" Target="https://doi.org/10.1186/s12890-016-0248-7" TargetMode="External"/><Relationship Id="rId12" Type="http://schemas.openxmlformats.org/officeDocument/2006/relationships/image" Target="media/image3.emf"/><Relationship Id="rId17" Type="http://schemas.openxmlformats.org/officeDocument/2006/relationships/hyperlink" Target="https://doi.org/10.2196/57580" TargetMode="External"/><Relationship Id="rId33" Type="http://schemas.openxmlformats.org/officeDocument/2006/relationships/hyperlink" Target="https://doi.org/10.3399/bjgp26X745137" TargetMode="External"/><Relationship Id="rId38" Type="http://schemas.openxmlformats.org/officeDocument/2006/relationships/hyperlink" Target="https://doi.org/10.1136/bmjopen-2017-018688" TargetMode="External"/><Relationship Id="rId59" Type="http://schemas.openxmlformats.org/officeDocument/2006/relationships/hyperlink" Target="https://doi.org/10.1136/bmj.m998" TargetMode="External"/><Relationship Id="rId103" Type="http://schemas.openxmlformats.org/officeDocument/2006/relationships/hyperlink" Target="https://doi.org/10.3399/BJGP.2021.0673" TargetMode="External"/><Relationship Id="rId108" Type="http://schemas.openxmlformats.org/officeDocument/2006/relationships/hyperlink" Target="https://www.rcgp.org.uk/getmedia/72f052b6-3227-48b4-87c9-b05ff90517c4/future-role-of-remote-consultations-patient-triage.pdf" TargetMode="External"/><Relationship Id="rId124" Type="http://schemas.openxmlformats.org/officeDocument/2006/relationships/hyperlink" Target="https://doi.org/10.1089/tmj.2022.0378" TargetMode="External"/><Relationship Id="rId129" Type="http://schemas.openxmlformats.org/officeDocument/2006/relationships/fontTable" Target="fontTable.xml"/><Relationship Id="rId54" Type="http://schemas.openxmlformats.org/officeDocument/2006/relationships/hyperlink" Target="https://doi.org/10.2196/22146" TargetMode="External"/><Relationship Id="rId70" Type="http://schemas.openxmlformats.org/officeDocument/2006/relationships/hyperlink" Target="https://doi.org/10.3389/fpubh.2022.1073756" TargetMode="External"/><Relationship Id="rId75" Type="http://schemas.openxmlformats.org/officeDocument/2006/relationships/hyperlink" Target="https://doi.org/10.1136/bmjopen-2017-016242" TargetMode="External"/><Relationship Id="rId91" Type="http://schemas.openxmlformats.org/officeDocument/2006/relationships/hyperlink" Target="https://doi.org/10.1186/s12912-019-0348-9" TargetMode="External"/><Relationship Id="rId96" Type="http://schemas.openxmlformats.org/officeDocument/2006/relationships/hyperlink" Target="https://www.england.nhs.uk/publication/next-steps-for-integrating-primary-care-fuller-stocktake-report/"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7759/cureus.17814" TargetMode="External"/><Relationship Id="rId28" Type="http://schemas.openxmlformats.org/officeDocument/2006/relationships/hyperlink" Target="https://doi.org/10.1177/1757913916634136" TargetMode="External"/><Relationship Id="rId49" Type="http://schemas.openxmlformats.org/officeDocument/2006/relationships/hyperlink" Target="https://doi.org/10.1051/shsconf/20184400032" TargetMode="External"/><Relationship Id="rId114" Type="http://schemas.openxmlformats.org/officeDocument/2006/relationships/hyperlink" Target="https://doi.org/10.5152/tao.2019.4058" TargetMode="External"/><Relationship Id="rId119" Type="http://schemas.openxmlformats.org/officeDocument/2006/relationships/hyperlink" Target="https://doi.org/10.1136/bmjspcare-2020-002326" TargetMode="External"/><Relationship Id="rId44" Type="http://schemas.openxmlformats.org/officeDocument/2006/relationships/hyperlink" Target="https://doi.org/10.2307/249008" TargetMode="External"/><Relationship Id="rId60" Type="http://schemas.openxmlformats.org/officeDocument/2006/relationships/hyperlink" Target="https://doi.org/10.3399/BJGPO.2025.0106" TargetMode="External"/><Relationship Id="rId65" Type="http://schemas.openxmlformats.org/officeDocument/2006/relationships/hyperlink" Target="https://doi.org/10.3233/EFI-180221" TargetMode="External"/><Relationship Id="rId81" Type="http://schemas.openxmlformats.org/officeDocument/2006/relationships/hyperlink" Target="https://doi.org/10.1007/s11606-018-4621-5" TargetMode="External"/><Relationship Id="rId86" Type="http://schemas.openxmlformats.org/officeDocument/2006/relationships/hyperlink" Target="https://doi.org/10.15838/esc.2022.3.81.11" TargetMode="External"/><Relationship Id="rId130" Type="http://schemas.openxmlformats.org/officeDocument/2006/relationships/theme" Target="theme/theme1.xml"/><Relationship Id="rId13" Type="http://schemas.openxmlformats.org/officeDocument/2006/relationships/customXml" Target="ink/ink3.xml"/><Relationship Id="rId18" Type="http://schemas.openxmlformats.org/officeDocument/2006/relationships/hyperlink" Target="https://doi.org/10.4097/kjae.2018.71.2.103" TargetMode="External"/><Relationship Id="rId39" Type="http://schemas.openxmlformats.org/officeDocument/2006/relationships/hyperlink" Target="https://doi.org/10.1136/bmjopen-2024-097633" TargetMode="External"/><Relationship Id="rId109" Type="http://schemas.openxmlformats.org/officeDocument/2006/relationships/hyperlink" Target="https://doi.org/10.1016/j.ijmedinf.2018.07.007" TargetMode="External"/><Relationship Id="rId34" Type="http://schemas.openxmlformats.org/officeDocument/2006/relationships/hyperlink" Target="https://doi.org/10.2196/49942" TargetMode="External"/><Relationship Id="rId50" Type="http://schemas.openxmlformats.org/officeDocument/2006/relationships/hyperlink" Target="https://doi.org/10.5195/jmla.2018.345" TargetMode="External"/><Relationship Id="rId55" Type="http://schemas.openxmlformats.org/officeDocument/2006/relationships/hyperlink" Target="https://europepmc.org/article/NBK/nbk586478" TargetMode="External"/><Relationship Id="rId76" Type="http://schemas.openxmlformats.org/officeDocument/2006/relationships/hyperlink" Target="https://doi.org/10.3399/BJGPO.2024.0079" TargetMode="External"/><Relationship Id="rId97" Type="http://schemas.openxmlformats.org/officeDocument/2006/relationships/hyperlink" Target="https://www.england.nhs.uk/wp-content/uploads/2023/05/PRN00283-delivery-plan-for-recovering-access-to-primary-care-may-2023.pdf" TargetMode="External"/><Relationship Id="rId104" Type="http://schemas.openxmlformats.org/officeDocument/2006/relationships/hyperlink" Target="https://doi.org/10.1177/1937586717747384" TargetMode="External"/><Relationship Id="rId120" Type="http://schemas.openxmlformats.org/officeDocument/2006/relationships/hyperlink" Target="https://doi.org/10.3399/BJGP.2021.0426" TargetMode="External"/><Relationship Id="rId125" Type="http://schemas.openxmlformats.org/officeDocument/2006/relationships/hyperlink" Target="https://www.gov.wales/digital-and-data-strategy-health-and-social-care-wales-html" TargetMode="External"/><Relationship Id="rId7" Type="http://schemas.openxmlformats.org/officeDocument/2006/relationships/endnotes" Target="endnotes.xml"/><Relationship Id="rId71" Type="http://schemas.openxmlformats.org/officeDocument/2006/relationships/hyperlink" Target="https://doi.org/10.12688/f1000research.51723.3" TargetMode="External"/><Relationship Id="rId92" Type="http://schemas.openxmlformats.org/officeDocument/2006/relationships/hyperlink" Target="https://doi.org/10.11124/jbisrir-d-19-00099" TargetMode="External"/><Relationship Id="rId2" Type="http://schemas.openxmlformats.org/officeDocument/2006/relationships/numbering" Target="numbering.xml"/><Relationship Id="rId29" Type="http://schemas.openxmlformats.org/officeDocument/2006/relationships/hyperlink" Target="https://doi.org/10.3390/jcm10235519" TargetMode="External"/><Relationship Id="rId24" Type="http://schemas.openxmlformats.org/officeDocument/2006/relationships/hyperlink" Target="https://doi.org/10.1177/20552076241233969" TargetMode="External"/><Relationship Id="rId40" Type="http://schemas.openxmlformats.org/officeDocument/2006/relationships/hyperlink" Target="https://doi.org/10.1136/bmjopen-2023-072944" TargetMode="External"/><Relationship Id="rId45" Type="http://schemas.openxmlformats.org/officeDocument/2006/relationships/hyperlink" Target="https://doi.org/10.1177/13591053241240383" TargetMode="External"/><Relationship Id="rId66" Type="http://schemas.openxmlformats.org/officeDocument/2006/relationships/hyperlink" Target="https://link.springer.com/article/10.1186/s13643-017-0454-2" TargetMode="External"/><Relationship Id="rId87" Type="http://schemas.openxmlformats.org/officeDocument/2006/relationships/hyperlink" Target="https://doi.org/10.3389/fdgth.2022.1004547" TargetMode="External"/><Relationship Id="rId110" Type="http://schemas.openxmlformats.org/officeDocument/2006/relationships/hyperlink" Target="https://doi.org/10.2196/18203" TargetMode="External"/><Relationship Id="rId115" Type="http://schemas.openxmlformats.org/officeDocument/2006/relationships/hyperlink" Target="https://doi.org/10.1177/1357633X20916567" TargetMode="External"/><Relationship Id="rId61" Type="http://schemas.openxmlformats.org/officeDocument/2006/relationships/hyperlink" Target="https://doi.org/10.1016/j.acra.2018.04.025" TargetMode="External"/><Relationship Id="rId82" Type="http://schemas.openxmlformats.org/officeDocument/2006/relationships/hyperlink" Target="https://doi.org/10.1007/978-3-319-60672-9_8" TargetMode="External"/><Relationship Id="rId19" Type="http://schemas.openxmlformats.org/officeDocument/2006/relationships/hyperlink" Target="https://doi.org/10.1080/19932820.2024.2301829" TargetMode="External"/><Relationship Id="rId14" Type="http://schemas.openxmlformats.org/officeDocument/2006/relationships/customXml" Target="ink/ink4.xml"/><Relationship Id="rId30" Type="http://schemas.openxmlformats.org/officeDocument/2006/relationships/hyperlink" Target="https://study.sagepub.com/doingasystematicreview2e" TargetMode="External"/><Relationship Id="rId35" Type="http://schemas.openxmlformats.org/officeDocument/2006/relationships/hyperlink" Target="https://doi.org/10.1177/1357633X241232464" TargetMode="External"/><Relationship Id="rId56" Type="http://schemas.openxmlformats.org/officeDocument/2006/relationships/hyperlink" Target="https://doi.org/10.3390/ijerph182111337" TargetMode="External"/><Relationship Id="rId77" Type="http://schemas.openxmlformats.org/officeDocument/2006/relationships/hyperlink" Target="https://doi.org/10.1371/journal.pdig.0000029" TargetMode="External"/><Relationship Id="rId100" Type="http://schemas.openxmlformats.org/officeDocument/2006/relationships/hyperlink" Target="https://www.england.nhs.uk/long-read/remote-consulting/" TargetMode="External"/><Relationship Id="rId105" Type="http://schemas.openxmlformats.org/officeDocument/2006/relationships/hyperlink" Target="https://doi.org/10.1177/0141076818761383" TargetMode="External"/><Relationship Id="rId12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oi.org/10.1136/bmjopen-2017-019966" TargetMode="External"/><Relationship Id="rId72" Type="http://schemas.openxmlformats.org/officeDocument/2006/relationships/hyperlink" Target="https://doi.org/10.1056/NEJMp2005835" TargetMode="External"/><Relationship Id="rId93" Type="http://schemas.openxmlformats.org/officeDocument/2006/relationships/hyperlink" Target="https://doi.org/10.3399/bjgp.2020.0948" TargetMode="External"/><Relationship Id="rId98" Type="http://schemas.openxmlformats.org/officeDocument/2006/relationships/hyperlink" Target="https://www.england.nhs.uk/" TargetMode="External"/><Relationship Id="rId121" Type="http://schemas.openxmlformats.org/officeDocument/2006/relationships/hyperlink" Target="https://doi.org/10.1136/bmj.k1047" TargetMode="External"/><Relationship Id="rId3" Type="http://schemas.openxmlformats.org/officeDocument/2006/relationships/styles" Target="styles.xml"/><Relationship Id="rId25" Type="http://schemas.openxmlformats.org/officeDocument/2006/relationships/hyperlink" Target="https://doi.org/10.1136/bmjopen-2024-093795" TargetMode="External"/><Relationship Id="rId46" Type="http://schemas.openxmlformats.org/officeDocument/2006/relationships/hyperlink" Target="https://www.health-ni.gov.uk/publications/digital-strategy-health-and-social-care-northern-ireland-2022-2030" TargetMode="External"/><Relationship Id="rId67" Type="http://schemas.openxmlformats.org/officeDocument/2006/relationships/hyperlink" Target="https://doi.org/10.1186/s12875-023-02085-7" TargetMode="External"/><Relationship Id="rId116" Type="http://schemas.openxmlformats.org/officeDocument/2006/relationships/hyperlink" Target="https://doi.org/10.1177/1357633X251341199" TargetMode="External"/><Relationship Id="rId20" Type="http://schemas.openxmlformats.org/officeDocument/2006/relationships/hyperlink" Target="https://doi.org/10.1111/dme.15343" TargetMode="External"/><Relationship Id="rId41" Type="http://schemas.openxmlformats.org/officeDocument/2006/relationships/hyperlink" Target="https://doi.org/10.1515/jdis-2017-0006" TargetMode="External"/><Relationship Id="rId62" Type="http://schemas.openxmlformats.org/officeDocument/2006/relationships/hyperlink" Target="https://doi.org/10.3399/bjgp19x704573" TargetMode="External"/><Relationship Id="rId83" Type="http://schemas.openxmlformats.org/officeDocument/2006/relationships/hyperlink" Target="https://doi.org/10.1089/tmj.2021.0322" TargetMode="External"/><Relationship Id="rId88" Type="http://schemas.openxmlformats.org/officeDocument/2006/relationships/hyperlink" Target="https://doi.org/10.1097/01.ASW.0000669916.01793.93" TargetMode="External"/><Relationship Id="rId111" Type="http://schemas.openxmlformats.org/officeDocument/2006/relationships/hyperlink" Target="https://doi.org/10.4103/jfmpc.jfmpc_830_24" TargetMode="External"/><Relationship Id="rId15" Type="http://schemas.openxmlformats.org/officeDocument/2006/relationships/image" Target="media/image2.png"/><Relationship Id="rId36" Type="http://schemas.openxmlformats.org/officeDocument/2006/relationships/hyperlink" Target="https://doi.org/10.1136/bmj.l6890" TargetMode="External"/><Relationship Id="rId57" Type="http://schemas.openxmlformats.org/officeDocument/2006/relationships/hyperlink" Target="https://doi.org/10.3389/fdgth.2023.1092008" TargetMode="External"/><Relationship Id="rId106" Type="http://schemas.openxmlformats.org/officeDocument/2006/relationships/hyperlink" Target="https://doi.org/10.1371/journal.pone.0300193" TargetMode="External"/><Relationship Id="rId127" Type="http://schemas.openxmlformats.org/officeDocument/2006/relationships/footer" Target="footer2.xml"/><Relationship Id="rId10" Type="http://schemas.openxmlformats.org/officeDocument/2006/relationships/image" Target="media/image2.emf"/><Relationship Id="rId31" Type="http://schemas.openxmlformats.org/officeDocument/2006/relationships/hyperlink" Target="https://doi.org/10.4135/9781036232009" TargetMode="External"/><Relationship Id="rId52" Type="http://schemas.openxmlformats.org/officeDocument/2006/relationships/hyperlink" Target="https://doi.org/10.2196/46485" TargetMode="External"/><Relationship Id="rId73" Type="http://schemas.openxmlformats.org/officeDocument/2006/relationships/hyperlink" Target="https://doi.org/10.3399/BJGP.2021.0028" TargetMode="External"/><Relationship Id="rId78" Type="http://schemas.openxmlformats.org/officeDocument/2006/relationships/hyperlink" Target="https://doi.org/10.3399/bjgp.2023.0092" TargetMode="External"/><Relationship Id="rId94" Type="http://schemas.openxmlformats.org/officeDocument/2006/relationships/hyperlink" Target="https://doi.org/10.1177/1357633x211066235" TargetMode="External"/><Relationship Id="rId99" Type="http://schemas.openxmlformats.org/officeDocument/2006/relationships/hyperlink" Target="https://www.england.nhs.uk/statistics/2024/07/11/gp-patient-survey-2024/" TargetMode="External"/><Relationship Id="rId101" Type="http://schemas.openxmlformats.org/officeDocument/2006/relationships/hyperlink" Target="https://digital.nhs.uk/data-and-information/publications/statistical/submissions-via-online-consultation-systems-in-general-practice/june-2026" TargetMode="External"/><Relationship Id="rId122" Type="http://schemas.openxmlformats.org/officeDocument/2006/relationships/hyperlink" Target="https://doi.org/10.2196/70377" TargetMode="External"/><Relationship Id="rId4" Type="http://schemas.openxmlformats.org/officeDocument/2006/relationships/settings" Target="settings.xml"/><Relationship Id="rId9" Type="http://schemas.openxmlformats.org/officeDocument/2006/relationships/customXml" Target="ink/ink1.xml"/><Relationship Id="rId26" Type="http://schemas.openxmlformats.org/officeDocument/2006/relationships/hyperlink" Target="https://www.nhsconfed.org/publications/digital-inclusion-mental-health"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0 310 24575,'0'-310'0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E1453-FCE8-48A5-92BF-BF147417F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74</Pages>
  <Words>24434</Words>
  <Characters>139274</Characters>
  <Application>Microsoft Office Word</Application>
  <DocSecurity>0</DocSecurity>
  <Lines>1160</Lines>
  <Paragraphs>326</Paragraphs>
  <ScaleCrop>false</ScaleCrop>
  <HeadingPairs>
    <vt:vector size="4" baseType="variant">
      <vt:variant>
        <vt:lpstr>Title</vt:lpstr>
      </vt:variant>
      <vt:variant>
        <vt:i4>1</vt:i4>
      </vt:variant>
      <vt:variant>
        <vt:lpstr>Headings</vt:lpstr>
      </vt:variant>
      <vt:variant>
        <vt:i4>43</vt:i4>
      </vt:variant>
    </vt:vector>
  </HeadingPairs>
  <TitlesOfParts>
    <vt:vector size="44" baseType="lpstr">
      <vt:lpstr/>
      <vt:lpstr>ABSTRACT</vt:lpstr>
      <vt:lpstr>TABLE OF CONTENTS</vt:lpstr>
      <vt:lpstr>LIST OF FIGURES</vt:lpstr>
      <vt:lpstr>LIST OF TABLES </vt:lpstr>
      <vt:lpstr>LIST OF ABBREVIATIONS</vt:lpstr>
      <vt:lpstr>CHAPTER ONE</vt:lpstr>
      <vt:lpstr>INTRODUCTION</vt:lpstr>
      <vt:lpstr>    Background of the Study</vt:lpstr>
      <vt:lpstr>    1.2 Problem Statement</vt:lpstr>
      <vt:lpstr>    1.3 Scope of the Study</vt:lpstr>
      <vt:lpstr>    1.4 Research Aim and Objectives </vt:lpstr>
      <vt:lpstr>        1.4.1 Research Aim</vt:lpstr>
      <vt:lpstr>        1.4.2 Research Objectives </vt:lpstr>
      <vt:lpstr>    1.5 Research Question</vt:lpstr>
      <vt:lpstr>    1.6 Significance of the Study</vt:lpstr>
      <vt:lpstr>    1.7 Dissertation Structure</vt:lpstr>
      <vt:lpstr>CHAPTER TWO</vt:lpstr>
      <vt:lpstr>LITERATURE REVIEW/THEORETICAL FRAMEWORK</vt:lpstr>
      <vt:lpstr>    2.1 Introduction</vt:lpstr>
      <vt:lpstr>    2.2 Concept of Telemedicine</vt:lpstr>
      <vt:lpstr>    2.3 Evolution of Telemedicine in the United Kingdom</vt:lpstr>
      <vt:lpstr>    2.4 Telemedicine in UK Primary Care</vt:lpstr>
      <vt:lpstr>    2.5 Factors Influencing Patient Satisfaction</vt:lpstr>
      <vt:lpstr>    2.6 Telephone versus Video Consultations</vt:lpstr>
      <vt:lpstr>    2.7 Theoretical Framework </vt:lpstr>
      <vt:lpstr>    2.8 Literature Gap</vt:lpstr>
      <vt:lpstr>    2.9 Chapter Summary</vt:lpstr>
      <vt:lpstr>CHAPTER THREE</vt:lpstr>
      <vt:lpstr>RESEARCH METHODOLOGY</vt:lpstr>
      <vt:lpstr>    3.1 Research Design</vt:lpstr>
      <vt:lpstr>    3.2 Search Strategy</vt:lpstr>
      <vt:lpstr>    3.3 Inclusion and Exclusion Criteria</vt:lpstr>
      <vt:lpstr>    3.4 Study Selection Process</vt:lpstr>
      <vt:lpstr>    3.5 Study Quality Assessment</vt:lpstr>
      <vt:lpstr>    3.6 Data Extraction</vt:lpstr>
      <vt:lpstr>    3.7 Data Synthesis</vt:lpstr>
      <vt:lpstr>    3.8 Ethical Considerations</vt:lpstr>
      <vt:lpstr>    3.9 Method for Reporting the Frequency of Findings</vt:lpstr>
      <vt:lpstr>CHAPTER FOUR</vt:lpstr>
      <vt:lpstr>RESULTS</vt:lpstr>
      <vt:lpstr>    4.2 Identification and Critical Appraisal of UK Studies Examining Patient Satisf</vt:lpstr>
      <vt:lpstr>    4.3 Reported Levels of Perceived Quality of Telemedicine Use in UK Primary Care</vt:lpstr>
      <vt:lpstr>    4.4 Comparison of Patient Satisfaction and Perceived Quality Between Telephone a</vt:lpstr>
    </vt:vector>
  </TitlesOfParts>
  <Company/>
  <LinksUpToDate>false</LinksUpToDate>
  <CharactersWithSpaces>163382</CharactersWithSpaces>
  <SharedDoc>false</SharedDoc>
  <HLinks>
    <vt:vector size="1062" baseType="variant">
      <vt:variant>
        <vt:i4>4390923</vt:i4>
      </vt:variant>
      <vt:variant>
        <vt:i4>750</vt:i4>
      </vt:variant>
      <vt:variant>
        <vt:i4>0</vt:i4>
      </vt:variant>
      <vt:variant>
        <vt:i4>5</vt:i4>
      </vt:variant>
      <vt:variant>
        <vt:lpwstr>https://www.gov.wales/digital-and-data-strategy-health-and-social-care-wales-html</vt:lpwstr>
      </vt:variant>
      <vt:variant>
        <vt:lpwstr/>
      </vt:variant>
      <vt:variant>
        <vt:i4>6094928</vt:i4>
      </vt:variant>
      <vt:variant>
        <vt:i4>747</vt:i4>
      </vt:variant>
      <vt:variant>
        <vt:i4>0</vt:i4>
      </vt:variant>
      <vt:variant>
        <vt:i4>5</vt:i4>
      </vt:variant>
      <vt:variant>
        <vt:lpwstr>https://doi.org/10.1089/tmj.2022.0378</vt:lpwstr>
      </vt:variant>
      <vt:variant>
        <vt:lpwstr/>
      </vt:variant>
      <vt:variant>
        <vt:i4>5963869</vt:i4>
      </vt:variant>
      <vt:variant>
        <vt:i4>744</vt:i4>
      </vt:variant>
      <vt:variant>
        <vt:i4>0</vt:i4>
      </vt:variant>
      <vt:variant>
        <vt:i4>5</vt:i4>
      </vt:variant>
      <vt:variant>
        <vt:lpwstr>https://doi.org/10.1177/1357633x17693749</vt:lpwstr>
      </vt:variant>
      <vt:variant>
        <vt:lpwstr/>
      </vt:variant>
      <vt:variant>
        <vt:i4>1966169</vt:i4>
      </vt:variant>
      <vt:variant>
        <vt:i4>741</vt:i4>
      </vt:variant>
      <vt:variant>
        <vt:i4>0</vt:i4>
      </vt:variant>
      <vt:variant>
        <vt:i4>5</vt:i4>
      </vt:variant>
      <vt:variant>
        <vt:lpwstr>https://doi.org/10.2196/70377</vt:lpwstr>
      </vt:variant>
      <vt:variant>
        <vt:lpwstr/>
      </vt:variant>
      <vt:variant>
        <vt:i4>5636110</vt:i4>
      </vt:variant>
      <vt:variant>
        <vt:i4>738</vt:i4>
      </vt:variant>
      <vt:variant>
        <vt:i4>0</vt:i4>
      </vt:variant>
      <vt:variant>
        <vt:i4>5</vt:i4>
      </vt:variant>
      <vt:variant>
        <vt:lpwstr>https://doi.org/10.1136/bmj.k1047</vt:lpwstr>
      </vt:variant>
      <vt:variant>
        <vt:lpwstr/>
      </vt:variant>
      <vt:variant>
        <vt:i4>3014776</vt:i4>
      </vt:variant>
      <vt:variant>
        <vt:i4>735</vt:i4>
      </vt:variant>
      <vt:variant>
        <vt:i4>0</vt:i4>
      </vt:variant>
      <vt:variant>
        <vt:i4>5</vt:i4>
      </vt:variant>
      <vt:variant>
        <vt:lpwstr>https://doi.org/10.3399/BJGP.2021.0426</vt:lpwstr>
      </vt:variant>
      <vt:variant>
        <vt:lpwstr/>
      </vt:variant>
      <vt:variant>
        <vt:i4>131087</vt:i4>
      </vt:variant>
      <vt:variant>
        <vt:i4>732</vt:i4>
      </vt:variant>
      <vt:variant>
        <vt:i4>0</vt:i4>
      </vt:variant>
      <vt:variant>
        <vt:i4>5</vt:i4>
      </vt:variant>
      <vt:variant>
        <vt:lpwstr>https://doi.org/10.1136/bmjspcare-2020-002326</vt:lpwstr>
      </vt:variant>
      <vt:variant>
        <vt:lpwstr/>
      </vt:variant>
      <vt:variant>
        <vt:i4>851993</vt:i4>
      </vt:variant>
      <vt:variant>
        <vt:i4>729</vt:i4>
      </vt:variant>
      <vt:variant>
        <vt:i4>0</vt:i4>
      </vt:variant>
      <vt:variant>
        <vt:i4>5</vt:i4>
      </vt:variant>
      <vt:variant>
        <vt:lpwstr>https://doi.org/10.3389/fpsyt.2020.00665</vt:lpwstr>
      </vt:variant>
      <vt:variant>
        <vt:lpwstr/>
      </vt:variant>
      <vt:variant>
        <vt:i4>5439574</vt:i4>
      </vt:variant>
      <vt:variant>
        <vt:i4>726</vt:i4>
      </vt:variant>
      <vt:variant>
        <vt:i4>0</vt:i4>
      </vt:variant>
      <vt:variant>
        <vt:i4>5</vt:i4>
      </vt:variant>
      <vt:variant>
        <vt:lpwstr>https://doi.org/10.1177/1357633X19861235</vt:lpwstr>
      </vt:variant>
      <vt:variant>
        <vt:lpwstr/>
      </vt:variant>
      <vt:variant>
        <vt:i4>5570651</vt:i4>
      </vt:variant>
      <vt:variant>
        <vt:i4>723</vt:i4>
      </vt:variant>
      <vt:variant>
        <vt:i4>0</vt:i4>
      </vt:variant>
      <vt:variant>
        <vt:i4>5</vt:i4>
      </vt:variant>
      <vt:variant>
        <vt:lpwstr>https://doi.org/10.1177/1357633X251341199</vt:lpwstr>
      </vt:variant>
      <vt:variant>
        <vt:lpwstr/>
      </vt:variant>
      <vt:variant>
        <vt:i4>5767254</vt:i4>
      </vt:variant>
      <vt:variant>
        <vt:i4>720</vt:i4>
      </vt:variant>
      <vt:variant>
        <vt:i4>0</vt:i4>
      </vt:variant>
      <vt:variant>
        <vt:i4>5</vt:i4>
      </vt:variant>
      <vt:variant>
        <vt:lpwstr>https://doi.org/10.1177/1357633X20916567</vt:lpwstr>
      </vt:variant>
      <vt:variant>
        <vt:lpwstr/>
      </vt:variant>
      <vt:variant>
        <vt:i4>5570655</vt:i4>
      </vt:variant>
      <vt:variant>
        <vt:i4>717</vt:i4>
      </vt:variant>
      <vt:variant>
        <vt:i4>0</vt:i4>
      </vt:variant>
      <vt:variant>
        <vt:i4>5</vt:i4>
      </vt:variant>
      <vt:variant>
        <vt:lpwstr>https://doi.org/10.5152/tao.2019.4058</vt:lpwstr>
      </vt:variant>
      <vt:variant>
        <vt:lpwstr/>
      </vt:variant>
      <vt:variant>
        <vt:i4>720960</vt:i4>
      </vt:variant>
      <vt:variant>
        <vt:i4>714</vt:i4>
      </vt:variant>
      <vt:variant>
        <vt:i4>0</vt:i4>
      </vt:variant>
      <vt:variant>
        <vt:i4>5</vt:i4>
      </vt:variant>
      <vt:variant>
        <vt:lpwstr>https://www.gov.scot/publications/scotlands-digital-health-care-strategy/</vt:lpwstr>
      </vt:variant>
      <vt:variant>
        <vt:lpwstr/>
      </vt:variant>
      <vt:variant>
        <vt:i4>4915289</vt:i4>
      </vt:variant>
      <vt:variant>
        <vt:i4>711</vt:i4>
      </vt:variant>
      <vt:variant>
        <vt:i4>0</vt:i4>
      </vt:variant>
      <vt:variant>
        <vt:i4>5</vt:i4>
      </vt:variant>
      <vt:variant>
        <vt:lpwstr>https://www.bjanaesthesia.org/article/S0007-0912(20)30562-6/fulltext</vt:lpwstr>
      </vt:variant>
      <vt:variant>
        <vt:lpwstr/>
      </vt:variant>
      <vt:variant>
        <vt:i4>4128866</vt:i4>
      </vt:variant>
      <vt:variant>
        <vt:i4>708</vt:i4>
      </vt:variant>
      <vt:variant>
        <vt:i4>0</vt:i4>
      </vt:variant>
      <vt:variant>
        <vt:i4>5</vt:i4>
      </vt:variant>
      <vt:variant>
        <vt:lpwstr>https://doi.org/10.4103/jfmpc.jfmpc_830_24</vt:lpwstr>
      </vt:variant>
      <vt:variant>
        <vt:lpwstr/>
      </vt:variant>
      <vt:variant>
        <vt:i4>1114206</vt:i4>
      </vt:variant>
      <vt:variant>
        <vt:i4>705</vt:i4>
      </vt:variant>
      <vt:variant>
        <vt:i4>0</vt:i4>
      </vt:variant>
      <vt:variant>
        <vt:i4>5</vt:i4>
      </vt:variant>
      <vt:variant>
        <vt:lpwstr>https://doi.org/10.2196/18203</vt:lpwstr>
      </vt:variant>
      <vt:variant>
        <vt:lpwstr/>
      </vt:variant>
      <vt:variant>
        <vt:i4>2162736</vt:i4>
      </vt:variant>
      <vt:variant>
        <vt:i4>702</vt:i4>
      </vt:variant>
      <vt:variant>
        <vt:i4>0</vt:i4>
      </vt:variant>
      <vt:variant>
        <vt:i4>5</vt:i4>
      </vt:variant>
      <vt:variant>
        <vt:lpwstr>https://doi.org/10.1016/j.ijmedinf.2018.07.007</vt:lpwstr>
      </vt:variant>
      <vt:variant>
        <vt:lpwstr/>
      </vt:variant>
      <vt:variant>
        <vt:i4>4522078</vt:i4>
      </vt:variant>
      <vt:variant>
        <vt:i4>699</vt:i4>
      </vt:variant>
      <vt:variant>
        <vt:i4>0</vt:i4>
      </vt:variant>
      <vt:variant>
        <vt:i4>5</vt:i4>
      </vt:variant>
      <vt:variant>
        <vt:lpwstr>https://www.rcgp.org.uk/getmedia/72f052b6-3227-48b4-87c9-b05ff90517c4/future-role-of-remote-consultations-patient-triage.pdf</vt:lpwstr>
      </vt:variant>
      <vt:variant>
        <vt:lpwstr/>
      </vt:variant>
      <vt:variant>
        <vt:i4>5177439</vt:i4>
      </vt:variant>
      <vt:variant>
        <vt:i4>696</vt:i4>
      </vt:variant>
      <vt:variant>
        <vt:i4>0</vt:i4>
      </vt:variant>
      <vt:variant>
        <vt:i4>5</vt:i4>
      </vt:variant>
      <vt:variant>
        <vt:lpwstr>https://doi.org/10.1016/j.drugalcdep.2021.108999</vt:lpwstr>
      </vt:variant>
      <vt:variant>
        <vt:lpwstr/>
      </vt:variant>
      <vt:variant>
        <vt:i4>5111887</vt:i4>
      </vt:variant>
      <vt:variant>
        <vt:i4>693</vt:i4>
      </vt:variant>
      <vt:variant>
        <vt:i4>0</vt:i4>
      </vt:variant>
      <vt:variant>
        <vt:i4>5</vt:i4>
      </vt:variant>
      <vt:variant>
        <vt:lpwstr>https://doi.org/10.1371/journal.pone.0300193</vt:lpwstr>
      </vt:variant>
      <vt:variant>
        <vt:lpwstr/>
      </vt:variant>
      <vt:variant>
        <vt:i4>1376337</vt:i4>
      </vt:variant>
      <vt:variant>
        <vt:i4>690</vt:i4>
      </vt:variant>
      <vt:variant>
        <vt:i4>0</vt:i4>
      </vt:variant>
      <vt:variant>
        <vt:i4>5</vt:i4>
      </vt:variant>
      <vt:variant>
        <vt:lpwstr>https://doi.org/10.1177/0141076818761383</vt:lpwstr>
      </vt:variant>
      <vt:variant>
        <vt:lpwstr/>
      </vt:variant>
      <vt:variant>
        <vt:i4>1114196</vt:i4>
      </vt:variant>
      <vt:variant>
        <vt:i4>687</vt:i4>
      </vt:variant>
      <vt:variant>
        <vt:i4>0</vt:i4>
      </vt:variant>
      <vt:variant>
        <vt:i4>5</vt:i4>
      </vt:variant>
      <vt:variant>
        <vt:lpwstr>https://doi.org/10.1177/1937586717747384</vt:lpwstr>
      </vt:variant>
      <vt:variant>
        <vt:lpwstr/>
      </vt:variant>
      <vt:variant>
        <vt:i4>2687101</vt:i4>
      </vt:variant>
      <vt:variant>
        <vt:i4>684</vt:i4>
      </vt:variant>
      <vt:variant>
        <vt:i4>0</vt:i4>
      </vt:variant>
      <vt:variant>
        <vt:i4>5</vt:i4>
      </vt:variant>
      <vt:variant>
        <vt:lpwstr>https://doi.org/10.3399/BJGP.2021.0673</vt:lpwstr>
      </vt:variant>
      <vt:variant>
        <vt:lpwstr/>
      </vt:variant>
      <vt:variant>
        <vt:i4>6815777</vt:i4>
      </vt:variant>
      <vt:variant>
        <vt:i4>681</vt:i4>
      </vt:variant>
      <vt:variant>
        <vt:i4>0</vt:i4>
      </vt:variant>
      <vt:variant>
        <vt:i4>5</vt:i4>
      </vt:variant>
      <vt:variant>
        <vt:lpwstr>https://doi.org/10.3390/ijerph19095101</vt:lpwstr>
      </vt:variant>
      <vt:variant>
        <vt:lpwstr/>
      </vt:variant>
      <vt:variant>
        <vt:i4>3997748</vt:i4>
      </vt:variant>
      <vt:variant>
        <vt:i4>678</vt:i4>
      </vt:variant>
      <vt:variant>
        <vt:i4>0</vt:i4>
      </vt:variant>
      <vt:variant>
        <vt:i4>5</vt:i4>
      </vt:variant>
      <vt:variant>
        <vt:lpwstr>https://digital.nhs.uk/data-and-information/publications/statistical/submissions-via-online-consultation-systems-in-general-practice/june-2026</vt:lpwstr>
      </vt:variant>
      <vt:variant>
        <vt:lpwstr/>
      </vt:variant>
      <vt:variant>
        <vt:i4>3211321</vt:i4>
      </vt:variant>
      <vt:variant>
        <vt:i4>675</vt:i4>
      </vt:variant>
      <vt:variant>
        <vt:i4>0</vt:i4>
      </vt:variant>
      <vt:variant>
        <vt:i4>5</vt:i4>
      </vt:variant>
      <vt:variant>
        <vt:lpwstr>https://www.england.nhs.uk/long-read/remote-consulting/</vt:lpwstr>
      </vt:variant>
      <vt:variant>
        <vt:lpwstr/>
      </vt:variant>
      <vt:variant>
        <vt:i4>1704007</vt:i4>
      </vt:variant>
      <vt:variant>
        <vt:i4>672</vt:i4>
      </vt:variant>
      <vt:variant>
        <vt:i4>0</vt:i4>
      </vt:variant>
      <vt:variant>
        <vt:i4>5</vt:i4>
      </vt:variant>
      <vt:variant>
        <vt:lpwstr>https://www.england.nhs.uk/statistics/2024/07/11/gp-patient-survey-2024/</vt:lpwstr>
      </vt:variant>
      <vt:variant>
        <vt:lpwstr/>
      </vt:variant>
      <vt:variant>
        <vt:i4>2555951</vt:i4>
      </vt:variant>
      <vt:variant>
        <vt:i4>669</vt:i4>
      </vt:variant>
      <vt:variant>
        <vt:i4>0</vt:i4>
      </vt:variant>
      <vt:variant>
        <vt:i4>5</vt:i4>
      </vt:variant>
      <vt:variant>
        <vt:lpwstr>https://www.england.nhs.uk/</vt:lpwstr>
      </vt:variant>
      <vt:variant>
        <vt:lpwstr/>
      </vt:variant>
      <vt:variant>
        <vt:i4>8061048</vt:i4>
      </vt:variant>
      <vt:variant>
        <vt:i4>666</vt:i4>
      </vt:variant>
      <vt:variant>
        <vt:i4>0</vt:i4>
      </vt:variant>
      <vt:variant>
        <vt:i4>5</vt:i4>
      </vt:variant>
      <vt:variant>
        <vt:lpwstr>https://www.england.nhs.uk/wp-content/uploads/2023/05/PRN00283-delivery-plan-for-recovering-access-to-primary-care-may-2023.pdf</vt:lpwstr>
      </vt:variant>
      <vt:variant>
        <vt:lpwstr/>
      </vt:variant>
      <vt:variant>
        <vt:i4>7929966</vt:i4>
      </vt:variant>
      <vt:variant>
        <vt:i4>663</vt:i4>
      </vt:variant>
      <vt:variant>
        <vt:i4>0</vt:i4>
      </vt:variant>
      <vt:variant>
        <vt:i4>5</vt:i4>
      </vt:variant>
      <vt:variant>
        <vt:lpwstr>https://www.england.nhs.uk/publication/next-steps-for-integrating-primary-care-fuller-stocktake-report/</vt:lpwstr>
      </vt:variant>
      <vt:variant>
        <vt:lpwstr/>
      </vt:variant>
      <vt:variant>
        <vt:i4>852054</vt:i4>
      </vt:variant>
      <vt:variant>
        <vt:i4>660</vt:i4>
      </vt:variant>
      <vt:variant>
        <vt:i4>0</vt:i4>
      </vt:variant>
      <vt:variant>
        <vt:i4>5</vt:i4>
      </vt:variant>
      <vt:variant>
        <vt:lpwstr>https://www.longtermplan.nhs.uk/</vt:lpwstr>
      </vt:variant>
      <vt:variant>
        <vt:lpwstr/>
      </vt:variant>
      <vt:variant>
        <vt:i4>6226010</vt:i4>
      </vt:variant>
      <vt:variant>
        <vt:i4>657</vt:i4>
      </vt:variant>
      <vt:variant>
        <vt:i4>0</vt:i4>
      </vt:variant>
      <vt:variant>
        <vt:i4>5</vt:i4>
      </vt:variant>
      <vt:variant>
        <vt:lpwstr>https://doi.org/10.1177/1357633x211066235</vt:lpwstr>
      </vt:variant>
      <vt:variant>
        <vt:lpwstr/>
      </vt:variant>
      <vt:variant>
        <vt:i4>2949247</vt:i4>
      </vt:variant>
      <vt:variant>
        <vt:i4>654</vt:i4>
      </vt:variant>
      <vt:variant>
        <vt:i4>0</vt:i4>
      </vt:variant>
      <vt:variant>
        <vt:i4>5</vt:i4>
      </vt:variant>
      <vt:variant>
        <vt:lpwstr>https://doi.org/10.3399/bjgp.2020.0948</vt:lpwstr>
      </vt:variant>
      <vt:variant>
        <vt:lpwstr/>
      </vt:variant>
      <vt:variant>
        <vt:i4>8060983</vt:i4>
      </vt:variant>
      <vt:variant>
        <vt:i4>651</vt:i4>
      </vt:variant>
      <vt:variant>
        <vt:i4>0</vt:i4>
      </vt:variant>
      <vt:variant>
        <vt:i4>5</vt:i4>
      </vt:variant>
      <vt:variant>
        <vt:lpwstr>https://doi.org/10.11124/jbisrir-d-19-00099</vt:lpwstr>
      </vt:variant>
      <vt:variant>
        <vt:lpwstr/>
      </vt:variant>
      <vt:variant>
        <vt:i4>65559</vt:i4>
      </vt:variant>
      <vt:variant>
        <vt:i4>648</vt:i4>
      </vt:variant>
      <vt:variant>
        <vt:i4>0</vt:i4>
      </vt:variant>
      <vt:variant>
        <vt:i4>5</vt:i4>
      </vt:variant>
      <vt:variant>
        <vt:lpwstr>https://doi.org/10.1186/s12912-019-0348-9</vt:lpwstr>
      </vt:variant>
      <vt:variant>
        <vt:lpwstr/>
      </vt:variant>
      <vt:variant>
        <vt:i4>3145769</vt:i4>
      </vt:variant>
      <vt:variant>
        <vt:i4>645</vt:i4>
      </vt:variant>
      <vt:variant>
        <vt:i4>0</vt:i4>
      </vt:variant>
      <vt:variant>
        <vt:i4>5</vt:i4>
      </vt:variant>
      <vt:variant>
        <vt:lpwstr>https://doi.org/10.12659/MSM.948225</vt:lpwstr>
      </vt:variant>
      <vt:variant>
        <vt:lpwstr/>
      </vt:variant>
      <vt:variant>
        <vt:i4>1966172</vt:i4>
      </vt:variant>
      <vt:variant>
        <vt:i4>642</vt:i4>
      </vt:variant>
      <vt:variant>
        <vt:i4>0</vt:i4>
      </vt:variant>
      <vt:variant>
        <vt:i4>5</vt:i4>
      </vt:variant>
      <vt:variant>
        <vt:lpwstr>https://doi.org/10.2196/13042</vt:lpwstr>
      </vt:variant>
      <vt:variant>
        <vt:lpwstr/>
      </vt:variant>
      <vt:variant>
        <vt:i4>3670058</vt:i4>
      </vt:variant>
      <vt:variant>
        <vt:i4>639</vt:i4>
      </vt:variant>
      <vt:variant>
        <vt:i4>0</vt:i4>
      </vt:variant>
      <vt:variant>
        <vt:i4>5</vt:i4>
      </vt:variant>
      <vt:variant>
        <vt:lpwstr>https://doi.org/10.1097/01.ASW.0000669916.01793.93</vt:lpwstr>
      </vt:variant>
      <vt:variant>
        <vt:lpwstr/>
      </vt:variant>
      <vt:variant>
        <vt:i4>2490407</vt:i4>
      </vt:variant>
      <vt:variant>
        <vt:i4>636</vt:i4>
      </vt:variant>
      <vt:variant>
        <vt:i4>0</vt:i4>
      </vt:variant>
      <vt:variant>
        <vt:i4>5</vt:i4>
      </vt:variant>
      <vt:variant>
        <vt:lpwstr>https://doi.org/10.3389/fdgth.2022.1004547</vt:lpwstr>
      </vt:variant>
      <vt:variant>
        <vt:lpwstr/>
      </vt:variant>
      <vt:variant>
        <vt:i4>655369</vt:i4>
      </vt:variant>
      <vt:variant>
        <vt:i4>633</vt:i4>
      </vt:variant>
      <vt:variant>
        <vt:i4>0</vt:i4>
      </vt:variant>
      <vt:variant>
        <vt:i4>5</vt:i4>
      </vt:variant>
      <vt:variant>
        <vt:lpwstr>https://doi.org/10.15838/esc.2022.3.81.11</vt:lpwstr>
      </vt:variant>
      <vt:variant>
        <vt:lpwstr/>
      </vt:variant>
      <vt:variant>
        <vt:i4>851998</vt:i4>
      </vt:variant>
      <vt:variant>
        <vt:i4>630</vt:i4>
      </vt:variant>
      <vt:variant>
        <vt:i4>0</vt:i4>
      </vt:variant>
      <vt:variant>
        <vt:i4>5</vt:i4>
      </vt:variant>
      <vt:variant>
        <vt:lpwstr>https://doi.org/10.1186/s12890-016-0248-7</vt:lpwstr>
      </vt:variant>
      <vt:variant>
        <vt:lpwstr/>
      </vt:variant>
      <vt:variant>
        <vt:i4>5963859</vt:i4>
      </vt:variant>
      <vt:variant>
        <vt:i4>627</vt:i4>
      </vt:variant>
      <vt:variant>
        <vt:i4>0</vt:i4>
      </vt:variant>
      <vt:variant>
        <vt:i4>5</vt:i4>
      </vt:variant>
      <vt:variant>
        <vt:lpwstr>https://doi.org/10.1177/1357633X19862956</vt:lpwstr>
      </vt:variant>
      <vt:variant>
        <vt:lpwstr/>
      </vt:variant>
      <vt:variant>
        <vt:i4>5963856</vt:i4>
      </vt:variant>
      <vt:variant>
        <vt:i4>624</vt:i4>
      </vt:variant>
      <vt:variant>
        <vt:i4>0</vt:i4>
      </vt:variant>
      <vt:variant>
        <vt:i4>5</vt:i4>
      </vt:variant>
      <vt:variant>
        <vt:lpwstr>https://doi.org/10.1089/tmj.2021.0322</vt:lpwstr>
      </vt:variant>
      <vt:variant>
        <vt:lpwstr/>
      </vt:variant>
      <vt:variant>
        <vt:i4>5046382</vt:i4>
      </vt:variant>
      <vt:variant>
        <vt:i4>621</vt:i4>
      </vt:variant>
      <vt:variant>
        <vt:i4>0</vt:i4>
      </vt:variant>
      <vt:variant>
        <vt:i4>5</vt:i4>
      </vt:variant>
      <vt:variant>
        <vt:lpwstr>https://doi.org/10.1007/978-3-319-60672-9_8</vt:lpwstr>
      </vt:variant>
      <vt:variant>
        <vt:lpwstr/>
      </vt:variant>
      <vt:variant>
        <vt:i4>65561</vt:i4>
      </vt:variant>
      <vt:variant>
        <vt:i4>618</vt:i4>
      </vt:variant>
      <vt:variant>
        <vt:i4>0</vt:i4>
      </vt:variant>
      <vt:variant>
        <vt:i4>5</vt:i4>
      </vt:variant>
      <vt:variant>
        <vt:lpwstr>https://doi.org/10.1007/s11606-018-4621-5</vt:lpwstr>
      </vt:variant>
      <vt:variant>
        <vt:lpwstr/>
      </vt:variant>
      <vt:variant>
        <vt:i4>5963791</vt:i4>
      </vt:variant>
      <vt:variant>
        <vt:i4>615</vt:i4>
      </vt:variant>
      <vt:variant>
        <vt:i4>0</vt:i4>
      </vt:variant>
      <vt:variant>
        <vt:i4>5</vt:i4>
      </vt:variant>
      <vt:variant>
        <vt:lpwstr>https://doi.org/10.1136/bmj.k1195</vt:lpwstr>
      </vt:variant>
      <vt:variant>
        <vt:lpwstr/>
      </vt:variant>
      <vt:variant>
        <vt:i4>1245264</vt:i4>
      </vt:variant>
      <vt:variant>
        <vt:i4>612</vt:i4>
      </vt:variant>
      <vt:variant>
        <vt:i4>0</vt:i4>
      </vt:variant>
      <vt:variant>
        <vt:i4>5</vt:i4>
      </vt:variant>
      <vt:variant>
        <vt:lpwstr>https://doi.org/10.1177/2632084320947559</vt:lpwstr>
      </vt:variant>
      <vt:variant>
        <vt:lpwstr/>
      </vt:variant>
      <vt:variant>
        <vt:i4>3014769</vt:i4>
      </vt:variant>
      <vt:variant>
        <vt:i4>609</vt:i4>
      </vt:variant>
      <vt:variant>
        <vt:i4>0</vt:i4>
      </vt:variant>
      <vt:variant>
        <vt:i4>5</vt:i4>
      </vt:variant>
      <vt:variant>
        <vt:lpwstr>https://doi.org/10.3399/bjgp.2023.0092</vt:lpwstr>
      </vt:variant>
      <vt:variant>
        <vt:lpwstr/>
      </vt:variant>
      <vt:variant>
        <vt:i4>4980800</vt:i4>
      </vt:variant>
      <vt:variant>
        <vt:i4>606</vt:i4>
      </vt:variant>
      <vt:variant>
        <vt:i4>0</vt:i4>
      </vt:variant>
      <vt:variant>
        <vt:i4>5</vt:i4>
      </vt:variant>
      <vt:variant>
        <vt:lpwstr>https://doi.org/10.1371/journal.pdig.0000029</vt:lpwstr>
      </vt:variant>
      <vt:variant>
        <vt:lpwstr/>
      </vt:variant>
      <vt:variant>
        <vt:i4>3080228</vt:i4>
      </vt:variant>
      <vt:variant>
        <vt:i4>603</vt:i4>
      </vt:variant>
      <vt:variant>
        <vt:i4>0</vt:i4>
      </vt:variant>
      <vt:variant>
        <vt:i4>5</vt:i4>
      </vt:variant>
      <vt:variant>
        <vt:lpwstr>https://doi.org/10.3399/BJGPO.2024.0079</vt:lpwstr>
      </vt:variant>
      <vt:variant>
        <vt:lpwstr/>
      </vt:variant>
      <vt:variant>
        <vt:i4>7274598</vt:i4>
      </vt:variant>
      <vt:variant>
        <vt:i4>600</vt:i4>
      </vt:variant>
      <vt:variant>
        <vt:i4>0</vt:i4>
      </vt:variant>
      <vt:variant>
        <vt:i4>5</vt:i4>
      </vt:variant>
      <vt:variant>
        <vt:lpwstr>https://doi.org/10.1136/bmjopen-2017-016242</vt:lpwstr>
      </vt:variant>
      <vt:variant>
        <vt:lpwstr/>
      </vt:variant>
      <vt:variant>
        <vt:i4>5636110</vt:i4>
      </vt:variant>
      <vt:variant>
        <vt:i4>597</vt:i4>
      </vt:variant>
      <vt:variant>
        <vt:i4>0</vt:i4>
      </vt:variant>
      <vt:variant>
        <vt:i4>5</vt:i4>
      </vt:variant>
      <vt:variant>
        <vt:lpwstr>https://doi.org/10.1136/bmj.n1542</vt:lpwstr>
      </vt:variant>
      <vt:variant>
        <vt:lpwstr/>
      </vt:variant>
      <vt:variant>
        <vt:i4>2359416</vt:i4>
      </vt:variant>
      <vt:variant>
        <vt:i4>594</vt:i4>
      </vt:variant>
      <vt:variant>
        <vt:i4>0</vt:i4>
      </vt:variant>
      <vt:variant>
        <vt:i4>5</vt:i4>
      </vt:variant>
      <vt:variant>
        <vt:lpwstr>https://doi.org/10.3399/BJGP.2021.0028</vt:lpwstr>
      </vt:variant>
      <vt:variant>
        <vt:lpwstr/>
      </vt:variant>
      <vt:variant>
        <vt:i4>1114142</vt:i4>
      </vt:variant>
      <vt:variant>
        <vt:i4>591</vt:i4>
      </vt:variant>
      <vt:variant>
        <vt:i4>0</vt:i4>
      </vt:variant>
      <vt:variant>
        <vt:i4>5</vt:i4>
      </vt:variant>
      <vt:variant>
        <vt:lpwstr>https://doi.org/10.1056/NEJMp2005835</vt:lpwstr>
      </vt:variant>
      <vt:variant>
        <vt:lpwstr/>
      </vt:variant>
      <vt:variant>
        <vt:i4>8126590</vt:i4>
      </vt:variant>
      <vt:variant>
        <vt:i4>588</vt:i4>
      </vt:variant>
      <vt:variant>
        <vt:i4>0</vt:i4>
      </vt:variant>
      <vt:variant>
        <vt:i4>5</vt:i4>
      </vt:variant>
      <vt:variant>
        <vt:lpwstr>https://doi.org/10.12688/f1000research.51723.3</vt:lpwstr>
      </vt:variant>
      <vt:variant>
        <vt:lpwstr/>
      </vt:variant>
      <vt:variant>
        <vt:i4>2097203</vt:i4>
      </vt:variant>
      <vt:variant>
        <vt:i4>585</vt:i4>
      </vt:variant>
      <vt:variant>
        <vt:i4>0</vt:i4>
      </vt:variant>
      <vt:variant>
        <vt:i4>5</vt:i4>
      </vt:variant>
      <vt:variant>
        <vt:lpwstr>https://doi.org/10.3389/fpubh.2022.1073756</vt:lpwstr>
      </vt:variant>
      <vt:variant>
        <vt:lpwstr/>
      </vt:variant>
      <vt:variant>
        <vt:i4>1572873</vt:i4>
      </vt:variant>
      <vt:variant>
        <vt:i4>582</vt:i4>
      </vt:variant>
      <vt:variant>
        <vt:i4>0</vt:i4>
      </vt:variant>
      <vt:variant>
        <vt:i4>5</vt:i4>
      </vt:variant>
      <vt:variant>
        <vt:lpwstr>https://doi.org/10.6084/m9.figshare.29876660</vt:lpwstr>
      </vt:variant>
      <vt:variant>
        <vt:lpwstr/>
      </vt:variant>
      <vt:variant>
        <vt:i4>2556031</vt:i4>
      </vt:variant>
      <vt:variant>
        <vt:i4>579</vt:i4>
      </vt:variant>
      <vt:variant>
        <vt:i4>0</vt:i4>
      </vt:variant>
      <vt:variant>
        <vt:i4>5</vt:i4>
      </vt:variant>
      <vt:variant>
        <vt:lpwstr>https://doi.org/10.3399/BJGP.2024.0308</vt:lpwstr>
      </vt:variant>
      <vt:variant>
        <vt:lpwstr/>
      </vt:variant>
      <vt:variant>
        <vt:i4>2490430</vt:i4>
      </vt:variant>
      <vt:variant>
        <vt:i4>576</vt:i4>
      </vt:variant>
      <vt:variant>
        <vt:i4>0</vt:i4>
      </vt:variant>
      <vt:variant>
        <vt:i4>5</vt:i4>
      </vt:variant>
      <vt:variant>
        <vt:lpwstr>https://doi.org/10.1186/s12875-023-02085-7</vt:lpwstr>
      </vt:variant>
      <vt:variant>
        <vt:lpwstr/>
      </vt:variant>
      <vt:variant>
        <vt:i4>2228256</vt:i4>
      </vt:variant>
      <vt:variant>
        <vt:i4>573</vt:i4>
      </vt:variant>
      <vt:variant>
        <vt:i4>0</vt:i4>
      </vt:variant>
      <vt:variant>
        <vt:i4>5</vt:i4>
      </vt:variant>
      <vt:variant>
        <vt:lpwstr>https://link.springer.com/article/10.1186/s13643-017-0454-2</vt:lpwstr>
      </vt:variant>
      <vt:variant>
        <vt:lpwstr/>
      </vt:variant>
      <vt:variant>
        <vt:i4>6422628</vt:i4>
      </vt:variant>
      <vt:variant>
        <vt:i4>570</vt:i4>
      </vt:variant>
      <vt:variant>
        <vt:i4>0</vt:i4>
      </vt:variant>
      <vt:variant>
        <vt:i4>5</vt:i4>
      </vt:variant>
      <vt:variant>
        <vt:lpwstr>https://doi.org/10.3233/EFI-180221</vt:lpwstr>
      </vt:variant>
      <vt:variant>
        <vt:lpwstr/>
      </vt:variant>
      <vt:variant>
        <vt:i4>196638</vt:i4>
      </vt:variant>
      <vt:variant>
        <vt:i4>567</vt:i4>
      </vt:variant>
      <vt:variant>
        <vt:i4>0</vt:i4>
      </vt:variant>
      <vt:variant>
        <vt:i4>5</vt:i4>
      </vt:variant>
      <vt:variant>
        <vt:lpwstr>https://www.healthwatch.co.uk/sites/healthwatch.co.uk/files/Digital Exclusion v4.pdf</vt:lpwstr>
      </vt:variant>
      <vt:variant>
        <vt:lpwstr/>
      </vt:variant>
      <vt:variant>
        <vt:i4>7733306</vt:i4>
      </vt:variant>
      <vt:variant>
        <vt:i4>564</vt:i4>
      </vt:variant>
      <vt:variant>
        <vt:i4>0</vt:i4>
      </vt:variant>
      <vt:variant>
        <vt:i4>5</vt:i4>
      </vt:variant>
      <vt:variant>
        <vt:lpwstr>https://doi.org/10.14744/anatoljcardiol.2019.12525</vt:lpwstr>
      </vt:variant>
      <vt:variant>
        <vt:lpwstr/>
      </vt:variant>
      <vt:variant>
        <vt:i4>983065</vt:i4>
      </vt:variant>
      <vt:variant>
        <vt:i4>561</vt:i4>
      </vt:variant>
      <vt:variant>
        <vt:i4>0</vt:i4>
      </vt:variant>
      <vt:variant>
        <vt:i4>5</vt:i4>
      </vt:variant>
      <vt:variant>
        <vt:lpwstr>https://doi.org/10.3399/bjgp19x704573</vt:lpwstr>
      </vt:variant>
      <vt:variant>
        <vt:lpwstr/>
      </vt:variant>
      <vt:variant>
        <vt:i4>2228271</vt:i4>
      </vt:variant>
      <vt:variant>
        <vt:i4>558</vt:i4>
      </vt:variant>
      <vt:variant>
        <vt:i4>0</vt:i4>
      </vt:variant>
      <vt:variant>
        <vt:i4>5</vt:i4>
      </vt:variant>
      <vt:variant>
        <vt:lpwstr>https://doi.org/10.1016/j.acra.2018.04.025</vt:lpwstr>
      </vt:variant>
      <vt:variant>
        <vt:lpwstr/>
      </vt:variant>
      <vt:variant>
        <vt:i4>2687013</vt:i4>
      </vt:variant>
      <vt:variant>
        <vt:i4>555</vt:i4>
      </vt:variant>
      <vt:variant>
        <vt:i4>0</vt:i4>
      </vt:variant>
      <vt:variant>
        <vt:i4>5</vt:i4>
      </vt:variant>
      <vt:variant>
        <vt:lpwstr>https://doi.org/10.3399/BJGPO.2025.0106</vt:lpwstr>
      </vt:variant>
      <vt:variant>
        <vt:lpwstr/>
      </vt:variant>
      <vt:variant>
        <vt:i4>5373953</vt:i4>
      </vt:variant>
      <vt:variant>
        <vt:i4>552</vt:i4>
      </vt:variant>
      <vt:variant>
        <vt:i4>0</vt:i4>
      </vt:variant>
      <vt:variant>
        <vt:i4>5</vt:i4>
      </vt:variant>
      <vt:variant>
        <vt:lpwstr>https://doi.org/10.1136/bmj.m998</vt:lpwstr>
      </vt:variant>
      <vt:variant>
        <vt:lpwstr/>
      </vt:variant>
      <vt:variant>
        <vt:i4>5898249</vt:i4>
      </vt:variant>
      <vt:variant>
        <vt:i4>549</vt:i4>
      </vt:variant>
      <vt:variant>
        <vt:i4>0</vt:i4>
      </vt:variant>
      <vt:variant>
        <vt:i4>5</vt:i4>
      </vt:variant>
      <vt:variant>
        <vt:lpwstr>https://doi.org/10.1136/bmj.m1182</vt:lpwstr>
      </vt:variant>
      <vt:variant>
        <vt:lpwstr/>
      </vt:variant>
      <vt:variant>
        <vt:i4>2359333</vt:i4>
      </vt:variant>
      <vt:variant>
        <vt:i4>546</vt:i4>
      </vt:variant>
      <vt:variant>
        <vt:i4>0</vt:i4>
      </vt:variant>
      <vt:variant>
        <vt:i4>5</vt:i4>
      </vt:variant>
      <vt:variant>
        <vt:lpwstr>https://doi.org/10.3389/fdgth.2023.1092008</vt:lpwstr>
      </vt:variant>
      <vt:variant>
        <vt:lpwstr/>
      </vt:variant>
      <vt:variant>
        <vt:i4>6488100</vt:i4>
      </vt:variant>
      <vt:variant>
        <vt:i4>543</vt:i4>
      </vt:variant>
      <vt:variant>
        <vt:i4>0</vt:i4>
      </vt:variant>
      <vt:variant>
        <vt:i4>5</vt:i4>
      </vt:variant>
      <vt:variant>
        <vt:lpwstr>https://doi.org/10.3390/ijerph182111337</vt:lpwstr>
      </vt:variant>
      <vt:variant>
        <vt:lpwstr/>
      </vt:variant>
      <vt:variant>
        <vt:i4>3342371</vt:i4>
      </vt:variant>
      <vt:variant>
        <vt:i4>540</vt:i4>
      </vt:variant>
      <vt:variant>
        <vt:i4>0</vt:i4>
      </vt:variant>
      <vt:variant>
        <vt:i4>5</vt:i4>
      </vt:variant>
      <vt:variant>
        <vt:lpwstr>https://europepmc.org/article/NBK/nbk586478</vt:lpwstr>
      </vt:variant>
      <vt:variant>
        <vt:lpwstr/>
      </vt:variant>
      <vt:variant>
        <vt:i4>2031710</vt:i4>
      </vt:variant>
      <vt:variant>
        <vt:i4>537</vt:i4>
      </vt:variant>
      <vt:variant>
        <vt:i4>0</vt:i4>
      </vt:variant>
      <vt:variant>
        <vt:i4>5</vt:i4>
      </vt:variant>
      <vt:variant>
        <vt:lpwstr>https://doi.org/10.2196/22146</vt:lpwstr>
      </vt:variant>
      <vt:variant>
        <vt:lpwstr/>
      </vt:variant>
      <vt:variant>
        <vt:i4>4194339</vt:i4>
      </vt:variant>
      <vt:variant>
        <vt:i4>534</vt:i4>
      </vt:variant>
      <vt:variant>
        <vt:i4>0</vt:i4>
      </vt:variant>
      <vt:variant>
        <vt:i4>5</vt:i4>
      </vt:variant>
      <vt:variant>
        <vt:lpwstr>https://doi.org/10.1038/s43856-025-00757-2?utm_source=chatgpt.com</vt:lpwstr>
      </vt:variant>
      <vt:variant>
        <vt:lpwstr/>
      </vt:variant>
      <vt:variant>
        <vt:i4>1507421</vt:i4>
      </vt:variant>
      <vt:variant>
        <vt:i4>531</vt:i4>
      </vt:variant>
      <vt:variant>
        <vt:i4>0</vt:i4>
      </vt:variant>
      <vt:variant>
        <vt:i4>5</vt:i4>
      </vt:variant>
      <vt:variant>
        <vt:lpwstr>https://doi.org/10.2196/46485</vt:lpwstr>
      </vt:variant>
      <vt:variant>
        <vt:lpwstr/>
      </vt:variant>
      <vt:variant>
        <vt:i4>6422637</vt:i4>
      </vt:variant>
      <vt:variant>
        <vt:i4>528</vt:i4>
      </vt:variant>
      <vt:variant>
        <vt:i4>0</vt:i4>
      </vt:variant>
      <vt:variant>
        <vt:i4>5</vt:i4>
      </vt:variant>
      <vt:variant>
        <vt:lpwstr>https://doi.org/10.1136/bmjopen-2017-019966</vt:lpwstr>
      </vt:variant>
      <vt:variant>
        <vt:lpwstr/>
      </vt:variant>
      <vt:variant>
        <vt:i4>720973</vt:i4>
      </vt:variant>
      <vt:variant>
        <vt:i4>525</vt:i4>
      </vt:variant>
      <vt:variant>
        <vt:i4>0</vt:i4>
      </vt:variant>
      <vt:variant>
        <vt:i4>5</vt:i4>
      </vt:variant>
      <vt:variant>
        <vt:lpwstr>https://doi.org/10.5195/jmla.2018.345</vt:lpwstr>
      </vt:variant>
      <vt:variant>
        <vt:lpwstr/>
      </vt:variant>
      <vt:variant>
        <vt:i4>6488165</vt:i4>
      </vt:variant>
      <vt:variant>
        <vt:i4>522</vt:i4>
      </vt:variant>
      <vt:variant>
        <vt:i4>0</vt:i4>
      </vt:variant>
      <vt:variant>
        <vt:i4>5</vt:i4>
      </vt:variant>
      <vt:variant>
        <vt:lpwstr>https://doi.org/10.1051/shsconf/20184400032</vt:lpwstr>
      </vt:variant>
      <vt:variant>
        <vt:lpwstr/>
      </vt:variant>
      <vt:variant>
        <vt:i4>786461</vt:i4>
      </vt:variant>
      <vt:variant>
        <vt:i4>519</vt:i4>
      </vt:variant>
      <vt:variant>
        <vt:i4>0</vt:i4>
      </vt:variant>
      <vt:variant>
        <vt:i4>5</vt:i4>
      </vt:variant>
      <vt:variant>
        <vt:lpwstr>https://doi.org/10.3399/bjgp19X704141</vt:lpwstr>
      </vt:variant>
      <vt:variant>
        <vt:lpwstr/>
      </vt:variant>
      <vt:variant>
        <vt:i4>655453</vt:i4>
      </vt:variant>
      <vt:variant>
        <vt:i4>516</vt:i4>
      </vt:variant>
      <vt:variant>
        <vt:i4>0</vt:i4>
      </vt:variant>
      <vt:variant>
        <vt:i4>5</vt:i4>
      </vt:variant>
      <vt:variant>
        <vt:lpwstr>https://doi.org/10.1001/jama.260.12.1743</vt:lpwstr>
      </vt:variant>
      <vt:variant>
        <vt:lpwstr/>
      </vt:variant>
      <vt:variant>
        <vt:i4>4522061</vt:i4>
      </vt:variant>
      <vt:variant>
        <vt:i4>513</vt:i4>
      </vt:variant>
      <vt:variant>
        <vt:i4>0</vt:i4>
      </vt:variant>
      <vt:variant>
        <vt:i4>5</vt:i4>
      </vt:variant>
      <vt:variant>
        <vt:lpwstr>https://www.health-ni.gov.uk/publications/digital-strategy-health-and-social-care-northern-ireland-2022-2030</vt:lpwstr>
      </vt:variant>
      <vt:variant>
        <vt:lpwstr/>
      </vt:variant>
      <vt:variant>
        <vt:i4>1245272</vt:i4>
      </vt:variant>
      <vt:variant>
        <vt:i4>510</vt:i4>
      </vt:variant>
      <vt:variant>
        <vt:i4>0</vt:i4>
      </vt:variant>
      <vt:variant>
        <vt:i4>5</vt:i4>
      </vt:variant>
      <vt:variant>
        <vt:lpwstr>https://doi.org/10.1177/13591053241240383</vt:lpwstr>
      </vt:variant>
      <vt:variant>
        <vt:lpwstr/>
      </vt:variant>
      <vt:variant>
        <vt:i4>2883685</vt:i4>
      </vt:variant>
      <vt:variant>
        <vt:i4>507</vt:i4>
      </vt:variant>
      <vt:variant>
        <vt:i4>0</vt:i4>
      </vt:variant>
      <vt:variant>
        <vt:i4>5</vt:i4>
      </vt:variant>
      <vt:variant>
        <vt:lpwstr>https://doi.org/10.2307/249008</vt:lpwstr>
      </vt:variant>
      <vt:variant>
        <vt:lpwstr/>
      </vt:variant>
      <vt:variant>
        <vt:i4>5570651</vt:i4>
      </vt:variant>
      <vt:variant>
        <vt:i4>504</vt:i4>
      </vt:variant>
      <vt:variant>
        <vt:i4>0</vt:i4>
      </vt:variant>
      <vt:variant>
        <vt:i4>5</vt:i4>
      </vt:variant>
      <vt:variant>
        <vt:lpwstr>https://phw.nhs.wales/files/research/population-health-in-a-digital-age/</vt:lpwstr>
      </vt:variant>
      <vt:variant>
        <vt:lpwstr/>
      </vt:variant>
      <vt:variant>
        <vt:i4>2424866</vt:i4>
      </vt:variant>
      <vt:variant>
        <vt:i4>501</vt:i4>
      </vt:variant>
      <vt:variant>
        <vt:i4>0</vt:i4>
      </vt:variant>
      <vt:variant>
        <vt:i4>5</vt:i4>
      </vt:variant>
      <vt:variant>
        <vt:lpwstr>https://link.springer.com/article/10.1186/s12874-018-0545-3</vt:lpwstr>
      </vt:variant>
      <vt:variant>
        <vt:lpwstr/>
      </vt:variant>
      <vt:variant>
        <vt:i4>2949235</vt:i4>
      </vt:variant>
      <vt:variant>
        <vt:i4>498</vt:i4>
      </vt:variant>
      <vt:variant>
        <vt:i4>0</vt:i4>
      </vt:variant>
      <vt:variant>
        <vt:i4>5</vt:i4>
      </vt:variant>
      <vt:variant>
        <vt:lpwstr>https://doi.org/10.1515/jdis-2017-0006</vt:lpwstr>
      </vt:variant>
      <vt:variant>
        <vt:lpwstr/>
      </vt:variant>
      <vt:variant>
        <vt:i4>7274600</vt:i4>
      </vt:variant>
      <vt:variant>
        <vt:i4>495</vt:i4>
      </vt:variant>
      <vt:variant>
        <vt:i4>0</vt:i4>
      </vt:variant>
      <vt:variant>
        <vt:i4>5</vt:i4>
      </vt:variant>
      <vt:variant>
        <vt:lpwstr>https://doi.org/10.1136/bmjopen-2023-072944</vt:lpwstr>
      </vt:variant>
      <vt:variant>
        <vt:lpwstr/>
      </vt:variant>
      <vt:variant>
        <vt:i4>6946921</vt:i4>
      </vt:variant>
      <vt:variant>
        <vt:i4>492</vt:i4>
      </vt:variant>
      <vt:variant>
        <vt:i4>0</vt:i4>
      </vt:variant>
      <vt:variant>
        <vt:i4>5</vt:i4>
      </vt:variant>
      <vt:variant>
        <vt:lpwstr>https://doi.org/10.1136/bmjopen-2024-097633</vt:lpwstr>
      </vt:variant>
      <vt:variant>
        <vt:lpwstr/>
      </vt:variant>
      <vt:variant>
        <vt:i4>7143522</vt:i4>
      </vt:variant>
      <vt:variant>
        <vt:i4>489</vt:i4>
      </vt:variant>
      <vt:variant>
        <vt:i4>0</vt:i4>
      </vt:variant>
      <vt:variant>
        <vt:i4>5</vt:i4>
      </vt:variant>
      <vt:variant>
        <vt:lpwstr>https://doi.org/10.1136/bmjopen-2017-018688</vt:lpwstr>
      </vt:variant>
      <vt:variant>
        <vt:lpwstr/>
      </vt:variant>
      <vt:variant>
        <vt:i4>5505025</vt:i4>
      </vt:variant>
      <vt:variant>
        <vt:i4>486</vt:i4>
      </vt:variant>
      <vt:variant>
        <vt:i4>0</vt:i4>
      </vt:variant>
      <vt:variant>
        <vt:i4>5</vt:i4>
      </vt:variant>
      <vt:variant>
        <vt:lpwstr>https://doi.org/10.1136/bmj.m3945</vt:lpwstr>
      </vt:variant>
      <vt:variant>
        <vt:lpwstr/>
      </vt:variant>
      <vt:variant>
        <vt:i4>6029313</vt:i4>
      </vt:variant>
      <vt:variant>
        <vt:i4>483</vt:i4>
      </vt:variant>
      <vt:variant>
        <vt:i4>0</vt:i4>
      </vt:variant>
      <vt:variant>
        <vt:i4>5</vt:i4>
      </vt:variant>
      <vt:variant>
        <vt:lpwstr>https://doi.org/10.1136/bmj.l6890</vt:lpwstr>
      </vt:variant>
      <vt:variant>
        <vt:lpwstr/>
      </vt:variant>
      <vt:variant>
        <vt:i4>5832793</vt:i4>
      </vt:variant>
      <vt:variant>
        <vt:i4>480</vt:i4>
      </vt:variant>
      <vt:variant>
        <vt:i4>0</vt:i4>
      </vt:variant>
      <vt:variant>
        <vt:i4>5</vt:i4>
      </vt:variant>
      <vt:variant>
        <vt:lpwstr>https://doi.org/10.1177/1357633X241232464</vt:lpwstr>
      </vt:variant>
      <vt:variant>
        <vt:lpwstr/>
      </vt:variant>
      <vt:variant>
        <vt:i4>1310800</vt:i4>
      </vt:variant>
      <vt:variant>
        <vt:i4>477</vt:i4>
      </vt:variant>
      <vt:variant>
        <vt:i4>0</vt:i4>
      </vt:variant>
      <vt:variant>
        <vt:i4>5</vt:i4>
      </vt:variant>
      <vt:variant>
        <vt:lpwstr>https://doi.org/10.2196/49942</vt:lpwstr>
      </vt:variant>
      <vt:variant>
        <vt:lpwstr/>
      </vt:variant>
      <vt:variant>
        <vt:i4>327706</vt:i4>
      </vt:variant>
      <vt:variant>
        <vt:i4>474</vt:i4>
      </vt:variant>
      <vt:variant>
        <vt:i4>0</vt:i4>
      </vt:variant>
      <vt:variant>
        <vt:i4>5</vt:i4>
      </vt:variant>
      <vt:variant>
        <vt:lpwstr>https://doi.org/10.3399/bjgp26X745137</vt:lpwstr>
      </vt:variant>
      <vt:variant>
        <vt:lpwstr/>
      </vt:variant>
      <vt:variant>
        <vt:i4>458828</vt:i4>
      </vt:variant>
      <vt:variant>
        <vt:i4>471</vt:i4>
      </vt:variant>
      <vt:variant>
        <vt:i4>0</vt:i4>
      </vt:variant>
      <vt:variant>
        <vt:i4>5</vt:i4>
      </vt:variant>
      <vt:variant>
        <vt:lpwstr>https://doi.org/10.5195/jmla.2018.283</vt:lpwstr>
      </vt:variant>
      <vt:variant>
        <vt:lpwstr/>
      </vt:variant>
      <vt:variant>
        <vt:i4>1048666</vt:i4>
      </vt:variant>
      <vt:variant>
        <vt:i4>468</vt:i4>
      </vt:variant>
      <vt:variant>
        <vt:i4>0</vt:i4>
      </vt:variant>
      <vt:variant>
        <vt:i4>5</vt:i4>
      </vt:variant>
      <vt:variant>
        <vt:lpwstr>https://doi.org/10.4135/9781036232009</vt:lpwstr>
      </vt:variant>
      <vt:variant>
        <vt:lpwstr/>
      </vt:variant>
      <vt:variant>
        <vt:i4>3735651</vt:i4>
      </vt:variant>
      <vt:variant>
        <vt:i4>465</vt:i4>
      </vt:variant>
      <vt:variant>
        <vt:i4>0</vt:i4>
      </vt:variant>
      <vt:variant>
        <vt:i4>5</vt:i4>
      </vt:variant>
      <vt:variant>
        <vt:lpwstr>https://study.sagepub.com/doingasystematicreview2e</vt:lpwstr>
      </vt:variant>
      <vt:variant>
        <vt:lpwstr/>
      </vt:variant>
      <vt:variant>
        <vt:i4>8126568</vt:i4>
      </vt:variant>
      <vt:variant>
        <vt:i4>462</vt:i4>
      </vt:variant>
      <vt:variant>
        <vt:i4>0</vt:i4>
      </vt:variant>
      <vt:variant>
        <vt:i4>5</vt:i4>
      </vt:variant>
      <vt:variant>
        <vt:lpwstr>https://doi.org/10.3390/jcm10235519</vt:lpwstr>
      </vt:variant>
      <vt:variant>
        <vt:lpwstr/>
      </vt:variant>
      <vt:variant>
        <vt:i4>1966162</vt:i4>
      </vt:variant>
      <vt:variant>
        <vt:i4>459</vt:i4>
      </vt:variant>
      <vt:variant>
        <vt:i4>0</vt:i4>
      </vt:variant>
      <vt:variant>
        <vt:i4>5</vt:i4>
      </vt:variant>
      <vt:variant>
        <vt:lpwstr>https://doi.org/10.1177/1757913916634136</vt:lpwstr>
      </vt:variant>
      <vt:variant>
        <vt:lpwstr/>
      </vt:variant>
      <vt:variant>
        <vt:i4>1441864</vt:i4>
      </vt:variant>
      <vt:variant>
        <vt:i4>456</vt:i4>
      </vt:variant>
      <vt:variant>
        <vt:i4>0</vt:i4>
      </vt:variant>
      <vt:variant>
        <vt:i4>5</vt:i4>
      </vt:variant>
      <vt:variant>
        <vt:lpwstr>https://doi.org/10.1136/bmjinnov-2020-000512</vt:lpwstr>
      </vt:variant>
      <vt:variant>
        <vt:lpwstr/>
      </vt:variant>
      <vt:variant>
        <vt:i4>6553717</vt:i4>
      </vt:variant>
      <vt:variant>
        <vt:i4>453</vt:i4>
      </vt:variant>
      <vt:variant>
        <vt:i4>0</vt:i4>
      </vt:variant>
      <vt:variant>
        <vt:i4>5</vt:i4>
      </vt:variant>
      <vt:variant>
        <vt:lpwstr>https://www.nhsconfed.org/publications/digital-inclusion-mental-health</vt:lpwstr>
      </vt:variant>
      <vt:variant>
        <vt:lpwstr/>
      </vt:variant>
      <vt:variant>
        <vt:i4>6553704</vt:i4>
      </vt:variant>
      <vt:variant>
        <vt:i4>450</vt:i4>
      </vt:variant>
      <vt:variant>
        <vt:i4>0</vt:i4>
      </vt:variant>
      <vt:variant>
        <vt:i4>5</vt:i4>
      </vt:variant>
      <vt:variant>
        <vt:lpwstr>https://doi.org/10.1136/bmjopen-2024-093795</vt:lpwstr>
      </vt:variant>
      <vt:variant>
        <vt:lpwstr/>
      </vt:variant>
      <vt:variant>
        <vt:i4>1310807</vt:i4>
      </vt:variant>
      <vt:variant>
        <vt:i4>447</vt:i4>
      </vt:variant>
      <vt:variant>
        <vt:i4>0</vt:i4>
      </vt:variant>
      <vt:variant>
        <vt:i4>5</vt:i4>
      </vt:variant>
      <vt:variant>
        <vt:lpwstr>https://doi.org/10.1177/20552076241233969</vt:lpwstr>
      </vt:variant>
      <vt:variant>
        <vt:lpwstr/>
      </vt:variant>
      <vt:variant>
        <vt:i4>5111832</vt:i4>
      </vt:variant>
      <vt:variant>
        <vt:i4>444</vt:i4>
      </vt:variant>
      <vt:variant>
        <vt:i4>0</vt:i4>
      </vt:variant>
      <vt:variant>
        <vt:i4>5</vt:i4>
      </vt:variant>
      <vt:variant>
        <vt:lpwstr>https://doi.org/10.7759/cureus.17814</vt:lpwstr>
      </vt:variant>
      <vt:variant>
        <vt:lpwstr/>
      </vt:variant>
      <vt:variant>
        <vt:i4>7995516</vt:i4>
      </vt:variant>
      <vt:variant>
        <vt:i4>441</vt:i4>
      </vt:variant>
      <vt:variant>
        <vt:i4>0</vt:i4>
      </vt:variant>
      <vt:variant>
        <vt:i4>5</vt:i4>
      </vt:variant>
      <vt:variant>
        <vt:lpwstr>https://doi.org/10.1136/emermed-2020-209567</vt:lpwstr>
      </vt:variant>
      <vt:variant>
        <vt:lpwstr/>
      </vt:variant>
      <vt:variant>
        <vt:i4>2687089</vt:i4>
      </vt:variant>
      <vt:variant>
        <vt:i4>438</vt:i4>
      </vt:variant>
      <vt:variant>
        <vt:i4>0</vt:i4>
      </vt:variant>
      <vt:variant>
        <vt:i4>5</vt:i4>
      </vt:variant>
      <vt:variant>
        <vt:lpwstr>https://doi.org/10.5195/ijms.2022.1363</vt:lpwstr>
      </vt:variant>
      <vt:variant>
        <vt:lpwstr/>
      </vt:variant>
      <vt:variant>
        <vt:i4>5242969</vt:i4>
      </vt:variant>
      <vt:variant>
        <vt:i4>435</vt:i4>
      </vt:variant>
      <vt:variant>
        <vt:i4>0</vt:i4>
      </vt:variant>
      <vt:variant>
        <vt:i4>5</vt:i4>
      </vt:variant>
      <vt:variant>
        <vt:lpwstr>https://doi.org/10.1111/dme.15343</vt:lpwstr>
      </vt:variant>
      <vt:variant>
        <vt:lpwstr/>
      </vt:variant>
      <vt:variant>
        <vt:i4>458818</vt:i4>
      </vt:variant>
      <vt:variant>
        <vt:i4>432</vt:i4>
      </vt:variant>
      <vt:variant>
        <vt:i4>0</vt:i4>
      </vt:variant>
      <vt:variant>
        <vt:i4>5</vt:i4>
      </vt:variant>
      <vt:variant>
        <vt:lpwstr>https://doi.org/10.1080/19932820.2024.2301829</vt:lpwstr>
      </vt:variant>
      <vt:variant>
        <vt:lpwstr/>
      </vt:variant>
      <vt:variant>
        <vt:i4>3932278</vt:i4>
      </vt:variant>
      <vt:variant>
        <vt:i4>429</vt:i4>
      </vt:variant>
      <vt:variant>
        <vt:i4>0</vt:i4>
      </vt:variant>
      <vt:variant>
        <vt:i4>5</vt:i4>
      </vt:variant>
      <vt:variant>
        <vt:lpwstr>https://doi.org/10.4097/kjae.2018.71.2.103</vt:lpwstr>
      </vt:variant>
      <vt:variant>
        <vt:lpwstr/>
      </vt:variant>
      <vt:variant>
        <vt:i4>1441885</vt:i4>
      </vt:variant>
      <vt:variant>
        <vt:i4>426</vt:i4>
      </vt:variant>
      <vt:variant>
        <vt:i4>0</vt:i4>
      </vt:variant>
      <vt:variant>
        <vt:i4>5</vt:i4>
      </vt:variant>
      <vt:variant>
        <vt:lpwstr>https://doi.org/10.2196/57580</vt:lpwstr>
      </vt:variant>
      <vt:variant>
        <vt:lpwstr/>
      </vt:variant>
      <vt:variant>
        <vt:i4>1376315</vt:i4>
      </vt:variant>
      <vt:variant>
        <vt:i4>404</vt:i4>
      </vt:variant>
      <vt:variant>
        <vt:i4>0</vt:i4>
      </vt:variant>
      <vt:variant>
        <vt:i4>5</vt:i4>
      </vt:variant>
      <vt:variant>
        <vt:lpwstr/>
      </vt:variant>
      <vt:variant>
        <vt:lpwstr>_Toc238386946</vt:lpwstr>
      </vt:variant>
      <vt:variant>
        <vt:i4>1376315</vt:i4>
      </vt:variant>
      <vt:variant>
        <vt:i4>398</vt:i4>
      </vt:variant>
      <vt:variant>
        <vt:i4>0</vt:i4>
      </vt:variant>
      <vt:variant>
        <vt:i4>5</vt:i4>
      </vt:variant>
      <vt:variant>
        <vt:lpwstr/>
      </vt:variant>
      <vt:variant>
        <vt:lpwstr>_Toc238386945</vt:lpwstr>
      </vt:variant>
      <vt:variant>
        <vt:i4>1376315</vt:i4>
      </vt:variant>
      <vt:variant>
        <vt:i4>392</vt:i4>
      </vt:variant>
      <vt:variant>
        <vt:i4>0</vt:i4>
      </vt:variant>
      <vt:variant>
        <vt:i4>5</vt:i4>
      </vt:variant>
      <vt:variant>
        <vt:lpwstr/>
      </vt:variant>
      <vt:variant>
        <vt:lpwstr>_Toc238386944</vt:lpwstr>
      </vt:variant>
      <vt:variant>
        <vt:i4>1376315</vt:i4>
      </vt:variant>
      <vt:variant>
        <vt:i4>386</vt:i4>
      </vt:variant>
      <vt:variant>
        <vt:i4>0</vt:i4>
      </vt:variant>
      <vt:variant>
        <vt:i4>5</vt:i4>
      </vt:variant>
      <vt:variant>
        <vt:lpwstr/>
      </vt:variant>
      <vt:variant>
        <vt:lpwstr>_Toc238386943</vt:lpwstr>
      </vt:variant>
      <vt:variant>
        <vt:i4>1376315</vt:i4>
      </vt:variant>
      <vt:variant>
        <vt:i4>380</vt:i4>
      </vt:variant>
      <vt:variant>
        <vt:i4>0</vt:i4>
      </vt:variant>
      <vt:variant>
        <vt:i4>5</vt:i4>
      </vt:variant>
      <vt:variant>
        <vt:lpwstr/>
      </vt:variant>
      <vt:variant>
        <vt:lpwstr>_Toc238386942</vt:lpwstr>
      </vt:variant>
      <vt:variant>
        <vt:i4>1376315</vt:i4>
      </vt:variant>
      <vt:variant>
        <vt:i4>374</vt:i4>
      </vt:variant>
      <vt:variant>
        <vt:i4>0</vt:i4>
      </vt:variant>
      <vt:variant>
        <vt:i4>5</vt:i4>
      </vt:variant>
      <vt:variant>
        <vt:lpwstr/>
      </vt:variant>
      <vt:variant>
        <vt:lpwstr>_Toc238386940</vt:lpwstr>
      </vt:variant>
      <vt:variant>
        <vt:i4>1179707</vt:i4>
      </vt:variant>
      <vt:variant>
        <vt:i4>371</vt:i4>
      </vt:variant>
      <vt:variant>
        <vt:i4>0</vt:i4>
      </vt:variant>
      <vt:variant>
        <vt:i4>5</vt:i4>
      </vt:variant>
      <vt:variant>
        <vt:lpwstr/>
      </vt:variant>
      <vt:variant>
        <vt:lpwstr>_Toc238386939</vt:lpwstr>
      </vt:variant>
      <vt:variant>
        <vt:i4>1179707</vt:i4>
      </vt:variant>
      <vt:variant>
        <vt:i4>368</vt:i4>
      </vt:variant>
      <vt:variant>
        <vt:i4>0</vt:i4>
      </vt:variant>
      <vt:variant>
        <vt:i4>5</vt:i4>
      </vt:variant>
      <vt:variant>
        <vt:lpwstr/>
      </vt:variant>
      <vt:variant>
        <vt:lpwstr>_Toc238386938</vt:lpwstr>
      </vt:variant>
      <vt:variant>
        <vt:i4>1179707</vt:i4>
      </vt:variant>
      <vt:variant>
        <vt:i4>362</vt:i4>
      </vt:variant>
      <vt:variant>
        <vt:i4>0</vt:i4>
      </vt:variant>
      <vt:variant>
        <vt:i4>5</vt:i4>
      </vt:variant>
      <vt:variant>
        <vt:lpwstr/>
      </vt:variant>
      <vt:variant>
        <vt:lpwstr>_Toc238386937</vt:lpwstr>
      </vt:variant>
      <vt:variant>
        <vt:i4>1048630</vt:i4>
      </vt:variant>
      <vt:variant>
        <vt:i4>353</vt:i4>
      </vt:variant>
      <vt:variant>
        <vt:i4>0</vt:i4>
      </vt:variant>
      <vt:variant>
        <vt:i4>5</vt:i4>
      </vt:variant>
      <vt:variant>
        <vt:lpwstr/>
      </vt:variant>
      <vt:variant>
        <vt:lpwstr>_Toc238386418</vt:lpwstr>
      </vt:variant>
      <vt:variant>
        <vt:i4>1048630</vt:i4>
      </vt:variant>
      <vt:variant>
        <vt:i4>347</vt:i4>
      </vt:variant>
      <vt:variant>
        <vt:i4>0</vt:i4>
      </vt:variant>
      <vt:variant>
        <vt:i4>5</vt:i4>
      </vt:variant>
      <vt:variant>
        <vt:lpwstr/>
      </vt:variant>
      <vt:variant>
        <vt:lpwstr>_Toc238386417</vt:lpwstr>
      </vt:variant>
      <vt:variant>
        <vt:i4>1048630</vt:i4>
      </vt:variant>
      <vt:variant>
        <vt:i4>341</vt:i4>
      </vt:variant>
      <vt:variant>
        <vt:i4>0</vt:i4>
      </vt:variant>
      <vt:variant>
        <vt:i4>5</vt:i4>
      </vt:variant>
      <vt:variant>
        <vt:lpwstr/>
      </vt:variant>
      <vt:variant>
        <vt:lpwstr>_Toc238386416</vt:lpwstr>
      </vt:variant>
      <vt:variant>
        <vt:i4>1114175</vt:i4>
      </vt:variant>
      <vt:variant>
        <vt:i4>332</vt:i4>
      </vt:variant>
      <vt:variant>
        <vt:i4>0</vt:i4>
      </vt:variant>
      <vt:variant>
        <vt:i4>5</vt:i4>
      </vt:variant>
      <vt:variant>
        <vt:lpwstr/>
      </vt:variant>
      <vt:variant>
        <vt:lpwstr>_Toc241444820</vt:lpwstr>
      </vt:variant>
      <vt:variant>
        <vt:i4>1179711</vt:i4>
      </vt:variant>
      <vt:variant>
        <vt:i4>326</vt:i4>
      </vt:variant>
      <vt:variant>
        <vt:i4>0</vt:i4>
      </vt:variant>
      <vt:variant>
        <vt:i4>5</vt:i4>
      </vt:variant>
      <vt:variant>
        <vt:lpwstr/>
      </vt:variant>
      <vt:variant>
        <vt:lpwstr>_Toc241444819</vt:lpwstr>
      </vt:variant>
      <vt:variant>
        <vt:i4>1179711</vt:i4>
      </vt:variant>
      <vt:variant>
        <vt:i4>320</vt:i4>
      </vt:variant>
      <vt:variant>
        <vt:i4>0</vt:i4>
      </vt:variant>
      <vt:variant>
        <vt:i4>5</vt:i4>
      </vt:variant>
      <vt:variant>
        <vt:lpwstr/>
      </vt:variant>
      <vt:variant>
        <vt:lpwstr>_Toc241444818</vt:lpwstr>
      </vt:variant>
      <vt:variant>
        <vt:i4>1179711</vt:i4>
      </vt:variant>
      <vt:variant>
        <vt:i4>314</vt:i4>
      </vt:variant>
      <vt:variant>
        <vt:i4>0</vt:i4>
      </vt:variant>
      <vt:variant>
        <vt:i4>5</vt:i4>
      </vt:variant>
      <vt:variant>
        <vt:lpwstr/>
      </vt:variant>
      <vt:variant>
        <vt:lpwstr>_Toc241444817</vt:lpwstr>
      </vt:variant>
      <vt:variant>
        <vt:i4>1179711</vt:i4>
      </vt:variant>
      <vt:variant>
        <vt:i4>308</vt:i4>
      </vt:variant>
      <vt:variant>
        <vt:i4>0</vt:i4>
      </vt:variant>
      <vt:variant>
        <vt:i4>5</vt:i4>
      </vt:variant>
      <vt:variant>
        <vt:lpwstr/>
      </vt:variant>
      <vt:variant>
        <vt:lpwstr>_Toc241444816</vt:lpwstr>
      </vt:variant>
      <vt:variant>
        <vt:i4>1179711</vt:i4>
      </vt:variant>
      <vt:variant>
        <vt:i4>302</vt:i4>
      </vt:variant>
      <vt:variant>
        <vt:i4>0</vt:i4>
      </vt:variant>
      <vt:variant>
        <vt:i4>5</vt:i4>
      </vt:variant>
      <vt:variant>
        <vt:lpwstr/>
      </vt:variant>
      <vt:variant>
        <vt:lpwstr>_Toc241444815</vt:lpwstr>
      </vt:variant>
      <vt:variant>
        <vt:i4>1179711</vt:i4>
      </vt:variant>
      <vt:variant>
        <vt:i4>296</vt:i4>
      </vt:variant>
      <vt:variant>
        <vt:i4>0</vt:i4>
      </vt:variant>
      <vt:variant>
        <vt:i4>5</vt:i4>
      </vt:variant>
      <vt:variant>
        <vt:lpwstr/>
      </vt:variant>
      <vt:variant>
        <vt:lpwstr>_Toc241444814</vt:lpwstr>
      </vt:variant>
      <vt:variant>
        <vt:i4>1179711</vt:i4>
      </vt:variant>
      <vt:variant>
        <vt:i4>290</vt:i4>
      </vt:variant>
      <vt:variant>
        <vt:i4>0</vt:i4>
      </vt:variant>
      <vt:variant>
        <vt:i4>5</vt:i4>
      </vt:variant>
      <vt:variant>
        <vt:lpwstr/>
      </vt:variant>
      <vt:variant>
        <vt:lpwstr>_Toc241444813</vt:lpwstr>
      </vt:variant>
      <vt:variant>
        <vt:i4>1179711</vt:i4>
      </vt:variant>
      <vt:variant>
        <vt:i4>284</vt:i4>
      </vt:variant>
      <vt:variant>
        <vt:i4>0</vt:i4>
      </vt:variant>
      <vt:variant>
        <vt:i4>5</vt:i4>
      </vt:variant>
      <vt:variant>
        <vt:lpwstr/>
      </vt:variant>
      <vt:variant>
        <vt:lpwstr>_Toc241444812</vt:lpwstr>
      </vt:variant>
      <vt:variant>
        <vt:i4>1179711</vt:i4>
      </vt:variant>
      <vt:variant>
        <vt:i4>278</vt:i4>
      </vt:variant>
      <vt:variant>
        <vt:i4>0</vt:i4>
      </vt:variant>
      <vt:variant>
        <vt:i4>5</vt:i4>
      </vt:variant>
      <vt:variant>
        <vt:lpwstr/>
      </vt:variant>
      <vt:variant>
        <vt:lpwstr>_Toc241444811</vt:lpwstr>
      </vt:variant>
      <vt:variant>
        <vt:i4>1179711</vt:i4>
      </vt:variant>
      <vt:variant>
        <vt:i4>272</vt:i4>
      </vt:variant>
      <vt:variant>
        <vt:i4>0</vt:i4>
      </vt:variant>
      <vt:variant>
        <vt:i4>5</vt:i4>
      </vt:variant>
      <vt:variant>
        <vt:lpwstr/>
      </vt:variant>
      <vt:variant>
        <vt:lpwstr>_Toc241444810</vt:lpwstr>
      </vt:variant>
      <vt:variant>
        <vt:i4>1245247</vt:i4>
      </vt:variant>
      <vt:variant>
        <vt:i4>266</vt:i4>
      </vt:variant>
      <vt:variant>
        <vt:i4>0</vt:i4>
      </vt:variant>
      <vt:variant>
        <vt:i4>5</vt:i4>
      </vt:variant>
      <vt:variant>
        <vt:lpwstr/>
      </vt:variant>
      <vt:variant>
        <vt:lpwstr>_Toc241444809</vt:lpwstr>
      </vt:variant>
      <vt:variant>
        <vt:i4>1245247</vt:i4>
      </vt:variant>
      <vt:variant>
        <vt:i4>260</vt:i4>
      </vt:variant>
      <vt:variant>
        <vt:i4>0</vt:i4>
      </vt:variant>
      <vt:variant>
        <vt:i4>5</vt:i4>
      </vt:variant>
      <vt:variant>
        <vt:lpwstr/>
      </vt:variant>
      <vt:variant>
        <vt:lpwstr>_Toc241444808</vt:lpwstr>
      </vt:variant>
      <vt:variant>
        <vt:i4>1245247</vt:i4>
      </vt:variant>
      <vt:variant>
        <vt:i4>254</vt:i4>
      </vt:variant>
      <vt:variant>
        <vt:i4>0</vt:i4>
      </vt:variant>
      <vt:variant>
        <vt:i4>5</vt:i4>
      </vt:variant>
      <vt:variant>
        <vt:lpwstr/>
      </vt:variant>
      <vt:variant>
        <vt:lpwstr>_Toc241444807</vt:lpwstr>
      </vt:variant>
      <vt:variant>
        <vt:i4>1245247</vt:i4>
      </vt:variant>
      <vt:variant>
        <vt:i4>248</vt:i4>
      </vt:variant>
      <vt:variant>
        <vt:i4>0</vt:i4>
      </vt:variant>
      <vt:variant>
        <vt:i4>5</vt:i4>
      </vt:variant>
      <vt:variant>
        <vt:lpwstr/>
      </vt:variant>
      <vt:variant>
        <vt:lpwstr>_Toc241444806</vt:lpwstr>
      </vt:variant>
      <vt:variant>
        <vt:i4>1245247</vt:i4>
      </vt:variant>
      <vt:variant>
        <vt:i4>242</vt:i4>
      </vt:variant>
      <vt:variant>
        <vt:i4>0</vt:i4>
      </vt:variant>
      <vt:variant>
        <vt:i4>5</vt:i4>
      </vt:variant>
      <vt:variant>
        <vt:lpwstr/>
      </vt:variant>
      <vt:variant>
        <vt:lpwstr>_Toc241444805</vt:lpwstr>
      </vt:variant>
      <vt:variant>
        <vt:i4>1245247</vt:i4>
      </vt:variant>
      <vt:variant>
        <vt:i4>236</vt:i4>
      </vt:variant>
      <vt:variant>
        <vt:i4>0</vt:i4>
      </vt:variant>
      <vt:variant>
        <vt:i4>5</vt:i4>
      </vt:variant>
      <vt:variant>
        <vt:lpwstr/>
      </vt:variant>
      <vt:variant>
        <vt:lpwstr>_Toc241444804</vt:lpwstr>
      </vt:variant>
      <vt:variant>
        <vt:i4>1245247</vt:i4>
      </vt:variant>
      <vt:variant>
        <vt:i4>230</vt:i4>
      </vt:variant>
      <vt:variant>
        <vt:i4>0</vt:i4>
      </vt:variant>
      <vt:variant>
        <vt:i4>5</vt:i4>
      </vt:variant>
      <vt:variant>
        <vt:lpwstr/>
      </vt:variant>
      <vt:variant>
        <vt:lpwstr>_Toc241444803</vt:lpwstr>
      </vt:variant>
      <vt:variant>
        <vt:i4>1245247</vt:i4>
      </vt:variant>
      <vt:variant>
        <vt:i4>224</vt:i4>
      </vt:variant>
      <vt:variant>
        <vt:i4>0</vt:i4>
      </vt:variant>
      <vt:variant>
        <vt:i4>5</vt:i4>
      </vt:variant>
      <vt:variant>
        <vt:lpwstr/>
      </vt:variant>
      <vt:variant>
        <vt:lpwstr>_Toc241444802</vt:lpwstr>
      </vt:variant>
      <vt:variant>
        <vt:i4>1245247</vt:i4>
      </vt:variant>
      <vt:variant>
        <vt:i4>218</vt:i4>
      </vt:variant>
      <vt:variant>
        <vt:i4>0</vt:i4>
      </vt:variant>
      <vt:variant>
        <vt:i4>5</vt:i4>
      </vt:variant>
      <vt:variant>
        <vt:lpwstr/>
      </vt:variant>
      <vt:variant>
        <vt:lpwstr>_Toc241444801</vt:lpwstr>
      </vt:variant>
      <vt:variant>
        <vt:i4>1245247</vt:i4>
      </vt:variant>
      <vt:variant>
        <vt:i4>212</vt:i4>
      </vt:variant>
      <vt:variant>
        <vt:i4>0</vt:i4>
      </vt:variant>
      <vt:variant>
        <vt:i4>5</vt:i4>
      </vt:variant>
      <vt:variant>
        <vt:lpwstr/>
      </vt:variant>
      <vt:variant>
        <vt:lpwstr>_Toc241444800</vt:lpwstr>
      </vt:variant>
      <vt:variant>
        <vt:i4>1703984</vt:i4>
      </vt:variant>
      <vt:variant>
        <vt:i4>206</vt:i4>
      </vt:variant>
      <vt:variant>
        <vt:i4>0</vt:i4>
      </vt:variant>
      <vt:variant>
        <vt:i4>5</vt:i4>
      </vt:variant>
      <vt:variant>
        <vt:lpwstr/>
      </vt:variant>
      <vt:variant>
        <vt:lpwstr>_Toc241444799</vt:lpwstr>
      </vt:variant>
      <vt:variant>
        <vt:i4>1703984</vt:i4>
      </vt:variant>
      <vt:variant>
        <vt:i4>200</vt:i4>
      </vt:variant>
      <vt:variant>
        <vt:i4>0</vt:i4>
      </vt:variant>
      <vt:variant>
        <vt:i4>5</vt:i4>
      </vt:variant>
      <vt:variant>
        <vt:lpwstr/>
      </vt:variant>
      <vt:variant>
        <vt:lpwstr>_Toc241444798</vt:lpwstr>
      </vt:variant>
      <vt:variant>
        <vt:i4>1703984</vt:i4>
      </vt:variant>
      <vt:variant>
        <vt:i4>194</vt:i4>
      </vt:variant>
      <vt:variant>
        <vt:i4>0</vt:i4>
      </vt:variant>
      <vt:variant>
        <vt:i4>5</vt:i4>
      </vt:variant>
      <vt:variant>
        <vt:lpwstr/>
      </vt:variant>
      <vt:variant>
        <vt:lpwstr>_Toc241444797</vt:lpwstr>
      </vt:variant>
      <vt:variant>
        <vt:i4>1703984</vt:i4>
      </vt:variant>
      <vt:variant>
        <vt:i4>188</vt:i4>
      </vt:variant>
      <vt:variant>
        <vt:i4>0</vt:i4>
      </vt:variant>
      <vt:variant>
        <vt:i4>5</vt:i4>
      </vt:variant>
      <vt:variant>
        <vt:lpwstr/>
      </vt:variant>
      <vt:variant>
        <vt:lpwstr>_Toc241444796</vt:lpwstr>
      </vt:variant>
      <vt:variant>
        <vt:i4>1703984</vt:i4>
      </vt:variant>
      <vt:variant>
        <vt:i4>182</vt:i4>
      </vt:variant>
      <vt:variant>
        <vt:i4>0</vt:i4>
      </vt:variant>
      <vt:variant>
        <vt:i4>5</vt:i4>
      </vt:variant>
      <vt:variant>
        <vt:lpwstr/>
      </vt:variant>
      <vt:variant>
        <vt:lpwstr>_Toc241444795</vt:lpwstr>
      </vt:variant>
      <vt:variant>
        <vt:i4>1703984</vt:i4>
      </vt:variant>
      <vt:variant>
        <vt:i4>176</vt:i4>
      </vt:variant>
      <vt:variant>
        <vt:i4>0</vt:i4>
      </vt:variant>
      <vt:variant>
        <vt:i4>5</vt:i4>
      </vt:variant>
      <vt:variant>
        <vt:lpwstr/>
      </vt:variant>
      <vt:variant>
        <vt:lpwstr>_Toc241444794</vt:lpwstr>
      </vt:variant>
      <vt:variant>
        <vt:i4>1703984</vt:i4>
      </vt:variant>
      <vt:variant>
        <vt:i4>170</vt:i4>
      </vt:variant>
      <vt:variant>
        <vt:i4>0</vt:i4>
      </vt:variant>
      <vt:variant>
        <vt:i4>5</vt:i4>
      </vt:variant>
      <vt:variant>
        <vt:lpwstr/>
      </vt:variant>
      <vt:variant>
        <vt:lpwstr>_Toc241444793</vt:lpwstr>
      </vt:variant>
      <vt:variant>
        <vt:i4>1703984</vt:i4>
      </vt:variant>
      <vt:variant>
        <vt:i4>164</vt:i4>
      </vt:variant>
      <vt:variant>
        <vt:i4>0</vt:i4>
      </vt:variant>
      <vt:variant>
        <vt:i4>5</vt:i4>
      </vt:variant>
      <vt:variant>
        <vt:lpwstr/>
      </vt:variant>
      <vt:variant>
        <vt:lpwstr>_Toc241444792</vt:lpwstr>
      </vt:variant>
      <vt:variant>
        <vt:i4>1703984</vt:i4>
      </vt:variant>
      <vt:variant>
        <vt:i4>158</vt:i4>
      </vt:variant>
      <vt:variant>
        <vt:i4>0</vt:i4>
      </vt:variant>
      <vt:variant>
        <vt:i4>5</vt:i4>
      </vt:variant>
      <vt:variant>
        <vt:lpwstr/>
      </vt:variant>
      <vt:variant>
        <vt:lpwstr>_Toc241444791</vt:lpwstr>
      </vt:variant>
      <vt:variant>
        <vt:i4>1703984</vt:i4>
      </vt:variant>
      <vt:variant>
        <vt:i4>152</vt:i4>
      </vt:variant>
      <vt:variant>
        <vt:i4>0</vt:i4>
      </vt:variant>
      <vt:variant>
        <vt:i4>5</vt:i4>
      </vt:variant>
      <vt:variant>
        <vt:lpwstr/>
      </vt:variant>
      <vt:variant>
        <vt:lpwstr>_Toc241444790</vt:lpwstr>
      </vt:variant>
      <vt:variant>
        <vt:i4>1769520</vt:i4>
      </vt:variant>
      <vt:variant>
        <vt:i4>146</vt:i4>
      </vt:variant>
      <vt:variant>
        <vt:i4>0</vt:i4>
      </vt:variant>
      <vt:variant>
        <vt:i4>5</vt:i4>
      </vt:variant>
      <vt:variant>
        <vt:lpwstr/>
      </vt:variant>
      <vt:variant>
        <vt:lpwstr>_Toc241444789</vt:lpwstr>
      </vt:variant>
      <vt:variant>
        <vt:i4>1769520</vt:i4>
      </vt:variant>
      <vt:variant>
        <vt:i4>140</vt:i4>
      </vt:variant>
      <vt:variant>
        <vt:i4>0</vt:i4>
      </vt:variant>
      <vt:variant>
        <vt:i4>5</vt:i4>
      </vt:variant>
      <vt:variant>
        <vt:lpwstr/>
      </vt:variant>
      <vt:variant>
        <vt:lpwstr>_Toc241444788</vt:lpwstr>
      </vt:variant>
      <vt:variant>
        <vt:i4>1769520</vt:i4>
      </vt:variant>
      <vt:variant>
        <vt:i4>134</vt:i4>
      </vt:variant>
      <vt:variant>
        <vt:i4>0</vt:i4>
      </vt:variant>
      <vt:variant>
        <vt:i4>5</vt:i4>
      </vt:variant>
      <vt:variant>
        <vt:lpwstr/>
      </vt:variant>
      <vt:variant>
        <vt:lpwstr>_Toc241444787</vt:lpwstr>
      </vt:variant>
      <vt:variant>
        <vt:i4>1769520</vt:i4>
      </vt:variant>
      <vt:variant>
        <vt:i4>128</vt:i4>
      </vt:variant>
      <vt:variant>
        <vt:i4>0</vt:i4>
      </vt:variant>
      <vt:variant>
        <vt:i4>5</vt:i4>
      </vt:variant>
      <vt:variant>
        <vt:lpwstr/>
      </vt:variant>
      <vt:variant>
        <vt:lpwstr>_Toc241444786</vt:lpwstr>
      </vt:variant>
      <vt:variant>
        <vt:i4>1769520</vt:i4>
      </vt:variant>
      <vt:variant>
        <vt:i4>122</vt:i4>
      </vt:variant>
      <vt:variant>
        <vt:i4>0</vt:i4>
      </vt:variant>
      <vt:variant>
        <vt:i4>5</vt:i4>
      </vt:variant>
      <vt:variant>
        <vt:lpwstr/>
      </vt:variant>
      <vt:variant>
        <vt:lpwstr>_Toc241444785</vt:lpwstr>
      </vt:variant>
      <vt:variant>
        <vt:i4>1769520</vt:i4>
      </vt:variant>
      <vt:variant>
        <vt:i4>116</vt:i4>
      </vt:variant>
      <vt:variant>
        <vt:i4>0</vt:i4>
      </vt:variant>
      <vt:variant>
        <vt:i4>5</vt:i4>
      </vt:variant>
      <vt:variant>
        <vt:lpwstr/>
      </vt:variant>
      <vt:variant>
        <vt:lpwstr>_Toc241444784</vt:lpwstr>
      </vt:variant>
      <vt:variant>
        <vt:i4>1769520</vt:i4>
      </vt:variant>
      <vt:variant>
        <vt:i4>110</vt:i4>
      </vt:variant>
      <vt:variant>
        <vt:i4>0</vt:i4>
      </vt:variant>
      <vt:variant>
        <vt:i4>5</vt:i4>
      </vt:variant>
      <vt:variant>
        <vt:lpwstr/>
      </vt:variant>
      <vt:variant>
        <vt:lpwstr>_Toc241444783</vt:lpwstr>
      </vt:variant>
      <vt:variant>
        <vt:i4>1769520</vt:i4>
      </vt:variant>
      <vt:variant>
        <vt:i4>104</vt:i4>
      </vt:variant>
      <vt:variant>
        <vt:i4>0</vt:i4>
      </vt:variant>
      <vt:variant>
        <vt:i4>5</vt:i4>
      </vt:variant>
      <vt:variant>
        <vt:lpwstr/>
      </vt:variant>
      <vt:variant>
        <vt:lpwstr>_Toc241444782</vt:lpwstr>
      </vt:variant>
      <vt:variant>
        <vt:i4>1769520</vt:i4>
      </vt:variant>
      <vt:variant>
        <vt:i4>98</vt:i4>
      </vt:variant>
      <vt:variant>
        <vt:i4>0</vt:i4>
      </vt:variant>
      <vt:variant>
        <vt:i4>5</vt:i4>
      </vt:variant>
      <vt:variant>
        <vt:lpwstr/>
      </vt:variant>
      <vt:variant>
        <vt:lpwstr>_Toc241444781</vt:lpwstr>
      </vt:variant>
      <vt:variant>
        <vt:i4>1769520</vt:i4>
      </vt:variant>
      <vt:variant>
        <vt:i4>92</vt:i4>
      </vt:variant>
      <vt:variant>
        <vt:i4>0</vt:i4>
      </vt:variant>
      <vt:variant>
        <vt:i4>5</vt:i4>
      </vt:variant>
      <vt:variant>
        <vt:lpwstr/>
      </vt:variant>
      <vt:variant>
        <vt:lpwstr>_Toc241444780</vt:lpwstr>
      </vt:variant>
      <vt:variant>
        <vt:i4>1310768</vt:i4>
      </vt:variant>
      <vt:variant>
        <vt:i4>86</vt:i4>
      </vt:variant>
      <vt:variant>
        <vt:i4>0</vt:i4>
      </vt:variant>
      <vt:variant>
        <vt:i4>5</vt:i4>
      </vt:variant>
      <vt:variant>
        <vt:lpwstr/>
      </vt:variant>
      <vt:variant>
        <vt:lpwstr>_Toc241444779</vt:lpwstr>
      </vt:variant>
      <vt:variant>
        <vt:i4>1310768</vt:i4>
      </vt:variant>
      <vt:variant>
        <vt:i4>80</vt:i4>
      </vt:variant>
      <vt:variant>
        <vt:i4>0</vt:i4>
      </vt:variant>
      <vt:variant>
        <vt:i4>5</vt:i4>
      </vt:variant>
      <vt:variant>
        <vt:lpwstr/>
      </vt:variant>
      <vt:variant>
        <vt:lpwstr>_Toc241444778</vt:lpwstr>
      </vt:variant>
      <vt:variant>
        <vt:i4>1310768</vt:i4>
      </vt:variant>
      <vt:variant>
        <vt:i4>74</vt:i4>
      </vt:variant>
      <vt:variant>
        <vt:i4>0</vt:i4>
      </vt:variant>
      <vt:variant>
        <vt:i4>5</vt:i4>
      </vt:variant>
      <vt:variant>
        <vt:lpwstr/>
      </vt:variant>
      <vt:variant>
        <vt:lpwstr>_Toc241444777</vt:lpwstr>
      </vt:variant>
      <vt:variant>
        <vt:i4>1310768</vt:i4>
      </vt:variant>
      <vt:variant>
        <vt:i4>68</vt:i4>
      </vt:variant>
      <vt:variant>
        <vt:i4>0</vt:i4>
      </vt:variant>
      <vt:variant>
        <vt:i4>5</vt:i4>
      </vt:variant>
      <vt:variant>
        <vt:lpwstr/>
      </vt:variant>
      <vt:variant>
        <vt:lpwstr>_Toc241444776</vt:lpwstr>
      </vt:variant>
      <vt:variant>
        <vt:i4>1310768</vt:i4>
      </vt:variant>
      <vt:variant>
        <vt:i4>62</vt:i4>
      </vt:variant>
      <vt:variant>
        <vt:i4>0</vt:i4>
      </vt:variant>
      <vt:variant>
        <vt:i4>5</vt:i4>
      </vt:variant>
      <vt:variant>
        <vt:lpwstr/>
      </vt:variant>
      <vt:variant>
        <vt:lpwstr>_Toc241444775</vt:lpwstr>
      </vt:variant>
      <vt:variant>
        <vt:i4>1310768</vt:i4>
      </vt:variant>
      <vt:variant>
        <vt:i4>56</vt:i4>
      </vt:variant>
      <vt:variant>
        <vt:i4>0</vt:i4>
      </vt:variant>
      <vt:variant>
        <vt:i4>5</vt:i4>
      </vt:variant>
      <vt:variant>
        <vt:lpwstr/>
      </vt:variant>
      <vt:variant>
        <vt:lpwstr>_Toc241444774</vt:lpwstr>
      </vt:variant>
      <vt:variant>
        <vt:i4>1310768</vt:i4>
      </vt:variant>
      <vt:variant>
        <vt:i4>50</vt:i4>
      </vt:variant>
      <vt:variant>
        <vt:i4>0</vt:i4>
      </vt:variant>
      <vt:variant>
        <vt:i4>5</vt:i4>
      </vt:variant>
      <vt:variant>
        <vt:lpwstr/>
      </vt:variant>
      <vt:variant>
        <vt:lpwstr>_Toc241444773</vt:lpwstr>
      </vt:variant>
      <vt:variant>
        <vt:i4>1310768</vt:i4>
      </vt:variant>
      <vt:variant>
        <vt:i4>44</vt:i4>
      </vt:variant>
      <vt:variant>
        <vt:i4>0</vt:i4>
      </vt:variant>
      <vt:variant>
        <vt:i4>5</vt:i4>
      </vt:variant>
      <vt:variant>
        <vt:lpwstr/>
      </vt:variant>
      <vt:variant>
        <vt:lpwstr>_Toc241444772</vt:lpwstr>
      </vt:variant>
      <vt:variant>
        <vt:i4>1310768</vt:i4>
      </vt:variant>
      <vt:variant>
        <vt:i4>38</vt:i4>
      </vt:variant>
      <vt:variant>
        <vt:i4>0</vt:i4>
      </vt:variant>
      <vt:variant>
        <vt:i4>5</vt:i4>
      </vt:variant>
      <vt:variant>
        <vt:lpwstr/>
      </vt:variant>
      <vt:variant>
        <vt:lpwstr>_Toc241444771</vt:lpwstr>
      </vt:variant>
      <vt:variant>
        <vt:i4>1310768</vt:i4>
      </vt:variant>
      <vt:variant>
        <vt:i4>32</vt:i4>
      </vt:variant>
      <vt:variant>
        <vt:i4>0</vt:i4>
      </vt:variant>
      <vt:variant>
        <vt:i4>5</vt:i4>
      </vt:variant>
      <vt:variant>
        <vt:lpwstr/>
      </vt:variant>
      <vt:variant>
        <vt:lpwstr>_Toc241444770</vt:lpwstr>
      </vt:variant>
      <vt:variant>
        <vt:i4>1376304</vt:i4>
      </vt:variant>
      <vt:variant>
        <vt:i4>26</vt:i4>
      </vt:variant>
      <vt:variant>
        <vt:i4>0</vt:i4>
      </vt:variant>
      <vt:variant>
        <vt:i4>5</vt:i4>
      </vt:variant>
      <vt:variant>
        <vt:lpwstr/>
      </vt:variant>
      <vt:variant>
        <vt:lpwstr>_Toc241444769</vt:lpwstr>
      </vt:variant>
      <vt:variant>
        <vt:i4>1376304</vt:i4>
      </vt:variant>
      <vt:variant>
        <vt:i4>20</vt:i4>
      </vt:variant>
      <vt:variant>
        <vt:i4>0</vt:i4>
      </vt:variant>
      <vt:variant>
        <vt:i4>5</vt:i4>
      </vt:variant>
      <vt:variant>
        <vt:lpwstr/>
      </vt:variant>
      <vt:variant>
        <vt:lpwstr>_Toc241444768</vt:lpwstr>
      </vt:variant>
      <vt:variant>
        <vt:i4>1376304</vt:i4>
      </vt:variant>
      <vt:variant>
        <vt:i4>14</vt:i4>
      </vt:variant>
      <vt:variant>
        <vt:i4>0</vt:i4>
      </vt:variant>
      <vt:variant>
        <vt:i4>5</vt:i4>
      </vt:variant>
      <vt:variant>
        <vt:lpwstr/>
      </vt:variant>
      <vt:variant>
        <vt:lpwstr>_Toc241444767</vt:lpwstr>
      </vt:variant>
      <vt:variant>
        <vt:i4>1376304</vt:i4>
      </vt:variant>
      <vt:variant>
        <vt:i4>8</vt:i4>
      </vt:variant>
      <vt:variant>
        <vt:i4>0</vt:i4>
      </vt:variant>
      <vt:variant>
        <vt:i4>5</vt:i4>
      </vt:variant>
      <vt:variant>
        <vt:lpwstr/>
      </vt:variant>
      <vt:variant>
        <vt:lpwstr>_Toc241444766</vt:lpwstr>
      </vt:variant>
      <vt:variant>
        <vt:i4>1376304</vt:i4>
      </vt:variant>
      <vt:variant>
        <vt:i4>2</vt:i4>
      </vt:variant>
      <vt:variant>
        <vt:i4>0</vt:i4>
      </vt:variant>
      <vt:variant>
        <vt:i4>5</vt:i4>
      </vt:variant>
      <vt:variant>
        <vt:lpwstr/>
      </vt:variant>
      <vt:variant>
        <vt:lpwstr>_Toc241444765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Kelly-Lambo (2215117)</dc:creator>
  <cp:keywords/>
  <dc:description/>
  <cp:lastModifiedBy>Patricia Kelly-Lambo (2215117)</cp:lastModifiedBy>
  <cp:revision>34</cp:revision>
  <dcterms:created xsi:type="dcterms:W3CDTF">2026-09-28T04:51:00Z</dcterms:created>
  <dcterms:modified xsi:type="dcterms:W3CDTF">2026-09-29T23:13:00Z</dcterms:modified>
</cp:coreProperties>
</file>