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3DF1C1" w14:textId="77777777" w:rsidR="00BD17D0" w:rsidRPr="00B61E83" w:rsidRDefault="00BD17D0" w:rsidP="008F4CB5">
      <w:pPr>
        <w:rPr>
          <w:b/>
          <w:bCs/>
          <w:sz w:val="28"/>
          <w:szCs w:val="28"/>
        </w:rPr>
      </w:pPr>
      <w:r w:rsidRPr="00B61E83">
        <w:rPr>
          <w:b/>
          <w:bCs/>
          <w:sz w:val="28"/>
          <w:szCs w:val="28"/>
        </w:rPr>
        <w:t xml:space="preserve">Student name: Sarah </w:t>
      </w:r>
      <w:proofErr w:type="spellStart"/>
      <w:r w:rsidRPr="00B61E83">
        <w:rPr>
          <w:b/>
          <w:bCs/>
          <w:sz w:val="28"/>
          <w:szCs w:val="28"/>
        </w:rPr>
        <w:t>Doody</w:t>
      </w:r>
      <w:proofErr w:type="spellEnd"/>
    </w:p>
    <w:p w14:paraId="6731E08F" w14:textId="77777777" w:rsidR="00FD6D10" w:rsidRPr="00B61E83" w:rsidRDefault="00FD6D10" w:rsidP="008F4CB5">
      <w:pPr>
        <w:rPr>
          <w:b/>
          <w:bCs/>
          <w:sz w:val="28"/>
          <w:szCs w:val="28"/>
        </w:rPr>
      </w:pPr>
      <w:r w:rsidRPr="00B61E83">
        <w:rPr>
          <w:b/>
          <w:bCs/>
          <w:sz w:val="28"/>
          <w:szCs w:val="28"/>
        </w:rPr>
        <w:t>Student Number: 2407283</w:t>
      </w:r>
    </w:p>
    <w:p w14:paraId="64168A31" w14:textId="286BAE4B" w:rsidR="001E5603" w:rsidRPr="00B61E83" w:rsidRDefault="00927BCC" w:rsidP="008F4CB5">
      <w:pPr>
        <w:rPr>
          <w:b/>
          <w:bCs/>
          <w:sz w:val="28"/>
          <w:szCs w:val="28"/>
        </w:rPr>
      </w:pPr>
      <w:r w:rsidRPr="00B61E83">
        <w:rPr>
          <w:b/>
          <w:bCs/>
          <w:sz w:val="28"/>
          <w:szCs w:val="28"/>
        </w:rPr>
        <w:t>Module</w:t>
      </w:r>
      <w:r w:rsidR="0018378B" w:rsidRPr="00B61E83">
        <w:rPr>
          <w:b/>
          <w:bCs/>
          <w:sz w:val="28"/>
          <w:szCs w:val="28"/>
        </w:rPr>
        <w:t xml:space="preserve">: </w:t>
      </w:r>
      <w:r w:rsidR="001E5603" w:rsidRPr="00B61E83">
        <w:rPr>
          <w:b/>
          <w:bCs/>
          <w:sz w:val="28"/>
          <w:szCs w:val="28"/>
        </w:rPr>
        <w:t>Protecting and Supporting Families in Health and Care</w:t>
      </w:r>
    </w:p>
    <w:p w14:paraId="172A42D2" w14:textId="7F83DB5F" w:rsidR="00927BCC" w:rsidRPr="00B61E83" w:rsidRDefault="00927BCC" w:rsidP="008F4CB5">
      <w:pPr>
        <w:rPr>
          <w:b/>
          <w:bCs/>
          <w:sz w:val="28"/>
          <w:szCs w:val="28"/>
        </w:rPr>
      </w:pPr>
      <w:r w:rsidRPr="00B61E83">
        <w:rPr>
          <w:b/>
          <w:bCs/>
          <w:sz w:val="28"/>
          <w:szCs w:val="28"/>
        </w:rPr>
        <w:t xml:space="preserve">Module code: </w:t>
      </w:r>
      <w:r w:rsidR="00276ED5" w:rsidRPr="00B61E83">
        <w:rPr>
          <w:b/>
          <w:bCs/>
          <w:sz w:val="28"/>
          <w:szCs w:val="28"/>
        </w:rPr>
        <w:t>BMHP5021</w:t>
      </w:r>
    </w:p>
    <w:p w14:paraId="58F1D6D5" w14:textId="49CF97D6" w:rsidR="00276ED5" w:rsidRPr="00B61E83" w:rsidRDefault="00276ED5" w:rsidP="008F4CB5">
      <w:pPr>
        <w:rPr>
          <w:b/>
          <w:bCs/>
          <w:sz w:val="28"/>
          <w:szCs w:val="28"/>
        </w:rPr>
      </w:pPr>
      <w:r w:rsidRPr="00B61E83">
        <w:rPr>
          <w:b/>
          <w:bCs/>
          <w:sz w:val="28"/>
          <w:szCs w:val="28"/>
        </w:rPr>
        <w:t xml:space="preserve">Assignment title: Component 2 written report </w:t>
      </w:r>
    </w:p>
    <w:p w14:paraId="4FC0652C" w14:textId="77777777" w:rsidR="001E5603" w:rsidRDefault="001E5603" w:rsidP="001E5603"/>
    <w:p w14:paraId="22F62DFD" w14:textId="77777777" w:rsidR="001E5603" w:rsidRPr="001E5603" w:rsidRDefault="001E5603" w:rsidP="001E5603">
      <w:pPr>
        <w:rPr>
          <w:b/>
          <w:bCs/>
          <w:u w:val="single"/>
        </w:rPr>
      </w:pPr>
      <w:r w:rsidRPr="001E5603">
        <w:rPr>
          <w:b/>
          <w:bCs/>
          <w:u w:val="single"/>
        </w:rPr>
        <w:t>Introduction</w:t>
      </w:r>
    </w:p>
    <w:p w14:paraId="594F170E" w14:textId="77777777" w:rsidR="001E5603" w:rsidRDefault="001E5603" w:rsidP="001E5603">
      <w:r>
        <w:t>Families play a central role in shaping health, wellbeing, and development across the life course. Within the UK health and social care system, professionals are responsible for identifying need, preventing harm, and providing support that strengthens family functioning. Families often experience complex and intersecting challenges such as poverty, domestic abuse, parental mental health difficulties, disability, and safeguarding concerns. These issues can significantly affect children’s development, parental capacity, and overall family stability. As a result, effective practice requires a holistic, strengths</w:t>
      </w:r>
      <w:r>
        <w:rPr>
          <w:rFonts w:ascii="Cambria Math" w:hAnsi="Cambria Math" w:cs="Cambria Math"/>
        </w:rPr>
        <w:t>‑</w:t>
      </w:r>
      <w:r>
        <w:t>based approach that recognises the diversity of family experiences and the importance of early intervention. This report critically examines how families are protected and supported within contemporary UK health and social care practice. It explores key legislation, safeguarding frameworks, multi</w:t>
      </w:r>
      <w:r>
        <w:rPr>
          <w:rFonts w:ascii="Cambria Math" w:hAnsi="Cambria Math" w:cs="Cambria Math"/>
        </w:rPr>
        <w:t>‑</w:t>
      </w:r>
      <w:r>
        <w:t>agency working, and evidence</w:t>
      </w:r>
      <w:r>
        <w:rPr>
          <w:rFonts w:ascii="Cambria Math" w:hAnsi="Cambria Math" w:cs="Cambria Math"/>
        </w:rPr>
        <w:t>‑</w:t>
      </w:r>
      <w:r>
        <w:t>based interventions, while also evaluating the barriers families face when accessing support and the professional responsibilities required to ensure safe, ethical, and effective practice.</w:t>
      </w:r>
    </w:p>
    <w:p w14:paraId="4A344D40" w14:textId="77777777" w:rsidR="001E5603" w:rsidRDefault="001E5603" w:rsidP="001E5603"/>
    <w:p w14:paraId="53846FEF" w14:textId="77777777" w:rsidR="001E5603" w:rsidRPr="001E5603" w:rsidRDefault="001E5603" w:rsidP="001E5603">
      <w:pPr>
        <w:rPr>
          <w:b/>
          <w:bCs/>
          <w:u w:val="single"/>
        </w:rPr>
      </w:pPr>
      <w:r w:rsidRPr="001E5603">
        <w:rPr>
          <w:b/>
          <w:bCs/>
          <w:u w:val="single"/>
        </w:rPr>
        <w:t>Understanding Family Needs</w:t>
      </w:r>
    </w:p>
    <w:p w14:paraId="1AC6FBF1" w14:textId="77777777" w:rsidR="001E5603" w:rsidRDefault="001E5603" w:rsidP="001E5603">
      <w:r>
        <w:t>Understanding family needs is essential for designing appropriate interventions. The Family Stress Model highlights how external pressures such as financial hardship, health problems, or relationship breakdown can reduce parental capacity and increase risks to children (Conger &amp; Donnellan, 2007). Families experiencing socioeconomic disadvantage may struggle with housing insecurity, food poverty, or limited access to healthcare. Parental mental health difficulties can affect emotional availability, attachment, and routine, while domestic abuse can create environments characterised by fear, instability, and trauma. These challenges rarely occur in isolation; instead, they often intersect to create cumulative risk. Health and social care professionals must therefore adopt a whole</w:t>
      </w:r>
      <w:r>
        <w:rPr>
          <w:rFonts w:ascii="Cambria Math" w:hAnsi="Cambria Math" w:cs="Cambria Math"/>
        </w:rPr>
        <w:t>‑</w:t>
      </w:r>
      <w:r>
        <w:t>family perspective that considers the interplay between individual needs, environmental factors, and wider social determinants of health.</w:t>
      </w:r>
    </w:p>
    <w:p w14:paraId="5EBC1767" w14:textId="77777777" w:rsidR="001E5603" w:rsidRDefault="001E5603" w:rsidP="001E5603"/>
    <w:p w14:paraId="117FCB43" w14:textId="7870A663" w:rsidR="001E5603" w:rsidRPr="001E5603" w:rsidRDefault="001E5603" w:rsidP="001E5603">
      <w:pPr>
        <w:rPr>
          <w:b/>
          <w:bCs/>
          <w:u w:val="single"/>
        </w:rPr>
      </w:pPr>
      <w:r w:rsidRPr="001E5603">
        <w:rPr>
          <w:b/>
          <w:bCs/>
          <w:u w:val="single"/>
        </w:rPr>
        <w:t>Legislative and Policy Frameworks</w:t>
      </w:r>
    </w:p>
    <w:p w14:paraId="6EA57313" w14:textId="77777777" w:rsidR="001E5603" w:rsidRDefault="001E5603" w:rsidP="001E5603">
      <w:r>
        <w:t>UK practice is shaped by several key legislative and policy frameworks that aim to safeguard children and vulnerable adults. The Children Act 1989 establishes the principle that the welfare of the child is paramount and outlines duties for local authorities to investigate concerns under Section 47 and provide support under Section 17. The Children Act 2004 strengthened multi</w:t>
      </w:r>
      <w:r>
        <w:rPr>
          <w:rFonts w:ascii="Cambria Math" w:hAnsi="Cambria Math" w:cs="Cambria Math"/>
        </w:rPr>
        <w:t>‑</w:t>
      </w:r>
      <w:r>
        <w:t xml:space="preserve">agency cooperation following the Victoria </w:t>
      </w:r>
      <w:proofErr w:type="spellStart"/>
      <w:r>
        <w:t>Climbié</w:t>
      </w:r>
      <w:proofErr w:type="spellEnd"/>
      <w:r>
        <w:t xml:space="preserve"> Inquiry, emphasising shared responsibility for child protection. Working Together to Safeguard Children (Department for Education, 2018) provides statutory guidance for inter</w:t>
      </w:r>
      <w:r>
        <w:rPr>
          <w:rFonts w:ascii="Cambria Math" w:hAnsi="Cambria Math" w:cs="Cambria Math"/>
        </w:rPr>
        <w:t>‑</w:t>
      </w:r>
      <w:r>
        <w:t>professional collaboration, information sharing, and early intervention. It sets clear expectations for how agencies should work together to identify risk and support families before crises escalate. For adults, the Care Act 2014 outlines safeguarding duties, advocacy rights, and person</w:t>
      </w:r>
      <w:r>
        <w:rPr>
          <w:rFonts w:ascii="Cambria Math" w:hAnsi="Cambria Math" w:cs="Cambria Math"/>
        </w:rPr>
        <w:t>‑</w:t>
      </w:r>
      <w:r>
        <w:t>centred planning, ensuring that vulnerable adults receive protection and support. The Domestic Abuse Act 2021 further strengthens protection for survivors by recognising children as victims in their own right and improving access to specialist services. Alongside these legal frameworks, the NHS Long Term Plan (NHS England, 2019) prioritises early intervention, mental health support for families, and integrated care systems to reduce fragmentation. Together, these policies provide a foundation for ethical, lawful, and collaborative practice.</w:t>
      </w:r>
    </w:p>
    <w:p w14:paraId="5C3C8069" w14:textId="77777777" w:rsidR="001E5603" w:rsidRDefault="001E5603" w:rsidP="001E5603"/>
    <w:p w14:paraId="486E3953" w14:textId="4D567C8A" w:rsidR="001E5603" w:rsidRPr="001E5603" w:rsidRDefault="001E5603" w:rsidP="001E5603">
      <w:pPr>
        <w:rPr>
          <w:b/>
          <w:bCs/>
          <w:u w:val="single"/>
        </w:rPr>
      </w:pPr>
      <w:r w:rsidRPr="001E5603">
        <w:rPr>
          <w:b/>
          <w:bCs/>
          <w:u w:val="single"/>
        </w:rPr>
        <w:t>Safeguarding Children and Vulnerable Adults</w:t>
      </w:r>
    </w:p>
    <w:p w14:paraId="4799EE5B" w14:textId="583AE254" w:rsidR="001E5603" w:rsidRDefault="001E5603" w:rsidP="001E5603">
      <w:r>
        <w:t>Safeguarding is a core responsibility within health and social care and involves protecting individuals from harm, abuse, neglect, and exploitation. Effective safeguarding requires professional curiosity, vigilance, and timely action. Practitioners must be able to recognise indicators of harm such as unexplained injuries, developmental delays, emotional withdrawal, poor home conditions, parental substance misuse, domestic abuse, or inconsistent school attendance. The “Toxic Trio”</w:t>
      </w:r>
      <w:r w:rsidR="005E73CA">
        <w:t xml:space="preserve">, </w:t>
      </w:r>
      <w:r>
        <w:t>domestic abuse, parental mental health difficulties, and substance misuse, is strongly associated with poor outcomes for children (Cleaver et al., 2011). Early Help plays a vital role in supporting families before problems escalate. Interventions may include parenting programmes, mental health support, financial advice, or school</w:t>
      </w:r>
      <w:r>
        <w:rPr>
          <w:rFonts w:ascii="Cambria Math" w:hAnsi="Cambria Math" w:cs="Cambria Math"/>
        </w:rPr>
        <w:t>‑</w:t>
      </w:r>
      <w:r>
        <w:t>based support. Multi</w:t>
      </w:r>
      <w:r>
        <w:rPr>
          <w:rFonts w:ascii="Cambria Math" w:hAnsi="Cambria Math" w:cs="Cambria Math"/>
        </w:rPr>
        <w:t>‑</w:t>
      </w:r>
      <w:r>
        <w:t>Agency Safeguarding Hubs (MASH) facilitate rapid information sharing between police, health, education, and social care, enabling timely and coordinated responses to risk. Professionals must maintain accurate records, share information appropriately, follow safeguarding procedures, and challenge decisions when necessary. Crucially, the voice of the child must remain central to all assessments and interventions.</w:t>
      </w:r>
    </w:p>
    <w:p w14:paraId="775A04A7" w14:textId="77777777" w:rsidR="001E5603" w:rsidRDefault="001E5603" w:rsidP="001E5603"/>
    <w:p w14:paraId="4292199F" w14:textId="51EA485B" w:rsidR="001E5603" w:rsidRPr="005E73CA" w:rsidRDefault="001E5603" w:rsidP="001E5603">
      <w:pPr>
        <w:rPr>
          <w:b/>
          <w:bCs/>
          <w:u w:val="single"/>
        </w:rPr>
      </w:pPr>
      <w:r w:rsidRPr="005E73CA">
        <w:rPr>
          <w:b/>
          <w:bCs/>
          <w:u w:val="single"/>
        </w:rPr>
        <w:t>Multi</w:t>
      </w:r>
      <w:r w:rsidRPr="005E73CA">
        <w:rPr>
          <w:rFonts w:ascii="Cambria Math" w:hAnsi="Cambria Math" w:cs="Cambria Math"/>
          <w:b/>
          <w:bCs/>
          <w:u w:val="single"/>
        </w:rPr>
        <w:t>‑</w:t>
      </w:r>
      <w:r w:rsidRPr="005E73CA">
        <w:rPr>
          <w:b/>
          <w:bCs/>
          <w:u w:val="single"/>
        </w:rPr>
        <w:t>Agency Working</w:t>
      </w:r>
    </w:p>
    <w:p w14:paraId="79EDCA04" w14:textId="77777777" w:rsidR="001E5603" w:rsidRDefault="001E5603" w:rsidP="001E5603">
      <w:r>
        <w:t>Multi</w:t>
      </w:r>
      <w:r>
        <w:rPr>
          <w:rFonts w:ascii="Cambria Math" w:hAnsi="Cambria Math" w:cs="Cambria Math"/>
        </w:rPr>
        <w:t>‑</w:t>
      </w:r>
      <w:r>
        <w:t>agency working is essential for effective family support. Families often engage with multiple services, including health, education, housing, mental health, and social care. When agencies collaborate effectively, they can provide holistic assessments, coordinate interventions, and reduce the burden on families who may otherwise need to repeat their story multiple times. Multi</w:t>
      </w:r>
      <w:r>
        <w:rPr>
          <w:rFonts w:ascii="Cambria Math" w:hAnsi="Cambria Math" w:cs="Cambria Math"/>
        </w:rPr>
        <w:t>‑</w:t>
      </w:r>
      <w:r>
        <w:t>agency working also enables shared expertise and faster identification of risk. However, collaboration is not without challenges. Differing professional cultures, inconsistent information sharing, high caseloads, time pressures, and funding constraints can hinder effective practice. The Munro Review (2011) emphasised that professionals need supportive systems, adequate training, and time to build relationships with families and colleagues. Without these conditions, multi</w:t>
      </w:r>
      <w:r>
        <w:rPr>
          <w:rFonts w:ascii="Cambria Math" w:hAnsi="Cambria Math" w:cs="Cambria Math"/>
        </w:rPr>
        <w:t>‑</w:t>
      </w:r>
      <w:r>
        <w:t>agency working can become fragmented, leading to missed opportunities for early intervention.</w:t>
      </w:r>
    </w:p>
    <w:p w14:paraId="326BF2D1" w14:textId="77777777" w:rsidR="001E5603" w:rsidRDefault="001E5603" w:rsidP="001E5603"/>
    <w:p w14:paraId="5B4E3C8D" w14:textId="2B674D95" w:rsidR="001E5603" w:rsidRPr="005E73CA" w:rsidRDefault="001E5603" w:rsidP="001E5603">
      <w:pPr>
        <w:rPr>
          <w:b/>
          <w:bCs/>
          <w:u w:val="single"/>
        </w:rPr>
      </w:pPr>
      <w:r w:rsidRPr="005E73CA">
        <w:rPr>
          <w:b/>
          <w:bCs/>
          <w:u w:val="single"/>
        </w:rPr>
        <w:t>Supporting Families Experiencing Domestic Abuse</w:t>
      </w:r>
    </w:p>
    <w:p w14:paraId="6375D7D8" w14:textId="77777777" w:rsidR="001E5603" w:rsidRDefault="001E5603" w:rsidP="001E5603">
      <w:r>
        <w:t>Domestic abuse has profound and long</w:t>
      </w:r>
      <w:r>
        <w:rPr>
          <w:rFonts w:ascii="Cambria Math" w:hAnsi="Cambria Math" w:cs="Cambria Math"/>
        </w:rPr>
        <w:t>‑</w:t>
      </w:r>
      <w:r>
        <w:t>lasting impacts on families. Children who experience domestic abuse may develop emotional, cognitive, and behavioural difficulties, and may struggle with relationships, school engagement, and mental health. The Domestic Abuse Act 2021 recognises children as victims, ensuring they receive specialist support. Health and social care professionals play a crucial role in identifying domestic abuse, often being the first point of contact for survivors. Practitioners must ask about domestic abuse sensitively, use validated tools such as DASH risk assessments, and refer individuals to specialist services. Safety planning is essential and may involve working collaboratively with police, housing services, and social care. Trauma</w:t>
      </w:r>
      <w:r>
        <w:rPr>
          <w:rFonts w:ascii="Cambria Math" w:hAnsi="Cambria Math" w:cs="Cambria Math"/>
        </w:rPr>
        <w:t>‑</w:t>
      </w:r>
      <w:r>
        <w:t>informed practice is vital, recognising the long</w:t>
      </w:r>
      <w:r>
        <w:rPr>
          <w:rFonts w:ascii="Cambria Math" w:hAnsi="Cambria Math" w:cs="Cambria Math"/>
        </w:rPr>
        <w:t>‑</w:t>
      </w:r>
      <w:r>
        <w:t>term effects of fear, control, and coercion on both adults and children.</w:t>
      </w:r>
    </w:p>
    <w:p w14:paraId="3AE66584" w14:textId="77777777" w:rsidR="001E5603" w:rsidRDefault="001E5603" w:rsidP="001E5603"/>
    <w:p w14:paraId="7FF4CC54" w14:textId="132C2B14" w:rsidR="001E5603" w:rsidRPr="005E73CA" w:rsidRDefault="001E5603" w:rsidP="001E5603">
      <w:pPr>
        <w:rPr>
          <w:b/>
          <w:bCs/>
          <w:u w:val="single"/>
        </w:rPr>
      </w:pPr>
      <w:r w:rsidRPr="005E73CA">
        <w:rPr>
          <w:b/>
          <w:bCs/>
          <w:u w:val="single"/>
        </w:rPr>
        <w:t>Supporting Families with Parental Mental Health Needs</w:t>
      </w:r>
    </w:p>
    <w:p w14:paraId="6D4FB56A" w14:textId="77777777" w:rsidR="001E5603" w:rsidRDefault="001E5603" w:rsidP="001E5603">
      <w:r>
        <w:t>Parental mental health difficulties can significantly affect family functioning. Depression, anxiety, psychosis, or personality disorders may impact a parent’s ability to provide consistent routines, emotional warmth, or safe boundaries. The Think Family approach encourages professionals to consider how parental health affects children and to provide integrated support. Effective interventions may include family therapy, parenting support, mental health treatment, school</w:t>
      </w:r>
      <w:r>
        <w:rPr>
          <w:rFonts w:ascii="Cambria Math" w:hAnsi="Cambria Math" w:cs="Cambria Math"/>
        </w:rPr>
        <w:t>‑</w:t>
      </w:r>
      <w:r>
        <w:t>based support for children, and social prescribing. Research shows that integrated mental health and family support reduces risk and improves outcomes (</w:t>
      </w:r>
      <w:proofErr w:type="spellStart"/>
      <w:r>
        <w:t>Reupert</w:t>
      </w:r>
      <w:proofErr w:type="spellEnd"/>
      <w:r>
        <w:t xml:space="preserve"> &amp; </w:t>
      </w:r>
      <w:proofErr w:type="spellStart"/>
      <w:r>
        <w:t>Maybery</w:t>
      </w:r>
      <w:proofErr w:type="spellEnd"/>
      <w:r>
        <w:t>, 2016). Professionals must adopt a non</w:t>
      </w:r>
      <w:r>
        <w:rPr>
          <w:rFonts w:ascii="Cambria Math" w:hAnsi="Cambria Math" w:cs="Cambria Math"/>
        </w:rPr>
        <w:t>‑</w:t>
      </w:r>
      <w:r>
        <w:t>judgmental approach, recognising that parents may fear stigma or child removal if they disclose mental health difficulties.</w:t>
      </w:r>
    </w:p>
    <w:p w14:paraId="25EF89F0" w14:textId="77777777" w:rsidR="001E5603" w:rsidRDefault="001E5603" w:rsidP="001E5603"/>
    <w:p w14:paraId="0F080A42" w14:textId="7DFFD968" w:rsidR="001E5603" w:rsidRPr="005E73CA" w:rsidRDefault="001E5603" w:rsidP="001E5603">
      <w:pPr>
        <w:rPr>
          <w:b/>
          <w:bCs/>
          <w:u w:val="single"/>
        </w:rPr>
      </w:pPr>
      <w:r w:rsidRPr="005E73CA">
        <w:rPr>
          <w:b/>
          <w:bCs/>
          <w:u w:val="single"/>
        </w:rPr>
        <w:t>Supporting Families Living in Poverty</w:t>
      </w:r>
    </w:p>
    <w:p w14:paraId="427E424B" w14:textId="77777777" w:rsidR="001E5603" w:rsidRDefault="001E5603" w:rsidP="001E5603">
      <w:r>
        <w:t>Poverty is a significant social determinant of health and is strongly linked to poorer outcomes for children and families. Families living in poverty may experience housing insecurity, food poverty, limited access to healthcare, and social isolation. These pressures can increase stress, reduce parental capacity, and heighten safeguarding concerns. Professionals have a responsibility to adopt poverty</w:t>
      </w:r>
      <w:r>
        <w:rPr>
          <w:rFonts w:ascii="Cambria Math" w:hAnsi="Cambria Math" w:cs="Cambria Math"/>
        </w:rPr>
        <w:t>‑</w:t>
      </w:r>
      <w:r>
        <w:t>aware practice, signpost families to financial support, advocate for housing improvements, and work with community organisations. The Marmot Review (2020) highlights that reducing inequality is essential for improving family wellbeing. Anti</w:t>
      </w:r>
      <w:r>
        <w:rPr>
          <w:rFonts w:ascii="Cambria Math" w:hAnsi="Cambria Math" w:cs="Cambria Math"/>
        </w:rPr>
        <w:t>‑</w:t>
      </w:r>
      <w:r>
        <w:t>oppressive practice is crucial, ensuring that families are treated with dignity and respect regardless of socioeconomic status.</w:t>
      </w:r>
    </w:p>
    <w:p w14:paraId="00C2198E" w14:textId="77777777" w:rsidR="001E5603" w:rsidRDefault="001E5603" w:rsidP="001E5603"/>
    <w:p w14:paraId="0F4FF2CC" w14:textId="78C55D66" w:rsidR="001E5603" w:rsidRPr="005E73CA" w:rsidRDefault="001E5603" w:rsidP="001E5603">
      <w:pPr>
        <w:rPr>
          <w:b/>
          <w:bCs/>
          <w:u w:val="single"/>
        </w:rPr>
      </w:pPr>
      <w:r w:rsidRPr="005E73CA">
        <w:rPr>
          <w:b/>
          <w:bCs/>
          <w:u w:val="single"/>
        </w:rPr>
        <w:t>Case Study Example</w:t>
      </w:r>
    </w:p>
    <w:p w14:paraId="09223373" w14:textId="77777777" w:rsidR="001E5603" w:rsidRDefault="001E5603" w:rsidP="001E5603">
      <w:r>
        <w:t>To illustrate how these frameworks operate in practice, consider a generic case example. A single mother with two children presents with depression, financial hardship, and concerns about domestic abuse from a former partner. The children show signs of emotional distress and inconsistent school attendance. Using the Framework for the Assessment of Children in Need and their Families, professionals assess child development, parenting capacity, and family and environmental factors. An Early Help referral is made, and the mother receives domestic abuse support, mental health treatment, and housing advocacy. The school provides pastoral support for the children, and multi</w:t>
      </w:r>
      <w:r>
        <w:rPr>
          <w:rFonts w:ascii="Cambria Math" w:hAnsi="Cambria Math" w:cs="Cambria Math"/>
        </w:rPr>
        <w:t>‑</w:t>
      </w:r>
      <w:r>
        <w:t>agency meetings ensure coordinated intervention. Over time, the mother’s mental health improves, the children’s attendance stabilises, and risk reduces. This example demonstrates how holistic assessment, multi</w:t>
      </w:r>
      <w:r>
        <w:rPr>
          <w:rFonts w:ascii="Cambria Math" w:hAnsi="Cambria Math" w:cs="Cambria Math"/>
        </w:rPr>
        <w:t>‑</w:t>
      </w:r>
      <w:r>
        <w:t>agency working, and early intervention can significantly improve outcomes for families.</w:t>
      </w:r>
    </w:p>
    <w:p w14:paraId="001C6882" w14:textId="77777777" w:rsidR="001E5603" w:rsidRDefault="001E5603" w:rsidP="001E5603"/>
    <w:p w14:paraId="63817BF9" w14:textId="0D30FEE2" w:rsidR="001E5603" w:rsidRPr="005E73CA" w:rsidRDefault="001E5603" w:rsidP="001E5603">
      <w:pPr>
        <w:rPr>
          <w:b/>
          <w:bCs/>
          <w:u w:val="single"/>
        </w:rPr>
      </w:pPr>
      <w:r w:rsidRPr="005E73CA">
        <w:rPr>
          <w:b/>
          <w:bCs/>
          <w:u w:val="single"/>
        </w:rPr>
        <w:t>Barriers to Effective Support</w:t>
      </w:r>
    </w:p>
    <w:p w14:paraId="797DE402" w14:textId="77777777" w:rsidR="001E5603" w:rsidRDefault="001E5603" w:rsidP="001E5603">
      <w:r>
        <w:t>Despite the availability of support, families often face barriers when accessing services. Stigma, fear of child removal, cultural or language barriers, service fragmentation, long waiting lists, and lack of trust in professionals can prevent families from seeking help. Professionals must adopt culturally competent, anti</w:t>
      </w:r>
      <w:r>
        <w:rPr>
          <w:rFonts w:ascii="Cambria Math" w:hAnsi="Cambria Math" w:cs="Cambria Math"/>
        </w:rPr>
        <w:t>‑</w:t>
      </w:r>
      <w:r>
        <w:t>oppressive, and empathetic practice to overcome these barriers. Building trust is essential, as families are more likely to engage with services when they feel respected, understood, and supported.</w:t>
      </w:r>
    </w:p>
    <w:p w14:paraId="6DA117C9" w14:textId="77777777" w:rsidR="001E5603" w:rsidRDefault="001E5603" w:rsidP="001E5603"/>
    <w:p w14:paraId="08AD8708" w14:textId="7C70C29B" w:rsidR="001E5603" w:rsidRPr="005E73CA" w:rsidRDefault="001E5603" w:rsidP="001E5603">
      <w:pPr>
        <w:rPr>
          <w:b/>
          <w:bCs/>
          <w:u w:val="single"/>
        </w:rPr>
      </w:pPr>
      <w:r w:rsidRPr="005E73CA">
        <w:rPr>
          <w:b/>
          <w:bCs/>
          <w:u w:val="single"/>
        </w:rPr>
        <w:t>Conclusion</w:t>
      </w:r>
    </w:p>
    <w:p w14:paraId="0421E147" w14:textId="77777777" w:rsidR="001E5603" w:rsidRDefault="001E5603" w:rsidP="001E5603">
      <w:r>
        <w:t>Protecting and supporting families is a complex but essential aspect of health and social care. Effective practice requires strong legislative frameworks, multi</w:t>
      </w:r>
      <w:r>
        <w:rPr>
          <w:rFonts w:ascii="Cambria Math" w:hAnsi="Cambria Math" w:cs="Cambria Math"/>
        </w:rPr>
        <w:t>‑</w:t>
      </w:r>
      <w:r>
        <w:t>agency collaboration, trauma</w:t>
      </w:r>
      <w:r>
        <w:rPr>
          <w:rFonts w:ascii="Cambria Math" w:hAnsi="Cambria Math" w:cs="Cambria Math"/>
        </w:rPr>
        <w:t>‑</w:t>
      </w:r>
      <w:r>
        <w:t>informed approaches, and early intervention. By understanding family needs holistically and working collaboratively, professionals can significantly improve outcomes for children and vulnerable adults. Safeguarding, domestic abuse support, mental health interventions, and poverty</w:t>
      </w:r>
      <w:r>
        <w:rPr>
          <w:rFonts w:ascii="Cambria Math" w:hAnsi="Cambria Math" w:cs="Cambria Math"/>
        </w:rPr>
        <w:t>‑</w:t>
      </w:r>
      <w:r>
        <w:t>aware practice collectively contribute to safer, healthier, and more resilient families. The evidence presented in this report demonstrates that when professionals adopt a whole</w:t>
      </w:r>
      <w:r>
        <w:rPr>
          <w:rFonts w:ascii="Cambria Math" w:hAnsi="Cambria Math" w:cs="Cambria Math"/>
        </w:rPr>
        <w:t>‑</w:t>
      </w:r>
      <w:r>
        <w:t>family perspective and work in partnership with other agencies, they can create meaningful and lasting change.</w:t>
      </w:r>
    </w:p>
    <w:p w14:paraId="22CC0A15" w14:textId="77777777" w:rsidR="001E5603" w:rsidRDefault="001E5603" w:rsidP="001E5603"/>
    <w:p w14:paraId="361A26EC" w14:textId="6164941A" w:rsidR="001E5603" w:rsidRPr="005E73CA" w:rsidRDefault="001E5603" w:rsidP="001E5603">
      <w:pPr>
        <w:rPr>
          <w:b/>
          <w:bCs/>
          <w:u w:val="single"/>
        </w:rPr>
      </w:pPr>
      <w:r w:rsidRPr="005E73CA">
        <w:rPr>
          <w:b/>
          <w:bCs/>
          <w:u w:val="single"/>
        </w:rPr>
        <w:t>References</w:t>
      </w:r>
    </w:p>
    <w:p w14:paraId="42C633D9" w14:textId="5C8534AB" w:rsidR="001E5603" w:rsidRDefault="001E5603" w:rsidP="001E5603">
      <w:r>
        <w:t xml:space="preserve">Cleaver, H., </w:t>
      </w:r>
      <w:proofErr w:type="spellStart"/>
      <w:r>
        <w:t>Unell</w:t>
      </w:r>
      <w:proofErr w:type="spellEnd"/>
      <w:r>
        <w:t xml:space="preserve">, I., &amp; Aldgate, J. (2011). Children’s needs – parenting capacity. </w:t>
      </w:r>
    </w:p>
    <w:p w14:paraId="48BFD99B" w14:textId="77777777" w:rsidR="001E5603" w:rsidRDefault="001E5603" w:rsidP="001E5603">
      <w:r>
        <w:t xml:space="preserve">Conger, R. D., &amp; Donnellan, M. B. (2007). An interactionist perspective on the socioeconomic context of human development. Annual Review of Psychology, </w:t>
      </w:r>
    </w:p>
    <w:p w14:paraId="7E1B4485" w14:textId="3FE1AC67" w:rsidR="001E5603" w:rsidRDefault="001E5603" w:rsidP="001E5603">
      <w:r>
        <w:t>58, 175–199.</w:t>
      </w:r>
    </w:p>
    <w:p w14:paraId="3ABFA8B7" w14:textId="31E304D8" w:rsidR="001E5603" w:rsidRDefault="001E5603" w:rsidP="001E5603">
      <w:r>
        <w:t xml:space="preserve">Department for Education. (2018). Working Together to Safeguard Children. </w:t>
      </w:r>
    </w:p>
    <w:p w14:paraId="69EF397A" w14:textId="321DEEB3" w:rsidR="001E5603" w:rsidRDefault="001E5603" w:rsidP="001E5603">
      <w:r>
        <w:t xml:space="preserve">Home Office. (2021). Domestic Abuse Act 2021. </w:t>
      </w:r>
    </w:p>
    <w:p w14:paraId="691166A1" w14:textId="7003C786" w:rsidR="001E5603" w:rsidRDefault="001E5603" w:rsidP="001E5603">
      <w:r>
        <w:t>Marmot, M. (2020). Health Equity in England: The Marmot Review 10 Years On.</w:t>
      </w:r>
    </w:p>
    <w:p w14:paraId="67787AB8" w14:textId="29308FFB" w:rsidR="001E5603" w:rsidRDefault="001E5603" w:rsidP="001E5603">
      <w:r>
        <w:t>Munro, E. (2011). The Munro Review of Child Protection.</w:t>
      </w:r>
    </w:p>
    <w:p w14:paraId="2F6E06E7" w14:textId="185BD7E4" w:rsidR="001E5603" w:rsidRPr="005E73CA" w:rsidRDefault="001E5603" w:rsidP="001E5603">
      <w:r>
        <w:t xml:space="preserve">NHS England. (2019). The NHS Long Term Plan. </w:t>
      </w:r>
    </w:p>
    <w:p w14:paraId="7567BD3D" w14:textId="1A0133A6" w:rsidR="001E5603" w:rsidRDefault="001E5603" w:rsidP="001E5603">
      <w:proofErr w:type="spellStart"/>
      <w:r>
        <w:t>Reupert</w:t>
      </w:r>
      <w:proofErr w:type="spellEnd"/>
      <w:r>
        <w:t xml:space="preserve">, A., &amp; </w:t>
      </w:r>
      <w:proofErr w:type="spellStart"/>
      <w:r>
        <w:t>Maybery</w:t>
      </w:r>
      <w:proofErr w:type="spellEnd"/>
      <w:r>
        <w:t xml:space="preserve">, D. (2016). Families affected by parental mental illness. </w:t>
      </w:r>
    </w:p>
    <w:p w14:paraId="7F63E99A" w14:textId="24E16371" w:rsidR="001E5603" w:rsidRDefault="001E5603" w:rsidP="001E5603">
      <w:r>
        <w:t xml:space="preserve">Social Care Institute for Excellence (SCIE). (2020). Think Family: Improving Support for Families. </w:t>
      </w:r>
    </w:p>
    <w:p w14:paraId="732C467F" w14:textId="11B46B93" w:rsidR="001E5603" w:rsidRDefault="001E5603" w:rsidP="001E5603">
      <w:r>
        <w:t xml:space="preserve">UK Government. (1989). Children Act 1989. </w:t>
      </w:r>
    </w:p>
    <w:p w14:paraId="0EB11588" w14:textId="046E015D" w:rsidR="001E5603" w:rsidRDefault="001E5603" w:rsidP="001E5603">
      <w:r>
        <w:t xml:space="preserve">UK Government. (2004). Children Act 2004. </w:t>
      </w:r>
    </w:p>
    <w:p w14:paraId="3A93B103" w14:textId="77777777" w:rsidR="001E5603" w:rsidRDefault="001E5603">
      <w:r>
        <w:t>UK Government. (2014). Care Act 2014.</w:t>
      </w:r>
    </w:p>
    <w:sectPr w:rsidR="001E560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grammar="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5603"/>
    <w:rsid w:val="0018378B"/>
    <w:rsid w:val="001E5603"/>
    <w:rsid w:val="00276ED5"/>
    <w:rsid w:val="005E73CA"/>
    <w:rsid w:val="008F4CB5"/>
    <w:rsid w:val="00927BCC"/>
    <w:rsid w:val="00B61E83"/>
    <w:rsid w:val="00BD17D0"/>
    <w:rsid w:val="00DB38CA"/>
    <w:rsid w:val="00FD6D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BE78A50"/>
  <w15:chartTrackingRefBased/>
  <w15:docId w15:val="{4C6F69E3-72DA-8E43-9DCE-E61968859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E560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E560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E560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E560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E560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E560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E560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E560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E560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560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E560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E560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E560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E560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E560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E560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E560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E5603"/>
    <w:rPr>
      <w:rFonts w:eastAsiaTheme="majorEastAsia" w:cstheme="majorBidi"/>
      <w:color w:val="272727" w:themeColor="text1" w:themeTint="D8"/>
    </w:rPr>
  </w:style>
  <w:style w:type="paragraph" w:styleId="Title">
    <w:name w:val="Title"/>
    <w:basedOn w:val="Normal"/>
    <w:next w:val="Normal"/>
    <w:link w:val="TitleChar"/>
    <w:uiPriority w:val="10"/>
    <w:qFormat/>
    <w:rsid w:val="001E560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E560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E560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E560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E5603"/>
    <w:pPr>
      <w:spacing w:before="160"/>
      <w:jc w:val="center"/>
    </w:pPr>
    <w:rPr>
      <w:i/>
      <w:iCs/>
      <w:color w:val="404040" w:themeColor="text1" w:themeTint="BF"/>
    </w:rPr>
  </w:style>
  <w:style w:type="character" w:customStyle="1" w:styleId="QuoteChar">
    <w:name w:val="Quote Char"/>
    <w:basedOn w:val="DefaultParagraphFont"/>
    <w:link w:val="Quote"/>
    <w:uiPriority w:val="29"/>
    <w:rsid w:val="001E5603"/>
    <w:rPr>
      <w:i/>
      <w:iCs/>
      <w:color w:val="404040" w:themeColor="text1" w:themeTint="BF"/>
    </w:rPr>
  </w:style>
  <w:style w:type="paragraph" w:styleId="ListParagraph">
    <w:name w:val="List Paragraph"/>
    <w:basedOn w:val="Normal"/>
    <w:uiPriority w:val="34"/>
    <w:qFormat/>
    <w:rsid w:val="001E5603"/>
    <w:pPr>
      <w:ind w:left="720"/>
      <w:contextualSpacing/>
    </w:pPr>
  </w:style>
  <w:style w:type="character" w:styleId="IntenseEmphasis">
    <w:name w:val="Intense Emphasis"/>
    <w:basedOn w:val="DefaultParagraphFont"/>
    <w:uiPriority w:val="21"/>
    <w:qFormat/>
    <w:rsid w:val="001E5603"/>
    <w:rPr>
      <w:i/>
      <w:iCs/>
      <w:color w:val="0F4761" w:themeColor="accent1" w:themeShade="BF"/>
    </w:rPr>
  </w:style>
  <w:style w:type="paragraph" w:styleId="IntenseQuote">
    <w:name w:val="Intense Quote"/>
    <w:basedOn w:val="Normal"/>
    <w:next w:val="Normal"/>
    <w:link w:val="IntenseQuoteChar"/>
    <w:uiPriority w:val="30"/>
    <w:qFormat/>
    <w:rsid w:val="001E560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E5603"/>
    <w:rPr>
      <w:i/>
      <w:iCs/>
      <w:color w:val="0F4761" w:themeColor="accent1" w:themeShade="BF"/>
    </w:rPr>
  </w:style>
  <w:style w:type="character" w:styleId="IntenseReference">
    <w:name w:val="Intense Reference"/>
    <w:basedOn w:val="DefaultParagraphFont"/>
    <w:uiPriority w:val="32"/>
    <w:qFormat/>
    <w:rsid w:val="001E560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1765</Words>
  <Characters>10066</Characters>
  <Application>Microsoft Office Word</Application>
  <DocSecurity>0</DocSecurity>
  <Lines>83</Lines>
  <Paragraphs>23</Paragraphs>
  <ScaleCrop>false</ScaleCrop>
  <Company/>
  <LinksUpToDate>false</LinksUpToDate>
  <CharactersWithSpaces>11808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Doody (2407283)</dc:creator>
  <cp:keywords/>
  <dc:description/>
  <cp:lastModifiedBy>Sarah Doody (2407283)</cp:lastModifiedBy>
  <cp:revision>10</cp:revision>
  <dcterms:created xsi:type="dcterms:W3CDTF">2026-07-19T16:24:00Z</dcterms:created>
  <dcterms:modified xsi:type="dcterms:W3CDTF">2026-07-19T16:30:00Z</dcterms:modified>
</cp:coreProperties>
</file>