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00DA" w14:textId="77777777" w:rsidR="00F37D32" w:rsidRDefault="00000000">
      <w:pPr>
        <w:spacing w:after="275" w:line="259" w:lineRule="auto"/>
        <w:ind w:left="-1" w:firstLine="0"/>
        <w:jc w:val="left"/>
      </w:pPr>
      <w:r>
        <w:rPr>
          <w:noProof/>
        </w:rPr>
        <w:drawing>
          <wp:inline distT="0" distB="0" distL="0" distR="0" wp14:anchorId="66B8C9F1" wp14:editId="5A28042E">
            <wp:extent cx="4290060" cy="190500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4290060" cy="1905000"/>
                    </a:xfrm>
                    <a:prstGeom prst="rect">
                      <a:avLst/>
                    </a:prstGeom>
                  </pic:spPr>
                </pic:pic>
              </a:graphicData>
            </a:graphic>
          </wp:inline>
        </w:drawing>
      </w:r>
      <w:r>
        <w:t xml:space="preserve">  </w:t>
      </w:r>
    </w:p>
    <w:p w14:paraId="69DE6902" w14:textId="77777777" w:rsidR="00F37D32" w:rsidRDefault="00000000">
      <w:pPr>
        <w:spacing w:after="275" w:line="259" w:lineRule="auto"/>
        <w:ind w:left="0" w:firstLine="0"/>
        <w:jc w:val="left"/>
      </w:pPr>
      <w:r>
        <w:t xml:space="preserve">  </w:t>
      </w:r>
    </w:p>
    <w:p w14:paraId="146F6C50" w14:textId="77777777" w:rsidR="00F37D32" w:rsidRDefault="00000000">
      <w:pPr>
        <w:spacing w:after="275" w:line="259" w:lineRule="auto"/>
        <w:ind w:left="0" w:firstLine="0"/>
        <w:jc w:val="left"/>
      </w:pPr>
      <w:r>
        <w:t xml:space="preserve">  </w:t>
      </w:r>
    </w:p>
    <w:p w14:paraId="119AF2D6" w14:textId="77777777" w:rsidR="00F37D32" w:rsidRDefault="00000000">
      <w:pPr>
        <w:spacing w:after="270" w:line="259" w:lineRule="auto"/>
        <w:ind w:left="0" w:firstLine="0"/>
        <w:jc w:val="left"/>
      </w:pPr>
      <w:r>
        <w:t xml:space="preserve">  </w:t>
      </w:r>
    </w:p>
    <w:p w14:paraId="0062B0F2" w14:textId="77777777" w:rsidR="00F37D32" w:rsidRDefault="00000000">
      <w:pPr>
        <w:spacing w:after="507" w:line="259" w:lineRule="auto"/>
        <w:ind w:left="0" w:firstLine="0"/>
        <w:jc w:val="left"/>
      </w:pPr>
      <w:r>
        <w:t xml:space="preserve">  </w:t>
      </w:r>
    </w:p>
    <w:p w14:paraId="652AE60A" w14:textId="77777777" w:rsidR="00F37D32" w:rsidRDefault="00000000">
      <w:pPr>
        <w:spacing w:after="165" w:line="259" w:lineRule="auto"/>
        <w:ind w:left="0" w:firstLine="0"/>
        <w:jc w:val="left"/>
      </w:pPr>
      <w:r>
        <w:rPr>
          <w:b/>
          <w:sz w:val="48"/>
        </w:rPr>
        <w:t>Data Handling and Business Intelligence</w:t>
      </w:r>
      <w:r>
        <w:rPr>
          <w:sz w:val="48"/>
        </w:rPr>
        <w:t xml:space="preserve">  </w:t>
      </w:r>
    </w:p>
    <w:p w14:paraId="39C7FB54" w14:textId="77777777" w:rsidR="00F37D32" w:rsidRDefault="00000000">
      <w:pPr>
        <w:spacing w:after="275" w:line="259" w:lineRule="auto"/>
        <w:ind w:left="0" w:firstLine="0"/>
        <w:jc w:val="left"/>
      </w:pPr>
      <w:r>
        <w:t xml:space="preserve">  </w:t>
      </w:r>
    </w:p>
    <w:p w14:paraId="4801AABE" w14:textId="77777777" w:rsidR="00F37D32" w:rsidRDefault="00000000">
      <w:pPr>
        <w:spacing w:after="270" w:line="259" w:lineRule="auto"/>
        <w:ind w:left="0" w:firstLine="0"/>
        <w:jc w:val="left"/>
      </w:pPr>
      <w:r>
        <w:t xml:space="preserve">  </w:t>
      </w:r>
    </w:p>
    <w:p w14:paraId="03002414" w14:textId="77777777" w:rsidR="00F37D32" w:rsidRDefault="00000000">
      <w:pPr>
        <w:spacing w:after="275" w:line="259" w:lineRule="auto"/>
        <w:ind w:left="0" w:firstLine="0"/>
        <w:jc w:val="left"/>
      </w:pPr>
      <w:r>
        <w:t xml:space="preserve">  </w:t>
      </w:r>
    </w:p>
    <w:p w14:paraId="3774B9B4" w14:textId="77777777" w:rsidR="00F37D32" w:rsidRDefault="00000000">
      <w:pPr>
        <w:spacing w:after="277" w:line="259" w:lineRule="auto"/>
        <w:ind w:left="0" w:firstLine="0"/>
        <w:jc w:val="left"/>
      </w:pPr>
      <w:r>
        <w:t xml:space="preserve">  </w:t>
      </w:r>
    </w:p>
    <w:p w14:paraId="14050F34" w14:textId="65772696" w:rsidR="00F37D32" w:rsidRPr="00CA3E42" w:rsidRDefault="00000000">
      <w:pPr>
        <w:spacing w:after="276" w:line="259" w:lineRule="auto"/>
        <w:ind w:left="-5"/>
        <w:jc w:val="left"/>
        <w:rPr>
          <w:bCs/>
        </w:rPr>
      </w:pPr>
      <w:r>
        <w:rPr>
          <w:b/>
        </w:rPr>
        <w:t xml:space="preserve">Name &amp; Student ID: </w:t>
      </w:r>
      <w:r w:rsidR="00CA3E42">
        <w:rPr>
          <w:bCs/>
        </w:rPr>
        <w:t>Ala Uzun</w:t>
      </w:r>
    </w:p>
    <w:p w14:paraId="2124FC15" w14:textId="77777777" w:rsidR="00F37D32" w:rsidRDefault="00000000">
      <w:pPr>
        <w:spacing w:after="272" w:line="259" w:lineRule="auto"/>
        <w:ind w:left="-5" w:right="673"/>
      </w:pPr>
      <w:r>
        <w:rPr>
          <w:b/>
        </w:rPr>
        <w:t>Module:</w:t>
      </w:r>
      <w:r>
        <w:t xml:space="preserve"> Data Handling and Business Intelligence </w:t>
      </w:r>
    </w:p>
    <w:p w14:paraId="22E78254" w14:textId="77777777" w:rsidR="00F37D32" w:rsidRDefault="00000000">
      <w:pPr>
        <w:spacing w:after="276" w:line="259" w:lineRule="auto"/>
        <w:ind w:left="-5"/>
        <w:jc w:val="left"/>
      </w:pPr>
      <w:r>
        <w:rPr>
          <w:b/>
        </w:rPr>
        <w:t>Module Code:</w:t>
      </w:r>
      <w:r>
        <w:t xml:space="preserve"> LCBB5014 </w:t>
      </w:r>
    </w:p>
    <w:p w14:paraId="267F9C0C" w14:textId="594A0896" w:rsidR="00F37D32" w:rsidRDefault="00000000">
      <w:pPr>
        <w:spacing w:after="276" w:line="259" w:lineRule="auto"/>
        <w:ind w:left="-5"/>
        <w:jc w:val="left"/>
      </w:pPr>
      <w:r>
        <w:rPr>
          <w:b/>
        </w:rPr>
        <w:t>Lecturer:</w:t>
      </w:r>
      <w:r w:rsidR="00CA3E42" w:rsidRPr="00CA3E42">
        <w:t xml:space="preserve"> </w:t>
      </w:r>
      <w:r w:rsidR="007D5ADB" w:rsidRPr="007D5ADB">
        <w:t>Xavier Matieni</w:t>
      </w:r>
    </w:p>
    <w:p w14:paraId="08922F6F" w14:textId="77777777" w:rsidR="00F37D32" w:rsidRDefault="00000000">
      <w:pPr>
        <w:spacing w:after="309" w:line="259" w:lineRule="auto"/>
        <w:ind w:left="0" w:firstLine="0"/>
        <w:jc w:val="left"/>
      </w:pPr>
      <w:r>
        <w:t xml:space="preserve"> </w:t>
      </w:r>
    </w:p>
    <w:p w14:paraId="7D624FEC" w14:textId="77777777" w:rsidR="00CA3E42" w:rsidRDefault="00CA3E42">
      <w:pPr>
        <w:spacing w:after="309" w:line="259" w:lineRule="auto"/>
        <w:ind w:left="0" w:firstLine="0"/>
        <w:jc w:val="left"/>
      </w:pPr>
    </w:p>
    <w:p w14:paraId="21A35278" w14:textId="77777777" w:rsidR="00CA3E42" w:rsidRDefault="00CA3E42">
      <w:pPr>
        <w:spacing w:after="309" w:line="259" w:lineRule="auto"/>
        <w:ind w:left="0" w:firstLine="0"/>
        <w:jc w:val="left"/>
      </w:pPr>
    </w:p>
    <w:p w14:paraId="328C2451" w14:textId="77777777" w:rsidR="00CA3E42" w:rsidRDefault="00CA3E42">
      <w:pPr>
        <w:spacing w:after="309" w:line="259" w:lineRule="auto"/>
        <w:ind w:left="0" w:firstLine="0"/>
        <w:jc w:val="left"/>
      </w:pPr>
    </w:p>
    <w:p w14:paraId="6B327C34" w14:textId="5DFAD5CC" w:rsidR="00F37D32" w:rsidRDefault="00F37D32">
      <w:pPr>
        <w:spacing w:after="0" w:line="259" w:lineRule="auto"/>
        <w:ind w:left="0" w:firstLine="0"/>
        <w:jc w:val="left"/>
      </w:pPr>
    </w:p>
    <w:sdt>
      <w:sdtPr>
        <w:id w:val="1332953006"/>
        <w:docPartObj>
          <w:docPartGallery w:val="Table of Contents"/>
        </w:docPartObj>
      </w:sdtPr>
      <w:sdtContent>
        <w:p w14:paraId="0AD3D0A7" w14:textId="77777777" w:rsidR="00F37D32" w:rsidRDefault="00000000">
          <w:pPr>
            <w:spacing w:after="133" w:line="259" w:lineRule="auto"/>
            <w:ind w:left="0" w:firstLine="0"/>
            <w:jc w:val="left"/>
          </w:pPr>
          <w:r>
            <w:rPr>
              <w:b/>
              <w:sz w:val="32"/>
            </w:rPr>
            <w:t xml:space="preserve">Contents </w:t>
          </w:r>
        </w:p>
        <w:p w14:paraId="7AF85096" w14:textId="0A5BB90A" w:rsidR="00F37D32" w:rsidRDefault="00000000">
          <w:pPr>
            <w:pStyle w:val="TOC1"/>
            <w:tabs>
              <w:tab w:val="right" w:leader="dot" w:pos="9704"/>
            </w:tabs>
            <w:rPr>
              <w:noProof/>
            </w:rPr>
          </w:pPr>
          <w:r>
            <w:fldChar w:fldCharType="begin"/>
          </w:r>
          <w:r>
            <w:instrText xml:space="preserve"> TOC \o "1-4" \h \z \u </w:instrText>
          </w:r>
          <w:r>
            <w:fldChar w:fldCharType="separate"/>
          </w:r>
          <w:hyperlink w:anchor="_Toc12534">
            <w:r w:rsidR="00F37D32">
              <w:rPr>
                <w:noProof/>
              </w:rPr>
              <w:t>1. Introduction</w:t>
            </w:r>
            <w:r w:rsidR="00F37D32">
              <w:rPr>
                <w:noProof/>
              </w:rPr>
              <w:tab/>
            </w:r>
            <w:r w:rsidR="00F37D32">
              <w:rPr>
                <w:noProof/>
              </w:rPr>
              <w:fldChar w:fldCharType="begin"/>
            </w:r>
            <w:r w:rsidR="00F37D32">
              <w:rPr>
                <w:noProof/>
              </w:rPr>
              <w:instrText>PAGEREF _Toc12534 \h</w:instrText>
            </w:r>
            <w:r w:rsidR="00F37D32">
              <w:rPr>
                <w:noProof/>
              </w:rPr>
            </w:r>
            <w:r w:rsidR="00F37D32">
              <w:rPr>
                <w:noProof/>
              </w:rPr>
              <w:fldChar w:fldCharType="separate"/>
            </w:r>
            <w:r w:rsidR="00F37D32">
              <w:rPr>
                <w:noProof/>
              </w:rPr>
              <w:t>4</w:t>
            </w:r>
            <w:r w:rsidR="00F37D32">
              <w:rPr>
                <w:noProof/>
              </w:rPr>
              <w:fldChar w:fldCharType="end"/>
            </w:r>
          </w:hyperlink>
        </w:p>
        <w:p w14:paraId="233873FE" w14:textId="4D34B24E" w:rsidR="00F37D32" w:rsidRDefault="00F37D32">
          <w:pPr>
            <w:pStyle w:val="TOC1"/>
            <w:tabs>
              <w:tab w:val="right" w:leader="dot" w:pos="9704"/>
            </w:tabs>
            <w:rPr>
              <w:noProof/>
            </w:rPr>
          </w:pPr>
          <w:hyperlink w:anchor="_Toc12535">
            <w:r>
              <w:rPr>
                <w:noProof/>
              </w:rPr>
              <w:t>2. Data Cleaning and Preparation</w:t>
            </w:r>
            <w:r>
              <w:rPr>
                <w:noProof/>
              </w:rPr>
              <w:tab/>
            </w:r>
            <w:r>
              <w:rPr>
                <w:noProof/>
              </w:rPr>
              <w:fldChar w:fldCharType="begin"/>
            </w:r>
            <w:r>
              <w:rPr>
                <w:noProof/>
              </w:rPr>
              <w:instrText>PAGEREF _Toc12535 \h</w:instrText>
            </w:r>
            <w:r>
              <w:rPr>
                <w:noProof/>
              </w:rPr>
            </w:r>
            <w:r>
              <w:rPr>
                <w:noProof/>
              </w:rPr>
              <w:fldChar w:fldCharType="separate"/>
            </w:r>
            <w:r>
              <w:rPr>
                <w:noProof/>
              </w:rPr>
              <w:t>5</w:t>
            </w:r>
            <w:r>
              <w:rPr>
                <w:noProof/>
              </w:rPr>
              <w:fldChar w:fldCharType="end"/>
            </w:r>
          </w:hyperlink>
        </w:p>
        <w:p w14:paraId="47C6A786" w14:textId="35D0FB78" w:rsidR="00F37D32" w:rsidRDefault="00F37D32">
          <w:pPr>
            <w:pStyle w:val="TOC4"/>
            <w:tabs>
              <w:tab w:val="right" w:leader="dot" w:pos="9704"/>
            </w:tabs>
            <w:rPr>
              <w:noProof/>
            </w:rPr>
          </w:pPr>
          <w:hyperlink w:anchor="_Toc12536">
            <w:r>
              <w:rPr>
                <w:noProof/>
              </w:rPr>
              <w:t>Figure 1: Duplicate film records identified and removed in Excel</w:t>
            </w:r>
            <w:r>
              <w:rPr>
                <w:noProof/>
              </w:rPr>
              <w:tab/>
            </w:r>
            <w:r>
              <w:rPr>
                <w:noProof/>
              </w:rPr>
              <w:fldChar w:fldCharType="begin"/>
            </w:r>
            <w:r>
              <w:rPr>
                <w:noProof/>
              </w:rPr>
              <w:instrText>PAGEREF _Toc12536 \h</w:instrText>
            </w:r>
            <w:r>
              <w:rPr>
                <w:noProof/>
              </w:rPr>
            </w:r>
            <w:r>
              <w:rPr>
                <w:noProof/>
              </w:rPr>
              <w:fldChar w:fldCharType="separate"/>
            </w:r>
            <w:r>
              <w:rPr>
                <w:noProof/>
              </w:rPr>
              <w:t>5</w:t>
            </w:r>
            <w:r>
              <w:rPr>
                <w:noProof/>
              </w:rPr>
              <w:fldChar w:fldCharType="end"/>
            </w:r>
          </w:hyperlink>
        </w:p>
        <w:p w14:paraId="2B1587C3" w14:textId="0C5D9439" w:rsidR="00F37D32" w:rsidRDefault="00F37D32">
          <w:pPr>
            <w:pStyle w:val="TOC1"/>
            <w:tabs>
              <w:tab w:val="right" w:leader="dot" w:pos="9704"/>
            </w:tabs>
            <w:rPr>
              <w:noProof/>
            </w:rPr>
          </w:pPr>
          <w:hyperlink w:anchor="_Toc12537">
            <w:r>
              <w:rPr>
                <w:noProof/>
              </w:rPr>
              <w:t>3. Descriptive Statistics and Summary</w:t>
            </w:r>
            <w:r>
              <w:rPr>
                <w:noProof/>
              </w:rPr>
              <w:tab/>
            </w:r>
            <w:r>
              <w:rPr>
                <w:noProof/>
              </w:rPr>
              <w:fldChar w:fldCharType="begin"/>
            </w:r>
            <w:r>
              <w:rPr>
                <w:noProof/>
              </w:rPr>
              <w:instrText>PAGEREF _Toc12537 \h</w:instrText>
            </w:r>
            <w:r>
              <w:rPr>
                <w:noProof/>
              </w:rPr>
            </w:r>
            <w:r>
              <w:rPr>
                <w:noProof/>
              </w:rPr>
              <w:fldChar w:fldCharType="separate"/>
            </w:r>
            <w:r>
              <w:rPr>
                <w:noProof/>
              </w:rPr>
              <w:t>6</w:t>
            </w:r>
            <w:r>
              <w:rPr>
                <w:noProof/>
              </w:rPr>
              <w:fldChar w:fldCharType="end"/>
            </w:r>
          </w:hyperlink>
        </w:p>
        <w:p w14:paraId="740613A3" w14:textId="730CFAC1" w:rsidR="00F37D32" w:rsidRDefault="00F37D32">
          <w:pPr>
            <w:pStyle w:val="TOC4"/>
            <w:tabs>
              <w:tab w:val="right" w:leader="dot" w:pos="9704"/>
            </w:tabs>
            <w:rPr>
              <w:noProof/>
            </w:rPr>
          </w:pPr>
          <w:hyperlink w:anchor="_Toc12538">
            <w:r>
              <w:rPr>
                <w:noProof/>
              </w:rPr>
              <w:t>Figure 2: Descriptive statistics for key numerical variables</w:t>
            </w:r>
            <w:r>
              <w:rPr>
                <w:noProof/>
              </w:rPr>
              <w:tab/>
            </w:r>
            <w:r>
              <w:rPr>
                <w:noProof/>
              </w:rPr>
              <w:fldChar w:fldCharType="begin"/>
            </w:r>
            <w:r>
              <w:rPr>
                <w:noProof/>
              </w:rPr>
              <w:instrText>PAGEREF _Toc12538 \h</w:instrText>
            </w:r>
            <w:r>
              <w:rPr>
                <w:noProof/>
              </w:rPr>
            </w:r>
            <w:r>
              <w:rPr>
                <w:noProof/>
              </w:rPr>
              <w:fldChar w:fldCharType="separate"/>
            </w:r>
            <w:r>
              <w:rPr>
                <w:noProof/>
              </w:rPr>
              <w:t>7</w:t>
            </w:r>
            <w:r>
              <w:rPr>
                <w:noProof/>
              </w:rPr>
              <w:fldChar w:fldCharType="end"/>
            </w:r>
          </w:hyperlink>
        </w:p>
        <w:p w14:paraId="282C3F37" w14:textId="0881BD5F" w:rsidR="00F37D32" w:rsidRDefault="00F37D32">
          <w:pPr>
            <w:pStyle w:val="TOC4"/>
            <w:tabs>
              <w:tab w:val="right" w:leader="dot" w:pos="9704"/>
            </w:tabs>
            <w:rPr>
              <w:noProof/>
            </w:rPr>
          </w:pPr>
          <w:hyperlink w:anchor="_Toc12539">
            <w:r>
              <w:rPr>
                <w:noProof/>
              </w:rPr>
              <w:t>Figure 3: Average film ratings by language group</w:t>
            </w:r>
            <w:r>
              <w:rPr>
                <w:noProof/>
              </w:rPr>
              <w:tab/>
            </w:r>
            <w:r>
              <w:rPr>
                <w:noProof/>
              </w:rPr>
              <w:fldChar w:fldCharType="begin"/>
            </w:r>
            <w:r>
              <w:rPr>
                <w:noProof/>
              </w:rPr>
              <w:instrText>PAGEREF _Toc12539 \h</w:instrText>
            </w:r>
            <w:r>
              <w:rPr>
                <w:noProof/>
              </w:rPr>
            </w:r>
            <w:r>
              <w:rPr>
                <w:noProof/>
              </w:rPr>
              <w:fldChar w:fldCharType="separate"/>
            </w:r>
            <w:r>
              <w:rPr>
                <w:noProof/>
              </w:rPr>
              <w:t>8</w:t>
            </w:r>
            <w:r>
              <w:rPr>
                <w:noProof/>
              </w:rPr>
              <w:fldChar w:fldCharType="end"/>
            </w:r>
          </w:hyperlink>
        </w:p>
        <w:p w14:paraId="4481E324" w14:textId="34AABE13" w:rsidR="00F37D32" w:rsidRDefault="00F37D32">
          <w:pPr>
            <w:pStyle w:val="TOC1"/>
            <w:tabs>
              <w:tab w:val="right" w:leader="dot" w:pos="9704"/>
            </w:tabs>
            <w:rPr>
              <w:noProof/>
            </w:rPr>
          </w:pPr>
          <w:hyperlink w:anchor="_Toc12540">
            <w:r>
              <w:rPr>
                <w:noProof/>
              </w:rPr>
              <w:t>4. Trend Analysis and Visualisation</w:t>
            </w:r>
            <w:r>
              <w:rPr>
                <w:noProof/>
              </w:rPr>
              <w:tab/>
            </w:r>
            <w:r>
              <w:rPr>
                <w:noProof/>
              </w:rPr>
              <w:fldChar w:fldCharType="begin"/>
            </w:r>
            <w:r>
              <w:rPr>
                <w:noProof/>
              </w:rPr>
              <w:instrText>PAGEREF _Toc12540 \h</w:instrText>
            </w:r>
            <w:r>
              <w:rPr>
                <w:noProof/>
              </w:rPr>
            </w:r>
            <w:r>
              <w:rPr>
                <w:noProof/>
              </w:rPr>
              <w:fldChar w:fldCharType="separate"/>
            </w:r>
            <w:r>
              <w:rPr>
                <w:noProof/>
              </w:rPr>
              <w:t>8</w:t>
            </w:r>
            <w:r>
              <w:rPr>
                <w:noProof/>
              </w:rPr>
              <w:fldChar w:fldCharType="end"/>
            </w:r>
          </w:hyperlink>
        </w:p>
        <w:p w14:paraId="45F3C4D4" w14:textId="60E6296E" w:rsidR="00F37D32" w:rsidRDefault="00F37D32">
          <w:pPr>
            <w:pStyle w:val="TOC4"/>
            <w:tabs>
              <w:tab w:val="right" w:leader="dot" w:pos="9704"/>
            </w:tabs>
            <w:rPr>
              <w:noProof/>
            </w:rPr>
          </w:pPr>
          <w:hyperlink w:anchor="_Toc12541">
            <w:r>
              <w:rPr>
                <w:noProof/>
              </w:rPr>
              <w:t>Figure 4: Average engagement metrics by language group</w:t>
            </w:r>
            <w:r>
              <w:rPr>
                <w:noProof/>
              </w:rPr>
              <w:tab/>
            </w:r>
            <w:r>
              <w:rPr>
                <w:noProof/>
              </w:rPr>
              <w:fldChar w:fldCharType="begin"/>
            </w:r>
            <w:r>
              <w:rPr>
                <w:noProof/>
              </w:rPr>
              <w:instrText>PAGEREF _Toc12541 \h</w:instrText>
            </w:r>
            <w:r>
              <w:rPr>
                <w:noProof/>
              </w:rPr>
            </w:r>
            <w:r>
              <w:rPr>
                <w:noProof/>
              </w:rPr>
              <w:fldChar w:fldCharType="separate"/>
            </w:r>
            <w:r>
              <w:rPr>
                <w:noProof/>
              </w:rPr>
              <w:t>9</w:t>
            </w:r>
            <w:r>
              <w:rPr>
                <w:noProof/>
              </w:rPr>
              <w:fldChar w:fldCharType="end"/>
            </w:r>
          </w:hyperlink>
        </w:p>
        <w:p w14:paraId="33D2D04F" w14:textId="76C16034" w:rsidR="00F37D32" w:rsidRDefault="00F37D32">
          <w:pPr>
            <w:pStyle w:val="TOC1"/>
            <w:tabs>
              <w:tab w:val="right" w:leader="dot" w:pos="9704"/>
            </w:tabs>
            <w:rPr>
              <w:noProof/>
            </w:rPr>
          </w:pPr>
          <w:hyperlink w:anchor="_Toc12542">
            <w:r>
              <w:rPr>
                <w:noProof/>
              </w:rPr>
              <w:t>5. Inferential Statistical Analysis (SPSS)</w:t>
            </w:r>
            <w:r>
              <w:rPr>
                <w:noProof/>
              </w:rPr>
              <w:tab/>
            </w:r>
            <w:r>
              <w:rPr>
                <w:noProof/>
              </w:rPr>
              <w:fldChar w:fldCharType="begin"/>
            </w:r>
            <w:r>
              <w:rPr>
                <w:noProof/>
              </w:rPr>
              <w:instrText>PAGEREF _Toc12542 \h</w:instrText>
            </w:r>
            <w:r>
              <w:rPr>
                <w:noProof/>
              </w:rPr>
            </w:r>
            <w:r>
              <w:rPr>
                <w:noProof/>
              </w:rPr>
              <w:fldChar w:fldCharType="separate"/>
            </w:r>
            <w:r>
              <w:rPr>
                <w:noProof/>
              </w:rPr>
              <w:t>10</w:t>
            </w:r>
            <w:r>
              <w:rPr>
                <w:noProof/>
              </w:rPr>
              <w:fldChar w:fldCharType="end"/>
            </w:r>
          </w:hyperlink>
        </w:p>
        <w:p w14:paraId="398E31A1" w14:textId="32DC6F25" w:rsidR="00F37D32" w:rsidRDefault="00F37D32">
          <w:pPr>
            <w:pStyle w:val="TOC4"/>
            <w:tabs>
              <w:tab w:val="right" w:leader="dot" w:pos="9704"/>
            </w:tabs>
            <w:rPr>
              <w:noProof/>
            </w:rPr>
          </w:pPr>
          <w:hyperlink w:anchor="_Toc12543">
            <w:r>
              <w:rPr>
                <w:noProof/>
              </w:rPr>
              <w:t>Figure 5: Independent samples t-test comparing average ratings by language group</w:t>
            </w:r>
            <w:r>
              <w:rPr>
                <w:noProof/>
              </w:rPr>
              <w:tab/>
            </w:r>
            <w:r>
              <w:rPr>
                <w:noProof/>
              </w:rPr>
              <w:fldChar w:fldCharType="begin"/>
            </w:r>
            <w:r>
              <w:rPr>
                <w:noProof/>
              </w:rPr>
              <w:instrText>PAGEREF _Toc12543 \h</w:instrText>
            </w:r>
            <w:r>
              <w:rPr>
                <w:noProof/>
              </w:rPr>
            </w:r>
            <w:r>
              <w:rPr>
                <w:noProof/>
              </w:rPr>
              <w:fldChar w:fldCharType="separate"/>
            </w:r>
            <w:r>
              <w:rPr>
                <w:noProof/>
              </w:rPr>
              <w:t>11</w:t>
            </w:r>
            <w:r>
              <w:rPr>
                <w:noProof/>
              </w:rPr>
              <w:fldChar w:fldCharType="end"/>
            </w:r>
          </w:hyperlink>
        </w:p>
        <w:p w14:paraId="1F12B98B" w14:textId="57E0EFBC" w:rsidR="00F37D32" w:rsidRDefault="00F37D32">
          <w:pPr>
            <w:pStyle w:val="TOC4"/>
            <w:tabs>
              <w:tab w:val="right" w:leader="dot" w:pos="9704"/>
            </w:tabs>
            <w:rPr>
              <w:noProof/>
            </w:rPr>
          </w:pPr>
          <w:hyperlink w:anchor="_Toc12544">
            <w:r>
              <w:rPr>
                <w:noProof/>
              </w:rPr>
              <w:t>Figure 6: Correlation matrix for ratings and engagement metrics</w:t>
            </w:r>
            <w:r>
              <w:rPr>
                <w:noProof/>
              </w:rPr>
              <w:tab/>
            </w:r>
            <w:r>
              <w:rPr>
                <w:noProof/>
              </w:rPr>
              <w:fldChar w:fldCharType="begin"/>
            </w:r>
            <w:r>
              <w:rPr>
                <w:noProof/>
              </w:rPr>
              <w:instrText>PAGEREF _Toc12544 \h</w:instrText>
            </w:r>
            <w:r>
              <w:rPr>
                <w:noProof/>
              </w:rPr>
            </w:r>
            <w:r>
              <w:rPr>
                <w:noProof/>
              </w:rPr>
              <w:fldChar w:fldCharType="separate"/>
            </w:r>
            <w:r>
              <w:rPr>
                <w:noProof/>
              </w:rPr>
              <w:t>12</w:t>
            </w:r>
            <w:r>
              <w:rPr>
                <w:noProof/>
              </w:rPr>
              <w:fldChar w:fldCharType="end"/>
            </w:r>
          </w:hyperlink>
        </w:p>
        <w:p w14:paraId="2C64CAFC" w14:textId="5D65F363" w:rsidR="00F37D32" w:rsidRDefault="00F37D32">
          <w:pPr>
            <w:pStyle w:val="TOC4"/>
            <w:tabs>
              <w:tab w:val="right" w:leader="dot" w:pos="9704"/>
            </w:tabs>
            <w:rPr>
              <w:noProof/>
            </w:rPr>
          </w:pPr>
          <w:hyperlink w:anchor="_Toc12545">
            <w:r>
              <w:rPr>
                <w:noProof/>
              </w:rPr>
              <w:t>Figure 7: Multiple regression model predicting average film ratings</w:t>
            </w:r>
            <w:r>
              <w:rPr>
                <w:noProof/>
              </w:rPr>
              <w:tab/>
            </w:r>
            <w:r>
              <w:rPr>
                <w:noProof/>
              </w:rPr>
              <w:fldChar w:fldCharType="begin"/>
            </w:r>
            <w:r>
              <w:rPr>
                <w:noProof/>
              </w:rPr>
              <w:instrText>PAGEREF _Toc12545 \h</w:instrText>
            </w:r>
            <w:r>
              <w:rPr>
                <w:noProof/>
              </w:rPr>
            </w:r>
            <w:r>
              <w:rPr>
                <w:noProof/>
              </w:rPr>
              <w:fldChar w:fldCharType="separate"/>
            </w:r>
            <w:r>
              <w:rPr>
                <w:noProof/>
              </w:rPr>
              <w:t>13</w:t>
            </w:r>
            <w:r>
              <w:rPr>
                <w:noProof/>
              </w:rPr>
              <w:fldChar w:fldCharType="end"/>
            </w:r>
          </w:hyperlink>
        </w:p>
        <w:p w14:paraId="31CBF5F2" w14:textId="075AB329" w:rsidR="00F37D32" w:rsidRDefault="00F37D32">
          <w:pPr>
            <w:pStyle w:val="TOC1"/>
            <w:tabs>
              <w:tab w:val="right" w:leader="dot" w:pos="9704"/>
            </w:tabs>
            <w:rPr>
              <w:noProof/>
            </w:rPr>
          </w:pPr>
          <w:hyperlink w:anchor="_Toc12546">
            <w:r>
              <w:rPr>
                <w:noProof/>
              </w:rPr>
              <w:t>6. Insights, Implications, and Recommendations</w:t>
            </w:r>
            <w:r>
              <w:rPr>
                <w:noProof/>
              </w:rPr>
              <w:tab/>
            </w:r>
            <w:r>
              <w:rPr>
                <w:noProof/>
              </w:rPr>
              <w:fldChar w:fldCharType="begin"/>
            </w:r>
            <w:r>
              <w:rPr>
                <w:noProof/>
              </w:rPr>
              <w:instrText>PAGEREF _Toc12546 \h</w:instrText>
            </w:r>
            <w:r>
              <w:rPr>
                <w:noProof/>
              </w:rPr>
            </w:r>
            <w:r>
              <w:rPr>
                <w:noProof/>
              </w:rPr>
              <w:fldChar w:fldCharType="separate"/>
            </w:r>
            <w:r>
              <w:rPr>
                <w:noProof/>
              </w:rPr>
              <w:t>14</w:t>
            </w:r>
            <w:r>
              <w:rPr>
                <w:noProof/>
              </w:rPr>
              <w:fldChar w:fldCharType="end"/>
            </w:r>
          </w:hyperlink>
        </w:p>
        <w:p w14:paraId="78A71AEE" w14:textId="080DB5AD" w:rsidR="00F37D32" w:rsidRDefault="00F37D32">
          <w:pPr>
            <w:pStyle w:val="TOC1"/>
            <w:tabs>
              <w:tab w:val="right" w:leader="dot" w:pos="9704"/>
            </w:tabs>
            <w:rPr>
              <w:noProof/>
            </w:rPr>
          </w:pPr>
          <w:hyperlink w:anchor="_Toc12547">
            <w:r>
              <w:rPr>
                <w:noProof/>
              </w:rPr>
              <w:t>8. Conclusion</w:t>
            </w:r>
            <w:r>
              <w:rPr>
                <w:noProof/>
              </w:rPr>
              <w:tab/>
            </w:r>
            <w:r>
              <w:rPr>
                <w:noProof/>
              </w:rPr>
              <w:fldChar w:fldCharType="begin"/>
            </w:r>
            <w:r>
              <w:rPr>
                <w:noProof/>
              </w:rPr>
              <w:instrText>PAGEREF _Toc12547 \h</w:instrText>
            </w:r>
            <w:r>
              <w:rPr>
                <w:noProof/>
              </w:rPr>
            </w:r>
            <w:r>
              <w:rPr>
                <w:noProof/>
              </w:rPr>
              <w:fldChar w:fldCharType="separate"/>
            </w:r>
            <w:r>
              <w:rPr>
                <w:noProof/>
              </w:rPr>
              <w:t>15</w:t>
            </w:r>
            <w:r>
              <w:rPr>
                <w:noProof/>
              </w:rPr>
              <w:fldChar w:fldCharType="end"/>
            </w:r>
          </w:hyperlink>
        </w:p>
        <w:p w14:paraId="3DC10A62" w14:textId="51349AA0" w:rsidR="00F37D32" w:rsidRDefault="00F37D32">
          <w:pPr>
            <w:pStyle w:val="TOC1"/>
            <w:tabs>
              <w:tab w:val="right" w:leader="dot" w:pos="9704"/>
            </w:tabs>
            <w:rPr>
              <w:noProof/>
            </w:rPr>
          </w:pPr>
          <w:hyperlink w:anchor="_Toc12548">
            <w:r>
              <w:rPr>
                <w:noProof/>
              </w:rPr>
              <w:t>9. Reference List</w:t>
            </w:r>
            <w:r>
              <w:rPr>
                <w:noProof/>
              </w:rPr>
              <w:tab/>
            </w:r>
            <w:r>
              <w:rPr>
                <w:noProof/>
              </w:rPr>
              <w:fldChar w:fldCharType="begin"/>
            </w:r>
            <w:r>
              <w:rPr>
                <w:noProof/>
              </w:rPr>
              <w:instrText>PAGEREF _Toc12548 \h</w:instrText>
            </w:r>
            <w:r>
              <w:rPr>
                <w:noProof/>
              </w:rPr>
            </w:r>
            <w:r>
              <w:rPr>
                <w:noProof/>
              </w:rPr>
              <w:fldChar w:fldCharType="separate"/>
            </w:r>
            <w:r>
              <w:rPr>
                <w:noProof/>
              </w:rPr>
              <w:t>17</w:t>
            </w:r>
            <w:r>
              <w:rPr>
                <w:noProof/>
              </w:rPr>
              <w:fldChar w:fldCharType="end"/>
            </w:r>
          </w:hyperlink>
        </w:p>
        <w:p w14:paraId="31B81710" w14:textId="188B2023" w:rsidR="00F37D32" w:rsidRDefault="00F37D32">
          <w:pPr>
            <w:pStyle w:val="TOC1"/>
            <w:tabs>
              <w:tab w:val="right" w:leader="dot" w:pos="9704"/>
            </w:tabs>
            <w:rPr>
              <w:noProof/>
            </w:rPr>
          </w:pPr>
          <w:hyperlink w:anchor="_Toc12549">
            <w:r>
              <w:rPr>
                <w:noProof/>
              </w:rPr>
              <w:t>10. Appendix</w:t>
            </w:r>
            <w:r>
              <w:rPr>
                <w:noProof/>
              </w:rPr>
              <w:tab/>
            </w:r>
            <w:r>
              <w:rPr>
                <w:noProof/>
              </w:rPr>
              <w:fldChar w:fldCharType="begin"/>
            </w:r>
            <w:r>
              <w:rPr>
                <w:noProof/>
              </w:rPr>
              <w:instrText>PAGEREF _Toc12549 \h</w:instrText>
            </w:r>
            <w:r>
              <w:rPr>
                <w:noProof/>
              </w:rPr>
            </w:r>
            <w:r>
              <w:rPr>
                <w:noProof/>
              </w:rPr>
              <w:fldChar w:fldCharType="separate"/>
            </w:r>
            <w:r>
              <w:rPr>
                <w:noProof/>
              </w:rPr>
              <w:t>18</w:t>
            </w:r>
            <w:r>
              <w:rPr>
                <w:noProof/>
              </w:rPr>
              <w:fldChar w:fldCharType="end"/>
            </w:r>
          </w:hyperlink>
        </w:p>
        <w:p w14:paraId="7E5982E5" w14:textId="73E627A0" w:rsidR="00F37D32" w:rsidRDefault="00F37D32">
          <w:pPr>
            <w:pStyle w:val="TOC3"/>
            <w:tabs>
              <w:tab w:val="right" w:leader="dot" w:pos="9704"/>
            </w:tabs>
            <w:rPr>
              <w:noProof/>
            </w:rPr>
          </w:pPr>
          <w:hyperlink w:anchor="_Toc12550">
            <w:r>
              <w:rPr>
                <w:noProof/>
              </w:rPr>
              <w:t>10.1 Appendix A: Data Cleaning and Preparation (Excel)</w:t>
            </w:r>
            <w:r>
              <w:rPr>
                <w:noProof/>
              </w:rPr>
              <w:tab/>
            </w:r>
            <w:r>
              <w:rPr>
                <w:noProof/>
              </w:rPr>
              <w:fldChar w:fldCharType="begin"/>
            </w:r>
            <w:r>
              <w:rPr>
                <w:noProof/>
              </w:rPr>
              <w:instrText>PAGEREF _Toc12550 \h</w:instrText>
            </w:r>
            <w:r>
              <w:rPr>
                <w:noProof/>
              </w:rPr>
            </w:r>
            <w:r>
              <w:rPr>
                <w:noProof/>
              </w:rPr>
              <w:fldChar w:fldCharType="separate"/>
            </w:r>
            <w:r>
              <w:rPr>
                <w:noProof/>
              </w:rPr>
              <w:t>18</w:t>
            </w:r>
            <w:r>
              <w:rPr>
                <w:noProof/>
              </w:rPr>
              <w:fldChar w:fldCharType="end"/>
            </w:r>
          </w:hyperlink>
        </w:p>
        <w:p w14:paraId="4AFF9356" w14:textId="76CDC893" w:rsidR="00F37D32" w:rsidRDefault="00C70EA1">
          <w:pPr>
            <w:pStyle w:val="TOC4"/>
            <w:tabs>
              <w:tab w:val="right" w:leader="dot" w:pos="9704"/>
            </w:tabs>
            <w:rPr>
              <w:noProof/>
            </w:rPr>
          </w:pPr>
          <w:hyperlink w:anchor="_Toc12551">
            <w:r>
              <w:rPr>
                <w:noProof/>
              </w:rPr>
              <w:t>Figure A1: Initial Letterboxd dataset before cleaning</w:t>
            </w:r>
            <w:r>
              <w:rPr>
                <w:noProof/>
              </w:rPr>
              <w:tab/>
              <w:t xml:space="preserve">18 </w:t>
            </w:r>
          </w:hyperlink>
        </w:p>
        <w:p w14:paraId="49C425BB" w14:textId="68B2EDAF" w:rsidR="00F37D32" w:rsidRDefault="00F37D32">
          <w:pPr>
            <w:pStyle w:val="TOC4"/>
            <w:tabs>
              <w:tab w:val="right" w:leader="dot" w:pos="9704"/>
            </w:tabs>
            <w:rPr>
              <w:noProof/>
            </w:rPr>
          </w:pPr>
          <w:hyperlink w:anchor="_Toc12552">
            <w:r>
              <w:rPr>
                <w:noProof/>
              </w:rPr>
              <w:t>Figure A2: Identification and removal of duplicate film records</w:t>
            </w:r>
            <w:r>
              <w:rPr>
                <w:noProof/>
              </w:rPr>
              <w:tab/>
            </w:r>
            <w:r>
              <w:rPr>
                <w:noProof/>
              </w:rPr>
              <w:fldChar w:fldCharType="begin"/>
            </w:r>
            <w:r>
              <w:rPr>
                <w:noProof/>
              </w:rPr>
              <w:instrText>PAGEREF _Toc12552 \h</w:instrText>
            </w:r>
            <w:r>
              <w:rPr>
                <w:noProof/>
              </w:rPr>
            </w:r>
            <w:r>
              <w:rPr>
                <w:noProof/>
              </w:rPr>
              <w:fldChar w:fldCharType="separate"/>
            </w:r>
            <w:r>
              <w:rPr>
                <w:noProof/>
              </w:rPr>
              <w:t>19</w:t>
            </w:r>
            <w:r>
              <w:rPr>
                <w:noProof/>
              </w:rPr>
              <w:fldChar w:fldCharType="end"/>
            </w:r>
          </w:hyperlink>
        </w:p>
        <w:p w14:paraId="04E84876" w14:textId="0BD2E26E" w:rsidR="00F37D32" w:rsidRDefault="00F37D32">
          <w:pPr>
            <w:pStyle w:val="TOC4"/>
            <w:tabs>
              <w:tab w:val="right" w:leader="dot" w:pos="9704"/>
            </w:tabs>
            <w:rPr>
              <w:noProof/>
            </w:rPr>
          </w:pPr>
          <w:hyperlink w:anchor="_Toc12553">
            <w:r>
              <w:rPr>
                <w:noProof/>
              </w:rPr>
              <w:t>Figure A3: Verification of missing values across key numerical variables</w:t>
            </w:r>
            <w:r>
              <w:rPr>
                <w:noProof/>
              </w:rPr>
              <w:tab/>
            </w:r>
            <w:r>
              <w:rPr>
                <w:noProof/>
              </w:rPr>
              <w:fldChar w:fldCharType="begin"/>
            </w:r>
            <w:r>
              <w:rPr>
                <w:noProof/>
              </w:rPr>
              <w:instrText>PAGEREF _Toc12553 \h</w:instrText>
            </w:r>
            <w:r>
              <w:rPr>
                <w:noProof/>
              </w:rPr>
            </w:r>
            <w:r>
              <w:rPr>
                <w:noProof/>
              </w:rPr>
              <w:fldChar w:fldCharType="separate"/>
            </w:r>
            <w:r>
              <w:rPr>
                <w:noProof/>
              </w:rPr>
              <w:t>19</w:t>
            </w:r>
            <w:r>
              <w:rPr>
                <w:noProof/>
              </w:rPr>
              <w:fldChar w:fldCharType="end"/>
            </w:r>
          </w:hyperlink>
        </w:p>
        <w:p w14:paraId="5E307BF5" w14:textId="76F04DA4" w:rsidR="00F37D32" w:rsidRDefault="00F37D32">
          <w:pPr>
            <w:pStyle w:val="TOC4"/>
            <w:tabs>
              <w:tab w:val="right" w:leader="dot" w:pos="9704"/>
            </w:tabs>
            <w:rPr>
              <w:noProof/>
            </w:rPr>
          </w:pPr>
          <w:hyperlink w:anchor="_Toc12554">
            <w:r>
              <w:rPr>
                <w:noProof/>
              </w:rPr>
              <w:t>Figure A4: Identification of extreme runtime values</w:t>
            </w:r>
            <w:r>
              <w:rPr>
                <w:noProof/>
              </w:rPr>
              <w:tab/>
            </w:r>
            <w:r>
              <w:rPr>
                <w:noProof/>
              </w:rPr>
              <w:fldChar w:fldCharType="begin"/>
            </w:r>
            <w:r>
              <w:rPr>
                <w:noProof/>
              </w:rPr>
              <w:instrText>PAGEREF _Toc12554 \h</w:instrText>
            </w:r>
            <w:r>
              <w:rPr>
                <w:noProof/>
              </w:rPr>
            </w:r>
            <w:r>
              <w:rPr>
                <w:noProof/>
              </w:rPr>
              <w:fldChar w:fldCharType="separate"/>
            </w:r>
            <w:r>
              <w:rPr>
                <w:noProof/>
              </w:rPr>
              <w:t>20</w:t>
            </w:r>
            <w:r>
              <w:rPr>
                <w:noProof/>
              </w:rPr>
              <w:fldChar w:fldCharType="end"/>
            </w:r>
          </w:hyperlink>
        </w:p>
        <w:p w14:paraId="05103C7A" w14:textId="71FD754F" w:rsidR="00F37D32" w:rsidRDefault="00F37D32">
          <w:pPr>
            <w:pStyle w:val="TOC4"/>
            <w:tabs>
              <w:tab w:val="right" w:leader="dot" w:pos="9704"/>
            </w:tabs>
            <w:rPr>
              <w:noProof/>
            </w:rPr>
          </w:pPr>
          <w:hyperlink w:anchor="_Toc12555">
            <w:r>
              <w:rPr>
                <w:noProof/>
              </w:rPr>
              <w:t>Figure A5: Creation of English and Non-English language classification</w:t>
            </w:r>
            <w:r>
              <w:rPr>
                <w:noProof/>
              </w:rPr>
              <w:tab/>
            </w:r>
            <w:r>
              <w:rPr>
                <w:noProof/>
              </w:rPr>
              <w:fldChar w:fldCharType="begin"/>
            </w:r>
            <w:r>
              <w:rPr>
                <w:noProof/>
              </w:rPr>
              <w:instrText>PAGEREF _Toc12555 \h</w:instrText>
            </w:r>
            <w:r>
              <w:rPr>
                <w:noProof/>
              </w:rPr>
            </w:r>
            <w:r>
              <w:rPr>
                <w:noProof/>
              </w:rPr>
              <w:fldChar w:fldCharType="separate"/>
            </w:r>
            <w:r>
              <w:rPr>
                <w:noProof/>
              </w:rPr>
              <w:t>21</w:t>
            </w:r>
            <w:r>
              <w:rPr>
                <w:noProof/>
              </w:rPr>
              <w:fldChar w:fldCharType="end"/>
            </w:r>
          </w:hyperlink>
        </w:p>
        <w:p w14:paraId="5AECB8F5" w14:textId="006537D8" w:rsidR="00F37D32" w:rsidRDefault="00F37D32">
          <w:pPr>
            <w:pStyle w:val="TOC3"/>
            <w:tabs>
              <w:tab w:val="right" w:leader="dot" w:pos="9704"/>
            </w:tabs>
            <w:rPr>
              <w:noProof/>
            </w:rPr>
          </w:pPr>
          <w:hyperlink w:anchor="_Toc12556">
            <w:r>
              <w:rPr>
                <w:noProof/>
              </w:rPr>
              <w:t>10.2 Appendix B: Descriptive Statistics and Summary Analysis</w:t>
            </w:r>
            <w:r>
              <w:rPr>
                <w:noProof/>
              </w:rPr>
              <w:tab/>
            </w:r>
            <w:r>
              <w:rPr>
                <w:noProof/>
              </w:rPr>
              <w:fldChar w:fldCharType="begin"/>
            </w:r>
            <w:r>
              <w:rPr>
                <w:noProof/>
              </w:rPr>
              <w:instrText>PAGEREF _Toc12556 \h</w:instrText>
            </w:r>
            <w:r>
              <w:rPr>
                <w:noProof/>
              </w:rPr>
            </w:r>
            <w:r>
              <w:rPr>
                <w:noProof/>
              </w:rPr>
              <w:fldChar w:fldCharType="separate"/>
            </w:r>
            <w:r>
              <w:rPr>
                <w:noProof/>
              </w:rPr>
              <w:t>21</w:t>
            </w:r>
            <w:r>
              <w:rPr>
                <w:noProof/>
              </w:rPr>
              <w:fldChar w:fldCharType="end"/>
            </w:r>
          </w:hyperlink>
        </w:p>
        <w:p w14:paraId="46808863" w14:textId="1A0E9260" w:rsidR="00F37D32" w:rsidRDefault="00F37D32">
          <w:pPr>
            <w:pStyle w:val="TOC4"/>
            <w:tabs>
              <w:tab w:val="right" w:leader="dot" w:pos="9704"/>
            </w:tabs>
            <w:rPr>
              <w:noProof/>
            </w:rPr>
          </w:pPr>
          <w:hyperlink w:anchor="_Toc12557">
            <w:r>
              <w:rPr>
                <w:noProof/>
              </w:rPr>
              <w:t>Figure B1: Descriptive statistics for key numerical variables</w:t>
            </w:r>
            <w:r>
              <w:rPr>
                <w:noProof/>
              </w:rPr>
              <w:tab/>
            </w:r>
            <w:r>
              <w:rPr>
                <w:noProof/>
              </w:rPr>
              <w:fldChar w:fldCharType="begin"/>
            </w:r>
            <w:r>
              <w:rPr>
                <w:noProof/>
              </w:rPr>
              <w:instrText>PAGEREF _Toc12557 \h</w:instrText>
            </w:r>
            <w:r>
              <w:rPr>
                <w:noProof/>
              </w:rPr>
            </w:r>
            <w:r>
              <w:rPr>
                <w:noProof/>
              </w:rPr>
              <w:fldChar w:fldCharType="separate"/>
            </w:r>
            <w:r>
              <w:rPr>
                <w:noProof/>
              </w:rPr>
              <w:t>21</w:t>
            </w:r>
            <w:r>
              <w:rPr>
                <w:noProof/>
              </w:rPr>
              <w:fldChar w:fldCharType="end"/>
            </w:r>
          </w:hyperlink>
        </w:p>
        <w:p w14:paraId="4BFD21B2" w14:textId="03209385" w:rsidR="00F37D32" w:rsidRDefault="00F37D32">
          <w:pPr>
            <w:pStyle w:val="TOC4"/>
            <w:tabs>
              <w:tab w:val="right" w:leader="dot" w:pos="9704"/>
            </w:tabs>
            <w:rPr>
              <w:noProof/>
            </w:rPr>
          </w:pPr>
          <w:hyperlink w:anchor="_Toc12558">
            <w:r>
              <w:rPr>
                <w:noProof/>
              </w:rPr>
              <w:t>Figure B2: Average film ratings by language group</w:t>
            </w:r>
            <w:r>
              <w:rPr>
                <w:noProof/>
              </w:rPr>
              <w:tab/>
            </w:r>
            <w:r>
              <w:rPr>
                <w:noProof/>
              </w:rPr>
              <w:fldChar w:fldCharType="begin"/>
            </w:r>
            <w:r>
              <w:rPr>
                <w:noProof/>
              </w:rPr>
              <w:instrText>PAGEREF _Toc12558 \h</w:instrText>
            </w:r>
            <w:r>
              <w:rPr>
                <w:noProof/>
              </w:rPr>
            </w:r>
            <w:r>
              <w:rPr>
                <w:noProof/>
              </w:rPr>
              <w:fldChar w:fldCharType="separate"/>
            </w:r>
            <w:r>
              <w:rPr>
                <w:noProof/>
              </w:rPr>
              <w:t>22</w:t>
            </w:r>
            <w:r>
              <w:rPr>
                <w:noProof/>
              </w:rPr>
              <w:fldChar w:fldCharType="end"/>
            </w:r>
          </w:hyperlink>
        </w:p>
        <w:p w14:paraId="49027A70" w14:textId="6D0ACAA0" w:rsidR="00F37D32" w:rsidRDefault="00F37D32">
          <w:pPr>
            <w:pStyle w:val="TOC3"/>
            <w:tabs>
              <w:tab w:val="right" w:leader="dot" w:pos="9704"/>
            </w:tabs>
            <w:rPr>
              <w:noProof/>
            </w:rPr>
          </w:pPr>
          <w:hyperlink w:anchor="_Toc12559">
            <w:r>
              <w:rPr>
                <w:noProof/>
              </w:rPr>
              <w:t>10.3 Appendix C: Trend Analysis and Visualisation (Excel)</w:t>
            </w:r>
            <w:r>
              <w:rPr>
                <w:noProof/>
              </w:rPr>
              <w:tab/>
            </w:r>
            <w:r>
              <w:rPr>
                <w:noProof/>
              </w:rPr>
              <w:fldChar w:fldCharType="begin"/>
            </w:r>
            <w:r>
              <w:rPr>
                <w:noProof/>
              </w:rPr>
              <w:instrText>PAGEREF _Toc12559 \h</w:instrText>
            </w:r>
            <w:r>
              <w:rPr>
                <w:noProof/>
              </w:rPr>
            </w:r>
            <w:r>
              <w:rPr>
                <w:noProof/>
              </w:rPr>
              <w:fldChar w:fldCharType="separate"/>
            </w:r>
            <w:r>
              <w:rPr>
                <w:noProof/>
              </w:rPr>
              <w:t>23</w:t>
            </w:r>
            <w:r>
              <w:rPr>
                <w:noProof/>
              </w:rPr>
              <w:fldChar w:fldCharType="end"/>
            </w:r>
          </w:hyperlink>
        </w:p>
        <w:p w14:paraId="7F1FED2E" w14:textId="7EF5B4ED" w:rsidR="00F37D32" w:rsidRDefault="00F37D32">
          <w:pPr>
            <w:pStyle w:val="TOC3"/>
            <w:tabs>
              <w:tab w:val="right" w:leader="dot" w:pos="9704"/>
            </w:tabs>
            <w:rPr>
              <w:noProof/>
            </w:rPr>
          </w:pPr>
          <w:hyperlink w:anchor="_Toc12560">
            <w:r>
              <w:rPr>
                <w:noProof/>
              </w:rPr>
              <w:t>Figure C1: PivotTable configuration for engagement analysis by language group</w:t>
            </w:r>
            <w:r>
              <w:rPr>
                <w:noProof/>
              </w:rPr>
              <w:tab/>
            </w:r>
            <w:r>
              <w:rPr>
                <w:noProof/>
              </w:rPr>
              <w:fldChar w:fldCharType="begin"/>
            </w:r>
            <w:r>
              <w:rPr>
                <w:noProof/>
              </w:rPr>
              <w:instrText>PAGEREF _Toc12560 \h</w:instrText>
            </w:r>
            <w:r>
              <w:rPr>
                <w:noProof/>
              </w:rPr>
            </w:r>
            <w:r>
              <w:rPr>
                <w:noProof/>
              </w:rPr>
              <w:fldChar w:fldCharType="separate"/>
            </w:r>
            <w:r>
              <w:rPr>
                <w:noProof/>
              </w:rPr>
              <w:t>24</w:t>
            </w:r>
            <w:r>
              <w:rPr>
                <w:noProof/>
              </w:rPr>
              <w:fldChar w:fldCharType="end"/>
            </w:r>
          </w:hyperlink>
        </w:p>
        <w:p w14:paraId="06DAFD64" w14:textId="68FE849B" w:rsidR="00F37D32" w:rsidRDefault="00F37D32">
          <w:pPr>
            <w:pStyle w:val="TOC3"/>
            <w:tabs>
              <w:tab w:val="right" w:leader="dot" w:pos="9704"/>
            </w:tabs>
            <w:rPr>
              <w:noProof/>
            </w:rPr>
          </w:pPr>
          <w:hyperlink w:anchor="_Toc12561">
            <w:r>
              <w:rPr>
                <w:noProof/>
              </w:rPr>
              <w:t>Figure C2: Average engagement metrics by language group</w:t>
            </w:r>
            <w:r>
              <w:rPr>
                <w:noProof/>
              </w:rPr>
              <w:tab/>
            </w:r>
            <w:r>
              <w:rPr>
                <w:noProof/>
              </w:rPr>
              <w:fldChar w:fldCharType="begin"/>
            </w:r>
            <w:r>
              <w:rPr>
                <w:noProof/>
              </w:rPr>
              <w:instrText>PAGEREF _Toc12561 \h</w:instrText>
            </w:r>
            <w:r>
              <w:rPr>
                <w:noProof/>
              </w:rPr>
            </w:r>
            <w:r>
              <w:rPr>
                <w:noProof/>
              </w:rPr>
              <w:fldChar w:fldCharType="separate"/>
            </w:r>
            <w:r>
              <w:rPr>
                <w:noProof/>
              </w:rPr>
              <w:t>24</w:t>
            </w:r>
            <w:r>
              <w:rPr>
                <w:noProof/>
              </w:rPr>
              <w:fldChar w:fldCharType="end"/>
            </w:r>
          </w:hyperlink>
        </w:p>
        <w:p w14:paraId="1A37AC96" w14:textId="22354D15" w:rsidR="00F37D32" w:rsidRDefault="00F37D32">
          <w:pPr>
            <w:pStyle w:val="TOC2"/>
            <w:tabs>
              <w:tab w:val="right" w:leader="dot" w:pos="9704"/>
            </w:tabs>
            <w:rPr>
              <w:noProof/>
            </w:rPr>
          </w:pPr>
          <w:hyperlink w:anchor="_Toc12562">
            <w:r>
              <w:rPr>
                <w:noProof/>
              </w:rPr>
              <w:t>10.4 Appendix D: SPSS Outputs and Diagnostic Tests</w:t>
            </w:r>
            <w:r>
              <w:rPr>
                <w:noProof/>
              </w:rPr>
              <w:tab/>
            </w:r>
            <w:r>
              <w:rPr>
                <w:noProof/>
              </w:rPr>
              <w:fldChar w:fldCharType="begin"/>
            </w:r>
            <w:r>
              <w:rPr>
                <w:noProof/>
              </w:rPr>
              <w:instrText>PAGEREF _Toc12562 \h</w:instrText>
            </w:r>
            <w:r>
              <w:rPr>
                <w:noProof/>
              </w:rPr>
            </w:r>
            <w:r>
              <w:rPr>
                <w:noProof/>
              </w:rPr>
              <w:fldChar w:fldCharType="separate"/>
            </w:r>
            <w:r>
              <w:rPr>
                <w:noProof/>
              </w:rPr>
              <w:t>25</w:t>
            </w:r>
            <w:r>
              <w:rPr>
                <w:noProof/>
              </w:rPr>
              <w:fldChar w:fldCharType="end"/>
            </w:r>
          </w:hyperlink>
        </w:p>
        <w:p w14:paraId="64E4C65D" w14:textId="5006FB37" w:rsidR="00F37D32" w:rsidRDefault="00F37D32">
          <w:pPr>
            <w:pStyle w:val="TOC3"/>
            <w:tabs>
              <w:tab w:val="right" w:leader="dot" w:pos="9704"/>
            </w:tabs>
            <w:rPr>
              <w:noProof/>
            </w:rPr>
          </w:pPr>
          <w:hyperlink w:anchor="_Toc12563">
            <w:r>
              <w:rPr>
                <w:noProof/>
              </w:rPr>
              <w:t>Appendix D1: Collinearity Diagnostics</w:t>
            </w:r>
            <w:r>
              <w:rPr>
                <w:noProof/>
              </w:rPr>
              <w:tab/>
            </w:r>
            <w:r>
              <w:rPr>
                <w:noProof/>
              </w:rPr>
              <w:fldChar w:fldCharType="begin"/>
            </w:r>
            <w:r>
              <w:rPr>
                <w:noProof/>
              </w:rPr>
              <w:instrText>PAGEREF _Toc12563 \h</w:instrText>
            </w:r>
            <w:r>
              <w:rPr>
                <w:noProof/>
              </w:rPr>
            </w:r>
            <w:r>
              <w:rPr>
                <w:noProof/>
              </w:rPr>
              <w:fldChar w:fldCharType="separate"/>
            </w:r>
            <w:r>
              <w:rPr>
                <w:noProof/>
              </w:rPr>
              <w:t>25</w:t>
            </w:r>
            <w:r>
              <w:rPr>
                <w:noProof/>
              </w:rPr>
              <w:fldChar w:fldCharType="end"/>
            </w:r>
          </w:hyperlink>
        </w:p>
        <w:p w14:paraId="379ACFC0" w14:textId="36728AEB" w:rsidR="00F37D32" w:rsidRDefault="00F37D32">
          <w:pPr>
            <w:pStyle w:val="TOC3"/>
            <w:tabs>
              <w:tab w:val="right" w:leader="dot" w:pos="9704"/>
            </w:tabs>
            <w:rPr>
              <w:noProof/>
            </w:rPr>
          </w:pPr>
          <w:hyperlink w:anchor="_Toc12564">
            <w:r>
              <w:rPr>
                <w:noProof/>
              </w:rPr>
              <w:t>Appendix D2: Normality of Residuals</w:t>
            </w:r>
            <w:r>
              <w:rPr>
                <w:noProof/>
              </w:rPr>
              <w:tab/>
            </w:r>
            <w:r>
              <w:rPr>
                <w:noProof/>
              </w:rPr>
              <w:fldChar w:fldCharType="begin"/>
            </w:r>
            <w:r>
              <w:rPr>
                <w:noProof/>
              </w:rPr>
              <w:instrText>PAGEREF _Toc12564 \h</w:instrText>
            </w:r>
            <w:r>
              <w:rPr>
                <w:noProof/>
              </w:rPr>
            </w:r>
            <w:r>
              <w:rPr>
                <w:noProof/>
              </w:rPr>
              <w:fldChar w:fldCharType="separate"/>
            </w:r>
            <w:r>
              <w:rPr>
                <w:noProof/>
              </w:rPr>
              <w:t>26</w:t>
            </w:r>
            <w:r>
              <w:rPr>
                <w:noProof/>
              </w:rPr>
              <w:fldChar w:fldCharType="end"/>
            </w:r>
          </w:hyperlink>
        </w:p>
        <w:p w14:paraId="4920DD27" w14:textId="32A7D77E" w:rsidR="00F37D32" w:rsidRDefault="00F37D32">
          <w:pPr>
            <w:pStyle w:val="TOC3"/>
            <w:tabs>
              <w:tab w:val="right" w:leader="dot" w:pos="9704"/>
            </w:tabs>
            <w:rPr>
              <w:noProof/>
            </w:rPr>
          </w:pPr>
          <w:hyperlink w:anchor="_Toc12565">
            <w:r>
              <w:rPr>
                <w:noProof/>
              </w:rPr>
              <w:t>Appendix D3: Homoscedasticity Assessment</w:t>
            </w:r>
            <w:r>
              <w:rPr>
                <w:noProof/>
              </w:rPr>
              <w:tab/>
            </w:r>
            <w:r>
              <w:rPr>
                <w:noProof/>
              </w:rPr>
              <w:fldChar w:fldCharType="begin"/>
            </w:r>
            <w:r>
              <w:rPr>
                <w:noProof/>
              </w:rPr>
              <w:instrText>PAGEREF _Toc12565 \h</w:instrText>
            </w:r>
            <w:r>
              <w:rPr>
                <w:noProof/>
              </w:rPr>
            </w:r>
            <w:r>
              <w:rPr>
                <w:noProof/>
              </w:rPr>
              <w:fldChar w:fldCharType="separate"/>
            </w:r>
            <w:r>
              <w:rPr>
                <w:noProof/>
              </w:rPr>
              <w:t>27</w:t>
            </w:r>
            <w:r>
              <w:rPr>
                <w:noProof/>
              </w:rPr>
              <w:fldChar w:fldCharType="end"/>
            </w:r>
          </w:hyperlink>
        </w:p>
        <w:p w14:paraId="0CD10A4C" w14:textId="77777777" w:rsidR="00F37D32" w:rsidRDefault="00000000">
          <w:r>
            <w:fldChar w:fldCharType="end"/>
          </w:r>
        </w:p>
      </w:sdtContent>
    </w:sdt>
    <w:p w14:paraId="4A84B304" w14:textId="77777777" w:rsidR="00F37D32" w:rsidRDefault="00000000">
      <w:pPr>
        <w:spacing w:after="275" w:line="259" w:lineRule="auto"/>
        <w:ind w:left="0" w:firstLine="0"/>
        <w:jc w:val="left"/>
      </w:pPr>
      <w:r>
        <w:t xml:space="preserve"> </w:t>
      </w:r>
    </w:p>
    <w:p w14:paraId="5FD47D23" w14:textId="77777777" w:rsidR="00F37D32" w:rsidRDefault="00000000">
      <w:pPr>
        <w:spacing w:after="270" w:line="259" w:lineRule="auto"/>
        <w:ind w:left="0" w:firstLine="0"/>
        <w:jc w:val="left"/>
      </w:pPr>
      <w:r>
        <w:t xml:space="preserve"> </w:t>
      </w:r>
    </w:p>
    <w:p w14:paraId="75D19C00" w14:textId="77777777" w:rsidR="00F37D32" w:rsidRDefault="00000000">
      <w:pPr>
        <w:spacing w:after="374" w:line="259" w:lineRule="auto"/>
        <w:ind w:left="0" w:firstLine="0"/>
        <w:jc w:val="left"/>
      </w:pPr>
      <w:r>
        <w:t xml:space="preserve"> </w:t>
      </w:r>
    </w:p>
    <w:p w14:paraId="055AA89C" w14:textId="7AE8C886" w:rsidR="00F37D32" w:rsidRDefault="00000000">
      <w:pPr>
        <w:spacing w:after="0" w:line="259" w:lineRule="auto"/>
        <w:ind w:left="0" w:firstLine="0"/>
        <w:jc w:val="left"/>
      </w:pPr>
      <w:r>
        <w:t xml:space="preserve"> </w:t>
      </w:r>
      <w:r>
        <w:tab/>
      </w:r>
      <w:r>
        <w:rPr>
          <w:sz w:val="32"/>
        </w:rPr>
        <w:t xml:space="preserve"> </w:t>
      </w:r>
      <w:r>
        <w:br w:type="page"/>
      </w:r>
    </w:p>
    <w:p w14:paraId="02031ED9" w14:textId="370CBD77" w:rsidR="00F37D32" w:rsidRDefault="00000000">
      <w:pPr>
        <w:pStyle w:val="Heading1"/>
        <w:ind w:left="-5"/>
      </w:pPr>
      <w:bookmarkStart w:id="0" w:name="_Toc12534"/>
      <w:r>
        <w:lastRenderedPageBreak/>
        <w:t xml:space="preserve">1. Introduction </w:t>
      </w:r>
      <w:bookmarkEnd w:id="0"/>
    </w:p>
    <w:p w14:paraId="4CC32AD2" w14:textId="43B3C85B" w:rsidR="00F37D32" w:rsidRDefault="00CA3E42" w:rsidP="00424FEA">
      <w:pPr>
        <w:spacing w:before="120" w:after="120" w:line="360" w:lineRule="auto"/>
        <w:ind w:left="0" w:firstLine="0"/>
      </w:pPr>
      <w:r>
        <w:t xml:space="preserve">Data-driven decision-making has become vital to organisational strategy across multiple sectors. The increasing availability of large digital datasets has profoundly transformed the way businesses uncover insights and support evidence-based decisions. Advances in digital platforms and user-generated content have generated enormous amounts of behavioural data, enabling researchers to identify patterns that were previously difficult to detect. Platforms </w:t>
      </w:r>
      <w:r w:rsidR="00C70EA1">
        <w:t>such as Letterboxd and others in the film and media industries provide extensive engagement data that track how consumers interact with, review, and respond to content</w:t>
      </w:r>
      <w:r>
        <w:t xml:space="preserve"> on a large scale (Frequent questions, n.d.). </w:t>
      </w:r>
      <w:r w:rsidR="00C70EA1">
        <w:t>These data present valuable opportunities for business intelligence, particularly for</w:t>
      </w:r>
      <w:r>
        <w:t xml:space="preserve"> understanding the relationship between audience engagement and perceived content quality. </w:t>
      </w:r>
    </w:p>
    <w:p w14:paraId="764E98C6" w14:textId="3588D722" w:rsidR="00F37D32" w:rsidRDefault="00CA3E42" w:rsidP="00424FEA">
      <w:pPr>
        <w:spacing w:before="120" w:after="120" w:line="360" w:lineRule="auto"/>
        <w:ind w:left="0" w:firstLine="0"/>
      </w:pPr>
      <w:r>
        <w:t xml:space="preserve">Academic research consistently stresses that the analytical usefulness of large datasets depends not only on their size but also on the accuracy of data preparation, the appropriateness of statistical methodologies, and the critical interpretation of results (Alotaibi et al., 2023; Niu et al., 2021). Extensive datasets often contain duplication, skewed distributions, and correlated variables, all of which can undermine findings if not carefully managed. Hence, data-driven decision-making requires both technical expertise and methodological insight, along with a good understanding of the context. </w:t>
      </w:r>
    </w:p>
    <w:p w14:paraId="4047D6A5" w14:textId="0465AA96" w:rsidR="00F37D32" w:rsidRDefault="00CA3E42" w:rsidP="00424FEA">
      <w:pPr>
        <w:spacing w:before="120" w:after="120" w:line="360" w:lineRule="auto"/>
        <w:ind w:left="0" w:firstLine="0"/>
      </w:pPr>
      <w:r>
        <w:t xml:space="preserve">This report </w:t>
      </w:r>
      <w:r w:rsidR="00C70EA1">
        <w:t xml:space="preserve">critically evaluates a film dataset comprising 9,664 unique data points to investigate the correlation between user engagement metrics (views, likes, and fans) and </w:t>
      </w:r>
      <w:r>
        <w:t xml:space="preserve">average film ratings. The analysis assesses whether statistically significant differences in average ratings exist between </w:t>
      </w:r>
      <w:r w:rsidR="00C70EA1">
        <w:t>English-language and non-English-language films, providing insights into implications for audience segmentation</w:t>
      </w:r>
      <w:r>
        <w:t xml:space="preserve">. The dataset was collected and processed using Microsoft Excel </w:t>
      </w:r>
      <w:r w:rsidR="00C70EA1">
        <w:t>before</w:t>
      </w:r>
      <w:r>
        <w:t xml:space="preserve"> analysis in IBM SPSS. The analytical approach includes data cleaning and validation, descriptive statistical analysis, trend exploration via correlation analysis, and inferential statistical testing, which involves independent samples t-tests and multiple linear regression modelling, following standard statistical guidelines (Field, 2018; Pallant, 2020). </w:t>
      </w:r>
    </w:p>
    <w:p w14:paraId="1F025561" w14:textId="6C3DCFBC" w:rsidR="00F37D32" w:rsidRDefault="00CA3E42" w:rsidP="00424FEA">
      <w:pPr>
        <w:spacing w:before="120" w:after="120" w:line="360" w:lineRule="auto"/>
        <w:ind w:left="0" w:firstLine="0"/>
      </w:pPr>
      <w:r>
        <w:t xml:space="preserve">The analysis aims to achieve four objectives. The first step is to use systematic data preparation to ensure data consistency and quality. The second step involves applying descriptive statistics to summarise and understand the dataset's key features. Third, correlation analysis will be employed to examine patterns and relationships between ratings and engagement metrics. Finally, the </w:t>
      </w:r>
      <w:r w:rsidR="00C70EA1">
        <w:t>study</w:t>
      </w:r>
      <w:r>
        <w:t xml:space="preserve"> will evaluate the explanatory capacity, assumptions, and limitations of statistical models within the context of business intelligence, emphasising the implications for data-driven organisational decision-making (Hair et al., 2019; Niu et al., 2021). </w:t>
      </w:r>
    </w:p>
    <w:p w14:paraId="3792311F" w14:textId="77777777" w:rsidR="00F37D32" w:rsidRDefault="00000000">
      <w:pPr>
        <w:pStyle w:val="Heading1"/>
        <w:ind w:left="-5"/>
      </w:pPr>
      <w:bookmarkStart w:id="1" w:name="_Toc12535"/>
      <w:r>
        <w:lastRenderedPageBreak/>
        <w:t xml:space="preserve">2. Data Cleaning and Preparation </w:t>
      </w:r>
      <w:bookmarkEnd w:id="1"/>
    </w:p>
    <w:p w14:paraId="7E7345A7" w14:textId="1D0A64BB" w:rsidR="00F37D32" w:rsidRDefault="00000000" w:rsidP="00424FEA">
      <w:pPr>
        <w:spacing w:before="120" w:after="120" w:line="360" w:lineRule="auto"/>
        <w:ind w:left="-17" w:right="675" w:firstLine="0"/>
      </w:pPr>
      <w:r>
        <w:t xml:space="preserve">Data cleaning and preparation have been </w:t>
      </w:r>
      <w:r w:rsidR="00CA3E42">
        <w:t>performed to ensure the reliability and validity of subsequent analyses, acknowledging that user-generated datasets frequently exhibit structural issues such as duplication, uneven distributions, and inconsistent</w:t>
      </w:r>
      <w:r>
        <w:t xml:space="preserve"> formatting. From a business intelligence standpoint, data preparation was </w:t>
      </w:r>
      <w:r w:rsidR="00CA3E42">
        <w:t>viewed as a risk-management process, as errors at this stage</w:t>
      </w:r>
      <w:r>
        <w:t xml:space="preserve"> could bias qualitative information and compromise the validity of inferential statistical analysis. </w:t>
      </w:r>
    </w:p>
    <w:p w14:paraId="27441E3E" w14:textId="4600CF85" w:rsidR="00F37D32" w:rsidRDefault="00000000" w:rsidP="00424FEA">
      <w:pPr>
        <w:spacing w:before="120" w:after="120" w:line="360" w:lineRule="auto"/>
        <w:ind w:left="-17" w:right="675" w:firstLine="0"/>
      </w:pPr>
      <w:r>
        <w:t>Microsoft Excel was used for preliminary data examination and preparation</w:t>
      </w:r>
      <w:r w:rsidR="00CA3E42">
        <w:t>,</w:t>
      </w:r>
      <w:r>
        <w:t xml:space="preserve"> attributed to its clarity and adaptability for exploratory validation. </w:t>
      </w:r>
      <w:r w:rsidR="00C70EA1">
        <w:t>Duplicate film records were identified and removed using Excel's built-in duplicate</w:t>
      </w:r>
      <w:r>
        <w:t xml:space="preserve"> detection feature. As </w:t>
      </w:r>
      <w:r w:rsidR="00CA3E42">
        <w:t>shown in Figure 1, this method produced a final dataset comprising 9,664 unique film observations, ensuring that each entry represented a distinct film while preserving the independence assumptions necessary for subsequent</w:t>
      </w:r>
      <w:r>
        <w:t xml:space="preserve"> analysis.</w:t>
      </w:r>
      <w:r>
        <w:rPr>
          <w:b/>
          <w:i/>
        </w:rPr>
        <w:t xml:space="preserve"> </w:t>
      </w:r>
    </w:p>
    <w:p w14:paraId="7B48ECB0" w14:textId="77777777" w:rsidR="00F37D32" w:rsidRDefault="00000000">
      <w:pPr>
        <w:pStyle w:val="Heading4"/>
        <w:spacing w:after="197"/>
        <w:ind w:left="-5"/>
      </w:pPr>
      <w:bookmarkStart w:id="2" w:name="_Toc12536"/>
      <w:r>
        <w:t xml:space="preserve">Figure 1: Duplicate film records identified and removed in Excel. </w:t>
      </w:r>
      <w:bookmarkEnd w:id="2"/>
    </w:p>
    <w:p w14:paraId="37AD16AC" w14:textId="77777777" w:rsidR="00F37D32" w:rsidRDefault="00000000">
      <w:pPr>
        <w:spacing w:after="220" w:line="259" w:lineRule="auto"/>
        <w:ind w:left="-1" w:right="610" w:firstLine="0"/>
        <w:jc w:val="right"/>
      </w:pPr>
      <w:r>
        <w:rPr>
          <w:noProof/>
        </w:rPr>
        <w:drawing>
          <wp:inline distT="0" distB="0" distL="0" distR="0" wp14:anchorId="4C354C8D" wp14:editId="33C69005">
            <wp:extent cx="5731510" cy="2426335"/>
            <wp:effectExtent l="0" t="0" r="0" b="0"/>
            <wp:docPr id="491" name="Picture 491"/>
            <wp:cNvGraphicFramePr/>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8"/>
                    <a:stretch>
                      <a:fillRect/>
                    </a:stretch>
                  </pic:blipFill>
                  <pic:spPr>
                    <a:xfrm>
                      <a:off x="0" y="0"/>
                      <a:ext cx="5731510" cy="2426335"/>
                    </a:xfrm>
                    <a:prstGeom prst="rect">
                      <a:avLst/>
                    </a:prstGeom>
                  </pic:spPr>
                </pic:pic>
              </a:graphicData>
            </a:graphic>
          </wp:inline>
        </w:drawing>
      </w:r>
      <w:r>
        <w:t xml:space="preserve"> </w:t>
      </w:r>
    </w:p>
    <w:p w14:paraId="192CEC24" w14:textId="77777777" w:rsidR="00424FEA" w:rsidRDefault="00CA3E42" w:rsidP="00424FEA">
      <w:pPr>
        <w:spacing w:before="120" w:after="120" w:line="360" w:lineRule="auto"/>
        <w:ind w:left="-17" w:right="675" w:firstLine="0"/>
      </w:pPr>
      <w:r>
        <w:t xml:space="preserve">After removing duplicates, </w:t>
      </w:r>
      <w:r w:rsidR="00C70EA1">
        <w:t>missing values were examined for</w:t>
      </w:r>
      <w:r>
        <w:t xml:space="preserve"> all key numerical variables, including runtime, watches, list appearances, likes, fans, and total ratings. No missing data were found, thus eliminating the need for imputation and reducing the risk of biased parameter estimates. High values were assessed using filtering methods, particularly for runtime and engagement metrics. Although several observations showed abnormally high values, they were retained after consistency checks, as this irregularity reflects the highly uneven distribution of attention typical of digital media platforms. </w:t>
      </w:r>
    </w:p>
    <w:p w14:paraId="1B53C6DD" w14:textId="7B341C41" w:rsidR="00F37D32" w:rsidRDefault="00CA3E42" w:rsidP="00424FEA">
      <w:pPr>
        <w:spacing w:before="120" w:after="120" w:line="360" w:lineRule="auto"/>
        <w:ind w:left="-17" w:right="675" w:firstLine="0"/>
      </w:pPr>
      <w:r>
        <w:lastRenderedPageBreak/>
        <w:t xml:space="preserve">A </w:t>
      </w:r>
      <w:r w:rsidR="00C70EA1">
        <w:t>categorical variable was generated to classify films as English or non-English</w:t>
      </w:r>
      <w:r>
        <w:t xml:space="preserve"> based on their original language. This change enabled comparative analysis across language groups and allowed further assessment of hypotheses regarding disparities in audience ratings and engagement patterns. </w:t>
      </w:r>
    </w:p>
    <w:p w14:paraId="7800DD48" w14:textId="77777777" w:rsidR="00F37D32" w:rsidRDefault="00000000" w:rsidP="00424FEA">
      <w:pPr>
        <w:spacing w:before="120" w:after="120" w:line="360" w:lineRule="auto"/>
        <w:ind w:left="-17" w:right="675" w:firstLine="0"/>
      </w:pPr>
      <w:r>
        <w:t xml:space="preserve">Further data preparation steps are documented in Appendix A. </w:t>
      </w:r>
    </w:p>
    <w:p w14:paraId="5435FA8E" w14:textId="77777777" w:rsidR="00F37D32" w:rsidRDefault="00000000">
      <w:pPr>
        <w:pStyle w:val="Heading1"/>
        <w:ind w:left="-5"/>
      </w:pPr>
      <w:bookmarkStart w:id="3" w:name="_Toc12537"/>
      <w:r>
        <w:t xml:space="preserve">3. Descriptive Statistics and Summary </w:t>
      </w:r>
      <w:bookmarkEnd w:id="3"/>
    </w:p>
    <w:p w14:paraId="35DA0CE7" w14:textId="1BB477E1" w:rsidR="00F37D32" w:rsidRDefault="00CA3E42" w:rsidP="00424FEA">
      <w:pPr>
        <w:spacing w:before="120" w:after="120" w:line="360" w:lineRule="auto"/>
        <w:ind w:left="-17" w:right="675" w:firstLine="0"/>
      </w:pPr>
      <w:r>
        <w:t xml:space="preserve">Descriptive statistics were used to gain an initial understanding of the dataset's structure, distribution, and variability before conducting the inferential analysis. In business intelligence, descriptive analysis acts as both a summarisation tool and a diagnostic instrument for identifying statistical features that influence the choice of analysis and interpretation (Field, 2018; Pallant, 2020). </w:t>
      </w:r>
    </w:p>
    <w:p w14:paraId="092DC24D" w14:textId="036B6A07" w:rsidR="00F37D32" w:rsidRDefault="00CA3E42" w:rsidP="00424FEA">
      <w:r>
        <w:t xml:space="preserve">Average movie ratings across the sample showed slight variation around the mean, indicating some consensus among users' assessments. Similar trends have been observed in extensive online rating systems, </w:t>
      </w:r>
      <w:r w:rsidR="00C70EA1">
        <w:t xml:space="preserve">in which central tendency bias limits the occurrence of </w:t>
      </w:r>
      <w:r>
        <w:t xml:space="preserve">extreme evaluations (George and Mallery, 2024). Analytically, limited variance in ratings suggests that, rather than focusing solely on magnitude, statistically significant differences should also be interpreted in relation to effect sizes and contextual factors. </w:t>
      </w:r>
    </w:p>
    <w:p w14:paraId="3B83C948" w14:textId="77777777" w:rsidR="00F37D32" w:rsidRDefault="00000000">
      <w:pPr>
        <w:pStyle w:val="Heading4"/>
        <w:spacing w:after="167" w:line="351" w:lineRule="auto"/>
        <w:ind w:left="-5" w:right="673"/>
        <w:jc w:val="both"/>
      </w:pPr>
      <w:bookmarkStart w:id="4" w:name="_Toc12538"/>
      <w:r>
        <w:lastRenderedPageBreak/>
        <w:t xml:space="preserve">Figure 2: Descriptive statistics for key numerical variables </w:t>
      </w:r>
      <w:bookmarkEnd w:id="4"/>
    </w:p>
    <w:p w14:paraId="49CDA9AB" w14:textId="77777777" w:rsidR="00F37D32" w:rsidRDefault="00000000">
      <w:pPr>
        <w:spacing w:after="225" w:line="259" w:lineRule="auto"/>
        <w:ind w:left="0" w:right="915" w:firstLine="0"/>
        <w:jc w:val="right"/>
      </w:pPr>
      <w:r>
        <w:rPr>
          <w:noProof/>
        </w:rPr>
        <w:drawing>
          <wp:inline distT="0" distB="0" distL="0" distR="0" wp14:anchorId="638FDEA4" wp14:editId="215D16B7">
            <wp:extent cx="5353050" cy="4438015"/>
            <wp:effectExtent l="0" t="0" r="0" b="0"/>
            <wp:docPr id="587" name="Picture 587"/>
            <wp:cNvGraphicFramePr/>
            <a:graphic xmlns:a="http://schemas.openxmlformats.org/drawingml/2006/main">
              <a:graphicData uri="http://schemas.openxmlformats.org/drawingml/2006/picture">
                <pic:pic xmlns:pic="http://schemas.openxmlformats.org/drawingml/2006/picture">
                  <pic:nvPicPr>
                    <pic:cNvPr id="587" name="Picture 587"/>
                    <pic:cNvPicPr/>
                  </pic:nvPicPr>
                  <pic:blipFill>
                    <a:blip r:embed="rId9"/>
                    <a:stretch>
                      <a:fillRect/>
                    </a:stretch>
                  </pic:blipFill>
                  <pic:spPr>
                    <a:xfrm>
                      <a:off x="0" y="0"/>
                      <a:ext cx="5353050" cy="4438015"/>
                    </a:xfrm>
                    <a:prstGeom prst="rect">
                      <a:avLst/>
                    </a:prstGeom>
                  </pic:spPr>
                </pic:pic>
              </a:graphicData>
            </a:graphic>
          </wp:inline>
        </w:drawing>
      </w:r>
      <w:r>
        <w:t xml:space="preserve"> </w:t>
      </w:r>
    </w:p>
    <w:p w14:paraId="71F2EF24" w14:textId="254F256B" w:rsidR="00F37D32" w:rsidRDefault="00CA3E42" w:rsidP="00424FEA">
      <w:pPr>
        <w:spacing w:before="120" w:after="120" w:line="360" w:lineRule="auto"/>
        <w:ind w:left="-17" w:right="675" w:firstLine="0"/>
      </w:pPr>
      <w:r>
        <w:t xml:space="preserve">Unlike ratings, engagement metrics such as views, likes, and follower counts showed significant positive deviations from the mean, as illustrated in Figure 2. The average engagement values were considerably higher than the medians, indicating that a small number of films elicited varying levels of user participation. This "long-tail" distribution is </w:t>
      </w:r>
      <w:r w:rsidR="00C70EA1">
        <w:t>typical</w:t>
      </w:r>
      <w:r>
        <w:t xml:space="preserve"> in digital media platforms and reflects uneven visibility rather than consistent audience preference (Niu et al., 2021; Charles et al., 2023). This highlights the risk of interpreting engagement figures as straightforward indicators of perceived content quality from a business intelligence perspective. </w:t>
      </w:r>
    </w:p>
    <w:p w14:paraId="0FCD391C" w14:textId="6E3A02B4" w:rsidR="00F37D32" w:rsidRDefault="00CA3E42" w:rsidP="00424FEA">
      <w:pPr>
        <w:spacing w:before="120" w:after="120" w:line="360" w:lineRule="auto"/>
        <w:ind w:left="-17" w:right="675" w:firstLine="0"/>
      </w:pPr>
      <w:r>
        <w:t xml:space="preserve">A group-level descriptive analysis revealed consistent disparities across language groups. Figure 3 shows that English-language films received significantly more engagement across all metrics, indicating greater exposure and dominance on platforms. However, non-English films achieved higher average scores, suggesting that assessment outcomes may be affected by audience self-selection rather than mere popularity. Similar findings have been observed in </w:t>
      </w:r>
      <w:r>
        <w:lastRenderedPageBreak/>
        <w:t xml:space="preserve">media analytics studies, where culturally specific or unique content tends to attract more engaged and positively receptive viewers (Behrens et al., 2021). </w:t>
      </w:r>
    </w:p>
    <w:p w14:paraId="4F14928E" w14:textId="77777777" w:rsidR="00F37D32" w:rsidRDefault="00000000">
      <w:pPr>
        <w:pStyle w:val="Heading4"/>
        <w:ind w:left="-5"/>
      </w:pPr>
      <w:bookmarkStart w:id="5" w:name="_Toc12539"/>
      <w:r>
        <w:t xml:space="preserve">Figure 3: Average film ratings by language group </w:t>
      </w:r>
      <w:bookmarkEnd w:id="5"/>
    </w:p>
    <w:p w14:paraId="634731F1" w14:textId="77777777" w:rsidR="00F37D32" w:rsidRDefault="00000000">
      <w:pPr>
        <w:spacing w:after="225" w:line="259" w:lineRule="auto"/>
        <w:ind w:left="1572" w:firstLine="0"/>
        <w:jc w:val="left"/>
      </w:pPr>
      <w:r>
        <w:rPr>
          <w:noProof/>
        </w:rPr>
        <w:drawing>
          <wp:inline distT="0" distB="0" distL="0" distR="0" wp14:anchorId="0B3D3BDB" wp14:editId="472DFE13">
            <wp:extent cx="3733800" cy="5632450"/>
            <wp:effectExtent l="0" t="0" r="0" b="0"/>
            <wp:docPr id="614" name="Picture 614"/>
            <wp:cNvGraphicFramePr/>
            <a:graphic xmlns:a="http://schemas.openxmlformats.org/drawingml/2006/main">
              <a:graphicData uri="http://schemas.openxmlformats.org/drawingml/2006/picture">
                <pic:pic xmlns:pic="http://schemas.openxmlformats.org/drawingml/2006/picture">
                  <pic:nvPicPr>
                    <pic:cNvPr id="614" name="Picture 614"/>
                    <pic:cNvPicPr/>
                  </pic:nvPicPr>
                  <pic:blipFill>
                    <a:blip r:embed="rId10"/>
                    <a:stretch>
                      <a:fillRect/>
                    </a:stretch>
                  </pic:blipFill>
                  <pic:spPr>
                    <a:xfrm>
                      <a:off x="0" y="0"/>
                      <a:ext cx="3733800" cy="5632450"/>
                    </a:xfrm>
                    <a:prstGeom prst="rect">
                      <a:avLst/>
                    </a:prstGeom>
                  </pic:spPr>
                </pic:pic>
              </a:graphicData>
            </a:graphic>
          </wp:inline>
        </w:drawing>
      </w:r>
      <w:r>
        <w:t xml:space="preserve"> </w:t>
      </w:r>
    </w:p>
    <w:p w14:paraId="3D53DB05" w14:textId="77777777" w:rsidR="00F37D32" w:rsidRDefault="00000000">
      <w:pPr>
        <w:spacing w:after="454"/>
        <w:ind w:left="-5" w:right="673"/>
      </w:pPr>
      <w:r>
        <w:t xml:space="preserve">Additional descriptive statistics outputs are provided in Appendix B. </w:t>
      </w:r>
    </w:p>
    <w:p w14:paraId="55061AF1" w14:textId="77777777" w:rsidR="00F37D32" w:rsidRDefault="00000000">
      <w:pPr>
        <w:pStyle w:val="Heading1"/>
        <w:ind w:left="-5"/>
      </w:pPr>
      <w:bookmarkStart w:id="6" w:name="_Toc12540"/>
      <w:r>
        <w:t xml:space="preserve">4. Trend Analysis and Visualisation </w:t>
      </w:r>
      <w:bookmarkEnd w:id="6"/>
    </w:p>
    <w:p w14:paraId="66447E5E" w14:textId="28EA7D55" w:rsidR="00F37D32" w:rsidRDefault="00CA3E42" w:rsidP="00424FEA">
      <w:pPr>
        <w:spacing w:before="120" w:after="120" w:line="360" w:lineRule="auto"/>
        <w:ind w:left="-17" w:right="675" w:firstLine="0"/>
      </w:pPr>
      <w:r>
        <w:t xml:space="preserve">A trend analysis was conducted to examine </w:t>
      </w:r>
      <w:r w:rsidR="00C70EA1">
        <w:t xml:space="preserve">correlations between audience engagement indicators and film ratings, </w:t>
      </w:r>
      <w:r w:rsidR="00424FEA">
        <w:t>to identify</w:t>
      </w:r>
      <w:r w:rsidR="00C70EA1">
        <w:t xml:space="preserve"> systematic patterns </w:t>
      </w:r>
      <w:r w:rsidR="00424FEA">
        <w:t>before</w:t>
      </w:r>
      <w:r>
        <w:t xml:space="preserve"> detailed statistical testing. In business intelligence, visual trend exploration aids understanding by revealing direct </w:t>
      </w:r>
      <w:r>
        <w:lastRenderedPageBreak/>
        <w:t xml:space="preserve">relationships and structural differences that may not be immediately obvious from summary data alone (Niu et al., 2021; Charles et al., 2023). </w:t>
      </w:r>
    </w:p>
    <w:p w14:paraId="6CB0CEC9" w14:textId="22608B15" w:rsidR="00F37D32" w:rsidRDefault="0024116E" w:rsidP="00424FEA">
      <w:pPr>
        <w:spacing w:before="120" w:after="120" w:line="360" w:lineRule="auto"/>
        <w:ind w:left="-17" w:right="675" w:firstLine="0"/>
      </w:pPr>
      <w:r>
        <w:t xml:space="preserve">Preliminary visualisation revealed significant disparities in </w:t>
      </w:r>
      <w:r w:rsidR="00C70EA1">
        <w:t>levels of involvement across</w:t>
      </w:r>
      <w:r>
        <w:t xml:space="preserve"> linguistic groups. Figure 4 shows that English-language films consistently achieved </w:t>
      </w:r>
      <w:r w:rsidR="00C70EA1">
        <w:t>substantially higher average metrics for views, likes, and fan counts than</w:t>
      </w:r>
      <w:r>
        <w:t xml:space="preserve"> non-English films. This trend highlights the dominance of English-language content on international digital platforms and aligns with other studies emphasising the impact of platform visibility and cultural reach on user engagement (Behrens et al., 2021; Niu et al., 2021). </w:t>
      </w:r>
    </w:p>
    <w:p w14:paraId="55F9F1C6" w14:textId="77777777" w:rsidR="00F37D32" w:rsidRDefault="00000000">
      <w:pPr>
        <w:pStyle w:val="Heading4"/>
        <w:spacing w:after="216"/>
        <w:ind w:left="-5"/>
      </w:pPr>
      <w:bookmarkStart w:id="7" w:name="_Toc12541"/>
      <w:r>
        <w:t>Figure 4: Average engagement metrics by language group</w:t>
      </w:r>
      <w:r>
        <w:rPr>
          <w:b w:val="0"/>
          <w:i w:val="0"/>
        </w:rPr>
        <w:t xml:space="preserve"> </w:t>
      </w:r>
      <w:bookmarkEnd w:id="7"/>
    </w:p>
    <w:p w14:paraId="70BD2366" w14:textId="77777777" w:rsidR="00F37D32" w:rsidRDefault="00000000">
      <w:pPr>
        <w:spacing w:after="224" w:line="259" w:lineRule="auto"/>
        <w:ind w:left="-1" w:firstLine="0"/>
        <w:jc w:val="right"/>
      </w:pPr>
      <w:r>
        <w:rPr>
          <w:noProof/>
        </w:rPr>
        <w:drawing>
          <wp:inline distT="0" distB="0" distL="0" distR="0" wp14:anchorId="4A78FD9D" wp14:editId="1EA63A4B">
            <wp:extent cx="6121400" cy="5429250"/>
            <wp:effectExtent l="0" t="0" r="0" b="0"/>
            <wp:docPr id="650" name="Picture 650"/>
            <wp:cNvGraphicFramePr/>
            <a:graphic xmlns:a="http://schemas.openxmlformats.org/drawingml/2006/main">
              <a:graphicData uri="http://schemas.openxmlformats.org/drawingml/2006/picture">
                <pic:pic xmlns:pic="http://schemas.openxmlformats.org/drawingml/2006/picture">
                  <pic:nvPicPr>
                    <pic:cNvPr id="650" name="Picture 650"/>
                    <pic:cNvPicPr/>
                  </pic:nvPicPr>
                  <pic:blipFill>
                    <a:blip r:embed="rId11"/>
                    <a:stretch>
                      <a:fillRect/>
                    </a:stretch>
                  </pic:blipFill>
                  <pic:spPr>
                    <a:xfrm>
                      <a:off x="0" y="0"/>
                      <a:ext cx="6121400" cy="5429250"/>
                    </a:xfrm>
                    <a:prstGeom prst="rect">
                      <a:avLst/>
                    </a:prstGeom>
                  </pic:spPr>
                </pic:pic>
              </a:graphicData>
            </a:graphic>
          </wp:inline>
        </w:drawing>
      </w:r>
      <w:r>
        <w:t xml:space="preserve"> </w:t>
      </w:r>
    </w:p>
    <w:p w14:paraId="23040488" w14:textId="64C967B5" w:rsidR="00F37D32" w:rsidRDefault="0024116E" w:rsidP="00424FEA">
      <w:pPr>
        <w:spacing w:before="120" w:after="120" w:line="360" w:lineRule="auto"/>
        <w:ind w:left="-17" w:right="675" w:firstLine="0"/>
      </w:pPr>
      <w:r>
        <w:t>Although the above advantage</w:t>
      </w:r>
      <w:r w:rsidR="00C70EA1">
        <w:t xml:space="preserve"> was evident</w:t>
      </w:r>
      <w:r>
        <w:t xml:space="preserve">, the trend examination also revealed a discrepancy between popularity and perceived quality. Figure 4 indicates that, when compared with the </w:t>
      </w:r>
      <w:r>
        <w:lastRenderedPageBreak/>
        <w:t xml:space="preserve">elevated average ratings of non-English films in Section 3, engagement levels do not immediately correlate with higher evaluative results. This trend supports current criticisms of engagement-based performance measures by showing that engagement measurements capture exposure and participation rather than audience evaluation of quality (Michael et al., 2024). </w:t>
      </w:r>
    </w:p>
    <w:p w14:paraId="6C2E8E46" w14:textId="79BC25D5" w:rsidR="00F37D32" w:rsidRDefault="0024116E" w:rsidP="00424FEA">
      <w:pPr>
        <w:spacing w:before="120" w:after="120" w:line="360" w:lineRule="auto"/>
        <w:ind w:left="-17" w:right="675" w:firstLine="0"/>
      </w:pPr>
      <w:r>
        <w:t xml:space="preserve">Correlation analysis was performed </w:t>
      </w:r>
      <w:r w:rsidR="00424FEA">
        <w:t>in SPSS in the following section to explore the relationship between engagement and ratings further</w:t>
      </w:r>
      <w:r>
        <w:t xml:space="preserve">. However, even during the exploratory phase, the visual patterns suggest that audience involvement and evaluative ratings function as linked but distinct phenomena. This distinction is crucial from a business intelligence perspective, as a strategy focused solely on engagement volume may overlook content that performs well in terms of perceived value but attracts fewer, more targeted audiences (Behrens et al., 2021). </w:t>
      </w:r>
    </w:p>
    <w:p w14:paraId="51150E76" w14:textId="77777777" w:rsidR="00F37D32" w:rsidRDefault="00000000" w:rsidP="00424FEA">
      <w:pPr>
        <w:spacing w:before="120" w:after="120" w:line="360" w:lineRule="auto"/>
        <w:ind w:left="-17" w:right="675" w:firstLine="0"/>
      </w:pPr>
      <w:r>
        <w:t xml:space="preserve">Supporting trend analysis outputs are provided in Appendix C. </w:t>
      </w:r>
    </w:p>
    <w:p w14:paraId="2FD8A899" w14:textId="77777777" w:rsidR="00F37D32" w:rsidRDefault="00000000">
      <w:pPr>
        <w:pStyle w:val="Heading1"/>
        <w:ind w:left="-5"/>
      </w:pPr>
      <w:bookmarkStart w:id="8" w:name="_Toc12542"/>
      <w:r>
        <w:t xml:space="preserve">5. Inferential Statistical Analysis (SPSS) </w:t>
      </w:r>
      <w:bookmarkEnd w:id="8"/>
    </w:p>
    <w:p w14:paraId="25C8C65B" w14:textId="442451FA" w:rsidR="00F37D32" w:rsidRDefault="0024116E">
      <w:pPr>
        <w:ind w:left="-5" w:right="673"/>
      </w:pPr>
      <w:r>
        <w:t xml:space="preserve">Inferential statistical analysis was conducted using IBM SPSS Statistics </w:t>
      </w:r>
      <w:r w:rsidR="00424FEA">
        <w:t>to explore further the connections identified in the descriptive and trend analyses and</w:t>
      </w:r>
      <w:r>
        <w:t xml:space="preserve"> to assess whether the observed patterns were statistically significant. In business intelligence, inferential methods assist in determining both systematic relationships and random variation (Field, 2018; Pallant, 2020). </w:t>
      </w:r>
    </w:p>
    <w:p w14:paraId="226E638F" w14:textId="066D59A7" w:rsidR="00F37D32" w:rsidRDefault="0024116E">
      <w:pPr>
        <w:ind w:left="-5" w:right="673"/>
      </w:pPr>
      <w:r>
        <w:t xml:space="preserve">An </w:t>
      </w:r>
      <w:r w:rsidR="00C70EA1">
        <w:t>independent-samples t-test was used to assess whether there was a statistically significant difference in average film ratings between English-language</w:t>
      </w:r>
      <w:r>
        <w:t xml:space="preserve"> and non-English-language films. Figure 5 indicates a statistically significant difference in mean ratings between the two groups (p &lt;</w:t>
      </w:r>
      <w:r w:rsidR="00424FEA">
        <w:t xml:space="preserve"> .001), with non-English films receiving</w:t>
      </w:r>
      <w:r>
        <w:t xml:space="preserve"> higher average scores. The effect size was moderate, suggesting that the observed difference was not solely due to the large sample size but also had practical significance (Field, 2018). </w:t>
      </w:r>
    </w:p>
    <w:p w14:paraId="7FEE17E6" w14:textId="066D59A7" w:rsidR="00F37D32" w:rsidRDefault="00000000" w:rsidP="00424FEA">
      <w:pPr>
        <w:pStyle w:val="Heading4"/>
        <w:ind w:left="0" w:firstLine="0"/>
      </w:pPr>
      <w:bookmarkStart w:id="9" w:name="_Toc12543"/>
      <w:r>
        <w:lastRenderedPageBreak/>
        <w:t>Figure 5: Independent samples t-test comparing average ratings by language group.</w:t>
      </w:r>
      <w:r>
        <w:rPr>
          <w:b w:val="0"/>
          <w:i w:val="0"/>
        </w:rPr>
        <w:t xml:space="preserve"> </w:t>
      </w:r>
      <w:bookmarkEnd w:id="9"/>
    </w:p>
    <w:p w14:paraId="6C17C02C" w14:textId="77777777" w:rsidR="00F37D32" w:rsidRDefault="00000000">
      <w:pPr>
        <w:spacing w:after="225" w:line="259" w:lineRule="auto"/>
        <w:ind w:left="-1" w:right="370" w:firstLine="0"/>
        <w:jc w:val="right"/>
      </w:pPr>
      <w:r>
        <w:rPr>
          <w:noProof/>
        </w:rPr>
        <w:drawing>
          <wp:inline distT="0" distB="0" distL="0" distR="0" wp14:anchorId="6A1702F2" wp14:editId="0FD8E47F">
            <wp:extent cx="5885815" cy="3719195"/>
            <wp:effectExtent l="0" t="0" r="0" b="0"/>
            <wp:docPr id="724" name="Picture 724"/>
            <wp:cNvGraphicFramePr/>
            <a:graphic xmlns:a="http://schemas.openxmlformats.org/drawingml/2006/main">
              <a:graphicData uri="http://schemas.openxmlformats.org/drawingml/2006/picture">
                <pic:pic xmlns:pic="http://schemas.openxmlformats.org/drawingml/2006/picture">
                  <pic:nvPicPr>
                    <pic:cNvPr id="724" name="Picture 724"/>
                    <pic:cNvPicPr/>
                  </pic:nvPicPr>
                  <pic:blipFill>
                    <a:blip r:embed="rId12"/>
                    <a:stretch>
                      <a:fillRect/>
                    </a:stretch>
                  </pic:blipFill>
                  <pic:spPr>
                    <a:xfrm>
                      <a:off x="0" y="0"/>
                      <a:ext cx="5885815" cy="3719195"/>
                    </a:xfrm>
                    <a:prstGeom prst="rect">
                      <a:avLst/>
                    </a:prstGeom>
                  </pic:spPr>
                </pic:pic>
              </a:graphicData>
            </a:graphic>
          </wp:inline>
        </w:drawing>
      </w:r>
      <w:r>
        <w:t xml:space="preserve"> </w:t>
      </w:r>
    </w:p>
    <w:p w14:paraId="66344E4B" w14:textId="46D28FB3" w:rsidR="00F37D32" w:rsidRDefault="0024116E" w:rsidP="00424FEA">
      <w:pPr>
        <w:spacing w:before="120" w:after="120" w:line="360" w:lineRule="auto"/>
        <w:ind w:left="-17" w:right="675" w:firstLine="0"/>
      </w:pPr>
      <w:r>
        <w:t>Correlation analysis was then used to examine the relationships between average film ratings and engagement indicators</w:t>
      </w:r>
      <w:r w:rsidR="00424FEA">
        <w:t>, including views, likes, and fan counts</w:t>
      </w:r>
      <w:r>
        <w:t xml:space="preserve">. Figure 6 </w:t>
      </w:r>
      <w:r w:rsidR="00424FEA">
        <w:t>shows weak-to-moderate</w:t>
      </w:r>
      <w:r>
        <w:t xml:space="preserve"> positive correlations between ratings and engagement measures. However, engagement metrics were found to be highly interconnected, indicating considerable overlap. This suggests that these variables reflect overlapping aspects of visibility rather than distinct indicators of evaluative outcomes (Hair et al. 2019). </w:t>
      </w:r>
    </w:p>
    <w:p w14:paraId="7FAC8C40" w14:textId="77777777" w:rsidR="00F37D32" w:rsidRDefault="00000000">
      <w:pPr>
        <w:pStyle w:val="Heading4"/>
        <w:spacing w:after="0"/>
        <w:ind w:left="-5"/>
      </w:pPr>
      <w:bookmarkStart w:id="10" w:name="_Toc12544"/>
      <w:r>
        <w:lastRenderedPageBreak/>
        <w:t>Figure 6: Correlation matrix for ratings and engagement metrics</w:t>
      </w:r>
      <w:r>
        <w:rPr>
          <w:b w:val="0"/>
          <w:i w:val="0"/>
        </w:rPr>
        <w:t xml:space="preserve"> </w:t>
      </w:r>
      <w:bookmarkEnd w:id="10"/>
    </w:p>
    <w:p w14:paraId="198D80DE" w14:textId="77777777" w:rsidR="00F37D32" w:rsidRDefault="00000000">
      <w:pPr>
        <w:spacing w:after="225" w:line="259" w:lineRule="auto"/>
        <w:ind w:left="0" w:right="1170" w:firstLine="0"/>
        <w:jc w:val="right"/>
      </w:pPr>
      <w:r>
        <w:rPr>
          <w:noProof/>
        </w:rPr>
        <w:drawing>
          <wp:inline distT="0" distB="0" distL="0" distR="0" wp14:anchorId="0EC282CE" wp14:editId="5720C1D2">
            <wp:extent cx="5031740" cy="3438398"/>
            <wp:effectExtent l="0" t="0" r="0" b="0"/>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13"/>
                    <a:stretch>
                      <a:fillRect/>
                    </a:stretch>
                  </pic:blipFill>
                  <pic:spPr>
                    <a:xfrm>
                      <a:off x="0" y="0"/>
                      <a:ext cx="5031740" cy="3438398"/>
                    </a:xfrm>
                    <a:prstGeom prst="rect">
                      <a:avLst/>
                    </a:prstGeom>
                  </pic:spPr>
                </pic:pic>
              </a:graphicData>
            </a:graphic>
          </wp:inline>
        </w:drawing>
      </w:r>
      <w:r>
        <w:t xml:space="preserve"> </w:t>
      </w:r>
    </w:p>
    <w:p w14:paraId="649583D0" w14:textId="2CE32DA7" w:rsidR="00F37D32" w:rsidRDefault="0024116E" w:rsidP="00424FEA">
      <w:pPr>
        <w:spacing w:before="120" w:after="120" w:line="360" w:lineRule="auto"/>
        <w:ind w:left="-17" w:right="675" w:firstLine="0"/>
      </w:pPr>
      <w:r>
        <w:t xml:space="preserve">A multiple linear regression analysis was conducted to evaluate the combined interpretive power of engagement indicators, with average film rating as the dependent variable and watches, likes, and fans as independent variables. Figure 7 demonstrates that the entire model is statistically significant, although it explains only a modest portion of the variation in ratings (R² = 0.09). Likes emerged as a positive predictor of ratings, whereas watches had a negative coefficient when accounting for other factors. This trend highlights the effect of crossovers and suggests that increased exposure may attract more diverse audiences, resulting in more critical reviews (Hair et al., 2019; Roustaei, 2024). </w:t>
      </w:r>
    </w:p>
    <w:p w14:paraId="56EEA11F" w14:textId="62A89B9E" w:rsidR="00F37D32" w:rsidRDefault="0024116E" w:rsidP="00424FEA">
      <w:pPr>
        <w:spacing w:before="120" w:after="120" w:line="360" w:lineRule="auto"/>
        <w:ind w:left="-17" w:right="675" w:firstLine="0"/>
      </w:pPr>
      <w:r>
        <w:t xml:space="preserve">Diagnostic assessments showed residuals to be adequately normal but indicated heteroscedasticity, particularly at higher predicted values. The large sample size alleviates some concerns about robustness; however, these results highlight the limitations of linear modelling with heavily skewed media datasets and emphasise the importance of careful interpretation of predictions (Pallant, 2020). </w:t>
      </w:r>
    </w:p>
    <w:p w14:paraId="1BA804F2" w14:textId="77777777" w:rsidR="00F37D32" w:rsidRDefault="00000000">
      <w:pPr>
        <w:pStyle w:val="Heading4"/>
        <w:spacing w:after="0"/>
        <w:ind w:left="-5"/>
      </w:pPr>
      <w:bookmarkStart w:id="11" w:name="_Toc12545"/>
      <w:r>
        <w:lastRenderedPageBreak/>
        <w:t>Figure 7: Multiple regression model predicting average film ratings.</w:t>
      </w:r>
      <w:r>
        <w:rPr>
          <w:b w:val="0"/>
          <w:i w:val="0"/>
        </w:rPr>
        <w:t xml:space="preserve"> </w:t>
      </w:r>
      <w:bookmarkEnd w:id="11"/>
    </w:p>
    <w:p w14:paraId="17D273DC" w14:textId="77777777" w:rsidR="00F37D32" w:rsidRDefault="00000000">
      <w:pPr>
        <w:spacing w:after="225" w:line="259" w:lineRule="auto"/>
        <w:ind w:left="0" w:right="1735" w:firstLine="0"/>
        <w:jc w:val="right"/>
      </w:pPr>
      <w:r>
        <w:rPr>
          <w:noProof/>
        </w:rPr>
        <w:drawing>
          <wp:inline distT="0" distB="0" distL="0" distR="0" wp14:anchorId="1EB87CD8" wp14:editId="269A1EFF">
            <wp:extent cx="4311650" cy="7647559"/>
            <wp:effectExtent l="0" t="0" r="0" b="0"/>
            <wp:docPr id="763" name="Picture 763"/>
            <wp:cNvGraphicFramePr/>
            <a:graphic xmlns:a="http://schemas.openxmlformats.org/drawingml/2006/main">
              <a:graphicData uri="http://schemas.openxmlformats.org/drawingml/2006/picture">
                <pic:pic xmlns:pic="http://schemas.openxmlformats.org/drawingml/2006/picture">
                  <pic:nvPicPr>
                    <pic:cNvPr id="763" name="Picture 763"/>
                    <pic:cNvPicPr/>
                  </pic:nvPicPr>
                  <pic:blipFill>
                    <a:blip r:embed="rId14"/>
                    <a:stretch>
                      <a:fillRect/>
                    </a:stretch>
                  </pic:blipFill>
                  <pic:spPr>
                    <a:xfrm>
                      <a:off x="0" y="0"/>
                      <a:ext cx="4311650" cy="7647559"/>
                    </a:xfrm>
                    <a:prstGeom prst="rect">
                      <a:avLst/>
                    </a:prstGeom>
                  </pic:spPr>
                </pic:pic>
              </a:graphicData>
            </a:graphic>
          </wp:inline>
        </w:drawing>
      </w:r>
      <w:r>
        <w:t xml:space="preserve"> </w:t>
      </w:r>
    </w:p>
    <w:p w14:paraId="7FB37E62" w14:textId="77777777" w:rsidR="00F37D32" w:rsidRDefault="00000000">
      <w:pPr>
        <w:spacing w:line="259" w:lineRule="auto"/>
        <w:ind w:left="-5" w:right="673"/>
      </w:pPr>
      <w:r>
        <w:t xml:space="preserve">Detailed SPSS outputs and diagnostic plots are provided in Appendix D. </w:t>
      </w:r>
    </w:p>
    <w:p w14:paraId="24047009" w14:textId="77777777" w:rsidR="00F37D32" w:rsidRDefault="00000000">
      <w:pPr>
        <w:pStyle w:val="Heading1"/>
        <w:ind w:left="-5"/>
      </w:pPr>
      <w:bookmarkStart w:id="12" w:name="_Toc12546"/>
      <w:r>
        <w:lastRenderedPageBreak/>
        <w:t xml:space="preserve">6. Insights, Implications, and Recommendations </w:t>
      </w:r>
      <w:bookmarkEnd w:id="12"/>
    </w:p>
    <w:p w14:paraId="594ADB9D" w14:textId="0766F0BF" w:rsidR="00F37D32" w:rsidRDefault="0024116E" w:rsidP="00424FEA">
      <w:pPr>
        <w:spacing w:before="120" w:after="120" w:line="360" w:lineRule="auto"/>
        <w:ind w:left="-17" w:right="675" w:firstLine="0"/>
      </w:pPr>
      <w:r>
        <w:t xml:space="preserve">The study provides essential insight into the relationship between viewer engagement and perceived film quality, with clear implications for data-driven decisions in the film and media industry. Although engagement metrics such as views, likes, and follower counts are commonly used as indicators of popularity and success, the findings suggest that their connection with average film ratings is complex and not strongly predictive. </w:t>
      </w:r>
    </w:p>
    <w:p w14:paraId="27D807C7" w14:textId="3B056CE7" w:rsidR="00F37D32" w:rsidRDefault="0024116E" w:rsidP="00424FEA">
      <w:pPr>
        <w:spacing w:before="120" w:after="120" w:line="360" w:lineRule="auto"/>
        <w:ind w:left="-17" w:right="675" w:firstLine="0"/>
      </w:pPr>
      <w:r>
        <w:t xml:space="preserve">The inferential findings suggest that </w:t>
      </w:r>
      <w:r w:rsidR="00C70EA1">
        <w:t>although engagement indicators are strongly correlated with average ratings, they explain only a small portion of the variance</w:t>
      </w:r>
      <w:r>
        <w:t xml:space="preserve"> (R² = 0.09). This shows that audience engagement alone is insufficient for predicting perceived content quality. </w:t>
      </w:r>
      <w:r w:rsidR="00C70EA1">
        <w:t>In practice, this implies that companies that</w:t>
      </w:r>
      <w:r>
        <w:t xml:space="preserve"> rely heavily on exposure measures may overestimate their value as indicators of audience satisfaction. Qualitative factors, such as narrative depth, originality, genre conventions, and cultural context, are likely to play a significant role in shaping evaluative outcomes (Hair et al., 2019; Roustaei, 2024). </w:t>
      </w:r>
    </w:p>
    <w:p w14:paraId="25AF2CCB" w14:textId="7D241ABE" w:rsidR="00F37D32" w:rsidRDefault="0024116E" w:rsidP="00424FEA">
      <w:pPr>
        <w:spacing w:before="120" w:after="120" w:line="360" w:lineRule="auto"/>
        <w:ind w:left="-17" w:right="675" w:firstLine="0"/>
      </w:pPr>
      <w:r>
        <w:t>Secondly, the study revealed a statistically significant difference in average ratings between English and non-English language films, with non-English films achieving higher mean ratings. Although the effect size was small, this research highlights potential audience segmentation effects within user-generated platforms. A likely reason is that non-English films attract more selective</w:t>
      </w:r>
      <w:r w:rsidR="00C70EA1">
        <w:t>, niche audiences, leading to higher ratings. In contrast, English-language films appeal to larger, more diverse audiences that employ different</w:t>
      </w:r>
      <w:r>
        <w:t xml:space="preserve"> evaluative criteria. This finding suggests that industry stakeholders should consider tailored marketing strategies for foreign and non-English content that focus on favourable reviews rather than widespread visibility (Field, 2018; Pallant, 2020). </w:t>
      </w:r>
    </w:p>
    <w:p w14:paraId="4C5636DF" w14:textId="6C777EA1" w:rsidR="00F37D32" w:rsidRDefault="0024116E" w:rsidP="00424FEA">
      <w:pPr>
        <w:spacing w:before="120" w:after="120" w:line="360" w:lineRule="auto"/>
        <w:ind w:left="-17" w:right="675" w:firstLine="0"/>
      </w:pPr>
      <w:r>
        <w:t xml:space="preserve">Thirdly, strong correlations across engagement metrics </w:t>
      </w:r>
      <w:r w:rsidR="00C70EA1">
        <w:t>indicate substantial multicollinearity, confirming that views, likes, and fan counts are interconnected aspects of visibility rather than distinct</w:t>
      </w:r>
      <w:r>
        <w:t xml:space="preserve"> factors affecting ratings. The regression diagnostics showed the presence of heteroscedasticity, especially in films with high interest. This phenomenon is common in large digital datasets and highlights the limitations of linear modelling techniques when applied to highly skewed behavioural data (Pallant, 2020). </w:t>
      </w:r>
    </w:p>
    <w:p w14:paraId="2283DBA9" w14:textId="46B92349" w:rsidR="00F37D32" w:rsidRDefault="0024116E" w:rsidP="00424FEA">
      <w:pPr>
        <w:spacing w:before="120" w:after="120" w:line="360" w:lineRule="auto"/>
        <w:ind w:left="-17" w:right="675" w:firstLine="0"/>
      </w:pPr>
      <w:r>
        <w:t xml:space="preserve">From a business intelligence perspective, these data suggest many practical recommendations. Organisations should avoid relying solely on </w:t>
      </w:r>
      <w:r w:rsidR="00C70EA1">
        <w:t>single engagement measures as standalone indicators of quality and instead adopt comprehensive evaluation systems that combine quantitative engagement data with</w:t>
      </w:r>
      <w:r>
        <w:t xml:space="preserve"> qualitative review analysis. Furthermore, employing </w:t>
      </w:r>
      <w:r w:rsidR="00C70EA1">
        <w:lastRenderedPageBreak/>
        <w:t>additional analytical methods, such as segmentation-based models, log-transformed data, or machine learning techniques suited to nonlinear relationships, could enhance predictive modelling</w:t>
      </w:r>
      <w:r>
        <w:t xml:space="preserve">. Subsequently, further research might incorporate additional explanatory factors, such as genre, release timing, and production characteristics, </w:t>
      </w:r>
      <w:r w:rsidR="00C70EA1">
        <w:t>to improve</w:t>
      </w:r>
      <w:r>
        <w:t xml:space="preserve"> model effectiveness and strategic usefulness. </w:t>
      </w:r>
    </w:p>
    <w:p w14:paraId="378EA349" w14:textId="21F84B89" w:rsidR="00F37D32" w:rsidRDefault="0024116E" w:rsidP="00424FEA">
      <w:pPr>
        <w:spacing w:before="120" w:after="120" w:line="360" w:lineRule="auto"/>
        <w:ind w:left="-17" w:right="675" w:firstLine="0"/>
      </w:pPr>
      <w:r>
        <w:t>This research emphasises the importance of combining detailed statistical analysis with critical interpretation to gain insights from large digital datasets. By recognising the benefits and limitations of engagement-driven analytics, companies can make more informed</w:t>
      </w:r>
      <w:r w:rsidR="00C70EA1">
        <w:t>, context-aware decisions that extend</w:t>
      </w:r>
      <w:r>
        <w:t xml:space="preserve"> beyond superficial popularity metrics. </w:t>
      </w:r>
    </w:p>
    <w:p w14:paraId="761AE688" w14:textId="77777777" w:rsidR="00F37D32" w:rsidRDefault="00000000">
      <w:pPr>
        <w:pStyle w:val="Heading1"/>
        <w:ind w:left="-5"/>
      </w:pPr>
      <w:bookmarkStart w:id="13" w:name="_Toc12547"/>
      <w:r>
        <w:t xml:space="preserve">8. Conclusion </w:t>
      </w:r>
      <w:bookmarkEnd w:id="13"/>
    </w:p>
    <w:p w14:paraId="010AE666" w14:textId="1D7EA78A" w:rsidR="00F37D32" w:rsidRDefault="0024116E" w:rsidP="00424FEA">
      <w:pPr>
        <w:spacing w:before="120" w:after="120" w:line="360" w:lineRule="auto"/>
        <w:ind w:left="-17" w:right="675" w:firstLine="0"/>
      </w:pPr>
      <w:r>
        <w:t xml:space="preserve">The present investigation aims to analyse a large movie dataset to examine the relationship between audience engagement indicators and average film ratings, using data preparation, descriptive analysis, and inferential statistical methods. The research demonstrated the use of Microsoft Excel and IBM SPSS to </w:t>
      </w:r>
      <w:r w:rsidR="00C70EA1">
        <w:t>apply quantitative techniques to generate</w:t>
      </w:r>
      <w:r>
        <w:t xml:space="preserve"> evidence-based insights within a business intelligence framework. </w:t>
      </w:r>
    </w:p>
    <w:p w14:paraId="1A357541" w14:textId="265A5231" w:rsidR="00F37D32" w:rsidRDefault="0024116E" w:rsidP="00424FEA">
      <w:pPr>
        <w:spacing w:before="120" w:after="120" w:line="360" w:lineRule="auto"/>
        <w:ind w:left="-17" w:right="675" w:firstLine="0"/>
      </w:pPr>
      <w:r>
        <w:t xml:space="preserve">The results show that </w:t>
      </w:r>
      <w:r w:rsidR="00C70EA1">
        <w:t>although engagement metrics such as views, likes, and follower counts are associated with average ratings, their ability to explain variation</w:t>
      </w:r>
      <w:r>
        <w:t xml:space="preserve"> is limited. Multiple regression analysis revealed that these factors account for only a small </w:t>
      </w:r>
      <w:r w:rsidR="00C70EA1">
        <w:t>portion of the variation in perceived film quality, underscoring</w:t>
      </w:r>
      <w:r>
        <w:t xml:space="preserve"> the risks of relying on visibility metrics as substitutes for audience satisfaction. Strong correlations among engagement measures suggest they reflect overlapping aspects of popularity rather than separate indicators of evaluative outcomes. </w:t>
      </w:r>
    </w:p>
    <w:p w14:paraId="0FDFF9D0" w14:textId="2FED40AB" w:rsidR="00F37D32" w:rsidRDefault="0024116E" w:rsidP="00424FEA">
      <w:pPr>
        <w:spacing w:before="120" w:after="120" w:line="360" w:lineRule="auto"/>
        <w:ind w:left="-17" w:right="675" w:firstLine="0"/>
      </w:pPr>
      <w:r>
        <w:t xml:space="preserve">The </w:t>
      </w:r>
      <w:r w:rsidR="00C70EA1">
        <w:t>independent-samples t-test revealed a statistically significant difference in average ratings between English and non-English language films, with non-English films receiving</w:t>
      </w:r>
      <w:r>
        <w:t xml:space="preserve"> higher mean ratings. This outcome suggests </w:t>
      </w:r>
      <w:r w:rsidR="00C70EA1">
        <w:t>the need for audience segmentation and underscores</w:t>
      </w:r>
      <w:r>
        <w:t xml:space="preserve"> the importance of contextual interpretation </w:t>
      </w:r>
      <w:r w:rsidR="00424FEA">
        <w:t>in the analysis of</w:t>
      </w:r>
      <w:r>
        <w:t xml:space="preserve"> user-generated data. Diagnostic testing </w:t>
      </w:r>
      <w:r w:rsidR="00C70EA1">
        <w:t>revealed multicollinearity and heteroscedasticity, emphasising the need for caution when applying linear models to highly</w:t>
      </w:r>
      <w:r>
        <w:t xml:space="preserve"> skewed digital datasets. </w:t>
      </w:r>
    </w:p>
    <w:p w14:paraId="1E7F4C36" w14:textId="7B6531BB" w:rsidR="00F37D32" w:rsidRDefault="0024116E" w:rsidP="00424FEA">
      <w:pPr>
        <w:spacing w:before="120" w:after="120" w:line="360" w:lineRule="auto"/>
        <w:ind w:left="-17" w:right="675" w:firstLine="0"/>
      </w:pPr>
      <w:r>
        <w:t xml:space="preserve">The research highlights the importance of integrating robust statistical methods with critical interpretation to guide data-driven decision-making. By recognising the discoveries and limitations of engagement-based analytics, businesses can develop more sophisticated evaluation systems that accurately reflect perceived quality and </w:t>
      </w:r>
      <w:r w:rsidR="00C70EA1">
        <w:t>support strategic decision-making</w:t>
      </w:r>
      <w:r>
        <w:t xml:space="preserve"> in the film and media industry. </w:t>
      </w:r>
      <w:r>
        <w:tab/>
        <w:t xml:space="preserve"> </w:t>
      </w:r>
      <w:r>
        <w:br w:type="page"/>
      </w:r>
    </w:p>
    <w:p w14:paraId="149B72D2" w14:textId="77777777" w:rsidR="00F37D32" w:rsidRDefault="00000000">
      <w:pPr>
        <w:pStyle w:val="Heading1"/>
        <w:ind w:left="-5"/>
      </w:pPr>
      <w:bookmarkStart w:id="14" w:name="_Toc12548"/>
      <w:r>
        <w:lastRenderedPageBreak/>
        <w:t xml:space="preserve">9. Reference List  </w:t>
      </w:r>
      <w:bookmarkEnd w:id="14"/>
    </w:p>
    <w:p w14:paraId="2A90B127" w14:textId="77777777" w:rsidR="00F37D32" w:rsidRDefault="00000000" w:rsidP="0024116E">
      <w:pPr>
        <w:spacing w:before="120" w:after="100" w:afterAutospacing="1" w:line="360" w:lineRule="auto"/>
        <w:ind w:left="-5" w:right="673" w:hanging="720"/>
      </w:pPr>
      <w:r>
        <w:t xml:space="preserve">Alotaibi, Y., Alsolami, F. and Alghamdi, A. (2023) ‘Cleaning big data streams’, </w:t>
      </w:r>
      <w:r>
        <w:rPr>
          <w:i/>
        </w:rPr>
        <w:t>Journal of Big Data</w:t>
      </w:r>
      <w:r>
        <w:t xml:space="preserve">, 10(1), pp. 1–18. </w:t>
      </w:r>
    </w:p>
    <w:p w14:paraId="0BE8F29C" w14:textId="77777777" w:rsidR="00F37D32" w:rsidRDefault="00000000" w:rsidP="0024116E">
      <w:pPr>
        <w:spacing w:before="120" w:after="100" w:afterAutospacing="1" w:line="360" w:lineRule="auto"/>
        <w:ind w:left="-5" w:right="673" w:hanging="720"/>
      </w:pPr>
      <w:r>
        <w:t xml:space="preserve">Behrens, J.T., Yu, C., and McKenzie, J. (2021) ‘Leveraging analytics to produce compelling and profitable film content’, </w:t>
      </w:r>
      <w:r>
        <w:rPr>
          <w:i/>
        </w:rPr>
        <w:t>Journal of Business Research</w:t>
      </w:r>
      <w:r>
        <w:t xml:space="preserve">, 134, pp. 1–12. </w:t>
      </w:r>
    </w:p>
    <w:p w14:paraId="02B006CE" w14:textId="166822B5" w:rsidR="00F37D32" w:rsidRDefault="00000000" w:rsidP="0024116E">
      <w:pPr>
        <w:spacing w:before="120" w:after="100" w:afterAutospacing="1" w:line="360" w:lineRule="auto"/>
        <w:ind w:left="-5" w:right="673" w:hanging="720"/>
      </w:pPr>
      <w:r>
        <w:t>Charles, V., Gherman, T. and Torres, R. (2023)</w:t>
      </w:r>
      <w:r w:rsidR="00C70EA1">
        <w:t>.</w:t>
      </w:r>
      <w:r>
        <w:t xml:space="preserve"> </w:t>
      </w:r>
      <w:r>
        <w:rPr>
          <w:i/>
        </w:rPr>
        <w:t>Data Analytics and Business Intelligence</w:t>
      </w:r>
      <w:r>
        <w:t xml:space="preserve">. Cham: Springer. </w:t>
      </w:r>
    </w:p>
    <w:p w14:paraId="3601CA8A" w14:textId="77777777" w:rsidR="00F37D32" w:rsidRDefault="00000000" w:rsidP="0024116E">
      <w:pPr>
        <w:spacing w:before="120" w:after="100" w:afterAutospacing="1" w:line="360" w:lineRule="auto"/>
        <w:ind w:left="-5" w:right="673" w:hanging="720"/>
      </w:pPr>
      <w:r>
        <w:t xml:space="preserve">Field, A. (2018) </w:t>
      </w:r>
      <w:r>
        <w:rPr>
          <w:i/>
        </w:rPr>
        <w:t>Discovering Statistics Using IBM SPSS Statistics</w:t>
      </w:r>
      <w:r>
        <w:t xml:space="preserve">. 5th edn. London: SAGE Publications. </w:t>
      </w:r>
    </w:p>
    <w:p w14:paraId="7DC3ED15" w14:textId="77777777" w:rsidR="00F37D32" w:rsidRDefault="00000000" w:rsidP="0024116E">
      <w:pPr>
        <w:spacing w:before="120" w:after="100" w:afterAutospacing="1" w:line="360" w:lineRule="auto"/>
        <w:ind w:left="0" w:hanging="720"/>
        <w:jc w:val="left"/>
      </w:pPr>
      <w:r>
        <w:rPr>
          <w:i/>
        </w:rPr>
        <w:t xml:space="preserve">Frequent questions (no date) Letterboxd. Available at: https://letterboxd.com/about/faq/ (Accessed: December 16, 2025). </w:t>
      </w:r>
    </w:p>
    <w:p w14:paraId="606B28BA" w14:textId="77777777" w:rsidR="00F37D32" w:rsidRDefault="00000000" w:rsidP="0024116E">
      <w:pPr>
        <w:spacing w:before="120" w:after="100" w:afterAutospacing="1" w:line="360" w:lineRule="auto"/>
        <w:ind w:left="-5" w:right="673" w:hanging="720"/>
      </w:pPr>
      <w:r>
        <w:t xml:space="preserve">George, D. and Mallery, P. (2024) </w:t>
      </w:r>
      <w:r>
        <w:rPr>
          <w:i/>
        </w:rPr>
        <w:t>IBM SPSS Statistics 29 Step by Step: A Simple Guide and Reference</w:t>
      </w:r>
      <w:r>
        <w:t xml:space="preserve">. 18th edn. New York: Routledge. </w:t>
      </w:r>
    </w:p>
    <w:p w14:paraId="0A064935" w14:textId="77777777" w:rsidR="00F37D32" w:rsidRDefault="00000000" w:rsidP="0024116E">
      <w:pPr>
        <w:spacing w:before="120" w:after="100" w:afterAutospacing="1" w:line="360" w:lineRule="auto"/>
        <w:ind w:left="-5" w:right="673" w:hanging="720"/>
      </w:pPr>
      <w:r>
        <w:t xml:space="preserve">Hair, J.F., Black, W.C., Babin, B.J. and Anderson, R.E. (2019) </w:t>
      </w:r>
      <w:r>
        <w:rPr>
          <w:i/>
        </w:rPr>
        <w:t>Multivariate Data Analysis</w:t>
      </w:r>
      <w:r>
        <w:t xml:space="preserve">. 8th edn. Andover: Cengage Learning. </w:t>
      </w:r>
    </w:p>
    <w:p w14:paraId="2E331D5E" w14:textId="77777777" w:rsidR="00F37D32" w:rsidRDefault="00000000" w:rsidP="0024116E">
      <w:pPr>
        <w:spacing w:before="120" w:after="100" w:afterAutospacing="1" w:line="360" w:lineRule="auto"/>
        <w:ind w:left="-5" w:right="673" w:hanging="720"/>
      </w:pPr>
      <w:r>
        <w:t xml:space="preserve">Janse, R.J., Hoekstra, T., Jager, K.J., Zoccali, C., and Dekker, F.W. (2021) ‘Correlation analysis: pitfalls and interpretation’, </w:t>
      </w:r>
      <w:r>
        <w:rPr>
          <w:i/>
        </w:rPr>
        <w:t>Journal of Clinical Epidemiology</w:t>
      </w:r>
      <w:r>
        <w:t xml:space="preserve">, 134, pp. 1–6. </w:t>
      </w:r>
    </w:p>
    <w:p w14:paraId="79FA71F1" w14:textId="77777777" w:rsidR="00F37D32" w:rsidRDefault="00000000" w:rsidP="0024116E">
      <w:pPr>
        <w:spacing w:before="120" w:after="100" w:afterAutospacing="1" w:line="360" w:lineRule="auto"/>
        <w:ind w:left="-5" w:right="673" w:hanging="720"/>
      </w:pPr>
      <w:r>
        <w:t xml:space="preserve">Michael, C.I., Chukwudi, O. and Eze, S.C. (2024) ‘Data-driven decision-making in information systems’, </w:t>
      </w:r>
      <w:r>
        <w:rPr>
          <w:i/>
        </w:rPr>
        <w:t>World Journal of Advanced Research and Reviews</w:t>
      </w:r>
      <w:r>
        <w:t xml:space="preserve">, 23(1), pp. 472–480. </w:t>
      </w:r>
    </w:p>
    <w:p w14:paraId="17F21FBE" w14:textId="77777777" w:rsidR="00F37D32" w:rsidRDefault="00000000" w:rsidP="0024116E">
      <w:pPr>
        <w:spacing w:before="120" w:after="100" w:afterAutospacing="1" w:line="360" w:lineRule="auto"/>
        <w:ind w:left="-5" w:right="673" w:hanging="720"/>
      </w:pPr>
      <w:r>
        <w:t xml:space="preserve">Niu, Y., Lu, Y., and Liu, J. (2021) ‘Organisational business intelligence and decision-making using big data analytics’, </w:t>
      </w:r>
      <w:r>
        <w:rPr>
          <w:i/>
        </w:rPr>
        <w:t>Information Processing &amp; Management</w:t>
      </w:r>
      <w:r>
        <w:t xml:space="preserve">, 58(5), 102725. </w:t>
      </w:r>
    </w:p>
    <w:p w14:paraId="3EB872CC" w14:textId="77777777" w:rsidR="00F37D32" w:rsidRDefault="00000000" w:rsidP="0024116E">
      <w:pPr>
        <w:spacing w:before="120" w:after="100" w:afterAutospacing="1" w:line="360" w:lineRule="auto"/>
        <w:ind w:left="-5" w:right="673" w:hanging="720"/>
      </w:pPr>
      <w:r>
        <w:t xml:space="preserve">Pallant, J. (2020) </w:t>
      </w:r>
      <w:r>
        <w:rPr>
          <w:i/>
        </w:rPr>
        <w:t>SPSS Survival Manual</w:t>
      </w:r>
      <w:r>
        <w:t xml:space="preserve">. 7th edn. Maidenhead: Open University Press. </w:t>
      </w:r>
    </w:p>
    <w:p w14:paraId="4518CD7B" w14:textId="77777777" w:rsidR="00F37D32" w:rsidRDefault="00000000" w:rsidP="0024116E">
      <w:pPr>
        <w:spacing w:before="120" w:after="100" w:afterAutospacing="1" w:line="360" w:lineRule="auto"/>
        <w:ind w:left="-5" w:right="673" w:hanging="720"/>
      </w:pPr>
      <w:r>
        <w:t xml:space="preserve">Roustaei, N. (2024) ‘Application and interpretation of linear regression analysis’, </w:t>
      </w:r>
      <w:r>
        <w:rPr>
          <w:i/>
        </w:rPr>
        <w:t>Medical Hypotheses, Discovery and Innovation in Medicine</w:t>
      </w:r>
      <w:r>
        <w:t xml:space="preserve">, 13(3), pp. 151–159. </w:t>
      </w:r>
    </w:p>
    <w:p w14:paraId="638FCB90" w14:textId="77777777" w:rsidR="00F37D32" w:rsidRDefault="00000000" w:rsidP="0024116E">
      <w:pPr>
        <w:spacing w:before="120" w:after="100" w:afterAutospacing="1" w:line="360" w:lineRule="auto"/>
        <w:ind w:left="-5" w:right="673" w:hanging="720"/>
      </w:pPr>
      <w:r>
        <w:lastRenderedPageBreak/>
        <w:t xml:space="preserve">Somandepalli, K., Presutti, M., Hager, G.D. and Yeung, S. (2021) ‘Computational media intelligence’, </w:t>
      </w:r>
      <w:r>
        <w:rPr>
          <w:i/>
        </w:rPr>
        <w:t>Proceedings of the IEEE</w:t>
      </w:r>
      <w:r>
        <w:t xml:space="preserve">, 109(5), pp. 891–913. </w:t>
      </w:r>
    </w:p>
    <w:p w14:paraId="1E813206" w14:textId="77777777" w:rsidR="00F37D32" w:rsidRDefault="00000000">
      <w:pPr>
        <w:pStyle w:val="Heading1"/>
        <w:spacing w:after="275"/>
        <w:ind w:left="-5"/>
      </w:pPr>
      <w:bookmarkStart w:id="15" w:name="_Toc12549"/>
      <w:r>
        <w:t xml:space="preserve">10. Appendix  </w:t>
      </w:r>
      <w:bookmarkEnd w:id="15"/>
    </w:p>
    <w:p w14:paraId="5D68DA6F" w14:textId="77777777" w:rsidR="00F37D32" w:rsidRDefault="00000000">
      <w:pPr>
        <w:pStyle w:val="Heading3"/>
        <w:spacing w:after="172"/>
        <w:ind w:left="-5"/>
      </w:pPr>
      <w:bookmarkStart w:id="16" w:name="_Toc12550"/>
      <w:r>
        <w:rPr>
          <w:i w:val="0"/>
          <w:sz w:val="28"/>
        </w:rPr>
        <w:t xml:space="preserve">10.1 Appendix A: Data Cleaning and Preparation (Excel) </w:t>
      </w:r>
      <w:bookmarkEnd w:id="16"/>
    </w:p>
    <w:p w14:paraId="1A90AE64" w14:textId="288F19F2" w:rsidR="00F37D32" w:rsidRDefault="00000000">
      <w:pPr>
        <w:spacing w:after="288"/>
        <w:ind w:left="-5" w:right="673"/>
      </w:pPr>
      <w:r>
        <w:t xml:space="preserve">This appendix offers additional proof for the data cleansing and preparation methodologies outlined in Section 2 of the study. The </w:t>
      </w:r>
      <w:r w:rsidR="00C70EA1">
        <w:t>figures below demonstrate the essential validation and transformation processes performed in Microsoft Excel to ensure data accuracy, consistency, and applicability for subsequent descriptive and inferential analyses</w:t>
      </w:r>
      <w:r>
        <w:t>.</w:t>
      </w:r>
      <w:r>
        <w:rPr>
          <w:b/>
          <w:i/>
        </w:rPr>
        <w:t xml:space="preserve"> </w:t>
      </w:r>
    </w:p>
    <w:p w14:paraId="3B7EF28B" w14:textId="455FE8FA" w:rsidR="00F37D32" w:rsidRDefault="00000000">
      <w:pPr>
        <w:pStyle w:val="Heading4"/>
        <w:ind w:left="-5"/>
      </w:pPr>
      <w:bookmarkStart w:id="17" w:name="_Toc12551"/>
      <w:r>
        <w:t xml:space="preserve">Figure A1: Initial Letterboxd dataset </w:t>
      </w:r>
      <w:r w:rsidR="00C70EA1">
        <w:t>before</w:t>
      </w:r>
      <w:r>
        <w:t xml:space="preserve"> cleaning </w:t>
      </w:r>
      <w:bookmarkEnd w:id="17"/>
    </w:p>
    <w:p w14:paraId="102B8B87" w14:textId="77777777" w:rsidR="00F37D32" w:rsidRDefault="00000000">
      <w:pPr>
        <w:spacing w:after="107"/>
        <w:ind w:left="-5" w:right="673"/>
      </w:pPr>
      <w:r>
        <w:t xml:space="preserve">This figure shows the original dataset structure before any cleaning or validation steps were applied. </w:t>
      </w:r>
    </w:p>
    <w:p w14:paraId="71946307" w14:textId="77777777" w:rsidR="00F37D32" w:rsidRDefault="00000000">
      <w:pPr>
        <w:spacing w:after="345" w:line="259" w:lineRule="auto"/>
        <w:ind w:left="-1" w:right="130" w:firstLine="0"/>
        <w:jc w:val="right"/>
      </w:pPr>
      <w:r>
        <w:rPr>
          <w:noProof/>
        </w:rPr>
        <w:drawing>
          <wp:inline distT="0" distB="0" distL="0" distR="0" wp14:anchorId="01A3DCC8" wp14:editId="0659845B">
            <wp:extent cx="6035040" cy="4400169"/>
            <wp:effectExtent l="0" t="0" r="0" b="0"/>
            <wp:docPr id="1062" name="Picture 1062"/>
            <wp:cNvGraphicFramePr/>
            <a:graphic xmlns:a="http://schemas.openxmlformats.org/drawingml/2006/main">
              <a:graphicData uri="http://schemas.openxmlformats.org/drawingml/2006/picture">
                <pic:pic xmlns:pic="http://schemas.openxmlformats.org/drawingml/2006/picture">
                  <pic:nvPicPr>
                    <pic:cNvPr id="1062" name="Picture 1062"/>
                    <pic:cNvPicPr/>
                  </pic:nvPicPr>
                  <pic:blipFill>
                    <a:blip r:embed="rId15"/>
                    <a:stretch>
                      <a:fillRect/>
                    </a:stretch>
                  </pic:blipFill>
                  <pic:spPr>
                    <a:xfrm>
                      <a:off x="0" y="0"/>
                      <a:ext cx="6035040" cy="4400169"/>
                    </a:xfrm>
                    <a:prstGeom prst="rect">
                      <a:avLst/>
                    </a:prstGeom>
                  </pic:spPr>
                </pic:pic>
              </a:graphicData>
            </a:graphic>
          </wp:inline>
        </w:drawing>
      </w:r>
      <w:r>
        <w:t xml:space="preserve"> </w:t>
      </w:r>
    </w:p>
    <w:p w14:paraId="64A7EB18" w14:textId="77777777" w:rsidR="00F37D32" w:rsidRDefault="00000000">
      <w:pPr>
        <w:pStyle w:val="Heading4"/>
        <w:ind w:left="-5"/>
      </w:pPr>
      <w:bookmarkStart w:id="18" w:name="_Toc12552"/>
      <w:r>
        <w:lastRenderedPageBreak/>
        <w:t xml:space="preserve">Figure A2: Identification and removal of duplicate film records </w:t>
      </w:r>
      <w:bookmarkEnd w:id="18"/>
    </w:p>
    <w:p w14:paraId="18F2D2C2" w14:textId="77777777" w:rsidR="00F37D32" w:rsidRDefault="00000000">
      <w:pPr>
        <w:ind w:left="-5" w:right="673"/>
      </w:pPr>
      <w:r>
        <w:t xml:space="preserve">This figure confirms the detection and removal of duplicate film records, resulting in a final dataset of 9,664 unique observations. </w:t>
      </w:r>
    </w:p>
    <w:p w14:paraId="368C2A8E" w14:textId="77777777" w:rsidR="00F37D32" w:rsidRDefault="00000000">
      <w:pPr>
        <w:spacing w:after="345" w:line="259" w:lineRule="auto"/>
        <w:ind w:left="-1" w:right="610" w:firstLine="0"/>
        <w:jc w:val="right"/>
      </w:pPr>
      <w:r>
        <w:rPr>
          <w:noProof/>
        </w:rPr>
        <w:drawing>
          <wp:inline distT="0" distB="0" distL="0" distR="0" wp14:anchorId="3337442B" wp14:editId="6A3EF1EE">
            <wp:extent cx="5731510" cy="2426335"/>
            <wp:effectExtent l="0" t="0" r="0" b="0"/>
            <wp:docPr id="1085" name="Picture 1085"/>
            <wp:cNvGraphicFramePr/>
            <a:graphic xmlns:a="http://schemas.openxmlformats.org/drawingml/2006/main">
              <a:graphicData uri="http://schemas.openxmlformats.org/drawingml/2006/picture">
                <pic:pic xmlns:pic="http://schemas.openxmlformats.org/drawingml/2006/picture">
                  <pic:nvPicPr>
                    <pic:cNvPr id="1085" name="Picture 1085"/>
                    <pic:cNvPicPr/>
                  </pic:nvPicPr>
                  <pic:blipFill>
                    <a:blip r:embed="rId8"/>
                    <a:stretch>
                      <a:fillRect/>
                    </a:stretch>
                  </pic:blipFill>
                  <pic:spPr>
                    <a:xfrm>
                      <a:off x="0" y="0"/>
                      <a:ext cx="5731510" cy="2426335"/>
                    </a:xfrm>
                    <a:prstGeom prst="rect">
                      <a:avLst/>
                    </a:prstGeom>
                  </pic:spPr>
                </pic:pic>
              </a:graphicData>
            </a:graphic>
          </wp:inline>
        </w:drawing>
      </w:r>
      <w:r>
        <w:t xml:space="preserve"> </w:t>
      </w:r>
    </w:p>
    <w:p w14:paraId="3A494767" w14:textId="77777777" w:rsidR="00F37D32" w:rsidRDefault="00000000">
      <w:pPr>
        <w:pStyle w:val="Heading4"/>
        <w:ind w:left="-5"/>
      </w:pPr>
      <w:bookmarkStart w:id="19" w:name="_Toc12553"/>
      <w:r>
        <w:t xml:space="preserve">Figure A3: Verification of missing values across key numerical variables </w:t>
      </w:r>
      <w:bookmarkEnd w:id="19"/>
    </w:p>
    <w:p w14:paraId="28450EA4" w14:textId="77777777" w:rsidR="00F37D32" w:rsidRDefault="00000000">
      <w:pPr>
        <w:spacing w:after="105"/>
        <w:ind w:left="-5" w:right="673"/>
      </w:pPr>
      <w:r>
        <w:t xml:space="preserve">This figure proves that no missing values were present across the key numerical variables used in the analysis, including runtime, watches, likes, fans, and ratings. </w:t>
      </w:r>
    </w:p>
    <w:p w14:paraId="7C4F6358" w14:textId="77777777" w:rsidR="00F37D32" w:rsidRDefault="00000000">
      <w:pPr>
        <w:spacing w:after="340" w:line="259" w:lineRule="auto"/>
        <w:ind w:left="-1" w:right="610" w:firstLine="0"/>
        <w:jc w:val="right"/>
      </w:pPr>
      <w:r>
        <w:rPr>
          <w:noProof/>
        </w:rPr>
        <w:lastRenderedPageBreak/>
        <w:drawing>
          <wp:inline distT="0" distB="0" distL="0" distR="0" wp14:anchorId="0BD41CE1" wp14:editId="6364A4A0">
            <wp:extent cx="5731510" cy="4431665"/>
            <wp:effectExtent l="0" t="0" r="0" b="0"/>
            <wp:docPr id="1087" name="Picture 1087"/>
            <wp:cNvGraphicFramePr/>
            <a:graphic xmlns:a="http://schemas.openxmlformats.org/drawingml/2006/main">
              <a:graphicData uri="http://schemas.openxmlformats.org/drawingml/2006/picture">
                <pic:pic xmlns:pic="http://schemas.openxmlformats.org/drawingml/2006/picture">
                  <pic:nvPicPr>
                    <pic:cNvPr id="1087" name="Picture 1087"/>
                    <pic:cNvPicPr/>
                  </pic:nvPicPr>
                  <pic:blipFill>
                    <a:blip r:embed="rId16"/>
                    <a:stretch>
                      <a:fillRect/>
                    </a:stretch>
                  </pic:blipFill>
                  <pic:spPr>
                    <a:xfrm>
                      <a:off x="0" y="0"/>
                      <a:ext cx="5731510" cy="4431665"/>
                    </a:xfrm>
                    <a:prstGeom prst="rect">
                      <a:avLst/>
                    </a:prstGeom>
                  </pic:spPr>
                </pic:pic>
              </a:graphicData>
            </a:graphic>
          </wp:inline>
        </w:drawing>
      </w:r>
      <w:r>
        <w:t xml:space="preserve"> </w:t>
      </w:r>
    </w:p>
    <w:p w14:paraId="0CA328E6" w14:textId="77777777" w:rsidR="00F37D32" w:rsidRDefault="00000000">
      <w:pPr>
        <w:pStyle w:val="Heading4"/>
        <w:ind w:left="-5"/>
      </w:pPr>
      <w:bookmarkStart w:id="20" w:name="_Toc12554"/>
      <w:r>
        <w:t xml:space="preserve">Figure A4: Identification of extreme runtime values </w:t>
      </w:r>
      <w:bookmarkEnd w:id="20"/>
    </w:p>
    <w:p w14:paraId="6A64B1D4" w14:textId="77777777" w:rsidR="00F37D32" w:rsidRDefault="00000000">
      <w:pPr>
        <w:spacing w:after="105"/>
        <w:ind w:left="-5" w:right="673"/>
      </w:pPr>
      <w:r>
        <w:t xml:space="preserve">This figure illustrates the identification of unusually high runtime values. These observations were retained following plausibility checks, as extreme values are a known characteristic of media datasets. </w:t>
      </w:r>
    </w:p>
    <w:p w14:paraId="34070DA6" w14:textId="77777777" w:rsidR="00F37D32" w:rsidRDefault="00000000">
      <w:pPr>
        <w:spacing w:after="345" w:line="259" w:lineRule="auto"/>
        <w:ind w:left="-1" w:right="610" w:firstLine="0"/>
        <w:jc w:val="right"/>
      </w:pPr>
      <w:r>
        <w:rPr>
          <w:noProof/>
        </w:rPr>
        <w:drawing>
          <wp:inline distT="0" distB="0" distL="0" distR="0" wp14:anchorId="270C7381" wp14:editId="23B7EC7D">
            <wp:extent cx="5731510" cy="2434590"/>
            <wp:effectExtent l="0" t="0" r="0" b="0"/>
            <wp:docPr id="1131" name="Picture 1131"/>
            <wp:cNvGraphicFramePr/>
            <a:graphic xmlns:a="http://schemas.openxmlformats.org/drawingml/2006/main">
              <a:graphicData uri="http://schemas.openxmlformats.org/drawingml/2006/picture">
                <pic:pic xmlns:pic="http://schemas.openxmlformats.org/drawingml/2006/picture">
                  <pic:nvPicPr>
                    <pic:cNvPr id="1131" name="Picture 1131"/>
                    <pic:cNvPicPr/>
                  </pic:nvPicPr>
                  <pic:blipFill>
                    <a:blip r:embed="rId17"/>
                    <a:stretch>
                      <a:fillRect/>
                    </a:stretch>
                  </pic:blipFill>
                  <pic:spPr>
                    <a:xfrm>
                      <a:off x="0" y="0"/>
                      <a:ext cx="5731510" cy="2434590"/>
                    </a:xfrm>
                    <a:prstGeom prst="rect">
                      <a:avLst/>
                    </a:prstGeom>
                  </pic:spPr>
                </pic:pic>
              </a:graphicData>
            </a:graphic>
          </wp:inline>
        </w:drawing>
      </w:r>
      <w:r>
        <w:t xml:space="preserve"> </w:t>
      </w:r>
    </w:p>
    <w:p w14:paraId="0DA367E8" w14:textId="77777777" w:rsidR="00F37D32" w:rsidRDefault="00000000">
      <w:pPr>
        <w:pStyle w:val="Heading4"/>
        <w:ind w:left="-5"/>
      </w:pPr>
      <w:bookmarkStart w:id="21" w:name="_Toc12555"/>
      <w:r>
        <w:lastRenderedPageBreak/>
        <w:t xml:space="preserve">Figure A5: Creation of English and Non-English language classification </w:t>
      </w:r>
      <w:bookmarkEnd w:id="21"/>
    </w:p>
    <w:p w14:paraId="50D5F783" w14:textId="3B56758C" w:rsidR="00F37D32" w:rsidRDefault="00000000">
      <w:pPr>
        <w:spacing w:after="105"/>
        <w:ind w:left="-5" w:right="673"/>
      </w:pPr>
      <w:r>
        <w:t xml:space="preserve">This figure </w:t>
      </w:r>
      <w:r w:rsidR="00C70EA1">
        <w:t>illustrates the derivation of a binary categorical variable used to classify films as English or non-English based on original-language</w:t>
      </w:r>
      <w:r>
        <w:t xml:space="preserve"> metadata. </w:t>
      </w:r>
    </w:p>
    <w:p w14:paraId="3B853A53" w14:textId="77777777" w:rsidR="00F37D32" w:rsidRDefault="00000000">
      <w:pPr>
        <w:spacing w:after="260" w:line="259" w:lineRule="auto"/>
        <w:ind w:left="-1" w:right="610" w:firstLine="0"/>
        <w:jc w:val="right"/>
      </w:pPr>
      <w:r>
        <w:rPr>
          <w:noProof/>
        </w:rPr>
        <w:drawing>
          <wp:inline distT="0" distB="0" distL="0" distR="0" wp14:anchorId="61F83BF8" wp14:editId="0B217AA7">
            <wp:extent cx="5731510" cy="2713990"/>
            <wp:effectExtent l="0" t="0" r="0" b="0"/>
            <wp:docPr id="1133" name="Picture 1133"/>
            <wp:cNvGraphicFramePr/>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18"/>
                    <a:stretch>
                      <a:fillRect/>
                    </a:stretch>
                  </pic:blipFill>
                  <pic:spPr>
                    <a:xfrm>
                      <a:off x="0" y="0"/>
                      <a:ext cx="5731510" cy="2713990"/>
                    </a:xfrm>
                    <a:prstGeom prst="rect">
                      <a:avLst/>
                    </a:prstGeom>
                  </pic:spPr>
                </pic:pic>
              </a:graphicData>
            </a:graphic>
          </wp:inline>
        </w:drawing>
      </w:r>
      <w:r>
        <w:t xml:space="preserve"> </w:t>
      </w:r>
    </w:p>
    <w:p w14:paraId="011B64E9" w14:textId="77777777" w:rsidR="00F37D32" w:rsidRDefault="00000000">
      <w:pPr>
        <w:pStyle w:val="Heading3"/>
        <w:spacing w:after="172"/>
        <w:ind w:left="-5"/>
      </w:pPr>
      <w:bookmarkStart w:id="22" w:name="_Toc12556"/>
      <w:r>
        <w:rPr>
          <w:i w:val="0"/>
          <w:sz w:val="28"/>
        </w:rPr>
        <w:t xml:space="preserve">10.2 Appendix B: Descriptive Statistics and Summary Analysis </w:t>
      </w:r>
      <w:bookmarkEnd w:id="22"/>
    </w:p>
    <w:p w14:paraId="12FB018F" w14:textId="4E8ECFE1" w:rsidR="00F37D32" w:rsidRDefault="00000000">
      <w:pPr>
        <w:ind w:left="-5" w:right="673"/>
      </w:pPr>
      <w:r>
        <w:t xml:space="preserve">This appendix features supporting outputs for the descriptive analysis discussed in </w:t>
      </w:r>
      <w:r>
        <w:rPr>
          <w:b/>
        </w:rPr>
        <w:t>Section 3</w:t>
      </w:r>
      <w:r>
        <w:t xml:space="preserve"> of the report. The figures presented here document the calculation of summary statistics and group-level comparisons conducted in Microsoft Excel to explore the distributional characteristics of ratings and engagement metrics </w:t>
      </w:r>
      <w:r w:rsidR="00C70EA1">
        <w:t>before trend and inferential analyses</w:t>
      </w:r>
      <w:r>
        <w:t xml:space="preserve">. </w:t>
      </w:r>
    </w:p>
    <w:p w14:paraId="4277864B" w14:textId="77777777" w:rsidR="00F37D32" w:rsidRDefault="00000000">
      <w:pPr>
        <w:pStyle w:val="Heading4"/>
        <w:ind w:left="-5"/>
      </w:pPr>
      <w:bookmarkStart w:id="23" w:name="_Toc12557"/>
      <w:r>
        <w:t xml:space="preserve">Figure B1: Descriptive statistics for key numerical variables </w:t>
      </w:r>
      <w:bookmarkEnd w:id="23"/>
    </w:p>
    <w:p w14:paraId="7E67CB30" w14:textId="77777777" w:rsidR="00F37D32" w:rsidRDefault="00000000">
      <w:pPr>
        <w:spacing w:after="105"/>
        <w:ind w:left="-5" w:right="673"/>
      </w:pPr>
      <w:r>
        <w:t xml:space="preserve">This figure presents summary statistics for average film ratings and engagement metrics, including mean, median, standard deviation, skewness, and kurtosis. The results highlight substantial positive skewness and kurtosis in engagement variables, indicating highly unequal distributions of audience interaction across films. </w:t>
      </w:r>
    </w:p>
    <w:p w14:paraId="6EEAF429" w14:textId="77777777" w:rsidR="00F37D32" w:rsidRDefault="00000000">
      <w:pPr>
        <w:spacing w:after="345" w:line="259" w:lineRule="auto"/>
        <w:ind w:left="-1" w:right="580" w:firstLine="0"/>
        <w:jc w:val="right"/>
      </w:pPr>
      <w:r>
        <w:rPr>
          <w:noProof/>
        </w:rPr>
        <w:lastRenderedPageBreak/>
        <w:drawing>
          <wp:inline distT="0" distB="0" distL="0" distR="0" wp14:anchorId="1E6B1F2E" wp14:editId="0E97D845">
            <wp:extent cx="5751195" cy="4752975"/>
            <wp:effectExtent l="0" t="0" r="0" b="0"/>
            <wp:docPr id="1169" name="Picture 1169"/>
            <wp:cNvGraphicFramePr/>
            <a:graphic xmlns:a="http://schemas.openxmlformats.org/drawingml/2006/main">
              <a:graphicData uri="http://schemas.openxmlformats.org/drawingml/2006/picture">
                <pic:pic xmlns:pic="http://schemas.openxmlformats.org/drawingml/2006/picture">
                  <pic:nvPicPr>
                    <pic:cNvPr id="1169" name="Picture 1169"/>
                    <pic:cNvPicPr/>
                  </pic:nvPicPr>
                  <pic:blipFill>
                    <a:blip r:embed="rId19"/>
                    <a:stretch>
                      <a:fillRect/>
                    </a:stretch>
                  </pic:blipFill>
                  <pic:spPr>
                    <a:xfrm>
                      <a:off x="0" y="0"/>
                      <a:ext cx="5751195" cy="4752975"/>
                    </a:xfrm>
                    <a:prstGeom prst="rect">
                      <a:avLst/>
                    </a:prstGeom>
                  </pic:spPr>
                </pic:pic>
              </a:graphicData>
            </a:graphic>
          </wp:inline>
        </w:drawing>
      </w:r>
      <w:r>
        <w:t xml:space="preserve"> </w:t>
      </w:r>
    </w:p>
    <w:p w14:paraId="46A5AF52" w14:textId="77777777" w:rsidR="00F37D32" w:rsidRDefault="00000000">
      <w:pPr>
        <w:pStyle w:val="Heading4"/>
        <w:ind w:left="-5"/>
      </w:pPr>
      <w:bookmarkStart w:id="24" w:name="_Toc12558"/>
      <w:r>
        <w:t xml:space="preserve">Figure B2: Average film ratings by language group </w:t>
      </w:r>
      <w:bookmarkEnd w:id="24"/>
    </w:p>
    <w:p w14:paraId="5D43C251" w14:textId="07F2C5ED" w:rsidR="00F37D32" w:rsidRDefault="00000000">
      <w:pPr>
        <w:ind w:left="-5" w:right="673"/>
      </w:pPr>
      <w:r>
        <w:t xml:space="preserve">This figure shows the average film ratings for </w:t>
      </w:r>
      <w:r w:rsidR="00C70EA1">
        <w:t>English-language and non-English-language</w:t>
      </w:r>
      <w:r>
        <w:t xml:space="preserve"> films. The comparison indicates that, despite lower </w:t>
      </w:r>
      <w:r w:rsidR="00C70EA1">
        <w:t>overall engagement, non-English films receive higher average ratings, motivating further comparative and inferential analyses</w:t>
      </w:r>
      <w:r>
        <w:t xml:space="preserve"> in subsequent sections of the report. </w:t>
      </w:r>
    </w:p>
    <w:p w14:paraId="0B827BFD" w14:textId="77777777" w:rsidR="00F37D32" w:rsidRDefault="00000000">
      <w:pPr>
        <w:spacing w:after="0" w:line="259" w:lineRule="auto"/>
        <w:ind w:left="0" w:firstLine="0"/>
        <w:jc w:val="left"/>
      </w:pPr>
      <w:r>
        <w:t xml:space="preserve"> </w:t>
      </w:r>
    </w:p>
    <w:p w14:paraId="27DB553B" w14:textId="77777777" w:rsidR="00F37D32" w:rsidRDefault="00000000">
      <w:pPr>
        <w:spacing w:after="265" w:line="259" w:lineRule="auto"/>
        <w:ind w:left="0" w:right="1760" w:firstLine="0"/>
        <w:jc w:val="right"/>
      </w:pPr>
      <w:r>
        <w:rPr>
          <w:noProof/>
        </w:rPr>
        <w:lastRenderedPageBreak/>
        <w:drawing>
          <wp:inline distT="0" distB="0" distL="0" distR="0" wp14:anchorId="72507726" wp14:editId="13F7F3D4">
            <wp:extent cx="4276344" cy="6966585"/>
            <wp:effectExtent l="0" t="0" r="0" b="0"/>
            <wp:docPr id="1187" name="Picture 1187"/>
            <wp:cNvGraphicFramePr/>
            <a:graphic xmlns:a="http://schemas.openxmlformats.org/drawingml/2006/main">
              <a:graphicData uri="http://schemas.openxmlformats.org/drawingml/2006/picture">
                <pic:pic xmlns:pic="http://schemas.openxmlformats.org/drawingml/2006/picture">
                  <pic:nvPicPr>
                    <pic:cNvPr id="1187" name="Picture 1187"/>
                    <pic:cNvPicPr/>
                  </pic:nvPicPr>
                  <pic:blipFill>
                    <a:blip r:embed="rId10"/>
                    <a:stretch>
                      <a:fillRect/>
                    </a:stretch>
                  </pic:blipFill>
                  <pic:spPr>
                    <a:xfrm>
                      <a:off x="0" y="0"/>
                      <a:ext cx="4276344" cy="6966585"/>
                    </a:xfrm>
                    <a:prstGeom prst="rect">
                      <a:avLst/>
                    </a:prstGeom>
                  </pic:spPr>
                </pic:pic>
              </a:graphicData>
            </a:graphic>
          </wp:inline>
        </w:drawing>
      </w:r>
      <w:r>
        <w:t xml:space="preserve"> </w:t>
      </w:r>
    </w:p>
    <w:p w14:paraId="24617461" w14:textId="77777777" w:rsidR="00F37D32" w:rsidRDefault="00000000">
      <w:pPr>
        <w:pStyle w:val="Heading3"/>
        <w:spacing w:after="172"/>
        <w:ind w:left="-5"/>
      </w:pPr>
      <w:bookmarkStart w:id="25" w:name="_Toc12559"/>
      <w:r>
        <w:rPr>
          <w:i w:val="0"/>
          <w:sz w:val="28"/>
        </w:rPr>
        <w:t xml:space="preserve">10.3 Appendix C: Trend Analysis and Visualisation (Excel) </w:t>
      </w:r>
      <w:bookmarkEnd w:id="25"/>
    </w:p>
    <w:p w14:paraId="49BA6CB4" w14:textId="6A9C5337" w:rsidR="00F37D32" w:rsidRDefault="00000000">
      <w:pPr>
        <w:ind w:left="-5" w:right="673"/>
      </w:pPr>
      <w:r>
        <w:t xml:space="preserve">This appendix </w:t>
      </w:r>
      <w:r w:rsidR="00C70EA1">
        <w:t>presents supporting visualisations</w:t>
      </w:r>
      <w:r>
        <w:t xml:space="preserve"> for the trend analysis discussed in </w:t>
      </w:r>
      <w:r>
        <w:rPr>
          <w:b/>
        </w:rPr>
        <w:t>Section 4</w:t>
      </w:r>
      <w:r>
        <w:t xml:space="preserve"> of the report. The figures document the use of Microsoft Excel PivotTables and charts to explore differences in audience engagement metrics across language groups </w:t>
      </w:r>
      <w:r w:rsidR="00C70EA1">
        <w:t>before</w:t>
      </w:r>
      <w:r>
        <w:t xml:space="preserve"> inferential statistical testing. </w:t>
      </w:r>
    </w:p>
    <w:p w14:paraId="0FE90977" w14:textId="77777777" w:rsidR="00F37D32" w:rsidRDefault="00000000">
      <w:pPr>
        <w:pStyle w:val="Heading3"/>
        <w:ind w:left="-5"/>
      </w:pPr>
      <w:bookmarkStart w:id="26" w:name="_Toc12560"/>
      <w:r>
        <w:lastRenderedPageBreak/>
        <w:t xml:space="preserve">Figure C1: PivotTable configuration for engagement analysis by language group </w:t>
      </w:r>
      <w:bookmarkEnd w:id="26"/>
    </w:p>
    <w:p w14:paraId="7A1CC60F" w14:textId="5A9ADCFC" w:rsidR="00F37D32" w:rsidRDefault="00000000">
      <w:pPr>
        <w:ind w:left="-5" w:right="673"/>
      </w:pPr>
      <w:r>
        <w:t xml:space="preserve">This figure illustrates the PivotTable structure used to calculate </w:t>
      </w:r>
      <w:r w:rsidR="00424FEA">
        <w:t>the average number of watches, likes, and fans</w:t>
      </w:r>
      <w:r>
        <w:t xml:space="preserve"> for English and </w:t>
      </w:r>
      <w:r w:rsidR="00C70EA1">
        <w:t>non-English</w:t>
      </w:r>
      <w:r>
        <w:t xml:space="preserve"> films. The configuration enables direct comparison of engagement intensity across language categories. </w:t>
      </w:r>
    </w:p>
    <w:p w14:paraId="3CE7379E" w14:textId="77777777" w:rsidR="00F37D32" w:rsidRDefault="00000000">
      <w:pPr>
        <w:spacing w:after="212" w:line="259" w:lineRule="auto"/>
        <w:ind w:left="0" w:firstLine="0"/>
        <w:jc w:val="left"/>
      </w:pPr>
      <w:r>
        <w:t xml:space="preserve"> </w:t>
      </w:r>
    </w:p>
    <w:p w14:paraId="0D4D8025" w14:textId="77777777" w:rsidR="00F37D32" w:rsidRDefault="00000000">
      <w:pPr>
        <w:spacing w:after="345" w:line="259" w:lineRule="auto"/>
        <w:ind w:left="0" w:right="619" w:firstLine="0"/>
        <w:jc w:val="center"/>
      </w:pPr>
      <w:r>
        <w:rPr>
          <w:noProof/>
        </w:rPr>
        <w:drawing>
          <wp:inline distT="0" distB="0" distL="0" distR="0" wp14:anchorId="2A51CBC8" wp14:editId="1F03813D">
            <wp:extent cx="1668780" cy="4780026"/>
            <wp:effectExtent l="0" t="0" r="0" b="0"/>
            <wp:docPr id="1217" name="Picture 1217"/>
            <wp:cNvGraphicFramePr/>
            <a:graphic xmlns:a="http://schemas.openxmlformats.org/drawingml/2006/main">
              <a:graphicData uri="http://schemas.openxmlformats.org/drawingml/2006/picture">
                <pic:pic xmlns:pic="http://schemas.openxmlformats.org/drawingml/2006/picture">
                  <pic:nvPicPr>
                    <pic:cNvPr id="1217" name="Picture 1217"/>
                    <pic:cNvPicPr/>
                  </pic:nvPicPr>
                  <pic:blipFill>
                    <a:blip r:embed="rId20"/>
                    <a:stretch>
                      <a:fillRect/>
                    </a:stretch>
                  </pic:blipFill>
                  <pic:spPr>
                    <a:xfrm>
                      <a:off x="0" y="0"/>
                      <a:ext cx="1668780" cy="4780026"/>
                    </a:xfrm>
                    <a:prstGeom prst="rect">
                      <a:avLst/>
                    </a:prstGeom>
                  </pic:spPr>
                </pic:pic>
              </a:graphicData>
            </a:graphic>
          </wp:inline>
        </w:drawing>
      </w:r>
      <w:r>
        <w:t xml:space="preserve"> </w:t>
      </w:r>
    </w:p>
    <w:p w14:paraId="7139B373" w14:textId="77777777" w:rsidR="00F37D32" w:rsidRDefault="00000000">
      <w:pPr>
        <w:pStyle w:val="Heading3"/>
        <w:ind w:left="-5"/>
      </w:pPr>
      <w:bookmarkStart w:id="27" w:name="_Toc12561"/>
      <w:r>
        <w:t xml:space="preserve">Figure C2: Average engagement metrics by language group </w:t>
      </w:r>
      <w:bookmarkEnd w:id="27"/>
    </w:p>
    <w:p w14:paraId="4DA642D4" w14:textId="77777777" w:rsidR="00F37D32" w:rsidRDefault="00000000">
      <w:pPr>
        <w:ind w:left="-5" w:right="673"/>
      </w:pPr>
      <w:r>
        <w:t xml:space="preserve">This figure presents a visual comparison of audience engagement metrics across language groups. English-language films demonstrate higher engagement across all metrics, highlighting the influence of platform visibility and audience reach. </w:t>
      </w:r>
    </w:p>
    <w:p w14:paraId="7E5EA92F" w14:textId="77777777" w:rsidR="00F37D32" w:rsidRDefault="00000000">
      <w:pPr>
        <w:spacing w:after="265" w:line="259" w:lineRule="auto"/>
        <w:ind w:left="0" w:right="870" w:firstLine="0"/>
        <w:jc w:val="right"/>
      </w:pPr>
      <w:r>
        <w:rPr>
          <w:noProof/>
        </w:rPr>
        <w:lastRenderedPageBreak/>
        <w:drawing>
          <wp:inline distT="0" distB="0" distL="0" distR="0" wp14:anchorId="6481C2DF" wp14:editId="611DCA50">
            <wp:extent cx="5410200" cy="4781550"/>
            <wp:effectExtent l="0" t="0" r="0" b="0"/>
            <wp:docPr id="1248" name="Picture 1248"/>
            <wp:cNvGraphicFramePr/>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21"/>
                    <a:stretch>
                      <a:fillRect/>
                    </a:stretch>
                  </pic:blipFill>
                  <pic:spPr>
                    <a:xfrm>
                      <a:off x="0" y="0"/>
                      <a:ext cx="5410200" cy="4781550"/>
                    </a:xfrm>
                    <a:prstGeom prst="rect">
                      <a:avLst/>
                    </a:prstGeom>
                  </pic:spPr>
                </pic:pic>
              </a:graphicData>
            </a:graphic>
          </wp:inline>
        </w:drawing>
      </w:r>
      <w:r>
        <w:t xml:space="preserve"> </w:t>
      </w:r>
    </w:p>
    <w:p w14:paraId="108D7F0A" w14:textId="77777777" w:rsidR="00F37D32" w:rsidRDefault="00000000">
      <w:pPr>
        <w:pStyle w:val="Heading2"/>
        <w:ind w:left="-5"/>
      </w:pPr>
      <w:bookmarkStart w:id="28" w:name="_Toc12562"/>
      <w:r>
        <w:t xml:space="preserve">10.4 Appendix D: SPSS Outputs and Diagnostic Tests </w:t>
      </w:r>
      <w:bookmarkEnd w:id="28"/>
    </w:p>
    <w:p w14:paraId="1F4F6BFD" w14:textId="3BA22FC7" w:rsidR="00F37D32" w:rsidRDefault="00C70EA1">
      <w:pPr>
        <w:spacing w:after="282"/>
        <w:ind w:left="-5" w:right="673"/>
      </w:pPr>
      <w:r>
        <w:t xml:space="preserve">Appendix D displays the statistical results and diagnostic tests outlined in Section 5. These findings aim to demonstrate the validity of the inferential analysis and ensure transparency regarding model assumptions, all while maintaining clarity and conciseness in the main report. </w:t>
      </w:r>
    </w:p>
    <w:p w14:paraId="44EE9C15" w14:textId="77777777" w:rsidR="00F37D32" w:rsidRDefault="00000000">
      <w:pPr>
        <w:pStyle w:val="Heading3"/>
        <w:ind w:left="-5"/>
      </w:pPr>
      <w:bookmarkStart w:id="29" w:name="_Toc12563"/>
      <w:r>
        <w:t xml:space="preserve">Appendix D1: Collinearity Diagnostics </w:t>
      </w:r>
      <w:bookmarkEnd w:id="29"/>
    </w:p>
    <w:p w14:paraId="10E69CEF" w14:textId="6BD1DCAA" w:rsidR="00F37D32" w:rsidRDefault="00C70EA1">
      <w:pPr>
        <w:ind w:left="-5" w:right="673"/>
      </w:pPr>
      <w:r>
        <w:t xml:space="preserve">Collinearity diagnostics were assessed using the tolerance and Variance Inflation Factor (VIF) metrics. Elevated VIF values were observed for the engagement measures, indicating strong intercorrelations among predictors. This confirms the presence of multicollinearity, consistent with the correlation matrix shown in Section 5, and calls for careful interpretation of individual regression outcomes. </w:t>
      </w:r>
    </w:p>
    <w:p w14:paraId="7A1F455A" w14:textId="77777777" w:rsidR="00F37D32" w:rsidRDefault="00000000">
      <w:pPr>
        <w:spacing w:after="54" w:line="259" w:lineRule="auto"/>
        <w:ind w:left="0" w:right="620" w:firstLine="0"/>
        <w:jc w:val="center"/>
      </w:pPr>
      <w:r>
        <w:t xml:space="preserve"> </w:t>
      </w:r>
    </w:p>
    <w:p w14:paraId="1CB4874E" w14:textId="77777777" w:rsidR="00F37D32" w:rsidRDefault="00000000">
      <w:pPr>
        <w:spacing w:after="270" w:line="259" w:lineRule="auto"/>
        <w:ind w:left="0" w:right="1290" w:firstLine="0"/>
        <w:jc w:val="right"/>
      </w:pPr>
      <w:r>
        <w:rPr>
          <w:noProof/>
        </w:rPr>
        <w:lastRenderedPageBreak/>
        <w:drawing>
          <wp:inline distT="0" distB="0" distL="0" distR="0" wp14:anchorId="4EE74F14" wp14:editId="1AD1A150">
            <wp:extent cx="4876800" cy="3999865"/>
            <wp:effectExtent l="0" t="0" r="0" b="0"/>
            <wp:docPr id="1282" name="Picture 1282"/>
            <wp:cNvGraphicFramePr/>
            <a:graphic xmlns:a="http://schemas.openxmlformats.org/drawingml/2006/main">
              <a:graphicData uri="http://schemas.openxmlformats.org/drawingml/2006/picture">
                <pic:pic xmlns:pic="http://schemas.openxmlformats.org/drawingml/2006/picture">
                  <pic:nvPicPr>
                    <pic:cNvPr id="1282" name="Picture 1282"/>
                    <pic:cNvPicPr/>
                  </pic:nvPicPr>
                  <pic:blipFill>
                    <a:blip r:embed="rId22"/>
                    <a:stretch>
                      <a:fillRect/>
                    </a:stretch>
                  </pic:blipFill>
                  <pic:spPr>
                    <a:xfrm>
                      <a:off x="0" y="0"/>
                      <a:ext cx="4876800" cy="3999865"/>
                    </a:xfrm>
                    <a:prstGeom prst="rect">
                      <a:avLst/>
                    </a:prstGeom>
                  </pic:spPr>
                </pic:pic>
              </a:graphicData>
            </a:graphic>
          </wp:inline>
        </w:drawing>
      </w:r>
      <w:r>
        <w:t xml:space="preserve"> </w:t>
      </w:r>
    </w:p>
    <w:p w14:paraId="54B78DAE" w14:textId="77777777" w:rsidR="00F37D32" w:rsidRDefault="00000000">
      <w:pPr>
        <w:spacing w:after="345" w:line="259" w:lineRule="auto"/>
        <w:ind w:left="-1" w:right="615" w:firstLine="0"/>
        <w:jc w:val="right"/>
      </w:pPr>
      <w:r>
        <w:rPr>
          <w:rFonts w:ascii="Calibri" w:eastAsia="Calibri" w:hAnsi="Calibri" w:cs="Calibri"/>
          <w:noProof/>
          <w:sz w:val="22"/>
        </w:rPr>
        <mc:AlternateContent>
          <mc:Choice Requires="wpg">
            <w:drawing>
              <wp:inline distT="0" distB="0" distL="0" distR="0" wp14:anchorId="772634E1" wp14:editId="0FC78C22">
                <wp:extent cx="5733796" cy="20574"/>
                <wp:effectExtent l="0" t="0" r="0" b="0"/>
                <wp:docPr id="11644" name="Group 11644"/>
                <wp:cNvGraphicFramePr/>
                <a:graphic xmlns:a="http://schemas.openxmlformats.org/drawingml/2006/main">
                  <a:graphicData uri="http://schemas.microsoft.com/office/word/2010/wordprocessingGroup">
                    <wpg:wgp>
                      <wpg:cNvGrpSpPr/>
                      <wpg:grpSpPr>
                        <a:xfrm>
                          <a:off x="0" y="0"/>
                          <a:ext cx="5733796" cy="20574"/>
                          <a:chOff x="0" y="0"/>
                          <a:chExt cx="5733796" cy="20574"/>
                        </a:xfrm>
                      </wpg:grpSpPr>
                      <wps:wsp>
                        <wps:cNvPr id="13069" name="Shape 13069"/>
                        <wps:cNvSpPr/>
                        <wps:spPr>
                          <a:xfrm>
                            <a:off x="0" y="0"/>
                            <a:ext cx="5730875" cy="19050"/>
                          </a:xfrm>
                          <a:custGeom>
                            <a:avLst/>
                            <a:gdLst/>
                            <a:ahLst/>
                            <a:cxnLst/>
                            <a:rect l="0" t="0" r="0" b="0"/>
                            <a:pathLst>
                              <a:path w="5730875" h="19050">
                                <a:moveTo>
                                  <a:pt x="0" y="0"/>
                                </a:moveTo>
                                <a:lnTo>
                                  <a:pt x="5730875" y="0"/>
                                </a:lnTo>
                                <a:lnTo>
                                  <a:pt x="5730875" y="19050"/>
                                </a:lnTo>
                                <a:lnTo>
                                  <a:pt x="0" y="1905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3070" name="Shape 13070"/>
                        <wps:cNvSpPr/>
                        <wps:spPr>
                          <a:xfrm>
                            <a:off x="318" y="15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3071" name="Shape 13071"/>
                        <wps:cNvSpPr/>
                        <wps:spPr>
                          <a:xfrm>
                            <a:off x="3493" y="1524"/>
                            <a:ext cx="5727066" cy="9144"/>
                          </a:xfrm>
                          <a:custGeom>
                            <a:avLst/>
                            <a:gdLst/>
                            <a:ahLst/>
                            <a:cxnLst/>
                            <a:rect l="0" t="0" r="0" b="0"/>
                            <a:pathLst>
                              <a:path w="5727066" h="9144">
                                <a:moveTo>
                                  <a:pt x="0" y="0"/>
                                </a:moveTo>
                                <a:lnTo>
                                  <a:pt x="5727066" y="0"/>
                                </a:lnTo>
                                <a:lnTo>
                                  <a:pt x="5727066"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3072" name="Shape 13072"/>
                        <wps:cNvSpPr/>
                        <wps:spPr>
                          <a:xfrm>
                            <a:off x="5730621" y="15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3073" name="Shape 13073"/>
                        <wps:cNvSpPr/>
                        <wps:spPr>
                          <a:xfrm>
                            <a:off x="318" y="4699"/>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3074" name="Shape 13074"/>
                        <wps:cNvSpPr/>
                        <wps:spPr>
                          <a:xfrm>
                            <a:off x="5730621" y="4699"/>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3075" name="Shape 13075"/>
                        <wps:cNvSpPr/>
                        <wps:spPr>
                          <a:xfrm>
                            <a:off x="318" y="173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3076" name="Shape 13076"/>
                        <wps:cNvSpPr/>
                        <wps:spPr>
                          <a:xfrm>
                            <a:off x="3493" y="17399"/>
                            <a:ext cx="5727066" cy="9144"/>
                          </a:xfrm>
                          <a:custGeom>
                            <a:avLst/>
                            <a:gdLst/>
                            <a:ahLst/>
                            <a:cxnLst/>
                            <a:rect l="0" t="0" r="0" b="0"/>
                            <a:pathLst>
                              <a:path w="5727066" h="9144">
                                <a:moveTo>
                                  <a:pt x="0" y="0"/>
                                </a:moveTo>
                                <a:lnTo>
                                  <a:pt x="5727066" y="0"/>
                                </a:lnTo>
                                <a:lnTo>
                                  <a:pt x="5727066"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3077" name="Shape 13077"/>
                        <wps:cNvSpPr/>
                        <wps:spPr>
                          <a:xfrm>
                            <a:off x="5730621" y="173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http://schemas.openxmlformats.org/drawingml/2006/main">
            <w:pict>
              <v:group id="Group 11644" style="width:451.48pt;height:1.62pt;mso-position-horizontal-relative:char;mso-position-vertical-relative:line" coordsize="57337,205">
                <v:shape id="Shape 13078" style="position:absolute;width:57308;height:190;left:0;top:0;" coordsize="5730875,19050" path="m0,0l5730875,0l5730875,19050l0,19050l0,0">
                  <v:stroke weight="0pt" endcap="flat" joinstyle="miter" miterlimit="10" on="false" color="#000000" opacity="0"/>
                  <v:fill on="true" color="#a0a0a0"/>
                </v:shape>
                <v:shape id="Shape 13079" style="position:absolute;width:91;height:91;left:3;top:15;" coordsize="9144,9144" path="m0,0l9144,0l9144,9144l0,9144l0,0">
                  <v:stroke weight="0pt" endcap="flat" joinstyle="miter" miterlimit="10" on="false" color="#000000" opacity="0"/>
                  <v:fill on="true" color="#a0a0a0"/>
                </v:shape>
                <v:shape id="Shape 13080" style="position:absolute;width:57270;height:91;left:34;top:15;" coordsize="5727066,9144" path="m0,0l5727066,0l5727066,9144l0,9144l0,0">
                  <v:stroke weight="0pt" endcap="flat" joinstyle="miter" miterlimit="10" on="false" color="#000000" opacity="0"/>
                  <v:fill on="true" color="#a0a0a0"/>
                </v:shape>
                <v:shape id="Shape 13081" style="position:absolute;width:91;height:91;left:57306;top:15;" coordsize="9144,9144" path="m0,0l9144,0l9144,9144l0,9144l0,0">
                  <v:stroke weight="0pt" endcap="flat" joinstyle="miter" miterlimit="10" on="false" color="#000000" opacity="0"/>
                  <v:fill on="true" color="#a0a0a0"/>
                </v:shape>
                <v:shape id="Shape 13082" style="position:absolute;width:91;height:127;left:3;top:46;" coordsize="9144,12700" path="m0,0l9144,0l9144,12700l0,12700l0,0">
                  <v:stroke weight="0pt" endcap="flat" joinstyle="miter" miterlimit="10" on="false" color="#000000" opacity="0"/>
                  <v:fill on="true" color="#a0a0a0"/>
                </v:shape>
                <v:shape id="Shape 13083" style="position:absolute;width:91;height:127;left:57306;top:46;" coordsize="9144,12700" path="m0,0l9144,0l9144,12700l0,12700l0,0">
                  <v:stroke weight="0pt" endcap="flat" joinstyle="miter" miterlimit="10" on="false" color="#000000" opacity="0"/>
                  <v:fill on="true" color="#e3e3e3"/>
                </v:shape>
                <v:shape id="Shape 13084" style="position:absolute;width:91;height:91;left:3;top:173;" coordsize="9144,9144" path="m0,0l9144,0l9144,9144l0,9144l0,0">
                  <v:stroke weight="0pt" endcap="flat" joinstyle="miter" miterlimit="10" on="false" color="#000000" opacity="0"/>
                  <v:fill on="true" color="#e3e3e3"/>
                </v:shape>
                <v:shape id="Shape 13085" style="position:absolute;width:57270;height:91;left:34;top:173;" coordsize="5727066,9144" path="m0,0l5727066,0l5727066,9144l0,9144l0,0">
                  <v:stroke weight="0pt" endcap="flat" joinstyle="miter" miterlimit="10" on="false" color="#000000" opacity="0"/>
                  <v:fill on="true" color="#e3e3e3"/>
                </v:shape>
                <v:shape id="Shape 13086" style="position:absolute;width:91;height:91;left:57306;top:173;" coordsize="9144,9144" path="m0,0l9144,0l9144,9144l0,9144l0,0">
                  <v:stroke weight="0pt" endcap="flat" joinstyle="miter" miterlimit="10" on="false" color="#000000" opacity="0"/>
                  <v:fill on="true" color="#e3e3e3"/>
                </v:shape>
              </v:group>
            </w:pict>
          </mc:Fallback>
        </mc:AlternateContent>
      </w:r>
      <w:r>
        <w:t xml:space="preserve"> </w:t>
      </w:r>
    </w:p>
    <w:p w14:paraId="20C33DF4" w14:textId="77777777" w:rsidR="00F37D32" w:rsidRDefault="00000000">
      <w:pPr>
        <w:pStyle w:val="Heading3"/>
        <w:ind w:left="-5"/>
      </w:pPr>
      <w:bookmarkStart w:id="30" w:name="_Toc12564"/>
      <w:r>
        <w:t xml:space="preserve">Appendix D2: Normality of Residuals </w:t>
      </w:r>
      <w:bookmarkEnd w:id="30"/>
    </w:p>
    <w:p w14:paraId="7D2C8923" w14:textId="782B1DEC" w:rsidR="00F37D32" w:rsidRDefault="0024116E">
      <w:pPr>
        <w:ind w:left="-5" w:right="673"/>
      </w:pPr>
      <w:r>
        <w:t xml:space="preserve">A Normal P evaluated the normality of residuals–P plot and a histogram of standardised residuals. The plots </w:t>
      </w:r>
      <w:r w:rsidR="00C70EA1">
        <w:t>indicate that the residuals are approximately normal, supporting the normality assumption</w:t>
      </w:r>
      <w:r>
        <w:t xml:space="preserve">. </w:t>
      </w:r>
    </w:p>
    <w:p w14:paraId="3095F934" w14:textId="77777777" w:rsidR="00F37D32" w:rsidRDefault="00000000">
      <w:pPr>
        <w:spacing w:after="339" w:line="259" w:lineRule="auto"/>
        <w:ind w:left="0" w:right="1365" w:firstLine="0"/>
        <w:jc w:val="right"/>
      </w:pPr>
      <w:r>
        <w:rPr>
          <w:noProof/>
        </w:rPr>
        <w:lastRenderedPageBreak/>
        <w:drawing>
          <wp:inline distT="0" distB="0" distL="0" distR="0" wp14:anchorId="7557B982" wp14:editId="4174A32B">
            <wp:extent cx="4781550" cy="6688456"/>
            <wp:effectExtent l="0" t="0" r="0" b="0"/>
            <wp:docPr id="1298" name="Picture 1298"/>
            <wp:cNvGraphicFramePr/>
            <a:graphic xmlns:a="http://schemas.openxmlformats.org/drawingml/2006/main">
              <a:graphicData uri="http://schemas.openxmlformats.org/drawingml/2006/picture">
                <pic:pic xmlns:pic="http://schemas.openxmlformats.org/drawingml/2006/picture">
                  <pic:nvPicPr>
                    <pic:cNvPr id="1298" name="Picture 1298"/>
                    <pic:cNvPicPr/>
                  </pic:nvPicPr>
                  <pic:blipFill>
                    <a:blip r:embed="rId23"/>
                    <a:stretch>
                      <a:fillRect/>
                    </a:stretch>
                  </pic:blipFill>
                  <pic:spPr>
                    <a:xfrm>
                      <a:off x="0" y="0"/>
                      <a:ext cx="4781550" cy="6688456"/>
                    </a:xfrm>
                    <a:prstGeom prst="rect">
                      <a:avLst/>
                    </a:prstGeom>
                  </pic:spPr>
                </pic:pic>
              </a:graphicData>
            </a:graphic>
          </wp:inline>
        </w:drawing>
      </w:r>
      <w:r>
        <w:t xml:space="preserve"> </w:t>
      </w:r>
    </w:p>
    <w:p w14:paraId="0486128A" w14:textId="77777777" w:rsidR="00F37D32" w:rsidRDefault="00000000">
      <w:pPr>
        <w:pStyle w:val="Heading3"/>
        <w:ind w:left="-5"/>
      </w:pPr>
      <w:bookmarkStart w:id="31" w:name="_Toc12565"/>
      <w:r>
        <w:t xml:space="preserve">Appendix D3: Homoscedasticity Assessment </w:t>
      </w:r>
      <w:bookmarkEnd w:id="31"/>
    </w:p>
    <w:p w14:paraId="2681F906" w14:textId="02918DE3" w:rsidR="00F37D32" w:rsidRDefault="00000000">
      <w:pPr>
        <w:ind w:left="-5" w:right="673"/>
      </w:pPr>
      <w:r>
        <w:t xml:space="preserve">Homoscedasticity was </w:t>
      </w:r>
      <w:r w:rsidR="00C70EA1">
        <w:t>assessed using a scatter plot of standardised residuals versus</w:t>
      </w:r>
      <w:r>
        <w:t xml:space="preserve"> standardised expected values. The increasing variability of </w:t>
      </w:r>
      <w:r w:rsidR="00424FEA">
        <w:t xml:space="preserve">the residuals at higher predicted levels indicates </w:t>
      </w:r>
      <w:r w:rsidR="00C70EA1">
        <w:t>heteroscedasticity, consistent</w:t>
      </w:r>
      <w:r>
        <w:t xml:space="preserve"> with the limitations outlined in Section 5. </w:t>
      </w:r>
    </w:p>
    <w:p w14:paraId="633B1A31" w14:textId="77777777" w:rsidR="00F37D32" w:rsidRDefault="00000000">
      <w:pPr>
        <w:spacing w:after="219" w:line="259" w:lineRule="auto"/>
        <w:ind w:left="0" w:right="1365" w:firstLine="0"/>
        <w:jc w:val="right"/>
      </w:pPr>
      <w:r>
        <w:rPr>
          <w:noProof/>
        </w:rPr>
        <w:lastRenderedPageBreak/>
        <w:drawing>
          <wp:inline distT="0" distB="0" distL="0" distR="0" wp14:anchorId="32A474AD" wp14:editId="6A1CD255">
            <wp:extent cx="4781550" cy="6688456"/>
            <wp:effectExtent l="0" t="0" r="0" b="0"/>
            <wp:docPr id="1307" name="Picture 1307"/>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23"/>
                    <a:stretch>
                      <a:fillRect/>
                    </a:stretch>
                  </pic:blipFill>
                  <pic:spPr>
                    <a:xfrm>
                      <a:off x="0" y="0"/>
                      <a:ext cx="4781550" cy="6688456"/>
                    </a:xfrm>
                    <a:prstGeom prst="rect">
                      <a:avLst/>
                    </a:prstGeom>
                  </pic:spPr>
                </pic:pic>
              </a:graphicData>
            </a:graphic>
          </wp:inline>
        </w:drawing>
      </w:r>
      <w:r>
        <w:t xml:space="preserve"> </w:t>
      </w:r>
    </w:p>
    <w:p w14:paraId="6D68C0C9" w14:textId="77777777" w:rsidR="00F37D32" w:rsidRDefault="00000000">
      <w:pPr>
        <w:spacing w:after="0" w:line="259" w:lineRule="auto"/>
        <w:ind w:left="0" w:firstLine="0"/>
        <w:jc w:val="left"/>
      </w:pPr>
      <w:r>
        <w:t xml:space="preserve"> </w:t>
      </w:r>
    </w:p>
    <w:sectPr w:rsidR="00F37D32">
      <w:footerReference w:type="even" r:id="rId24"/>
      <w:footerReference w:type="default" r:id="rId25"/>
      <w:footerReference w:type="first" r:id="rId26"/>
      <w:pgSz w:w="11905" w:h="16840"/>
      <w:pgMar w:top="1440" w:right="761" w:bottom="147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91396" w14:textId="77777777" w:rsidR="00E26B90" w:rsidRDefault="00E26B90">
      <w:pPr>
        <w:spacing w:after="0" w:line="240" w:lineRule="auto"/>
      </w:pPr>
      <w:r>
        <w:separator/>
      </w:r>
    </w:p>
  </w:endnote>
  <w:endnote w:type="continuationSeparator" w:id="0">
    <w:p w14:paraId="695B3CE3" w14:textId="77777777" w:rsidR="00E26B90" w:rsidRDefault="00E26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78DBB" w14:textId="77777777" w:rsidR="00F37D32" w:rsidRDefault="00000000">
    <w:pPr>
      <w:spacing w:after="0" w:line="259" w:lineRule="auto"/>
      <w:ind w:left="0" w:right="675" w:firstLine="0"/>
      <w:jc w:val="right"/>
    </w:pPr>
    <w:r>
      <w:fldChar w:fldCharType="begin"/>
    </w:r>
    <w:r>
      <w:instrText xml:space="preserve"> PAGE   \* MERGEFORMAT </w:instrText>
    </w:r>
    <w:r>
      <w:fldChar w:fldCharType="separate"/>
    </w:r>
    <w:r>
      <w:t>1</w:t>
    </w:r>
    <w:r>
      <w:fldChar w:fldCharType="end"/>
    </w:r>
    <w:r>
      <w:t xml:space="preserve"> </w:t>
    </w:r>
  </w:p>
  <w:p w14:paraId="0EF52344" w14:textId="77777777" w:rsidR="00F37D32"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B1707" w14:textId="77777777" w:rsidR="00F37D32" w:rsidRDefault="00000000">
    <w:pPr>
      <w:spacing w:after="0" w:line="259" w:lineRule="auto"/>
      <w:ind w:left="0" w:right="675" w:firstLine="0"/>
      <w:jc w:val="right"/>
    </w:pPr>
    <w:r>
      <w:fldChar w:fldCharType="begin"/>
    </w:r>
    <w:r>
      <w:instrText xml:space="preserve"> PAGE   \* MERGEFORMAT </w:instrText>
    </w:r>
    <w:r>
      <w:fldChar w:fldCharType="separate"/>
    </w:r>
    <w:r>
      <w:t>1</w:t>
    </w:r>
    <w:r>
      <w:fldChar w:fldCharType="end"/>
    </w:r>
    <w:r>
      <w:t xml:space="preserve"> </w:t>
    </w:r>
  </w:p>
  <w:p w14:paraId="1D3F43EF" w14:textId="77777777" w:rsidR="00F37D32"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C4D1A" w14:textId="77777777" w:rsidR="00F37D32" w:rsidRDefault="00000000">
    <w:pPr>
      <w:spacing w:after="0" w:line="259" w:lineRule="auto"/>
      <w:ind w:left="0" w:right="675" w:firstLine="0"/>
      <w:jc w:val="right"/>
    </w:pPr>
    <w:r>
      <w:fldChar w:fldCharType="begin"/>
    </w:r>
    <w:r>
      <w:instrText xml:space="preserve"> PAGE   \* MERGEFORMAT </w:instrText>
    </w:r>
    <w:r>
      <w:fldChar w:fldCharType="separate"/>
    </w:r>
    <w:r>
      <w:t>1</w:t>
    </w:r>
    <w:r>
      <w:fldChar w:fldCharType="end"/>
    </w:r>
    <w:r>
      <w:t xml:space="preserve"> </w:t>
    </w:r>
  </w:p>
  <w:p w14:paraId="3F66B969" w14:textId="77777777" w:rsidR="00F37D32"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97293" w14:textId="77777777" w:rsidR="00E26B90" w:rsidRDefault="00E26B90">
      <w:pPr>
        <w:spacing w:after="0" w:line="240" w:lineRule="auto"/>
      </w:pPr>
      <w:r>
        <w:separator/>
      </w:r>
    </w:p>
  </w:footnote>
  <w:footnote w:type="continuationSeparator" w:id="0">
    <w:p w14:paraId="3E66658B" w14:textId="77777777" w:rsidR="00E26B90" w:rsidRDefault="00E26B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D32"/>
    <w:rsid w:val="0024116E"/>
    <w:rsid w:val="00424FEA"/>
    <w:rsid w:val="00754D55"/>
    <w:rsid w:val="007D5ADB"/>
    <w:rsid w:val="00A12E0A"/>
    <w:rsid w:val="00C70EA1"/>
    <w:rsid w:val="00CA3E42"/>
    <w:rsid w:val="00D51750"/>
    <w:rsid w:val="00D5756F"/>
    <w:rsid w:val="00E26B90"/>
    <w:rsid w:val="00F3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2BFD5"/>
  <w15:docId w15:val="{E49BDE9D-ADC2-4114-A3CF-B3A4C978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7" w:line="351"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57" w:line="259" w:lineRule="auto"/>
      <w:ind w:left="10"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172" w:line="259" w:lineRule="auto"/>
      <w:ind w:left="10"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257" w:line="259" w:lineRule="auto"/>
      <w:ind w:left="10" w:hanging="10"/>
      <w:outlineLvl w:val="2"/>
    </w:pPr>
    <w:rPr>
      <w:rFonts w:ascii="Times New Roman" w:eastAsia="Times New Roman" w:hAnsi="Times New Roman" w:cs="Times New Roman"/>
      <w:b/>
      <w:i/>
      <w:color w:val="000000"/>
    </w:rPr>
  </w:style>
  <w:style w:type="paragraph" w:styleId="Heading4">
    <w:name w:val="heading 4"/>
    <w:next w:val="Normal"/>
    <w:link w:val="Heading4Char"/>
    <w:uiPriority w:val="9"/>
    <w:unhideWhenUsed/>
    <w:qFormat/>
    <w:pPr>
      <w:keepNext/>
      <w:keepLines/>
      <w:spacing w:after="257" w:line="259" w:lineRule="auto"/>
      <w:ind w:left="10" w:hanging="10"/>
      <w:outlineLvl w:val="3"/>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i/>
      <w:color w:val="000000"/>
      <w:sz w:val="24"/>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3Char">
    <w:name w:val="Heading 3 Char"/>
    <w:link w:val="Heading3"/>
    <w:rPr>
      <w:rFonts w:ascii="Times New Roman" w:eastAsia="Times New Roman" w:hAnsi="Times New Roman" w:cs="Times New Roman"/>
      <w:b/>
      <w:i/>
      <w:color w:val="000000"/>
      <w:sz w:val="24"/>
    </w:rPr>
  </w:style>
  <w:style w:type="paragraph" w:styleId="TOC1">
    <w:name w:val="toc 1"/>
    <w:hidden/>
    <w:pPr>
      <w:spacing w:after="271" w:line="259" w:lineRule="auto"/>
      <w:ind w:left="25" w:right="685" w:hanging="10"/>
    </w:pPr>
    <w:rPr>
      <w:rFonts w:ascii="Times New Roman" w:eastAsia="Times New Roman" w:hAnsi="Times New Roman" w:cs="Times New Roman"/>
      <w:color w:val="000000"/>
    </w:rPr>
  </w:style>
  <w:style w:type="paragraph" w:styleId="TOC2">
    <w:name w:val="toc 2"/>
    <w:hidden/>
    <w:pPr>
      <w:spacing w:after="270" w:line="259" w:lineRule="auto"/>
      <w:ind w:left="230" w:right="700" w:hanging="10"/>
      <w:jc w:val="right"/>
    </w:pPr>
    <w:rPr>
      <w:rFonts w:ascii="Times New Roman" w:eastAsia="Times New Roman" w:hAnsi="Times New Roman" w:cs="Times New Roman"/>
      <w:color w:val="000000"/>
    </w:rPr>
  </w:style>
  <w:style w:type="paragraph" w:styleId="TOC3">
    <w:name w:val="toc 3"/>
    <w:hidden/>
    <w:pPr>
      <w:spacing w:after="270" w:line="259" w:lineRule="auto"/>
      <w:ind w:left="230" w:right="685" w:hanging="10"/>
    </w:pPr>
    <w:rPr>
      <w:rFonts w:ascii="Times New Roman" w:eastAsia="Times New Roman" w:hAnsi="Times New Roman" w:cs="Times New Roman"/>
      <w:color w:val="000000"/>
    </w:rPr>
  </w:style>
  <w:style w:type="paragraph" w:styleId="TOC4">
    <w:name w:val="toc 4"/>
    <w:hidden/>
    <w:pPr>
      <w:spacing w:after="271" w:line="259" w:lineRule="auto"/>
      <w:ind w:left="466" w:right="685" w:hanging="10"/>
    </w:pPr>
    <w:rPr>
      <w:rFonts w:ascii="Times New Roman" w:eastAsia="Times New Roman" w:hAnsi="Times New Roman" w:cs="Times New Roman"/>
      <w:color w:val="000000"/>
    </w:rPr>
  </w:style>
  <w:style w:type="paragraph" w:styleId="NoSpacing">
    <w:name w:val="No Spacing"/>
    <w:uiPriority w:val="1"/>
    <w:qFormat/>
    <w:rsid w:val="00424FEA"/>
    <w:pPr>
      <w:spacing w:after="0" w:line="240" w:lineRule="auto"/>
      <w:ind w:left="10" w:hanging="10"/>
      <w:jc w:val="both"/>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50BA4-63D8-48E0-BCBA-6B4CD1181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4244</Words>
  <Characters>24192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Pellegrini Babcinschii</dc:creator>
  <cp:keywords/>
  <cp:lastModifiedBy>Ala Uzun</cp:lastModifiedBy>
  <cp:revision>5</cp:revision>
  <dcterms:created xsi:type="dcterms:W3CDTF">2025-12-20T16:02:00Z</dcterms:created>
  <dcterms:modified xsi:type="dcterms:W3CDTF">2025-12-20T16:04:00Z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b3e757e2-96db-466f-a037-8646ea80ae26</vt:lpwstr>
  </property>
</Properties>
</file>