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B6FFA" w14:textId="124614C9" w:rsidR="00F86120" w:rsidRPr="00A4114D" w:rsidRDefault="002806EC">
      <w:pPr>
        <w:rPr>
          <w:sz w:val="32"/>
          <w:szCs w:val="32"/>
        </w:rPr>
      </w:pPr>
      <w:r w:rsidRPr="00A4114D">
        <w:rPr>
          <w:sz w:val="32"/>
          <w:szCs w:val="32"/>
        </w:rPr>
        <w:t xml:space="preserve">Analysis of </w:t>
      </w:r>
      <w:proofErr w:type="spellStart"/>
      <w:r w:rsidRPr="00A4114D">
        <w:rPr>
          <w:sz w:val="32"/>
          <w:szCs w:val="32"/>
        </w:rPr>
        <w:t>Huainanzi</w:t>
      </w:r>
      <w:proofErr w:type="spellEnd"/>
      <w:r w:rsidRPr="00A4114D">
        <w:rPr>
          <w:sz w:val="32"/>
          <w:szCs w:val="32"/>
        </w:rPr>
        <w:t xml:space="preserve"> chapter 1: </w:t>
      </w:r>
      <w:r w:rsidR="005A5C74" w:rsidRPr="00A4114D">
        <w:rPr>
          <w:sz w:val="32"/>
          <w:szCs w:val="32"/>
        </w:rPr>
        <w:t>Originating in the way</w:t>
      </w:r>
    </w:p>
    <w:p w14:paraId="61EEF613" w14:textId="66239AF9" w:rsidR="00746469" w:rsidRDefault="009E4D12">
      <w:r>
        <w:t>This first chapters lays out the cosmology of Daoism and the basic themes that will flow through the rest of the book. It lays out the foundational ideas that there was a primordial chaos that separated and eventually these separations lead to the creation of all things.</w:t>
      </w:r>
      <w:r>
        <w:rPr>
          <w:rStyle w:val="FootnoteReference"/>
        </w:rPr>
        <w:footnoteReference w:id="1"/>
      </w:r>
      <w:r>
        <w:t xml:space="preserve"> </w:t>
      </w:r>
    </w:p>
    <w:p w14:paraId="656D8A72" w14:textId="77B500E7" w:rsidR="009E4D12" w:rsidRDefault="00494772">
      <w:r>
        <w:t>It starts with a discussion of what the One, Dao, Way is. Within this explanation there is a lot of diametric claims about the One giving the idea that it is all things at</w:t>
      </w:r>
      <w:r w:rsidR="008870C8">
        <w:t xml:space="preserve"> once</w:t>
      </w:r>
      <w:r>
        <w:t xml:space="preserve"> while also not being those things, for example “</w:t>
      </w:r>
      <w:r>
        <w:t>It is constrained but able to extend. It is dark but able to brighten. It is supple but able to strengthen. It is pliant but able to become firm.</w:t>
      </w:r>
      <w:r>
        <w:t>”</w:t>
      </w:r>
      <w:r>
        <w:rPr>
          <w:rStyle w:val="FootnoteReference"/>
        </w:rPr>
        <w:footnoteReference w:id="2"/>
      </w:r>
      <w:r w:rsidR="008870C8">
        <w:t xml:space="preserve"> While using these diametric </w:t>
      </w:r>
      <w:r w:rsidR="00840A1B">
        <w:t xml:space="preserve">descriptions there is also the use of more abstract ideas like that it is all encompassing </w:t>
      </w:r>
      <w:r w:rsidR="008E6764">
        <w:t>of the world and that the One is what allows/brings forth phenomena in the world, like the suns light or that animals can run.</w:t>
      </w:r>
      <w:r w:rsidR="008E6764">
        <w:rPr>
          <w:rStyle w:val="FootnoteReference"/>
        </w:rPr>
        <w:footnoteReference w:id="3"/>
      </w:r>
      <w:r w:rsidR="008E6764">
        <w:t xml:space="preserve"> These descriptions give the idea of a power or force that allows the world to work and that it spreads everywhere. It is an all encompassing force that cannot be understood or known but is always working with us even without the realisation that this power exists.</w:t>
      </w:r>
      <w:r w:rsidR="00085CB3">
        <w:t xml:space="preserve"> </w:t>
      </w:r>
    </w:p>
    <w:p w14:paraId="5BFA4BE1" w14:textId="0D2DFFD5" w:rsidR="007331D4" w:rsidRDefault="00085CB3">
      <w:r>
        <w:t>Continuing it moves on to talk about the way to connect back to the One and refers to these aspects as heavenly. While the aspects that prevent us from attaining this are labelled as human.</w:t>
      </w:r>
      <w:r>
        <w:rPr>
          <w:rStyle w:val="FootnoteReference"/>
        </w:rPr>
        <w:footnoteReference w:id="4"/>
      </w:r>
      <w:r>
        <w:t xml:space="preserve"> In this effort a person must return to their original untainted mind as the perception that we put onto the world makes us stray from the heavenly. This also seems to be the beginnings of what could be internal cultivation of how to become a sage as they describe that they “</w:t>
      </w:r>
      <w:r>
        <w:t>Thus those who break through to the Way do not use the human to change the heavenly. Externally they transform together with things, but internally they do not lose their genuine responses</w:t>
      </w:r>
      <w:r>
        <w:t>”.</w:t>
      </w:r>
      <w:r>
        <w:rPr>
          <w:rStyle w:val="FootnoteReference"/>
        </w:rPr>
        <w:footnoteReference w:id="5"/>
      </w:r>
      <w:r>
        <w:t xml:space="preserve"> </w:t>
      </w:r>
      <w:r w:rsidR="007331D4">
        <w:t>The thoughts that this seems to suggest is similar to what is proposed within the Zhuangzi since in that work they also discuss that the way to get close to the Dao is to let go of your perception of the world and to revert back to the more instinctual feelings that work alongside nature, such as when they talk of the craftsmen like cook Ding.</w:t>
      </w:r>
      <w:r w:rsidR="007331D4">
        <w:rPr>
          <w:rStyle w:val="FootnoteReference"/>
        </w:rPr>
        <w:footnoteReference w:id="6"/>
      </w:r>
      <w:r w:rsidR="007331D4">
        <w:t xml:space="preserve"> </w:t>
      </w:r>
      <w:r w:rsidR="001E2B6F">
        <w:t xml:space="preserve">In this regard there is the potential that inspiration for some of the cosmological philosophy in the </w:t>
      </w:r>
      <w:proofErr w:type="spellStart"/>
      <w:r w:rsidR="001E2B6F">
        <w:t>Huainanzi</w:t>
      </w:r>
      <w:proofErr w:type="spellEnd"/>
      <w:r w:rsidR="001E2B6F">
        <w:t xml:space="preserve"> could come from the Zhuangzi. This would also make some sense as the Zhuangzi was a very influential Daoist work and had started to come back into popularity during the period which the </w:t>
      </w:r>
      <w:proofErr w:type="spellStart"/>
      <w:r w:rsidR="001E2B6F">
        <w:t>Huainanzi</w:t>
      </w:r>
      <w:proofErr w:type="spellEnd"/>
      <w:r w:rsidR="001E2B6F">
        <w:t xml:space="preserve"> was written.</w:t>
      </w:r>
      <w:r w:rsidR="001E2B6F">
        <w:rPr>
          <w:rStyle w:val="FootnoteReference"/>
        </w:rPr>
        <w:footnoteReference w:id="7"/>
      </w:r>
    </w:p>
    <w:p w14:paraId="0A3263E1" w14:textId="5F4F1D9D" w:rsidR="00E77E1C" w:rsidRDefault="00420519">
      <w:r>
        <w:t>It follows with what sages are and tells us that they are people who have learnt to be one with the way of heaven and that they act with it. They adapt to how things are around them and do not try to anticipate what those things will be.</w:t>
      </w:r>
      <w:r>
        <w:rPr>
          <w:rStyle w:val="FootnoteReference"/>
        </w:rPr>
        <w:footnoteReference w:id="8"/>
      </w:r>
      <w:r>
        <w:t xml:space="preserve"> This further reinforces the shared idea with the Zhuangzi as this can be interpreted as reacting with intuition and letting go of the learned mind.</w:t>
      </w:r>
    </w:p>
    <w:p w14:paraId="3F11FDB3" w14:textId="123D5042" w:rsidR="00420519" w:rsidRDefault="00D11270">
      <w:r>
        <w:t>He continues on to explain what the sages are capable of and return to use diametric pairs, for example this pair “</w:t>
      </w:r>
      <w:r>
        <w:t>they act pliantly to become firm; they utilize weakness to become strong;</w:t>
      </w:r>
      <w:r>
        <w:t>”.</w:t>
      </w:r>
      <w:r>
        <w:rPr>
          <w:rStyle w:val="FootnoteReference"/>
        </w:rPr>
        <w:footnoteReference w:id="9"/>
      </w:r>
      <w:r>
        <w:t xml:space="preserve"> In this wide array of oppositional pairs it describes the feats accomplishable only by the sages and that they are able to do what others cannot. Both forms of these opposites are required for true strength and </w:t>
      </w:r>
      <w:r>
        <w:lastRenderedPageBreak/>
        <w:t>be able to react to any situation that would occur.</w:t>
      </w:r>
      <w:r>
        <w:rPr>
          <w:rStyle w:val="FootnoteReference"/>
        </w:rPr>
        <w:footnoteReference w:id="10"/>
      </w:r>
      <w:r>
        <w:t xml:space="preserve"> This usage of diametric pairs could be used to created a parallel between the sages that are being described here and the One that was described at the start of the chapter.</w:t>
      </w:r>
      <w:r w:rsidR="0041662D">
        <w:t xml:space="preserve"> This parallel could be used to further the idea that these people have been able to attain a relationship close to the One and that they have achieved a power that is similar to it.</w:t>
      </w:r>
    </w:p>
    <w:p w14:paraId="16D37212" w14:textId="0E8382C1" w:rsidR="0041662D" w:rsidRDefault="00EC32B0">
      <w:r>
        <w:t xml:space="preserve">Next comes praise of water. Water is praised as a perfect </w:t>
      </w:r>
      <w:r w:rsidR="007A45A5">
        <w:t xml:space="preserve">form/existence. Water gives sustenance to </w:t>
      </w:r>
      <w:r w:rsidR="003717AF">
        <w:t>everything,</w:t>
      </w:r>
      <w:r w:rsidR="007A45A5">
        <w:t xml:space="preserve"> and it spreads everywhere. It goes</w:t>
      </w:r>
      <w:r w:rsidR="003717AF">
        <w:t xml:space="preserve"> between the heavens and the earth and gives to all things equally. Water has “perfect potency”</w:t>
      </w:r>
      <w:r w:rsidR="003717AF">
        <w:rPr>
          <w:rStyle w:val="FootnoteReference"/>
        </w:rPr>
        <w:footnoteReference w:id="11"/>
      </w:r>
      <w:r w:rsidR="003717AF">
        <w:t>. It has a form that cannot be destroyed.</w:t>
      </w:r>
      <w:r w:rsidR="003717AF">
        <w:rPr>
          <w:rStyle w:val="FootnoteReference"/>
        </w:rPr>
        <w:footnoteReference w:id="12"/>
      </w:r>
      <w:r w:rsidR="003717AF">
        <w:t xml:space="preserve"> </w:t>
      </w:r>
      <w:r w:rsidR="00BE6C87">
        <w:t xml:space="preserve">This may have some connection to the five phases as water is one of those and they are one of the things that the original One eventually separates into. This imagery of water also </w:t>
      </w:r>
      <w:r w:rsidR="009C1DCB">
        <w:t>can help to picture what the One or Dao is. There is similar language used to describe both of these phenomena and even though they are separate existences the reality of how water effects the world and the description given to it may help for the reader to understand some of the explanation of the One. However this would only be at a level of comprehending it for reading and basic conceptualisation since in Daoist thought it is much harder to actually understand the true One.</w:t>
      </w:r>
    </w:p>
    <w:p w14:paraId="23506DEC" w14:textId="63559082" w:rsidR="009C1DCB" w:rsidRDefault="00476F19">
      <w:r>
        <w:t>The text also talks of emotions and how they cloud the mind and body. Both strong negative and positive emotions prevent a person from achieving sage hood and you must be able to achieve an inner calm to be able to have proper perception and control of your body. Being able to have this inner tranquillity will also lead you down the path of success.</w:t>
      </w:r>
      <w:r>
        <w:rPr>
          <w:rStyle w:val="FootnoteReference"/>
        </w:rPr>
        <w:footnoteReference w:id="13"/>
      </w:r>
      <w:r w:rsidR="00F679D7">
        <w:t xml:space="preserve"> This is seemingly again aligning with the idea of returning to a more intuitive way of thinking and trying to forget the societal way that we have learned to do.</w:t>
      </w:r>
    </w:p>
    <w:p w14:paraId="5EBBCE63" w14:textId="0671D618" w:rsidR="00F679D7" w:rsidRDefault="00F679D7">
      <w:r>
        <w:t>Lastly in this chapter it discusses how you cannot forcefully act upon the world or control it. You should be able to leave it behind and adapt to the world. Only then will you be able to comprehend the Way. It is all through looking at the inner mind within yourself and you must realise this or else you will be unable to even begin to understand what the Way is.</w:t>
      </w:r>
      <w:r>
        <w:rPr>
          <w:rStyle w:val="FootnoteReference"/>
        </w:rPr>
        <w:footnoteReference w:id="14"/>
      </w:r>
    </w:p>
    <w:p w14:paraId="44027244" w14:textId="21924CB1" w:rsidR="00C60260" w:rsidRDefault="00C60260">
      <w:r>
        <w:t xml:space="preserve">Overall, this chapter of the </w:t>
      </w:r>
      <w:proofErr w:type="spellStart"/>
      <w:r>
        <w:t>Huainanzi</w:t>
      </w:r>
      <w:proofErr w:type="spellEnd"/>
      <w:r>
        <w:t xml:space="preserve"> talks about the original One and the way to become a sage. Furthermore, it covers the philosophical foundation of how one should approach the Way and what sort of benefit can be attained from following it. However, it did not seem like a true cosmology of the Daoist world concept as it did not detail how the original One divided itself to create the</w:t>
      </w:r>
      <w:r w:rsidR="00A4114D">
        <w:t xml:space="preserve"> all things, like how is mentioned in Tao </w:t>
      </w:r>
      <w:proofErr w:type="spellStart"/>
      <w:r w:rsidR="00A4114D">
        <w:t>Te</w:t>
      </w:r>
      <w:proofErr w:type="spellEnd"/>
      <w:r w:rsidR="00A4114D">
        <w:t xml:space="preserve"> Ching.</w:t>
      </w:r>
      <w:r w:rsidR="00A4114D">
        <w:rPr>
          <w:rStyle w:val="FootnoteReference"/>
        </w:rPr>
        <w:footnoteReference w:id="15"/>
      </w:r>
      <w:r w:rsidR="00A4114D">
        <w:t xml:space="preserve"> </w:t>
      </w:r>
      <w:r>
        <w:t xml:space="preserve"> </w:t>
      </w:r>
    </w:p>
    <w:p w14:paraId="5E8DE05C" w14:textId="77777777" w:rsidR="007331D4" w:rsidRDefault="007331D4"/>
    <w:p w14:paraId="211EF0BC" w14:textId="77777777" w:rsidR="007331D4" w:rsidRPr="00A4114D" w:rsidRDefault="007331D4">
      <w:pPr>
        <w:rPr>
          <w:sz w:val="28"/>
          <w:szCs w:val="28"/>
        </w:rPr>
      </w:pPr>
      <w:r w:rsidRPr="00A4114D">
        <w:rPr>
          <w:sz w:val="28"/>
          <w:szCs w:val="28"/>
        </w:rPr>
        <w:t>Bibliography:</w:t>
      </w:r>
    </w:p>
    <w:p w14:paraId="3B0615EB" w14:textId="77777777" w:rsidR="007331D4" w:rsidRDefault="007331D4" w:rsidP="007331D4">
      <w:pPr>
        <w:rPr>
          <w:rFonts w:cstheme="minorHAnsi"/>
          <w:color w:val="222222"/>
          <w:shd w:val="clear" w:color="auto" w:fill="FFFFFF"/>
        </w:rPr>
      </w:pPr>
      <w:r w:rsidRPr="00433A6E">
        <w:rPr>
          <w:rFonts w:cstheme="minorHAnsi"/>
          <w:color w:val="222222"/>
          <w:shd w:val="clear" w:color="auto" w:fill="FFFFFF"/>
        </w:rPr>
        <w:t>Zhuangzi</w:t>
      </w:r>
      <w:r>
        <w:rPr>
          <w:rFonts w:cstheme="minorHAnsi"/>
          <w:color w:val="222222"/>
          <w:shd w:val="clear" w:color="auto" w:fill="FFFFFF"/>
        </w:rPr>
        <w:t xml:space="preserve">, </w:t>
      </w:r>
      <w:r w:rsidRPr="00433A6E">
        <w:rPr>
          <w:rFonts w:cstheme="minorHAnsi"/>
          <w:i/>
          <w:iCs/>
          <w:color w:val="222222"/>
          <w:shd w:val="clear" w:color="auto" w:fill="FFFFFF"/>
        </w:rPr>
        <w:t>the complete works of Zhuangzi</w:t>
      </w:r>
      <w:r>
        <w:rPr>
          <w:rFonts w:cstheme="minorHAnsi"/>
          <w:color w:val="222222"/>
          <w:shd w:val="clear" w:color="auto" w:fill="FFFFFF"/>
        </w:rPr>
        <w:t xml:space="preserve">, translated by Watson, Burton. 2013. Columbia University Press. Sourced from </w:t>
      </w:r>
      <w:r w:rsidRPr="00433A6E">
        <w:rPr>
          <w:rFonts w:cstheme="minorHAnsi"/>
          <w:color w:val="222222"/>
          <w:shd w:val="clear" w:color="auto" w:fill="FFFFFF"/>
        </w:rPr>
        <w:t>https://terebess.hu/english/tao/Zhuangzi-Burton-Watson.pdf</w:t>
      </w:r>
    </w:p>
    <w:p w14:paraId="289EB7A7" w14:textId="2EFAFD28" w:rsidR="00085CB3" w:rsidRDefault="001E2B6F">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Mair, V., 2000. The Zhuangzi and its impact. In </w:t>
      </w:r>
      <w:r>
        <w:rPr>
          <w:rFonts w:ascii="Arial" w:hAnsi="Arial" w:cs="Arial"/>
          <w:i/>
          <w:iCs/>
          <w:color w:val="222222"/>
          <w:sz w:val="20"/>
          <w:szCs w:val="20"/>
          <w:shd w:val="clear" w:color="auto" w:fill="FFFFFF"/>
        </w:rPr>
        <w:t>Daoism handbook</w:t>
      </w:r>
      <w:r>
        <w:rPr>
          <w:rFonts w:ascii="Arial" w:hAnsi="Arial" w:cs="Arial"/>
          <w:color w:val="222222"/>
          <w:sz w:val="20"/>
          <w:szCs w:val="20"/>
          <w:shd w:val="clear" w:color="auto" w:fill="FFFFFF"/>
        </w:rPr>
        <w:t> (pp. 30-52). Brill.</w:t>
      </w:r>
    </w:p>
    <w:p w14:paraId="4543F897" w14:textId="5BB3FFF3" w:rsidR="00895499" w:rsidRDefault="00895499">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Major, J.S., Queen, S., Meyer, A. and Roth, H.D. eds., 2012. </w:t>
      </w:r>
      <w:r>
        <w:rPr>
          <w:rFonts w:ascii="Arial" w:hAnsi="Arial" w:cs="Arial"/>
          <w:i/>
          <w:iCs/>
          <w:color w:val="222222"/>
          <w:sz w:val="20"/>
          <w:szCs w:val="20"/>
          <w:shd w:val="clear" w:color="auto" w:fill="FFFFFF"/>
        </w:rPr>
        <w:t xml:space="preserve">The Essential </w:t>
      </w:r>
      <w:proofErr w:type="spellStart"/>
      <w:r>
        <w:rPr>
          <w:rFonts w:ascii="Arial" w:hAnsi="Arial" w:cs="Arial"/>
          <w:i/>
          <w:iCs/>
          <w:color w:val="222222"/>
          <w:sz w:val="20"/>
          <w:szCs w:val="20"/>
          <w:shd w:val="clear" w:color="auto" w:fill="FFFFFF"/>
        </w:rPr>
        <w:t>Huainanzi</w:t>
      </w:r>
      <w:proofErr w:type="spellEnd"/>
      <w:r>
        <w:rPr>
          <w:rFonts w:ascii="Arial" w:hAnsi="Arial" w:cs="Arial"/>
          <w:color w:val="222222"/>
          <w:sz w:val="20"/>
          <w:szCs w:val="20"/>
          <w:shd w:val="clear" w:color="auto" w:fill="FFFFFF"/>
        </w:rPr>
        <w:t>. Columbia University Press.</w:t>
      </w:r>
    </w:p>
    <w:p w14:paraId="6157D13C" w14:textId="594446F5" w:rsidR="00A4114D" w:rsidRDefault="00A4114D">
      <w:r>
        <w:rPr>
          <w:rFonts w:ascii="Arial" w:hAnsi="Arial" w:cs="Arial"/>
          <w:color w:val="222222"/>
          <w:sz w:val="20"/>
          <w:szCs w:val="20"/>
          <w:shd w:val="clear" w:color="auto" w:fill="FFFFFF"/>
        </w:rPr>
        <w:t xml:space="preserve">Laozi, Tao </w:t>
      </w:r>
      <w:proofErr w:type="spellStart"/>
      <w:r>
        <w:rPr>
          <w:rFonts w:ascii="Arial" w:hAnsi="Arial" w:cs="Arial"/>
          <w:color w:val="222222"/>
          <w:sz w:val="20"/>
          <w:szCs w:val="20"/>
          <w:shd w:val="clear" w:color="auto" w:fill="FFFFFF"/>
        </w:rPr>
        <w:t>Te</w:t>
      </w:r>
      <w:proofErr w:type="spellEnd"/>
      <w:r>
        <w:rPr>
          <w:rFonts w:ascii="Arial" w:hAnsi="Arial" w:cs="Arial"/>
          <w:color w:val="222222"/>
          <w:sz w:val="20"/>
          <w:szCs w:val="20"/>
          <w:shd w:val="clear" w:color="auto" w:fill="FFFFFF"/>
        </w:rPr>
        <w:t xml:space="preserve"> Ching on the art of harmony the new illustrated edition of the Chinese Philosophical Masterpiece, 2017. </w:t>
      </w:r>
      <w:proofErr w:type="spellStart"/>
      <w:r>
        <w:rPr>
          <w:rFonts w:ascii="Arial" w:hAnsi="Arial" w:cs="Arial"/>
          <w:color w:val="222222"/>
          <w:sz w:val="20"/>
          <w:szCs w:val="20"/>
          <w:shd w:val="clear" w:color="auto" w:fill="FFFFFF"/>
        </w:rPr>
        <w:t>Translted</w:t>
      </w:r>
      <w:proofErr w:type="spellEnd"/>
      <w:r>
        <w:rPr>
          <w:rFonts w:ascii="Arial" w:hAnsi="Arial" w:cs="Arial"/>
          <w:color w:val="222222"/>
          <w:sz w:val="20"/>
          <w:szCs w:val="20"/>
          <w:shd w:val="clear" w:color="auto" w:fill="FFFFFF"/>
        </w:rPr>
        <w:t xml:space="preserve"> by Chad Hansen. Shelter Harbor Pres</w:t>
      </w:r>
    </w:p>
    <w:sectPr w:rsidR="00A411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21AC1" w14:textId="77777777" w:rsidR="00DD39A4" w:rsidRDefault="00DD39A4" w:rsidP="009E4D12">
      <w:pPr>
        <w:spacing w:after="0" w:line="240" w:lineRule="auto"/>
      </w:pPr>
      <w:r>
        <w:separator/>
      </w:r>
    </w:p>
  </w:endnote>
  <w:endnote w:type="continuationSeparator" w:id="0">
    <w:p w14:paraId="1181A2CE" w14:textId="77777777" w:rsidR="00DD39A4" w:rsidRDefault="00DD39A4" w:rsidP="009E4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A1296" w14:textId="77777777" w:rsidR="00DD39A4" w:rsidRDefault="00DD39A4" w:rsidP="009E4D12">
      <w:pPr>
        <w:spacing w:after="0" w:line="240" w:lineRule="auto"/>
      </w:pPr>
      <w:r>
        <w:separator/>
      </w:r>
    </w:p>
  </w:footnote>
  <w:footnote w:type="continuationSeparator" w:id="0">
    <w:p w14:paraId="4BEC699E" w14:textId="77777777" w:rsidR="00DD39A4" w:rsidRDefault="00DD39A4" w:rsidP="009E4D12">
      <w:pPr>
        <w:spacing w:after="0" w:line="240" w:lineRule="auto"/>
      </w:pPr>
      <w:r>
        <w:continuationSeparator/>
      </w:r>
    </w:p>
  </w:footnote>
  <w:footnote w:id="1">
    <w:p w14:paraId="7EFD40C8" w14:textId="05BAE0F4" w:rsidR="009E4D12" w:rsidRDefault="009E4D12">
      <w:pPr>
        <w:pStyle w:val="FootnoteText"/>
      </w:pPr>
      <w:r>
        <w:rPr>
          <w:rStyle w:val="FootnoteReference"/>
        </w:rPr>
        <w:footnoteRef/>
      </w:r>
      <w:r>
        <w:t xml:space="preserve"> </w:t>
      </w:r>
      <w:proofErr w:type="spellStart"/>
      <w:r>
        <w:t>Huainanzi</w:t>
      </w:r>
      <w:proofErr w:type="spellEnd"/>
      <w:r>
        <w:t>, p. 36 - 38</w:t>
      </w:r>
    </w:p>
  </w:footnote>
  <w:footnote w:id="2">
    <w:p w14:paraId="49C540B7" w14:textId="19321D27" w:rsidR="00494772" w:rsidRDefault="00494772">
      <w:pPr>
        <w:pStyle w:val="FootnoteText"/>
      </w:pPr>
      <w:r>
        <w:rPr>
          <w:rStyle w:val="FootnoteReference"/>
        </w:rPr>
        <w:footnoteRef/>
      </w:r>
      <w:r>
        <w:t xml:space="preserve"> </w:t>
      </w:r>
      <w:proofErr w:type="spellStart"/>
      <w:r>
        <w:t>Huainanzi</w:t>
      </w:r>
      <w:proofErr w:type="spellEnd"/>
      <w:r>
        <w:t>, p. 40</w:t>
      </w:r>
    </w:p>
  </w:footnote>
  <w:footnote w:id="3">
    <w:p w14:paraId="3F1971AA" w14:textId="6AC02458" w:rsidR="008E6764" w:rsidRDefault="008E6764">
      <w:pPr>
        <w:pStyle w:val="FootnoteText"/>
      </w:pPr>
      <w:r>
        <w:rPr>
          <w:rStyle w:val="FootnoteReference"/>
        </w:rPr>
        <w:footnoteRef/>
      </w:r>
      <w:r>
        <w:t xml:space="preserve"> </w:t>
      </w:r>
      <w:proofErr w:type="spellStart"/>
      <w:r>
        <w:t>Huainanzi</w:t>
      </w:r>
      <w:proofErr w:type="spellEnd"/>
      <w:r>
        <w:t>, p. 39 - 41</w:t>
      </w:r>
    </w:p>
  </w:footnote>
  <w:footnote w:id="4">
    <w:p w14:paraId="62FE1E21" w14:textId="3A7E1F31" w:rsidR="00085CB3" w:rsidRDefault="00085CB3">
      <w:pPr>
        <w:pStyle w:val="FootnoteText"/>
      </w:pPr>
      <w:r>
        <w:rPr>
          <w:rStyle w:val="FootnoteReference"/>
        </w:rPr>
        <w:footnoteRef/>
      </w:r>
      <w:r>
        <w:t xml:space="preserve"> </w:t>
      </w:r>
      <w:proofErr w:type="spellStart"/>
      <w:r>
        <w:t>Huainanzi</w:t>
      </w:r>
      <w:proofErr w:type="spellEnd"/>
      <w:r>
        <w:t>, p. 44</w:t>
      </w:r>
    </w:p>
  </w:footnote>
  <w:footnote w:id="5">
    <w:p w14:paraId="2EACD7CC" w14:textId="385B555F" w:rsidR="00085CB3" w:rsidRDefault="00085CB3">
      <w:pPr>
        <w:pStyle w:val="FootnoteText"/>
      </w:pPr>
      <w:r>
        <w:rPr>
          <w:rStyle w:val="FootnoteReference"/>
        </w:rPr>
        <w:footnoteRef/>
      </w:r>
      <w:r>
        <w:t xml:space="preserve"> </w:t>
      </w:r>
      <w:proofErr w:type="spellStart"/>
      <w:r>
        <w:t>Huainanzi</w:t>
      </w:r>
      <w:proofErr w:type="spellEnd"/>
      <w:r>
        <w:t>, p. 43</w:t>
      </w:r>
    </w:p>
  </w:footnote>
  <w:footnote w:id="6">
    <w:p w14:paraId="6DB12A1C" w14:textId="32DA5A07" w:rsidR="007331D4" w:rsidRDefault="007331D4">
      <w:pPr>
        <w:pStyle w:val="FootnoteText"/>
      </w:pPr>
      <w:r>
        <w:rPr>
          <w:rStyle w:val="FootnoteReference"/>
        </w:rPr>
        <w:footnoteRef/>
      </w:r>
      <w:r>
        <w:t xml:space="preserve"> </w:t>
      </w:r>
      <w:r>
        <w:t>Zhuangzi, p. 82 - 83</w:t>
      </w:r>
    </w:p>
  </w:footnote>
  <w:footnote w:id="7">
    <w:p w14:paraId="38BC3724" w14:textId="67B65E68" w:rsidR="001E2B6F" w:rsidRDefault="001E2B6F">
      <w:pPr>
        <w:pStyle w:val="FootnoteText"/>
      </w:pPr>
      <w:r>
        <w:rPr>
          <w:rStyle w:val="FootnoteReference"/>
        </w:rPr>
        <w:footnoteRef/>
      </w:r>
      <w:r>
        <w:t xml:space="preserve"> Mair, 2000, p. 33 - 34</w:t>
      </w:r>
    </w:p>
  </w:footnote>
  <w:footnote w:id="8">
    <w:p w14:paraId="4ED4BCE7" w14:textId="45C2E233" w:rsidR="00420519" w:rsidRDefault="00420519">
      <w:pPr>
        <w:pStyle w:val="FootnoteText"/>
      </w:pPr>
      <w:r>
        <w:rPr>
          <w:rStyle w:val="FootnoteReference"/>
        </w:rPr>
        <w:footnoteRef/>
      </w:r>
      <w:r>
        <w:t xml:space="preserve"> </w:t>
      </w:r>
      <w:proofErr w:type="spellStart"/>
      <w:r>
        <w:t>Huainanzi</w:t>
      </w:r>
      <w:proofErr w:type="spellEnd"/>
      <w:r>
        <w:t xml:space="preserve">, p. 45 - 46 </w:t>
      </w:r>
    </w:p>
  </w:footnote>
  <w:footnote w:id="9">
    <w:p w14:paraId="0830EDFE" w14:textId="4BF7E70C" w:rsidR="00D11270" w:rsidRDefault="00D11270">
      <w:pPr>
        <w:pStyle w:val="FootnoteText"/>
      </w:pPr>
      <w:r>
        <w:rPr>
          <w:rStyle w:val="FootnoteReference"/>
        </w:rPr>
        <w:footnoteRef/>
      </w:r>
      <w:r>
        <w:t xml:space="preserve"> </w:t>
      </w:r>
      <w:proofErr w:type="spellStart"/>
      <w:r>
        <w:t>Huainanzi</w:t>
      </w:r>
      <w:proofErr w:type="spellEnd"/>
      <w:r>
        <w:t>, p. 47</w:t>
      </w:r>
    </w:p>
  </w:footnote>
  <w:footnote w:id="10">
    <w:p w14:paraId="5CC069D6" w14:textId="401B139F" w:rsidR="00D11270" w:rsidRDefault="00D11270">
      <w:pPr>
        <w:pStyle w:val="FootnoteText"/>
      </w:pPr>
      <w:r>
        <w:rPr>
          <w:rStyle w:val="FootnoteReference"/>
        </w:rPr>
        <w:footnoteRef/>
      </w:r>
      <w:r>
        <w:t xml:space="preserve"> </w:t>
      </w:r>
      <w:proofErr w:type="spellStart"/>
      <w:r>
        <w:t>Huainanzi</w:t>
      </w:r>
      <w:proofErr w:type="spellEnd"/>
      <w:r>
        <w:t>, p. 46 - 48</w:t>
      </w:r>
    </w:p>
  </w:footnote>
  <w:footnote w:id="11">
    <w:p w14:paraId="06C1ECDD" w14:textId="6836F597" w:rsidR="003717AF" w:rsidRDefault="003717AF">
      <w:pPr>
        <w:pStyle w:val="FootnoteText"/>
      </w:pPr>
      <w:r>
        <w:rPr>
          <w:rStyle w:val="FootnoteReference"/>
        </w:rPr>
        <w:footnoteRef/>
      </w:r>
      <w:r>
        <w:t xml:space="preserve"> </w:t>
      </w:r>
      <w:proofErr w:type="spellStart"/>
      <w:r>
        <w:t>Huainanzi</w:t>
      </w:r>
      <w:proofErr w:type="spellEnd"/>
      <w:r>
        <w:t>, p. 50</w:t>
      </w:r>
    </w:p>
  </w:footnote>
  <w:footnote w:id="12">
    <w:p w14:paraId="4621B52C" w14:textId="39CF6512" w:rsidR="003717AF" w:rsidRDefault="003717AF">
      <w:pPr>
        <w:pStyle w:val="FootnoteText"/>
      </w:pPr>
      <w:r>
        <w:rPr>
          <w:rStyle w:val="FootnoteReference"/>
        </w:rPr>
        <w:footnoteRef/>
      </w:r>
      <w:r>
        <w:t xml:space="preserve"> </w:t>
      </w:r>
      <w:proofErr w:type="spellStart"/>
      <w:r>
        <w:t>Huainanzi</w:t>
      </w:r>
      <w:proofErr w:type="spellEnd"/>
      <w:r>
        <w:t>, p. 49 - 51</w:t>
      </w:r>
    </w:p>
  </w:footnote>
  <w:footnote w:id="13">
    <w:p w14:paraId="3A40A47C" w14:textId="5E0DDD5B" w:rsidR="00476F19" w:rsidRDefault="00476F19">
      <w:pPr>
        <w:pStyle w:val="FootnoteText"/>
      </w:pPr>
      <w:r>
        <w:rPr>
          <w:rStyle w:val="FootnoteReference"/>
        </w:rPr>
        <w:footnoteRef/>
      </w:r>
      <w:r>
        <w:t xml:space="preserve"> </w:t>
      </w:r>
      <w:proofErr w:type="spellStart"/>
      <w:r>
        <w:t>Huainanzi</w:t>
      </w:r>
      <w:proofErr w:type="spellEnd"/>
      <w:r>
        <w:t>, p, 51 - 53</w:t>
      </w:r>
    </w:p>
  </w:footnote>
  <w:footnote w:id="14">
    <w:p w14:paraId="582F1249" w14:textId="7E9A24E0" w:rsidR="00F679D7" w:rsidRDefault="00F679D7">
      <w:pPr>
        <w:pStyle w:val="FootnoteText"/>
      </w:pPr>
      <w:r>
        <w:rPr>
          <w:rStyle w:val="FootnoteReference"/>
        </w:rPr>
        <w:footnoteRef/>
      </w:r>
      <w:r>
        <w:t xml:space="preserve"> </w:t>
      </w:r>
      <w:proofErr w:type="spellStart"/>
      <w:r>
        <w:t>Huainanzi</w:t>
      </w:r>
      <w:proofErr w:type="spellEnd"/>
      <w:r>
        <w:t>, p. 53 - 55</w:t>
      </w:r>
    </w:p>
  </w:footnote>
  <w:footnote w:id="15">
    <w:p w14:paraId="718C8BD7" w14:textId="0BCDC852" w:rsidR="00A4114D" w:rsidRDefault="00A4114D">
      <w:pPr>
        <w:pStyle w:val="FootnoteText"/>
      </w:pPr>
      <w:r>
        <w:rPr>
          <w:rStyle w:val="FootnoteReference"/>
        </w:rPr>
        <w:footnoteRef/>
      </w:r>
      <w:r>
        <w:t xml:space="preserve"> Laozi, p. 125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6EC"/>
    <w:rsid w:val="000223CB"/>
    <w:rsid w:val="00085CB3"/>
    <w:rsid w:val="000E6E79"/>
    <w:rsid w:val="001E2B6F"/>
    <w:rsid w:val="002806EC"/>
    <w:rsid w:val="002A09B8"/>
    <w:rsid w:val="003717AF"/>
    <w:rsid w:val="0041662D"/>
    <w:rsid w:val="00420519"/>
    <w:rsid w:val="00476F19"/>
    <w:rsid w:val="00494772"/>
    <w:rsid w:val="00537566"/>
    <w:rsid w:val="005A5C74"/>
    <w:rsid w:val="007331D4"/>
    <w:rsid w:val="00746469"/>
    <w:rsid w:val="007A45A5"/>
    <w:rsid w:val="00840A1B"/>
    <w:rsid w:val="008870C8"/>
    <w:rsid w:val="00895499"/>
    <w:rsid w:val="008E6764"/>
    <w:rsid w:val="00965538"/>
    <w:rsid w:val="009B5F4C"/>
    <w:rsid w:val="009C1DCB"/>
    <w:rsid w:val="009E4D12"/>
    <w:rsid w:val="00A4114D"/>
    <w:rsid w:val="00BE6C87"/>
    <w:rsid w:val="00C60260"/>
    <w:rsid w:val="00D11270"/>
    <w:rsid w:val="00D138D9"/>
    <w:rsid w:val="00DD39A4"/>
    <w:rsid w:val="00E77E1C"/>
    <w:rsid w:val="00EC32B0"/>
    <w:rsid w:val="00F679D7"/>
    <w:rsid w:val="00F86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665CD"/>
  <w15:chartTrackingRefBased/>
  <w15:docId w15:val="{EF0F8EA2-8A94-499B-BACF-219BC22E9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E4D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4D12"/>
    <w:rPr>
      <w:sz w:val="20"/>
      <w:szCs w:val="20"/>
    </w:rPr>
  </w:style>
  <w:style w:type="character" w:styleId="FootnoteReference">
    <w:name w:val="footnote reference"/>
    <w:basedOn w:val="DefaultParagraphFont"/>
    <w:uiPriority w:val="99"/>
    <w:semiHidden/>
    <w:unhideWhenUsed/>
    <w:rsid w:val="009E4D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B18345-8A2F-46D1-B926-53CB1C74A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1195</TotalTime>
  <Pages>3</Pages>
  <Words>1171</Words>
  <Characters>5399</Characters>
  <Application>Microsoft Office Word</Application>
  <DocSecurity>0</DocSecurity>
  <Lines>73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11</cp:revision>
  <dcterms:created xsi:type="dcterms:W3CDTF">2024-01-09T13:24:00Z</dcterms:created>
  <dcterms:modified xsi:type="dcterms:W3CDTF">2024-01-10T09:23:00Z</dcterms:modified>
</cp:coreProperties>
</file>