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0110194"/>
        <w:docPartObj>
          <w:docPartGallery w:val="Cover Pages"/>
          <w:docPartUnique/>
        </w:docPartObj>
      </w:sdtPr>
      <w:sdtEndPr>
        <w:rPr>
          <w:rFonts w:ascii="Arial" w:hAnsi="Arial" w:cs="Arial"/>
          <w:b/>
          <w:bCs/>
          <w:color w:val="E97132" w:themeColor="accent2"/>
        </w:rPr>
      </w:sdtEndPr>
      <w:sdtContent>
        <w:p w14:paraId="37B6F18C" w14:textId="193B9EB7" w:rsidR="00FC728C" w:rsidRDefault="00FC728C" w:rsidP="00FC728C"/>
        <w:p w14:paraId="4CD91B84" w14:textId="1855A552" w:rsidR="00FC728C" w:rsidRDefault="00FC728C" w:rsidP="00FC728C">
          <w:r>
            <w:rPr>
              <w:noProof/>
            </w:rPr>
            <mc:AlternateContent>
              <mc:Choice Requires="wpg">
                <w:drawing>
                  <wp:anchor distT="0" distB="0" distL="114300" distR="114300" simplePos="0" relativeHeight="251659264" behindDoc="1" locked="0" layoutInCell="1" allowOverlap="1" wp14:anchorId="40016973" wp14:editId="11373A18">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4A15D9" w14:textId="308100A3" w:rsidR="00FC728C" w:rsidRPr="00FC728C" w:rsidRDefault="00FC728C" w:rsidP="00FC728C">
                                  <w:pPr>
                                    <w:pStyle w:val="NoSpacing"/>
                                    <w:rPr>
                                      <w:rFonts w:ascii="Arial Black" w:hAnsi="Arial Black"/>
                                      <w:caps/>
                                      <w:color w:val="000000" w:themeColor="text1"/>
                                      <w:sz w:val="24"/>
                                      <w:szCs w:val="24"/>
                                      <w:lang w:val="en-GB"/>
                                    </w:rPr>
                                  </w:pPr>
                                  <w:r w:rsidRPr="00FC728C">
                                    <w:rPr>
                                      <w:rFonts w:ascii="Arial Black" w:hAnsi="Arial Black"/>
                                      <w:caps/>
                                      <w:color w:val="000000" w:themeColor="text1"/>
                                      <w:sz w:val="24"/>
                                      <w:szCs w:val="24"/>
                                      <w:lang w:val="en-GB"/>
                                    </w:rPr>
                                    <w:t>Student name:</w:t>
                                  </w:r>
                                  <w:r w:rsidRPr="00FC728C">
                                    <w:rPr>
                                      <w:rFonts w:ascii="Arial Black" w:hAnsi="Arial Black"/>
                                      <w:caps/>
                                      <w:color w:val="000000" w:themeColor="text1"/>
                                      <w:sz w:val="24"/>
                                      <w:szCs w:val="24"/>
                                      <w:lang w:val="en-GB"/>
                                    </w:rPr>
                                    <w:t xml:space="preserve"> Madalina Apetroaie</w:t>
                                  </w:r>
                                  <w:r w:rsidRPr="00FC728C">
                                    <w:rPr>
                                      <w:rFonts w:ascii="Arial Black" w:hAnsi="Arial Black"/>
                                      <w:caps/>
                                      <w:color w:val="000000" w:themeColor="text1"/>
                                      <w:sz w:val="24"/>
                                      <w:szCs w:val="24"/>
                                      <w:lang w:val="en-GB"/>
                                    </w:rPr>
                                    <w:tab/>
                                    <w:t xml:space="preserve">     </w:t>
                                  </w:r>
                                </w:p>
                                <w:p w14:paraId="43350E6F" w14:textId="3D6D09DA" w:rsidR="00FC728C" w:rsidRPr="00FC728C" w:rsidRDefault="00FC728C" w:rsidP="00FC728C">
                                  <w:pPr>
                                    <w:pStyle w:val="NoSpacing"/>
                                    <w:rPr>
                                      <w:rFonts w:ascii="Arial Black" w:hAnsi="Arial Black"/>
                                      <w:caps/>
                                      <w:color w:val="000000" w:themeColor="text1"/>
                                      <w:sz w:val="24"/>
                                      <w:szCs w:val="24"/>
                                      <w:lang w:val="en-GB"/>
                                    </w:rPr>
                                  </w:pPr>
                                  <w:r w:rsidRPr="00FC728C">
                                    <w:rPr>
                                      <w:rFonts w:ascii="Arial Black" w:hAnsi="Arial Black"/>
                                      <w:caps/>
                                      <w:color w:val="000000" w:themeColor="text1"/>
                                      <w:sz w:val="24"/>
                                      <w:szCs w:val="24"/>
                                      <w:lang w:val="en-GB"/>
                                    </w:rPr>
                                    <w:t>Programme:</w:t>
                                  </w:r>
                                  <w:r w:rsidRPr="00FC728C">
                                    <w:rPr>
                                      <w:rFonts w:ascii="Arial Black" w:hAnsi="Arial Black"/>
                                      <w:caps/>
                                      <w:color w:val="000000" w:themeColor="text1"/>
                                      <w:sz w:val="24"/>
                                      <w:szCs w:val="24"/>
                                      <w:lang w:val="en-GB"/>
                                    </w:rPr>
                                    <w:t xml:space="preserve"> </w:t>
                                  </w:r>
                                  <w:r w:rsidRPr="00FC728C">
                                    <w:rPr>
                                      <w:rFonts w:ascii="Arial Black" w:hAnsi="Arial Black"/>
                                      <w:caps/>
                                      <w:color w:val="000000" w:themeColor="text1"/>
                                      <w:sz w:val="24"/>
                                      <w:szCs w:val="24"/>
                                      <w:lang w:val="en-GB"/>
                                    </w:rPr>
                                    <w:t>CertHE Sustainable Enterprise (Rural)</w:t>
                                  </w:r>
                                </w:p>
                                <w:p w14:paraId="657781AD" w14:textId="77777777" w:rsidR="00FC728C" w:rsidRPr="00FC728C" w:rsidRDefault="00FC728C" w:rsidP="00FC728C">
                                  <w:pPr>
                                    <w:pStyle w:val="NoSpacing"/>
                                    <w:rPr>
                                      <w:rFonts w:ascii="Arial Black" w:hAnsi="Arial Black"/>
                                      <w:caps/>
                                      <w:color w:val="000000" w:themeColor="text1"/>
                                      <w:sz w:val="24"/>
                                      <w:szCs w:val="24"/>
                                      <w:lang w:val="en-GB"/>
                                    </w:rPr>
                                  </w:pPr>
                                  <w:r w:rsidRPr="00FC728C">
                                    <w:rPr>
                                      <w:rFonts w:ascii="Arial Black" w:hAnsi="Arial Black"/>
                                      <w:caps/>
                                      <w:color w:val="000000" w:themeColor="text1"/>
                                      <w:sz w:val="24"/>
                                      <w:szCs w:val="24"/>
                                      <w:lang w:val="en-GB"/>
                                    </w:rPr>
                                    <w:t>Module:</w:t>
                                  </w:r>
                                  <w:r w:rsidRPr="00FC728C">
                                    <w:rPr>
                                      <w:rFonts w:ascii="Arial Black" w:hAnsi="Arial Black"/>
                                      <w:caps/>
                                      <w:color w:val="000000" w:themeColor="text1"/>
                                      <w:sz w:val="24"/>
                                      <w:szCs w:val="24"/>
                                      <w:lang w:val="en-GB"/>
                                    </w:rPr>
                                    <w:tab/>
                                    <w:t>Digital Marketing</w:t>
                                  </w:r>
                                </w:p>
                                <w:p w14:paraId="58D292D9" w14:textId="34B6C362" w:rsidR="00FC728C" w:rsidRPr="00FC728C" w:rsidRDefault="00FC728C" w:rsidP="00FC728C">
                                  <w:pPr>
                                    <w:pStyle w:val="NoSpacing"/>
                                    <w:rPr>
                                      <w:rFonts w:ascii="Arial Black" w:hAnsi="Arial Black"/>
                                      <w:caps/>
                                      <w:color w:val="FFFFFF" w:themeColor="background1"/>
                                      <w:sz w:val="24"/>
                                      <w:szCs w:val="24"/>
                                      <w:lang w:val="en-GB"/>
                                    </w:rPr>
                                  </w:pPr>
                                  <w:r w:rsidRPr="00FC728C">
                                    <w:rPr>
                                      <w:rFonts w:ascii="Arial Black" w:hAnsi="Arial Black"/>
                                      <w:caps/>
                                      <w:color w:val="000000" w:themeColor="text1"/>
                                      <w:sz w:val="24"/>
                                      <w:szCs w:val="24"/>
                                      <w:lang w:val="en-GB"/>
                                    </w:rPr>
                                    <w:t>Module code:</w:t>
                                  </w:r>
                                  <w:r w:rsidRPr="00FC728C">
                                    <w:rPr>
                                      <w:rFonts w:ascii="Arial Black" w:hAnsi="Arial Black"/>
                                      <w:caps/>
                                      <w:color w:val="000000" w:themeColor="text1"/>
                                      <w:sz w:val="24"/>
                                      <w:szCs w:val="24"/>
                                      <w:lang w:val="en-GB"/>
                                    </w:rPr>
                                    <w:tab/>
                                    <w:t>BMSE4008D</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olor w:val="E97132" w:themeColor="accent2"/>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B791AD7" w14:textId="70D9778E" w:rsidR="00FC728C" w:rsidRPr="00FC728C" w:rsidRDefault="00FC728C" w:rsidP="00FC728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FC728C">
                                        <w:rPr>
                                          <w:rFonts w:ascii="Arial Black" w:eastAsiaTheme="majorEastAsia" w:hAnsi="Arial Black" w:cstheme="majorBidi"/>
                                          <w:color w:val="E97132" w:themeColor="accent2"/>
                                          <w:sz w:val="72"/>
                                          <w:szCs w:val="72"/>
                                        </w:rPr>
                                        <w:t>Assignment 2: Report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0016973"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p w14:paraId="664A15D9" w14:textId="308100A3" w:rsidR="00FC728C" w:rsidRPr="00FC728C" w:rsidRDefault="00FC728C" w:rsidP="00FC728C">
                            <w:pPr>
                              <w:pStyle w:val="NoSpacing"/>
                              <w:rPr>
                                <w:rFonts w:ascii="Arial Black" w:hAnsi="Arial Black"/>
                                <w:caps/>
                                <w:color w:val="000000" w:themeColor="text1"/>
                                <w:sz w:val="24"/>
                                <w:szCs w:val="24"/>
                                <w:lang w:val="en-GB"/>
                              </w:rPr>
                            </w:pPr>
                            <w:r w:rsidRPr="00FC728C">
                              <w:rPr>
                                <w:rFonts w:ascii="Arial Black" w:hAnsi="Arial Black"/>
                                <w:caps/>
                                <w:color w:val="000000" w:themeColor="text1"/>
                                <w:sz w:val="24"/>
                                <w:szCs w:val="24"/>
                                <w:lang w:val="en-GB"/>
                              </w:rPr>
                              <w:t>Student name:</w:t>
                            </w:r>
                            <w:r w:rsidRPr="00FC728C">
                              <w:rPr>
                                <w:rFonts w:ascii="Arial Black" w:hAnsi="Arial Black"/>
                                <w:caps/>
                                <w:color w:val="000000" w:themeColor="text1"/>
                                <w:sz w:val="24"/>
                                <w:szCs w:val="24"/>
                                <w:lang w:val="en-GB"/>
                              </w:rPr>
                              <w:t xml:space="preserve"> Madalina Apetroaie</w:t>
                            </w:r>
                            <w:r w:rsidRPr="00FC728C">
                              <w:rPr>
                                <w:rFonts w:ascii="Arial Black" w:hAnsi="Arial Black"/>
                                <w:caps/>
                                <w:color w:val="000000" w:themeColor="text1"/>
                                <w:sz w:val="24"/>
                                <w:szCs w:val="24"/>
                                <w:lang w:val="en-GB"/>
                              </w:rPr>
                              <w:tab/>
                              <w:t xml:space="preserve">     </w:t>
                            </w:r>
                          </w:p>
                          <w:p w14:paraId="43350E6F" w14:textId="3D6D09DA" w:rsidR="00FC728C" w:rsidRPr="00FC728C" w:rsidRDefault="00FC728C" w:rsidP="00FC728C">
                            <w:pPr>
                              <w:pStyle w:val="NoSpacing"/>
                              <w:rPr>
                                <w:rFonts w:ascii="Arial Black" w:hAnsi="Arial Black"/>
                                <w:caps/>
                                <w:color w:val="000000" w:themeColor="text1"/>
                                <w:sz w:val="24"/>
                                <w:szCs w:val="24"/>
                                <w:lang w:val="en-GB"/>
                              </w:rPr>
                            </w:pPr>
                            <w:r w:rsidRPr="00FC728C">
                              <w:rPr>
                                <w:rFonts w:ascii="Arial Black" w:hAnsi="Arial Black"/>
                                <w:caps/>
                                <w:color w:val="000000" w:themeColor="text1"/>
                                <w:sz w:val="24"/>
                                <w:szCs w:val="24"/>
                                <w:lang w:val="en-GB"/>
                              </w:rPr>
                              <w:t>Programme:</w:t>
                            </w:r>
                            <w:r w:rsidRPr="00FC728C">
                              <w:rPr>
                                <w:rFonts w:ascii="Arial Black" w:hAnsi="Arial Black"/>
                                <w:caps/>
                                <w:color w:val="000000" w:themeColor="text1"/>
                                <w:sz w:val="24"/>
                                <w:szCs w:val="24"/>
                                <w:lang w:val="en-GB"/>
                              </w:rPr>
                              <w:t xml:space="preserve"> </w:t>
                            </w:r>
                            <w:r w:rsidRPr="00FC728C">
                              <w:rPr>
                                <w:rFonts w:ascii="Arial Black" w:hAnsi="Arial Black"/>
                                <w:caps/>
                                <w:color w:val="000000" w:themeColor="text1"/>
                                <w:sz w:val="24"/>
                                <w:szCs w:val="24"/>
                                <w:lang w:val="en-GB"/>
                              </w:rPr>
                              <w:t>CertHE Sustainable Enterprise (Rural)</w:t>
                            </w:r>
                          </w:p>
                          <w:p w14:paraId="657781AD" w14:textId="77777777" w:rsidR="00FC728C" w:rsidRPr="00FC728C" w:rsidRDefault="00FC728C" w:rsidP="00FC728C">
                            <w:pPr>
                              <w:pStyle w:val="NoSpacing"/>
                              <w:rPr>
                                <w:rFonts w:ascii="Arial Black" w:hAnsi="Arial Black"/>
                                <w:caps/>
                                <w:color w:val="000000" w:themeColor="text1"/>
                                <w:sz w:val="24"/>
                                <w:szCs w:val="24"/>
                                <w:lang w:val="en-GB"/>
                              </w:rPr>
                            </w:pPr>
                            <w:r w:rsidRPr="00FC728C">
                              <w:rPr>
                                <w:rFonts w:ascii="Arial Black" w:hAnsi="Arial Black"/>
                                <w:caps/>
                                <w:color w:val="000000" w:themeColor="text1"/>
                                <w:sz w:val="24"/>
                                <w:szCs w:val="24"/>
                                <w:lang w:val="en-GB"/>
                              </w:rPr>
                              <w:t>Module:</w:t>
                            </w:r>
                            <w:r w:rsidRPr="00FC728C">
                              <w:rPr>
                                <w:rFonts w:ascii="Arial Black" w:hAnsi="Arial Black"/>
                                <w:caps/>
                                <w:color w:val="000000" w:themeColor="text1"/>
                                <w:sz w:val="24"/>
                                <w:szCs w:val="24"/>
                                <w:lang w:val="en-GB"/>
                              </w:rPr>
                              <w:tab/>
                              <w:t>Digital Marketing</w:t>
                            </w:r>
                          </w:p>
                          <w:p w14:paraId="58D292D9" w14:textId="34B6C362" w:rsidR="00FC728C" w:rsidRPr="00FC728C" w:rsidRDefault="00FC728C" w:rsidP="00FC728C">
                            <w:pPr>
                              <w:pStyle w:val="NoSpacing"/>
                              <w:rPr>
                                <w:rFonts w:ascii="Arial Black" w:hAnsi="Arial Black"/>
                                <w:caps/>
                                <w:color w:val="FFFFFF" w:themeColor="background1"/>
                                <w:sz w:val="24"/>
                                <w:szCs w:val="24"/>
                                <w:lang w:val="en-GB"/>
                              </w:rPr>
                            </w:pPr>
                            <w:r w:rsidRPr="00FC728C">
                              <w:rPr>
                                <w:rFonts w:ascii="Arial Black" w:hAnsi="Arial Black"/>
                                <w:caps/>
                                <w:color w:val="000000" w:themeColor="text1"/>
                                <w:sz w:val="24"/>
                                <w:szCs w:val="24"/>
                                <w:lang w:val="en-GB"/>
                              </w:rPr>
                              <w:t>Module code:</w:t>
                            </w:r>
                            <w:r w:rsidRPr="00FC728C">
                              <w:rPr>
                                <w:rFonts w:ascii="Arial Black" w:hAnsi="Arial Black"/>
                                <w:caps/>
                                <w:color w:val="000000" w:themeColor="text1"/>
                                <w:sz w:val="24"/>
                                <w:szCs w:val="24"/>
                                <w:lang w:val="en-GB"/>
                              </w:rPr>
                              <w:tab/>
                              <w:t>BMSE4008D</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Black" w:eastAsiaTheme="majorEastAsia" w:hAnsi="Arial Black" w:cstheme="majorBidi"/>
                                <w:color w:val="E97132" w:themeColor="accent2"/>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B791AD7" w14:textId="70D9778E" w:rsidR="00FC728C" w:rsidRPr="00FC728C" w:rsidRDefault="00FC728C" w:rsidP="00FC728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FC728C">
                                  <w:rPr>
                                    <w:rFonts w:ascii="Arial Black" w:eastAsiaTheme="majorEastAsia" w:hAnsi="Arial Black" w:cstheme="majorBidi"/>
                                    <w:color w:val="E97132" w:themeColor="accent2"/>
                                    <w:sz w:val="72"/>
                                    <w:szCs w:val="72"/>
                                  </w:rPr>
                                  <w:t>Assignment 2: Report</w:t>
                                </w:r>
                              </w:p>
                            </w:sdtContent>
                          </w:sdt>
                        </w:txbxContent>
                      </v:textbox>
                    </v:shape>
                    <w10:wrap anchorx="page" anchory="page"/>
                  </v:group>
                </w:pict>
              </mc:Fallback>
            </mc:AlternateContent>
          </w:r>
        </w:p>
        <w:p w14:paraId="583677EA" w14:textId="2EE6BE5C" w:rsidR="00FC728C" w:rsidRDefault="00FC728C">
          <w:pPr>
            <w:rPr>
              <w:rFonts w:ascii="Arial" w:hAnsi="Arial" w:cs="Arial"/>
              <w:b/>
              <w:bCs/>
              <w:color w:val="E97132" w:themeColor="accent2"/>
            </w:rPr>
          </w:pPr>
          <w:r>
            <w:rPr>
              <w:rFonts w:ascii="Arial" w:hAnsi="Arial" w:cs="Arial"/>
              <w:b/>
              <w:bCs/>
              <w:noProof/>
              <w:color w:val="E97132" w:themeColor="accent2"/>
            </w:rPr>
            <w:drawing>
              <wp:inline distT="0" distB="0" distL="0" distR="0" wp14:anchorId="46AD2CDD" wp14:editId="57F00B1A">
                <wp:extent cx="3143250" cy="1104900"/>
                <wp:effectExtent l="0" t="0" r="0" b="0"/>
                <wp:docPr id="17495732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3250" cy="1104900"/>
                        </a:xfrm>
                        <a:prstGeom prst="rect">
                          <a:avLst/>
                        </a:prstGeom>
                        <a:noFill/>
                        <a:ln>
                          <a:noFill/>
                        </a:ln>
                      </pic:spPr>
                    </pic:pic>
                  </a:graphicData>
                </a:graphic>
              </wp:inline>
            </w:drawing>
          </w:r>
          <w:r>
            <w:rPr>
              <w:rFonts w:ascii="Arial" w:hAnsi="Arial" w:cs="Arial"/>
              <w:b/>
              <w:bCs/>
              <w:color w:val="E97132" w:themeColor="accent2"/>
            </w:rPr>
            <w:br w:type="page"/>
          </w:r>
        </w:p>
      </w:sdtContent>
    </w:sdt>
    <w:p w14:paraId="3DCCA5FC" w14:textId="0C73F97A" w:rsidR="00DF7C15" w:rsidRPr="00FC728C" w:rsidRDefault="006E01BD" w:rsidP="006E01BD">
      <w:pPr>
        <w:pStyle w:val="ListParagraph"/>
        <w:numPr>
          <w:ilvl w:val="0"/>
          <w:numId w:val="1"/>
        </w:numPr>
        <w:spacing w:line="480" w:lineRule="auto"/>
        <w:rPr>
          <w:rFonts w:ascii="Arial" w:hAnsi="Arial" w:cs="Arial"/>
          <w:b/>
          <w:bCs/>
          <w:color w:val="E97132" w:themeColor="accent2"/>
        </w:rPr>
      </w:pPr>
      <w:r w:rsidRPr="00FC728C">
        <w:rPr>
          <w:rFonts w:ascii="Arial" w:hAnsi="Arial" w:cs="Arial"/>
          <w:b/>
          <w:bCs/>
          <w:color w:val="E97132" w:themeColor="accent2"/>
        </w:rPr>
        <w:lastRenderedPageBreak/>
        <w:t>Executive Summary</w:t>
      </w:r>
    </w:p>
    <w:p w14:paraId="0CF117C6" w14:textId="24D13328" w:rsidR="00DF7C15" w:rsidRPr="00DF7C15" w:rsidRDefault="00DF7C15" w:rsidP="00DF7C15">
      <w:pPr>
        <w:spacing w:line="480" w:lineRule="auto"/>
        <w:rPr>
          <w:rFonts w:ascii="Arial" w:hAnsi="Arial" w:cs="Arial"/>
        </w:rPr>
      </w:pPr>
      <w:r w:rsidRPr="00DF7C15">
        <w:rPr>
          <w:rFonts w:ascii="Arial" w:hAnsi="Arial" w:cs="Arial"/>
        </w:rPr>
        <w:t xml:space="preserve">The purpose of this marketing plan is to establish a digital marketing campaign for the Apple Watch SE directed toward a new target market: adult German consumers ages 30–45 that are not currently smartwatch </w:t>
      </w:r>
      <w:r w:rsidR="00FC728C" w:rsidRPr="00DF7C15">
        <w:rPr>
          <w:rFonts w:ascii="Arial" w:hAnsi="Arial" w:cs="Arial"/>
        </w:rPr>
        <w:t>shoppers yet</w:t>
      </w:r>
      <w:r w:rsidRPr="00DF7C15">
        <w:rPr>
          <w:rFonts w:ascii="Arial" w:hAnsi="Arial" w:cs="Arial"/>
        </w:rPr>
        <w:t xml:space="preserve"> show interest in easier-to-use digital health and lifestyle tracking </w:t>
      </w:r>
      <w:r w:rsidR="00FC728C" w:rsidRPr="00DF7C15">
        <w:rPr>
          <w:rFonts w:ascii="Arial" w:hAnsi="Arial" w:cs="Arial"/>
        </w:rPr>
        <w:t>solutions. The</w:t>
      </w:r>
      <w:r w:rsidRPr="00DF7C15">
        <w:rPr>
          <w:rFonts w:ascii="Arial" w:hAnsi="Arial" w:cs="Arial"/>
        </w:rPr>
        <w:t xml:space="preserve"> </w:t>
      </w:r>
      <w:r w:rsidR="00FC728C">
        <w:rPr>
          <w:rFonts w:ascii="Arial" w:hAnsi="Arial" w:cs="Arial"/>
        </w:rPr>
        <w:t>plan</w:t>
      </w:r>
      <w:r w:rsidRPr="00DF7C15">
        <w:rPr>
          <w:rFonts w:ascii="Arial" w:hAnsi="Arial" w:cs="Arial"/>
        </w:rPr>
        <w:t xml:space="preserve"> is designed to change the current perception of the Apple Watch SE as an affordable, confidence-building and approachable means for consumers to begin exploring wearable technology, rather than a niche, performance-oriented piece of technology. Many consumers in this demographic segment are considering using a health tracking device; however, they are often put off by the perception that these devices are difficult to use, expensive or unnecessary. Therefore, the digital marketing campaign will guide these consumers through the progression from initial curiosity to device evaluation, purchase, onboarding and ongoing usage, while also reinforcing the connection between value and behaviour (Kingsnorth, 2022).</w:t>
      </w:r>
      <w:r w:rsidR="00FC728C">
        <w:rPr>
          <w:rFonts w:ascii="Arial" w:hAnsi="Arial" w:cs="Arial"/>
        </w:rPr>
        <w:t xml:space="preserve"> </w:t>
      </w:r>
      <w:r w:rsidRPr="00DF7C15">
        <w:rPr>
          <w:rFonts w:ascii="Arial" w:hAnsi="Arial" w:cs="Arial"/>
        </w:rPr>
        <w:t xml:space="preserve">The strategy assumes that adopting a smartwatch will not be a standard purchase decision; rather, it is a behavioural and experiential of forming expectations, getting assurance, post-purchase, and the integration of the device into their </w:t>
      </w:r>
      <w:r w:rsidR="00FC728C" w:rsidRPr="00DF7C15">
        <w:rPr>
          <w:rFonts w:ascii="Arial" w:hAnsi="Arial" w:cs="Arial"/>
        </w:rPr>
        <w:t>lives. Through</w:t>
      </w:r>
      <w:r w:rsidRPr="00DF7C15">
        <w:rPr>
          <w:rFonts w:ascii="Arial" w:hAnsi="Arial" w:cs="Arial"/>
        </w:rPr>
        <w:t xml:space="preserve"> their reliance on digital media channels including online searches, product reviews, product demonstrations, peer conversations, and “how to” content to create the perception of how relevant and functional wearable tech is (Lamberton and Stephen, 2016), Digital Channels will play a pivotal role in developing consumer behaviour and therefore the </w:t>
      </w:r>
      <w:r w:rsidR="00FC728C">
        <w:rPr>
          <w:rFonts w:ascii="Arial" w:hAnsi="Arial" w:cs="Arial"/>
        </w:rPr>
        <w:t>plan</w:t>
      </w:r>
      <w:r w:rsidRPr="00DF7C15">
        <w:rPr>
          <w:rFonts w:ascii="Arial" w:hAnsi="Arial" w:cs="Arial"/>
        </w:rPr>
        <w:t xml:space="preserve"> will provide ongoing support to consumers throughout the entire lifecycle of the decision to adopt and use such products versus just at the point of purchase to facilitate continued use and engagement with the product.</w:t>
      </w:r>
    </w:p>
    <w:p w14:paraId="1829C439" w14:textId="77777777" w:rsidR="00DF7C15" w:rsidRPr="00DF7C15" w:rsidRDefault="00DF7C15" w:rsidP="00DF7C15">
      <w:pPr>
        <w:spacing w:line="480" w:lineRule="auto"/>
        <w:rPr>
          <w:rFonts w:ascii="Arial" w:hAnsi="Arial" w:cs="Arial"/>
        </w:rPr>
      </w:pPr>
    </w:p>
    <w:p w14:paraId="15598884" w14:textId="28AF3C39" w:rsidR="00DF7C15" w:rsidRPr="00FC728C" w:rsidRDefault="00DF7C15" w:rsidP="00FC728C">
      <w:pPr>
        <w:pStyle w:val="ListParagraph"/>
        <w:numPr>
          <w:ilvl w:val="0"/>
          <w:numId w:val="1"/>
        </w:numPr>
        <w:spacing w:line="480" w:lineRule="auto"/>
        <w:rPr>
          <w:rFonts w:ascii="Arial" w:hAnsi="Arial" w:cs="Arial"/>
          <w:b/>
          <w:bCs/>
          <w:color w:val="E97132" w:themeColor="accent2"/>
        </w:rPr>
      </w:pPr>
      <w:r w:rsidRPr="00FC728C">
        <w:rPr>
          <w:rFonts w:ascii="Arial" w:hAnsi="Arial" w:cs="Arial"/>
          <w:b/>
          <w:bCs/>
          <w:color w:val="E97132" w:themeColor="accent2"/>
        </w:rPr>
        <w:lastRenderedPageBreak/>
        <w:t xml:space="preserve">Market Opportunity </w:t>
      </w:r>
      <w:r w:rsidR="00FC728C" w:rsidRPr="00FC728C">
        <w:rPr>
          <w:rFonts w:ascii="Arial" w:hAnsi="Arial" w:cs="Arial"/>
          <w:b/>
          <w:bCs/>
          <w:color w:val="E97132" w:themeColor="accent2"/>
        </w:rPr>
        <w:t>and Strategic</w:t>
      </w:r>
      <w:r w:rsidRPr="00FC728C">
        <w:rPr>
          <w:rFonts w:ascii="Arial" w:hAnsi="Arial" w:cs="Arial"/>
          <w:b/>
          <w:bCs/>
          <w:color w:val="E97132" w:themeColor="accent2"/>
        </w:rPr>
        <w:t xml:space="preserve"> Rationale</w:t>
      </w:r>
    </w:p>
    <w:p w14:paraId="1C642A32" w14:textId="56BBF230" w:rsidR="00DF7C15" w:rsidRPr="00DF7C15" w:rsidRDefault="00DF7C15" w:rsidP="00DF7C15">
      <w:pPr>
        <w:spacing w:line="480" w:lineRule="auto"/>
        <w:rPr>
          <w:rFonts w:ascii="Arial" w:hAnsi="Arial" w:cs="Arial"/>
        </w:rPr>
      </w:pPr>
      <w:r w:rsidRPr="00DF7C15">
        <w:rPr>
          <w:rFonts w:ascii="Arial" w:hAnsi="Arial" w:cs="Arial"/>
        </w:rPr>
        <w:t xml:space="preserve">Germany </w:t>
      </w:r>
      <w:r w:rsidR="00FC728C" w:rsidRPr="00DF7C15">
        <w:rPr>
          <w:rFonts w:ascii="Arial" w:hAnsi="Arial" w:cs="Arial"/>
        </w:rPr>
        <w:t>is</w:t>
      </w:r>
      <w:r w:rsidRPr="00DF7C15">
        <w:rPr>
          <w:rFonts w:ascii="Arial" w:hAnsi="Arial" w:cs="Arial"/>
        </w:rPr>
        <w:t xml:space="preserve"> a technologically advanced consumer market; however, based on current market dynamics, many adults between the ages of 30-45 are underutilising the smartwatch offering even though </w:t>
      </w:r>
      <w:r w:rsidR="00FC728C" w:rsidRPr="00DF7C15">
        <w:rPr>
          <w:rFonts w:ascii="Arial" w:hAnsi="Arial" w:cs="Arial"/>
        </w:rPr>
        <w:t>most of</w:t>
      </w:r>
      <w:r w:rsidRPr="00DF7C15">
        <w:rPr>
          <w:rFonts w:ascii="Arial" w:hAnsi="Arial" w:cs="Arial"/>
        </w:rPr>
        <w:t xml:space="preserve"> this demographic are smartphone users. Current market data indicates that the primary barriers preventing this group from acquiring a smartwatch are the fear of complexity, the inability to justify with price, privacy, perceived vulnerability or weakness, and uncertainty regarding the product's benefit in daily living (Baker, 2014). The Apple Watch SE represents an ideal product to fill this void as it provides core features with affordable pricing which allows Apple to offer a reputable brand (Apple) along with an extensive ecosystem to support their products, which has established a certain level of brand awareness and credibility.</w:t>
      </w:r>
    </w:p>
    <w:p w14:paraId="07E62409" w14:textId="1CF3C2D5" w:rsidR="00DF7C15" w:rsidRPr="00DF7C15" w:rsidRDefault="00DF7C15" w:rsidP="00DF7C15">
      <w:pPr>
        <w:spacing w:line="480" w:lineRule="auto"/>
        <w:rPr>
          <w:rFonts w:ascii="Arial" w:hAnsi="Arial" w:cs="Arial"/>
        </w:rPr>
      </w:pPr>
      <w:r w:rsidRPr="00DF7C15">
        <w:rPr>
          <w:rFonts w:ascii="Arial" w:hAnsi="Arial" w:cs="Arial"/>
        </w:rPr>
        <w:t xml:space="preserve">The </w:t>
      </w:r>
      <w:r w:rsidR="00FC728C">
        <w:rPr>
          <w:rFonts w:ascii="Arial" w:hAnsi="Arial" w:cs="Arial"/>
        </w:rPr>
        <w:t>plan</w:t>
      </w:r>
      <w:r w:rsidRPr="00DF7C15">
        <w:rPr>
          <w:rFonts w:ascii="Arial" w:hAnsi="Arial" w:cs="Arial"/>
        </w:rPr>
        <w:t xml:space="preserve"> is designed as a Market Development Strategy, utilising the existing product offering, to create awareness to an under-serviced </w:t>
      </w:r>
      <w:r w:rsidR="00FC728C">
        <w:rPr>
          <w:rFonts w:ascii="Arial" w:hAnsi="Arial" w:cs="Arial"/>
        </w:rPr>
        <w:t>b</w:t>
      </w:r>
      <w:r w:rsidRPr="00DF7C15">
        <w:rPr>
          <w:rFonts w:ascii="Arial" w:hAnsi="Arial" w:cs="Arial"/>
        </w:rPr>
        <w:t xml:space="preserve">ehavioural </w:t>
      </w:r>
      <w:r w:rsidR="00FC728C">
        <w:rPr>
          <w:rFonts w:ascii="Arial" w:hAnsi="Arial" w:cs="Arial"/>
        </w:rPr>
        <w:t>s</w:t>
      </w:r>
      <w:r w:rsidRPr="00DF7C15">
        <w:rPr>
          <w:rFonts w:ascii="Arial" w:hAnsi="Arial" w:cs="Arial"/>
        </w:rPr>
        <w:t xml:space="preserve">egment </w:t>
      </w:r>
      <w:r w:rsidR="00FC728C" w:rsidRPr="00DF7C15">
        <w:rPr>
          <w:rFonts w:ascii="Arial" w:hAnsi="Arial" w:cs="Arial"/>
        </w:rPr>
        <w:t>using</w:t>
      </w:r>
      <w:r w:rsidRPr="00DF7C15">
        <w:rPr>
          <w:rFonts w:ascii="Arial" w:hAnsi="Arial" w:cs="Arial"/>
        </w:rPr>
        <w:t xml:space="preserve"> </w:t>
      </w:r>
      <w:r w:rsidR="00FC728C">
        <w:rPr>
          <w:rFonts w:ascii="Arial" w:hAnsi="Arial" w:cs="Arial"/>
        </w:rPr>
        <w:t>c</w:t>
      </w:r>
      <w:r w:rsidRPr="00DF7C15">
        <w:rPr>
          <w:rFonts w:ascii="Arial" w:hAnsi="Arial" w:cs="Arial"/>
        </w:rPr>
        <w:t xml:space="preserve">ommunication, </w:t>
      </w:r>
      <w:r w:rsidR="00FC728C">
        <w:rPr>
          <w:rFonts w:ascii="Arial" w:hAnsi="Arial" w:cs="Arial"/>
        </w:rPr>
        <w:t>t</w:t>
      </w:r>
      <w:r w:rsidRPr="00DF7C15">
        <w:rPr>
          <w:rFonts w:ascii="Arial" w:hAnsi="Arial" w:cs="Arial"/>
        </w:rPr>
        <w:t xml:space="preserve">argeting and </w:t>
      </w:r>
      <w:r w:rsidR="00FC728C">
        <w:rPr>
          <w:rFonts w:ascii="Arial" w:hAnsi="Arial" w:cs="Arial"/>
        </w:rPr>
        <w:t>v</w:t>
      </w:r>
      <w:r w:rsidRPr="00DF7C15">
        <w:rPr>
          <w:rFonts w:ascii="Arial" w:hAnsi="Arial" w:cs="Arial"/>
        </w:rPr>
        <w:t xml:space="preserve">alue </w:t>
      </w:r>
      <w:r w:rsidR="00FC728C">
        <w:rPr>
          <w:rFonts w:ascii="Arial" w:hAnsi="Arial" w:cs="Arial"/>
        </w:rPr>
        <w:t>p</w:t>
      </w:r>
      <w:r w:rsidRPr="00DF7C15">
        <w:rPr>
          <w:rFonts w:ascii="Arial" w:hAnsi="Arial" w:cs="Arial"/>
        </w:rPr>
        <w:t xml:space="preserve">ositioning to alter consumers’ perception of the product rather than to modify the product through a </w:t>
      </w:r>
      <w:r w:rsidR="00FC728C">
        <w:rPr>
          <w:rFonts w:ascii="Arial" w:hAnsi="Arial" w:cs="Arial"/>
        </w:rPr>
        <w:t>t</w:t>
      </w:r>
      <w:r w:rsidRPr="00DF7C15">
        <w:rPr>
          <w:rFonts w:ascii="Arial" w:hAnsi="Arial" w:cs="Arial"/>
        </w:rPr>
        <w:t xml:space="preserve">echnical </w:t>
      </w:r>
      <w:r w:rsidR="00FC728C">
        <w:rPr>
          <w:rFonts w:ascii="Arial" w:hAnsi="Arial" w:cs="Arial"/>
        </w:rPr>
        <w:t>r</w:t>
      </w:r>
      <w:r w:rsidRPr="00DF7C15">
        <w:rPr>
          <w:rFonts w:ascii="Arial" w:hAnsi="Arial" w:cs="Arial"/>
        </w:rPr>
        <w:t xml:space="preserve">edesign (McDonald and Wilson, 2016). The </w:t>
      </w:r>
      <w:r w:rsidR="00FC728C">
        <w:rPr>
          <w:rFonts w:ascii="Arial" w:hAnsi="Arial" w:cs="Arial"/>
        </w:rPr>
        <w:t>m</w:t>
      </w:r>
      <w:r w:rsidRPr="00DF7C15">
        <w:rPr>
          <w:rFonts w:ascii="Arial" w:hAnsi="Arial" w:cs="Arial"/>
        </w:rPr>
        <w:t xml:space="preserve">arket </w:t>
      </w:r>
      <w:r w:rsidR="00FC728C">
        <w:rPr>
          <w:rFonts w:ascii="Arial" w:hAnsi="Arial" w:cs="Arial"/>
        </w:rPr>
        <w:t>d</w:t>
      </w:r>
      <w:r w:rsidRPr="00DF7C15">
        <w:rPr>
          <w:rFonts w:ascii="Arial" w:hAnsi="Arial" w:cs="Arial"/>
        </w:rPr>
        <w:t xml:space="preserve">evelopment opportunity lies in creating clarity regarding what the product means to consumers, i.e., how useful it is, </w:t>
      </w:r>
      <w:r w:rsidR="00FC728C" w:rsidRPr="00DF7C15">
        <w:rPr>
          <w:rFonts w:ascii="Arial" w:hAnsi="Arial" w:cs="Arial"/>
        </w:rPr>
        <w:t>whether</w:t>
      </w:r>
      <w:r w:rsidRPr="00DF7C15">
        <w:rPr>
          <w:rFonts w:ascii="Arial" w:hAnsi="Arial" w:cs="Arial"/>
        </w:rPr>
        <w:t xml:space="preserve"> it is easy to understand, and therefore if it is worth a consumer's time and effort to take advantage of it, rather than changing the product's features. The theory of Market Development supports the strategic repositioning of those products that </w:t>
      </w:r>
      <w:r w:rsidR="00FC728C" w:rsidRPr="00DF7C15">
        <w:rPr>
          <w:rFonts w:ascii="Arial" w:hAnsi="Arial" w:cs="Arial"/>
        </w:rPr>
        <w:t>can support</w:t>
      </w:r>
      <w:r w:rsidRPr="00DF7C15">
        <w:rPr>
          <w:rFonts w:ascii="Arial" w:hAnsi="Arial" w:cs="Arial"/>
        </w:rPr>
        <w:t xml:space="preserve"> function and use, but do not match up with the consumers' perceptions, therefore providing a new opportunity for demand </w:t>
      </w:r>
      <w:r w:rsidR="00FC728C" w:rsidRPr="00DF7C15">
        <w:rPr>
          <w:rFonts w:ascii="Arial" w:hAnsi="Arial" w:cs="Arial"/>
        </w:rPr>
        <w:t>creation. Digital</w:t>
      </w:r>
      <w:r w:rsidRPr="00DF7C15">
        <w:rPr>
          <w:rFonts w:ascii="Arial" w:hAnsi="Arial" w:cs="Arial"/>
        </w:rPr>
        <w:t xml:space="preserve"> marketing plays a crucial role in justifying consumer purchase expectations in technology categories primarily via pre-purchase digital exploration. The factors influencing perceptions of </w:t>
      </w:r>
      <w:r w:rsidRPr="00DF7C15">
        <w:rPr>
          <w:rFonts w:ascii="Arial" w:hAnsi="Arial" w:cs="Arial"/>
        </w:rPr>
        <w:lastRenderedPageBreak/>
        <w:t>the ease of use, usefulness and affordability of a product are through online demonstrations, peer testimonials and comparison content, which means that consumer engagement via digital methods can significantly inform the adoption probability of a product (Lamberton and Stephen 2016). The way in which the campaign creates the impression that the Watch SE is simple, relatable and accessible allows for the transformation of latent interest into active trial and purchase intention.</w:t>
      </w:r>
    </w:p>
    <w:p w14:paraId="22ECE7FE" w14:textId="40E8C15A" w:rsidR="00FC728C" w:rsidRDefault="00DF7C15" w:rsidP="00DF7C15">
      <w:pPr>
        <w:spacing w:line="480" w:lineRule="auto"/>
        <w:rPr>
          <w:rFonts w:ascii="Arial" w:hAnsi="Arial" w:cs="Arial"/>
        </w:rPr>
      </w:pPr>
      <w:r w:rsidRPr="00DF7C15">
        <w:rPr>
          <w:rFonts w:ascii="Arial" w:hAnsi="Arial" w:cs="Arial"/>
        </w:rPr>
        <w:t xml:space="preserve">This </w:t>
      </w:r>
      <w:r w:rsidR="00FC728C">
        <w:rPr>
          <w:rFonts w:ascii="Arial" w:hAnsi="Arial" w:cs="Arial"/>
        </w:rPr>
        <w:t>s</w:t>
      </w:r>
      <w:r w:rsidRPr="00DF7C15">
        <w:rPr>
          <w:rFonts w:ascii="Arial" w:hAnsi="Arial" w:cs="Arial"/>
        </w:rPr>
        <w:t xml:space="preserve">trategy is also aligned with the principles of relationship marketing, as a smartwatch is an entry into a long-term relationship with consumers. New smartwatch users are likely to continue to engage with additional products/services, applications, accessories and future smartwatch device upgrades. Increasing the contribution to </w:t>
      </w:r>
      <w:r w:rsidR="00FC728C">
        <w:rPr>
          <w:rFonts w:ascii="Arial" w:hAnsi="Arial" w:cs="Arial"/>
        </w:rPr>
        <w:t>c</w:t>
      </w:r>
      <w:r w:rsidRPr="00DF7C15">
        <w:rPr>
          <w:rFonts w:ascii="Arial" w:hAnsi="Arial" w:cs="Arial"/>
        </w:rPr>
        <w:t xml:space="preserve">ustomer </w:t>
      </w:r>
      <w:r w:rsidR="00FC728C">
        <w:rPr>
          <w:rFonts w:ascii="Arial" w:hAnsi="Arial" w:cs="Arial"/>
        </w:rPr>
        <w:t>l</w:t>
      </w:r>
      <w:r w:rsidRPr="00DF7C15">
        <w:rPr>
          <w:rFonts w:ascii="Arial" w:hAnsi="Arial" w:cs="Arial"/>
        </w:rPr>
        <w:t xml:space="preserve">ifetime </w:t>
      </w:r>
      <w:r w:rsidR="00FC728C">
        <w:rPr>
          <w:rFonts w:ascii="Arial" w:hAnsi="Arial" w:cs="Arial"/>
        </w:rPr>
        <w:t>v</w:t>
      </w:r>
      <w:r w:rsidRPr="00DF7C15">
        <w:rPr>
          <w:rFonts w:ascii="Arial" w:hAnsi="Arial" w:cs="Arial"/>
        </w:rPr>
        <w:t>alue and building loyalty to the ecosystem (Payne and Frow 2017) will result from the execution of this campaign.</w:t>
      </w:r>
    </w:p>
    <w:p w14:paraId="7AE80CDC" w14:textId="1BCF552C" w:rsidR="00DF7C15" w:rsidRPr="00FC728C" w:rsidRDefault="00DF7C15" w:rsidP="00FC728C">
      <w:pPr>
        <w:pStyle w:val="ListParagraph"/>
        <w:numPr>
          <w:ilvl w:val="0"/>
          <w:numId w:val="1"/>
        </w:numPr>
        <w:spacing w:line="480" w:lineRule="auto"/>
        <w:rPr>
          <w:rFonts w:ascii="Arial" w:hAnsi="Arial" w:cs="Arial"/>
          <w:b/>
          <w:bCs/>
          <w:color w:val="E97132" w:themeColor="accent2"/>
        </w:rPr>
      </w:pPr>
      <w:r w:rsidRPr="00FC728C">
        <w:rPr>
          <w:rFonts w:ascii="Arial" w:hAnsi="Arial" w:cs="Arial"/>
          <w:b/>
          <w:bCs/>
          <w:color w:val="E97132" w:themeColor="accent2"/>
        </w:rPr>
        <w:t>Customer Insight &amp; Market Segmentation</w:t>
      </w:r>
    </w:p>
    <w:p w14:paraId="33425759" w14:textId="2589473F" w:rsidR="00DF7C15" w:rsidRPr="00DF7C15" w:rsidRDefault="00DF7C15" w:rsidP="00DF7C15">
      <w:pPr>
        <w:spacing w:line="480" w:lineRule="auto"/>
        <w:rPr>
          <w:rFonts w:ascii="Arial" w:hAnsi="Arial" w:cs="Arial"/>
        </w:rPr>
      </w:pPr>
      <w:r w:rsidRPr="00DF7C15">
        <w:rPr>
          <w:rFonts w:ascii="Arial" w:hAnsi="Arial" w:cs="Arial"/>
        </w:rPr>
        <w:t xml:space="preserve">Grouped by </w:t>
      </w:r>
      <w:r w:rsidR="00FC728C">
        <w:rPr>
          <w:rFonts w:ascii="Arial" w:hAnsi="Arial" w:cs="Arial"/>
        </w:rPr>
        <w:t>s</w:t>
      </w:r>
      <w:r w:rsidRPr="00DF7C15">
        <w:rPr>
          <w:rFonts w:ascii="Arial" w:hAnsi="Arial" w:cs="Arial"/>
        </w:rPr>
        <w:t xml:space="preserve">egmentation, using demographic, psychographic and </w:t>
      </w:r>
      <w:r w:rsidR="00FC728C" w:rsidRPr="00DF7C15">
        <w:rPr>
          <w:rFonts w:ascii="Arial" w:hAnsi="Arial" w:cs="Arial"/>
        </w:rPr>
        <w:t>behavioural</w:t>
      </w:r>
      <w:r w:rsidRPr="00DF7C15">
        <w:rPr>
          <w:rFonts w:ascii="Arial" w:hAnsi="Arial" w:cs="Arial"/>
        </w:rPr>
        <w:t xml:space="preserve"> characteristics. The campaign will focus on adults aged 30-45, employed in professional/semi-professional immediate locations (cities) as Berlin, Munich, Hamburg, Cologne and Frankfurt. Psychographically, the segment desires supportive and intuitive technology, and valuates their overall health and wellness, balanced lifestyle, </w:t>
      </w:r>
      <w:r w:rsidR="00FC728C">
        <w:rPr>
          <w:rFonts w:ascii="Arial" w:hAnsi="Arial" w:cs="Arial"/>
        </w:rPr>
        <w:t>o</w:t>
      </w:r>
      <w:r w:rsidRPr="00DF7C15">
        <w:rPr>
          <w:rFonts w:ascii="Arial" w:hAnsi="Arial" w:cs="Arial"/>
        </w:rPr>
        <w:t>rgani</w:t>
      </w:r>
      <w:r w:rsidR="00FC728C">
        <w:rPr>
          <w:rFonts w:ascii="Arial" w:hAnsi="Arial" w:cs="Arial"/>
        </w:rPr>
        <w:t>s</w:t>
      </w:r>
      <w:r w:rsidRPr="00DF7C15">
        <w:rPr>
          <w:rFonts w:ascii="Arial" w:hAnsi="Arial" w:cs="Arial"/>
        </w:rPr>
        <w:t xml:space="preserve">ation and </w:t>
      </w:r>
      <w:r w:rsidR="00FC728C">
        <w:rPr>
          <w:rFonts w:ascii="Arial" w:hAnsi="Arial" w:cs="Arial"/>
        </w:rPr>
        <w:t>p</w:t>
      </w:r>
      <w:r w:rsidRPr="00DF7C15">
        <w:rPr>
          <w:rFonts w:ascii="Arial" w:hAnsi="Arial" w:cs="Arial"/>
        </w:rPr>
        <w:t xml:space="preserve">ersonal </w:t>
      </w:r>
      <w:r w:rsidR="00FC728C">
        <w:rPr>
          <w:rFonts w:ascii="Arial" w:hAnsi="Arial" w:cs="Arial"/>
        </w:rPr>
        <w:t>p</w:t>
      </w:r>
      <w:r w:rsidRPr="00DF7C15">
        <w:rPr>
          <w:rFonts w:ascii="Arial" w:hAnsi="Arial" w:cs="Arial"/>
        </w:rPr>
        <w:t>roductivity (Hollensen 2020).</w:t>
      </w:r>
    </w:p>
    <w:p w14:paraId="131DBBE4" w14:textId="3CB888E4" w:rsidR="00DF7C15" w:rsidRPr="00DF7C15" w:rsidRDefault="00FC728C" w:rsidP="00DF7C15">
      <w:pPr>
        <w:spacing w:line="480" w:lineRule="auto"/>
        <w:rPr>
          <w:rFonts w:ascii="Arial" w:hAnsi="Arial" w:cs="Arial"/>
        </w:rPr>
      </w:pPr>
      <w:r w:rsidRPr="00DF7C15">
        <w:rPr>
          <w:rFonts w:ascii="Arial" w:hAnsi="Arial" w:cs="Arial"/>
        </w:rPr>
        <w:t>Behaviourally</w:t>
      </w:r>
      <w:r w:rsidR="00DF7C15" w:rsidRPr="00DF7C15">
        <w:rPr>
          <w:rFonts w:ascii="Arial" w:hAnsi="Arial" w:cs="Arial"/>
        </w:rPr>
        <w:t xml:space="preserve">, the target segment is confident Smartphone </w:t>
      </w:r>
      <w:r>
        <w:rPr>
          <w:rFonts w:ascii="Arial" w:hAnsi="Arial" w:cs="Arial"/>
        </w:rPr>
        <w:t>u</w:t>
      </w:r>
      <w:r w:rsidR="00DF7C15" w:rsidRPr="00DF7C15">
        <w:rPr>
          <w:rFonts w:ascii="Arial" w:hAnsi="Arial" w:cs="Arial"/>
        </w:rPr>
        <w:t xml:space="preserve">sers, following </w:t>
      </w:r>
      <w:r>
        <w:rPr>
          <w:rFonts w:ascii="Arial" w:hAnsi="Arial" w:cs="Arial"/>
        </w:rPr>
        <w:t>h</w:t>
      </w:r>
      <w:r w:rsidR="00DF7C15" w:rsidRPr="00DF7C15">
        <w:rPr>
          <w:rFonts w:ascii="Arial" w:hAnsi="Arial" w:cs="Arial"/>
        </w:rPr>
        <w:t xml:space="preserve">ealth and </w:t>
      </w:r>
      <w:r>
        <w:rPr>
          <w:rFonts w:ascii="Arial" w:hAnsi="Arial" w:cs="Arial"/>
        </w:rPr>
        <w:t>w</w:t>
      </w:r>
      <w:r w:rsidR="00DF7C15" w:rsidRPr="00DF7C15">
        <w:rPr>
          <w:rFonts w:ascii="Arial" w:hAnsi="Arial" w:cs="Arial"/>
        </w:rPr>
        <w:t xml:space="preserve">ellness trends, engaging with </w:t>
      </w:r>
      <w:r>
        <w:rPr>
          <w:rFonts w:ascii="Arial" w:hAnsi="Arial" w:cs="Arial"/>
        </w:rPr>
        <w:t>h</w:t>
      </w:r>
      <w:r w:rsidR="00DF7C15" w:rsidRPr="00DF7C15">
        <w:rPr>
          <w:rFonts w:ascii="Arial" w:hAnsi="Arial" w:cs="Arial"/>
        </w:rPr>
        <w:t xml:space="preserve">ealth and </w:t>
      </w:r>
      <w:r>
        <w:rPr>
          <w:rFonts w:ascii="Arial" w:hAnsi="Arial" w:cs="Arial"/>
        </w:rPr>
        <w:t>w</w:t>
      </w:r>
      <w:r w:rsidR="00DF7C15" w:rsidRPr="00DF7C15">
        <w:rPr>
          <w:rFonts w:ascii="Arial" w:hAnsi="Arial" w:cs="Arial"/>
        </w:rPr>
        <w:t xml:space="preserve">ellness related Digital </w:t>
      </w:r>
      <w:r w:rsidRPr="00DF7C15">
        <w:rPr>
          <w:rFonts w:ascii="Arial" w:hAnsi="Arial" w:cs="Arial"/>
        </w:rPr>
        <w:t>Content, occasionally</w:t>
      </w:r>
      <w:r w:rsidR="00DF7C15" w:rsidRPr="00DF7C15">
        <w:rPr>
          <w:rFonts w:ascii="Arial" w:hAnsi="Arial" w:cs="Arial"/>
        </w:rPr>
        <w:t xml:space="preserve"> utili</w:t>
      </w:r>
      <w:r>
        <w:rPr>
          <w:rFonts w:ascii="Arial" w:hAnsi="Arial" w:cs="Arial"/>
        </w:rPr>
        <w:t>s</w:t>
      </w:r>
      <w:r w:rsidR="00DF7C15" w:rsidRPr="00DF7C15">
        <w:rPr>
          <w:rFonts w:ascii="Arial" w:hAnsi="Arial" w:cs="Arial"/>
        </w:rPr>
        <w:t xml:space="preserve">ing </w:t>
      </w:r>
      <w:r>
        <w:rPr>
          <w:rFonts w:ascii="Arial" w:hAnsi="Arial" w:cs="Arial"/>
        </w:rPr>
        <w:t>s</w:t>
      </w:r>
      <w:r w:rsidR="00DF7C15" w:rsidRPr="00DF7C15">
        <w:rPr>
          <w:rFonts w:ascii="Arial" w:hAnsi="Arial" w:cs="Arial"/>
        </w:rPr>
        <w:t>tep-</w:t>
      </w:r>
      <w:r>
        <w:rPr>
          <w:rFonts w:ascii="Arial" w:hAnsi="Arial" w:cs="Arial"/>
        </w:rPr>
        <w:t>t</w:t>
      </w:r>
      <w:r w:rsidR="00DF7C15" w:rsidRPr="00DF7C15">
        <w:rPr>
          <w:rFonts w:ascii="Arial" w:hAnsi="Arial" w:cs="Arial"/>
        </w:rPr>
        <w:t xml:space="preserve">racking or </w:t>
      </w:r>
      <w:r>
        <w:rPr>
          <w:rFonts w:ascii="Arial" w:hAnsi="Arial" w:cs="Arial"/>
        </w:rPr>
        <w:t>m</w:t>
      </w:r>
      <w:r w:rsidR="00DF7C15" w:rsidRPr="00DF7C15">
        <w:rPr>
          <w:rFonts w:ascii="Arial" w:hAnsi="Arial" w:cs="Arial"/>
        </w:rPr>
        <w:t xml:space="preserve">obile </w:t>
      </w:r>
      <w:r>
        <w:rPr>
          <w:rFonts w:ascii="Arial" w:hAnsi="Arial" w:cs="Arial"/>
        </w:rPr>
        <w:t>h</w:t>
      </w:r>
      <w:r w:rsidR="00DF7C15" w:rsidRPr="00DF7C15">
        <w:rPr>
          <w:rFonts w:ascii="Arial" w:hAnsi="Arial" w:cs="Arial"/>
        </w:rPr>
        <w:t xml:space="preserve">ealth </w:t>
      </w:r>
      <w:r>
        <w:rPr>
          <w:rFonts w:ascii="Arial" w:hAnsi="Arial" w:cs="Arial"/>
        </w:rPr>
        <w:t>a</w:t>
      </w:r>
      <w:r w:rsidR="00DF7C15" w:rsidRPr="00DF7C15">
        <w:rPr>
          <w:rFonts w:ascii="Arial" w:hAnsi="Arial" w:cs="Arial"/>
        </w:rPr>
        <w:t xml:space="preserve">pplications. They have not purchased a Smartwatch due to questions on the relevance to them, </w:t>
      </w:r>
      <w:r>
        <w:rPr>
          <w:rFonts w:ascii="Arial" w:hAnsi="Arial" w:cs="Arial"/>
        </w:rPr>
        <w:t>e</w:t>
      </w:r>
      <w:r w:rsidR="00DF7C15" w:rsidRPr="00DF7C15">
        <w:rPr>
          <w:rFonts w:ascii="Arial" w:hAnsi="Arial" w:cs="Arial"/>
        </w:rPr>
        <w:t xml:space="preserve">ase of </w:t>
      </w:r>
      <w:r>
        <w:rPr>
          <w:rFonts w:ascii="Arial" w:hAnsi="Arial" w:cs="Arial"/>
        </w:rPr>
        <w:lastRenderedPageBreak/>
        <w:t>i</w:t>
      </w:r>
      <w:r w:rsidR="00DF7C15" w:rsidRPr="00DF7C15">
        <w:rPr>
          <w:rFonts w:ascii="Arial" w:hAnsi="Arial" w:cs="Arial"/>
        </w:rPr>
        <w:t xml:space="preserve">ntegration into </w:t>
      </w:r>
      <w:r>
        <w:rPr>
          <w:rFonts w:ascii="Arial" w:hAnsi="Arial" w:cs="Arial"/>
        </w:rPr>
        <w:t>d</w:t>
      </w:r>
      <w:r w:rsidR="00DF7C15" w:rsidRPr="00DF7C15">
        <w:rPr>
          <w:rFonts w:ascii="Arial" w:hAnsi="Arial" w:cs="Arial"/>
        </w:rPr>
        <w:t xml:space="preserve">aily </w:t>
      </w:r>
      <w:r>
        <w:rPr>
          <w:rFonts w:ascii="Arial" w:hAnsi="Arial" w:cs="Arial"/>
        </w:rPr>
        <w:t>r</w:t>
      </w:r>
      <w:r w:rsidR="00DF7C15" w:rsidRPr="00DF7C15">
        <w:rPr>
          <w:rFonts w:ascii="Arial" w:hAnsi="Arial" w:cs="Arial"/>
        </w:rPr>
        <w:t xml:space="preserve">outines and </w:t>
      </w:r>
      <w:r>
        <w:rPr>
          <w:rFonts w:ascii="Arial" w:hAnsi="Arial" w:cs="Arial"/>
        </w:rPr>
        <w:t>p</w:t>
      </w:r>
      <w:r w:rsidR="00DF7C15" w:rsidRPr="00DF7C15">
        <w:rPr>
          <w:rFonts w:ascii="Arial" w:hAnsi="Arial" w:cs="Arial"/>
        </w:rPr>
        <w:t xml:space="preserve">erceived </w:t>
      </w:r>
      <w:r>
        <w:rPr>
          <w:rFonts w:ascii="Arial" w:hAnsi="Arial" w:cs="Arial"/>
        </w:rPr>
        <w:t>v</w:t>
      </w:r>
      <w:r w:rsidR="00DF7C15" w:rsidRPr="00DF7C15">
        <w:rPr>
          <w:rFonts w:ascii="Arial" w:hAnsi="Arial" w:cs="Arial"/>
        </w:rPr>
        <w:t xml:space="preserve">alue for </w:t>
      </w:r>
      <w:r>
        <w:rPr>
          <w:rFonts w:ascii="Arial" w:hAnsi="Arial" w:cs="Arial"/>
        </w:rPr>
        <w:t>m</w:t>
      </w:r>
      <w:r w:rsidRPr="00DF7C15">
        <w:rPr>
          <w:rFonts w:ascii="Arial" w:hAnsi="Arial" w:cs="Arial"/>
        </w:rPr>
        <w:t>oney. Tying</w:t>
      </w:r>
      <w:r w:rsidR="00DF7C15" w:rsidRPr="00DF7C15">
        <w:rPr>
          <w:rFonts w:ascii="Arial" w:hAnsi="Arial" w:cs="Arial"/>
        </w:rPr>
        <w:t xml:space="preserve"> all these pieces together, the Apple Watch SE is positioned to be an entry-level device for consumers who have been hesitant about adopting smartwatches and will therefore respond positively to confidence-building messaging (Baines et al, 2019).</w:t>
      </w:r>
    </w:p>
    <w:p w14:paraId="68F02CB9" w14:textId="77777777" w:rsidR="00DF7C15" w:rsidRPr="00DF7C15" w:rsidRDefault="00DF7C15" w:rsidP="00DF7C15">
      <w:pPr>
        <w:spacing w:line="480" w:lineRule="auto"/>
        <w:rPr>
          <w:rFonts w:ascii="Arial" w:hAnsi="Arial" w:cs="Arial"/>
        </w:rPr>
      </w:pPr>
      <w:r w:rsidRPr="00DF7C15">
        <w:rPr>
          <w:rFonts w:ascii="Arial" w:hAnsi="Arial" w:cs="Arial"/>
        </w:rPr>
        <w:t>The strategy of targeting this specific non-adopter segment is a differentiated targeting strategy that concentrates marketing resources on this group rather than competing for existing smartwatch users. According to STP theory, a strategic advantage is achieved by aligning the unique characteristics of a defined market segment with the specific value proposition offered by the product, thus increasing perceived relevancy and efficiency of the messaging (Kotler and Keller, 2020).</w:t>
      </w:r>
    </w:p>
    <w:p w14:paraId="0BBD2238" w14:textId="77777777" w:rsidR="00DF7C15" w:rsidRPr="00DF7C15" w:rsidRDefault="00DF7C15" w:rsidP="00DF7C15">
      <w:pPr>
        <w:spacing w:line="480" w:lineRule="auto"/>
        <w:rPr>
          <w:rFonts w:ascii="Arial" w:hAnsi="Arial" w:cs="Arial"/>
        </w:rPr>
      </w:pPr>
      <w:r w:rsidRPr="00DF7C15">
        <w:rPr>
          <w:rFonts w:ascii="Arial" w:hAnsi="Arial" w:cs="Arial"/>
        </w:rPr>
        <w:t>In conducting a competitive analysis of the smartwatch market, it was noted that most brands communicate messages surrounding technical specifications, sport performance or advanced analytics, thus creating an image of smartwatches as being products of choice for enthusiasts rather than everyday lifestyle users. Therefore, Apple can position the Apple Watch SE as the “accessible and reassuring entry option” in the smartwatch marketplace (Keller, 2013).</w:t>
      </w:r>
    </w:p>
    <w:p w14:paraId="4B6ED03C" w14:textId="77777777" w:rsidR="00DF7C15" w:rsidRPr="00DF7C15" w:rsidRDefault="00DF7C15" w:rsidP="00DF7C15">
      <w:pPr>
        <w:spacing w:line="480" w:lineRule="auto"/>
        <w:rPr>
          <w:rFonts w:ascii="Arial" w:hAnsi="Arial" w:cs="Arial"/>
        </w:rPr>
      </w:pPr>
      <w:r w:rsidRPr="00DF7C15">
        <w:rPr>
          <w:rFonts w:ascii="Arial" w:hAnsi="Arial" w:cs="Arial"/>
        </w:rPr>
        <w:t>An essential insight from segmentation is that the likelihood of consumer adoption increases with communication focused on the elements of clarity, reassurance, practicality and emotional comfort; thereby allowing consumers to envision the smartwatch as a natural development in their daily routine as opposed to a complicated upgrade in technology.</w:t>
      </w:r>
    </w:p>
    <w:p w14:paraId="75377738" w14:textId="77777777" w:rsidR="00DF7C15" w:rsidRPr="00DF7C15" w:rsidRDefault="00DF7C15" w:rsidP="00DF7C15">
      <w:pPr>
        <w:spacing w:line="480" w:lineRule="auto"/>
        <w:rPr>
          <w:rFonts w:ascii="Arial" w:hAnsi="Arial" w:cs="Arial"/>
        </w:rPr>
      </w:pPr>
    </w:p>
    <w:p w14:paraId="2B637385" w14:textId="77777777" w:rsidR="00FC728C" w:rsidRDefault="00FC728C" w:rsidP="00DF7C15">
      <w:pPr>
        <w:spacing w:line="480" w:lineRule="auto"/>
        <w:rPr>
          <w:rFonts w:ascii="Arial" w:hAnsi="Arial" w:cs="Arial"/>
        </w:rPr>
      </w:pPr>
    </w:p>
    <w:p w14:paraId="1D4327BB" w14:textId="77777777" w:rsidR="00FC728C" w:rsidRDefault="00FC728C" w:rsidP="00DF7C15">
      <w:pPr>
        <w:spacing w:line="480" w:lineRule="auto"/>
        <w:rPr>
          <w:rFonts w:ascii="Arial" w:hAnsi="Arial" w:cs="Arial"/>
        </w:rPr>
      </w:pPr>
    </w:p>
    <w:p w14:paraId="6BE58EFC" w14:textId="240DB750" w:rsidR="00DF7C15" w:rsidRPr="00FC728C" w:rsidRDefault="00DF7C15" w:rsidP="00FC728C">
      <w:pPr>
        <w:pStyle w:val="ListParagraph"/>
        <w:numPr>
          <w:ilvl w:val="0"/>
          <w:numId w:val="1"/>
        </w:numPr>
        <w:spacing w:line="480" w:lineRule="auto"/>
        <w:rPr>
          <w:rFonts w:ascii="Arial" w:hAnsi="Arial" w:cs="Arial"/>
          <w:b/>
          <w:bCs/>
          <w:color w:val="E97132" w:themeColor="accent2"/>
        </w:rPr>
      </w:pPr>
      <w:r w:rsidRPr="00FC728C">
        <w:rPr>
          <w:rFonts w:ascii="Arial" w:hAnsi="Arial" w:cs="Arial"/>
          <w:b/>
          <w:bCs/>
          <w:color w:val="E97132" w:themeColor="accent2"/>
        </w:rPr>
        <w:lastRenderedPageBreak/>
        <w:t>Strategic Positioning and Value Messaging</w:t>
      </w:r>
    </w:p>
    <w:p w14:paraId="6A61302C" w14:textId="6E7C0D87" w:rsidR="00DF7C15" w:rsidRPr="00DF7C15" w:rsidRDefault="00DF7C15" w:rsidP="00DF7C15">
      <w:pPr>
        <w:spacing w:line="480" w:lineRule="auto"/>
        <w:rPr>
          <w:rFonts w:ascii="Arial" w:hAnsi="Arial" w:cs="Arial"/>
        </w:rPr>
      </w:pPr>
      <w:r w:rsidRPr="00DF7C15">
        <w:rPr>
          <w:rFonts w:ascii="Arial" w:hAnsi="Arial" w:cs="Arial"/>
        </w:rPr>
        <w:t>The campaign positioning statement is:</w:t>
      </w:r>
    </w:p>
    <w:p w14:paraId="6420337E" w14:textId="77777777" w:rsidR="00FC728C" w:rsidRPr="00FC728C" w:rsidRDefault="00DF7C15" w:rsidP="00DF7C15">
      <w:pPr>
        <w:spacing w:line="480" w:lineRule="auto"/>
        <w:rPr>
          <w:rFonts w:ascii="Arial" w:hAnsi="Arial" w:cs="Arial"/>
          <w:b/>
          <w:bCs/>
          <w:color w:val="E97132" w:themeColor="accent2"/>
        </w:rPr>
      </w:pPr>
      <w:r w:rsidRPr="00FC728C">
        <w:rPr>
          <w:rFonts w:ascii="Arial" w:hAnsi="Arial" w:cs="Arial"/>
          <w:b/>
          <w:bCs/>
          <w:color w:val="E97132" w:themeColor="accent2"/>
        </w:rPr>
        <w:t>“Apple Watch SE is an uncomplicated, affordable first step into digital health tracking for 30- to 45-year-old adults in Germany, providing necessary features and connectivity with the Apple ecosystem at an affordable price point.”</w:t>
      </w:r>
    </w:p>
    <w:p w14:paraId="2D8201BF" w14:textId="6D3D42CE" w:rsidR="00DF7C15" w:rsidRPr="00DF7C15" w:rsidRDefault="00DF7C15" w:rsidP="00DF7C15">
      <w:pPr>
        <w:spacing w:line="480" w:lineRule="auto"/>
        <w:rPr>
          <w:rFonts w:ascii="Arial" w:hAnsi="Arial" w:cs="Arial"/>
        </w:rPr>
      </w:pPr>
      <w:r w:rsidRPr="00DF7C15">
        <w:rPr>
          <w:rFonts w:ascii="Arial" w:hAnsi="Arial" w:cs="Arial"/>
        </w:rPr>
        <w:t xml:space="preserve">During the adoption phase, the emotional value offers confidence, reassurance, and </w:t>
      </w:r>
      <w:r w:rsidR="00FC728C" w:rsidRPr="00DF7C15">
        <w:rPr>
          <w:rFonts w:ascii="Arial" w:hAnsi="Arial" w:cs="Arial"/>
        </w:rPr>
        <w:t>control,</w:t>
      </w:r>
      <w:r w:rsidRPr="00DF7C15">
        <w:rPr>
          <w:rFonts w:ascii="Arial" w:hAnsi="Arial" w:cs="Arial"/>
        </w:rPr>
        <w:t xml:space="preserve"> whereas experiential value arises from intuitive onboard experience, ease of interaction with the device, and the continuous integration into the ecosystem of products (Payne &amp; Frow, 2017).</w:t>
      </w:r>
    </w:p>
    <w:p w14:paraId="0C43BF67" w14:textId="77777777" w:rsidR="00FC728C" w:rsidRDefault="00DF7C15" w:rsidP="00DF7C15">
      <w:pPr>
        <w:spacing w:line="480" w:lineRule="auto"/>
        <w:rPr>
          <w:rFonts w:ascii="Arial" w:hAnsi="Arial" w:cs="Arial"/>
        </w:rPr>
      </w:pPr>
      <w:r w:rsidRPr="00DF7C15">
        <w:rPr>
          <w:rFonts w:ascii="Arial" w:hAnsi="Arial" w:cs="Arial"/>
        </w:rPr>
        <w:t>According to the brand positioning theory, consumers should be able to understand the product based on a clear, distinct, and relevant positioning, enabling consumers to differentiate the product meaningfully without the complexity of cognitive overload (Keller, 2013). Therefore, the campaign focuses on reinforcing a singularly memorable meaning rather than a complex and technical one by effectively addressing the different levels of value in the consumer journey (i.e., premium, performance products vs. budget options lacking brand trust and integration into their ecosystem) while positioning the SE in the credible `middle ground' (Baker, 2014).</w:t>
      </w:r>
    </w:p>
    <w:p w14:paraId="7CC2D405" w14:textId="3813E6D6" w:rsidR="00DF7C15" w:rsidRPr="00DF7C15" w:rsidRDefault="00DF7C15" w:rsidP="00DF7C15">
      <w:pPr>
        <w:spacing w:line="480" w:lineRule="auto"/>
        <w:rPr>
          <w:rFonts w:ascii="Arial" w:hAnsi="Arial" w:cs="Arial"/>
        </w:rPr>
      </w:pPr>
      <w:r w:rsidRPr="00DF7C15">
        <w:rPr>
          <w:rFonts w:ascii="Arial" w:hAnsi="Arial" w:cs="Arial"/>
        </w:rPr>
        <w:t xml:space="preserve">All consumer-centric messaging must maintain a consistent theme of simplicity, accessibility, and everyday benefits throughout the consumer journey </w:t>
      </w:r>
      <w:r w:rsidR="00FC728C" w:rsidRPr="00DF7C15">
        <w:rPr>
          <w:rFonts w:ascii="Arial" w:hAnsi="Arial" w:cs="Arial"/>
        </w:rPr>
        <w:t>to</w:t>
      </w:r>
      <w:r w:rsidRPr="00DF7C15">
        <w:rPr>
          <w:rFonts w:ascii="Arial" w:hAnsi="Arial" w:cs="Arial"/>
        </w:rPr>
        <w:t xml:space="preserve"> reinforce the facts the themes are based upon.</w:t>
      </w:r>
    </w:p>
    <w:p w14:paraId="594CB961" w14:textId="77777777" w:rsidR="00DF7C15" w:rsidRPr="00DF7C15" w:rsidRDefault="00DF7C15" w:rsidP="00DF7C15">
      <w:pPr>
        <w:spacing w:line="480" w:lineRule="auto"/>
        <w:rPr>
          <w:rFonts w:ascii="Arial" w:hAnsi="Arial" w:cs="Arial"/>
        </w:rPr>
      </w:pPr>
    </w:p>
    <w:p w14:paraId="4576ED15" w14:textId="77777777" w:rsidR="00FC728C" w:rsidRDefault="00FC728C" w:rsidP="00DF7C15">
      <w:pPr>
        <w:spacing w:line="480" w:lineRule="auto"/>
        <w:rPr>
          <w:rFonts w:ascii="Arial" w:hAnsi="Arial" w:cs="Arial"/>
        </w:rPr>
      </w:pPr>
    </w:p>
    <w:p w14:paraId="79C2A988" w14:textId="77777777" w:rsidR="00FC728C" w:rsidRDefault="00FC728C" w:rsidP="00DF7C15">
      <w:pPr>
        <w:spacing w:line="480" w:lineRule="auto"/>
        <w:rPr>
          <w:rFonts w:ascii="Arial" w:hAnsi="Arial" w:cs="Arial"/>
        </w:rPr>
      </w:pPr>
    </w:p>
    <w:p w14:paraId="6F7097ED" w14:textId="3264D902" w:rsidR="00DF7C15" w:rsidRPr="00FC728C" w:rsidRDefault="00FC728C" w:rsidP="00FC728C">
      <w:pPr>
        <w:pStyle w:val="ListParagraph"/>
        <w:numPr>
          <w:ilvl w:val="0"/>
          <w:numId w:val="1"/>
        </w:numPr>
        <w:spacing w:line="480" w:lineRule="auto"/>
        <w:rPr>
          <w:rFonts w:ascii="Arial" w:hAnsi="Arial" w:cs="Arial"/>
          <w:b/>
          <w:bCs/>
          <w:color w:val="E97132" w:themeColor="accent2"/>
        </w:rPr>
      </w:pPr>
      <w:r w:rsidRPr="00FC728C">
        <w:rPr>
          <w:rFonts w:ascii="Arial" w:hAnsi="Arial" w:cs="Arial"/>
          <w:b/>
          <w:bCs/>
          <w:color w:val="E97132" w:themeColor="accent2"/>
        </w:rPr>
        <w:lastRenderedPageBreak/>
        <w:t xml:space="preserve">Digital Engagement Strategy and Map </w:t>
      </w:r>
    </w:p>
    <w:p w14:paraId="73E1E4CB" w14:textId="77777777" w:rsidR="00DF7C15" w:rsidRPr="00DF7C15" w:rsidRDefault="00DF7C15" w:rsidP="00DF7C15">
      <w:pPr>
        <w:spacing w:line="480" w:lineRule="auto"/>
        <w:rPr>
          <w:rFonts w:ascii="Arial" w:hAnsi="Arial" w:cs="Arial"/>
        </w:rPr>
      </w:pPr>
      <w:r w:rsidRPr="00DF7C15">
        <w:rPr>
          <w:rFonts w:ascii="Arial" w:hAnsi="Arial" w:cs="Arial"/>
        </w:rPr>
        <w:t>The engagement strategy will focus on developing an integrated digital consumer decision journey based on integrated marketing communications (IMC) (Keller, 2013).</w:t>
      </w:r>
    </w:p>
    <w:p w14:paraId="47AED470" w14:textId="1EDD946A" w:rsidR="00DF7C15" w:rsidRPr="00DF7C15" w:rsidRDefault="00DF7C15" w:rsidP="00DF7C15">
      <w:pPr>
        <w:spacing w:line="480" w:lineRule="auto"/>
        <w:rPr>
          <w:rFonts w:ascii="Arial" w:hAnsi="Arial" w:cs="Arial"/>
        </w:rPr>
      </w:pPr>
      <w:r w:rsidRPr="00DF7C15">
        <w:rPr>
          <w:rFonts w:ascii="Arial" w:hAnsi="Arial" w:cs="Arial"/>
        </w:rPr>
        <w:t>The campaign's preliminary piece will highlight relatable first-time users' experiences as they learn how to integrate the Watch SE into their daily lives, e.g., during commutes, household chores, light exercise, sleep tracking, and positive reminders for healthy living</w:t>
      </w:r>
      <w:r w:rsidR="00FC728C">
        <w:rPr>
          <w:rFonts w:ascii="Arial" w:hAnsi="Arial" w:cs="Arial"/>
        </w:rPr>
        <w:t xml:space="preserve">; </w:t>
      </w:r>
      <w:r w:rsidRPr="00DF7C15">
        <w:rPr>
          <w:rFonts w:ascii="Arial" w:hAnsi="Arial" w:cs="Arial"/>
        </w:rPr>
        <w:t xml:space="preserve">this realistic portrayal will help audiences create visual images of acceptable, </w:t>
      </w:r>
      <w:r w:rsidR="00FC728C" w:rsidRPr="00DF7C15">
        <w:rPr>
          <w:rFonts w:ascii="Arial" w:hAnsi="Arial" w:cs="Arial"/>
        </w:rPr>
        <w:t>biserial</w:t>
      </w:r>
      <w:r w:rsidRPr="00DF7C15">
        <w:rPr>
          <w:rFonts w:ascii="Arial" w:hAnsi="Arial" w:cs="Arial"/>
        </w:rPr>
        <w:t xml:space="preserve"> realistic vs. aspirator performance images (Lamberton &amp; Stephen, 2016). This also helps to reduce the psychological gap and supports consumer acceptance of the Watch SE, knowing that it is user-friendly and not daunting or intimidating to use.</w:t>
      </w:r>
    </w:p>
    <w:p w14:paraId="622975AB" w14:textId="40E023CC" w:rsidR="00DF7C15" w:rsidRPr="00DF7C15" w:rsidRDefault="00DF7C15" w:rsidP="00DF7C15">
      <w:pPr>
        <w:spacing w:line="480" w:lineRule="auto"/>
        <w:rPr>
          <w:rFonts w:ascii="Arial" w:hAnsi="Arial" w:cs="Arial"/>
        </w:rPr>
      </w:pPr>
      <w:r w:rsidRPr="00DF7C15">
        <w:rPr>
          <w:rFonts w:ascii="Arial" w:hAnsi="Arial" w:cs="Arial"/>
        </w:rPr>
        <w:t xml:space="preserve">The evaluation stage of the consumer journey will focus on providing the consumer experience and communication that offers solutions to the challenges/aspects in the segmentation analysis </w:t>
      </w:r>
      <w:r w:rsidR="00FC728C" w:rsidRPr="00DF7C15">
        <w:rPr>
          <w:rFonts w:ascii="Arial" w:hAnsi="Arial" w:cs="Arial"/>
        </w:rPr>
        <w:t>report. The</w:t>
      </w:r>
      <w:r w:rsidRPr="00DF7C15">
        <w:rPr>
          <w:rFonts w:ascii="Arial" w:hAnsi="Arial" w:cs="Arial"/>
        </w:rPr>
        <w:t xml:space="preserve"> setup process and the features of the product can be explained through both the demonstration video and interactive content, in addition to evidence from reviews of other consumers. Price-to-value framing supports a rationale for consumers' decision to purchase, given how the Apple Watch SE is a device that provides significant capabilities at a reasonable price (Kingsnorth, 2022).</w:t>
      </w:r>
    </w:p>
    <w:p w14:paraId="2BA72C25" w14:textId="77777777" w:rsidR="00DF7C15" w:rsidRPr="00DF7C15" w:rsidRDefault="00DF7C15" w:rsidP="00DF7C15">
      <w:pPr>
        <w:spacing w:line="480" w:lineRule="auto"/>
        <w:rPr>
          <w:rFonts w:ascii="Arial" w:hAnsi="Arial" w:cs="Arial"/>
        </w:rPr>
      </w:pPr>
      <w:r w:rsidRPr="00DF7C15">
        <w:rPr>
          <w:rFonts w:ascii="Arial" w:hAnsi="Arial" w:cs="Arial"/>
        </w:rPr>
        <w:t xml:space="preserve">During the Adoption stage of the consumer journey, the focus is on reducing the friction associated with transitioning consumers from an intent to buy, to the actual purchase of a product. Digital pages representing products clearly outline the specifications for the items and also provide potential customers with financing </w:t>
      </w:r>
      <w:r w:rsidRPr="00DF7C15">
        <w:rPr>
          <w:rFonts w:ascii="Arial" w:hAnsi="Arial" w:cs="Arial"/>
        </w:rPr>
        <w:lastRenderedPageBreak/>
        <w:t>options, compatibility assurances, and delivery options. In addition, onboarding materials will walk a new consumer through the set-up process, providing a step-by-step guide to set-up and become familiarised with the features of the product. In the Post-Adoption stage, customer relationship management (CRM) will send sequences to help the consumer develop habits and explore the features of the product and integrate the products into the ecosystem (Stone and Woodcock, 2014).</w:t>
      </w:r>
    </w:p>
    <w:p w14:paraId="31D25535" w14:textId="77777777" w:rsidR="00DF7C15" w:rsidRDefault="00DF7C15" w:rsidP="00DF7C15">
      <w:pPr>
        <w:spacing w:line="480" w:lineRule="auto"/>
        <w:rPr>
          <w:rFonts w:ascii="Arial" w:hAnsi="Arial" w:cs="Arial"/>
        </w:rPr>
      </w:pPr>
      <w:r w:rsidRPr="00DF7C15">
        <w:rPr>
          <w:rFonts w:ascii="Arial" w:hAnsi="Arial" w:cs="Arial"/>
        </w:rPr>
        <w:t>By using a journey-mapping model, emphasis is placed on the continuity of the relationship over time instead of just acquiring a customer for a single transaction. This is consistent with relationship marketing principles connecting long-term value creation to customer relationship continuity (Payne and Frow, 2017).</w:t>
      </w:r>
    </w:p>
    <w:p w14:paraId="72F65295" w14:textId="6D7082BF" w:rsidR="00FC728C" w:rsidRPr="00FC728C" w:rsidRDefault="00FC728C" w:rsidP="00FC728C">
      <w:pPr>
        <w:pStyle w:val="ListParagraph"/>
        <w:numPr>
          <w:ilvl w:val="0"/>
          <w:numId w:val="1"/>
        </w:numPr>
        <w:spacing w:line="480" w:lineRule="auto"/>
        <w:rPr>
          <w:rFonts w:ascii="Arial" w:hAnsi="Arial" w:cs="Arial"/>
          <w:b/>
          <w:bCs/>
          <w:color w:val="E97132" w:themeColor="accent2"/>
        </w:rPr>
      </w:pPr>
      <w:r w:rsidRPr="00FC728C">
        <w:rPr>
          <w:rFonts w:ascii="Arial" w:hAnsi="Arial" w:cs="Arial"/>
          <w:b/>
          <w:bCs/>
          <w:color w:val="E97132" w:themeColor="accent2"/>
        </w:rPr>
        <w:t>Marketing Programme Design (7Ps Application)</w:t>
      </w:r>
    </w:p>
    <w:p w14:paraId="237C8EB2" w14:textId="2F58FC67" w:rsidR="00FC728C" w:rsidRPr="00FC728C" w:rsidRDefault="00DF7C15" w:rsidP="00FC728C">
      <w:pPr>
        <w:pStyle w:val="ListParagraph"/>
        <w:numPr>
          <w:ilvl w:val="0"/>
          <w:numId w:val="2"/>
        </w:numPr>
        <w:spacing w:line="480" w:lineRule="auto"/>
        <w:rPr>
          <w:rFonts w:ascii="Arial" w:hAnsi="Arial" w:cs="Arial"/>
        </w:rPr>
      </w:pPr>
      <w:r w:rsidRPr="00FC728C">
        <w:rPr>
          <w:rFonts w:ascii="Arial" w:hAnsi="Arial" w:cs="Arial"/>
        </w:rPr>
        <w:t xml:space="preserve">Product </w:t>
      </w:r>
      <w:r w:rsidR="00FC728C" w:rsidRPr="00FC728C">
        <w:rPr>
          <w:rFonts w:ascii="Arial" w:hAnsi="Arial" w:cs="Arial"/>
        </w:rPr>
        <w:t>p</w:t>
      </w:r>
      <w:r w:rsidRPr="00FC728C">
        <w:rPr>
          <w:rFonts w:ascii="Arial" w:hAnsi="Arial" w:cs="Arial"/>
        </w:rPr>
        <w:t>rogramme: The 7Ps of design reflect how Apple is presenting the Apple Watch SE as a basic Smartwatch that focuses on the essential features that every-day general consumers will use, as opposed to specialist users. Communication surrounding the product highlights the reassurance of having a reliable product, ease of use, and practicality for everyday use rather than product intensity (Baines et al., 2019).</w:t>
      </w:r>
      <w:r w:rsidR="00FC728C" w:rsidRPr="00FC728C">
        <w:rPr>
          <w:rFonts w:ascii="Arial" w:hAnsi="Arial" w:cs="Arial"/>
        </w:rPr>
        <w:t xml:space="preserve"> </w:t>
      </w:r>
      <w:r w:rsidRPr="00FC728C">
        <w:rPr>
          <w:rFonts w:ascii="Arial" w:hAnsi="Arial" w:cs="Arial"/>
        </w:rPr>
        <w:t>Recent promotional activities surrounding Apple Watch SE and other products in the Apple Watch family have reinforced this perception.</w:t>
      </w:r>
    </w:p>
    <w:p w14:paraId="1943A41D" w14:textId="3601A08D" w:rsidR="00FC728C" w:rsidRPr="00FC728C" w:rsidRDefault="00DF7C15" w:rsidP="00FC728C">
      <w:pPr>
        <w:pStyle w:val="ListParagraph"/>
        <w:numPr>
          <w:ilvl w:val="0"/>
          <w:numId w:val="2"/>
        </w:numPr>
        <w:spacing w:line="480" w:lineRule="auto"/>
        <w:rPr>
          <w:rFonts w:ascii="Arial" w:hAnsi="Arial" w:cs="Arial"/>
        </w:rPr>
      </w:pPr>
      <w:r w:rsidRPr="00FC728C">
        <w:rPr>
          <w:rFonts w:ascii="Arial" w:hAnsi="Arial" w:cs="Arial"/>
        </w:rPr>
        <w:t xml:space="preserve">Price </w:t>
      </w:r>
      <w:r w:rsidR="00FC728C" w:rsidRPr="00FC728C">
        <w:rPr>
          <w:rFonts w:ascii="Arial" w:hAnsi="Arial" w:cs="Arial"/>
        </w:rPr>
        <w:t>p</w:t>
      </w:r>
      <w:r w:rsidRPr="00FC728C">
        <w:rPr>
          <w:rFonts w:ascii="Arial" w:hAnsi="Arial" w:cs="Arial"/>
        </w:rPr>
        <w:t xml:space="preserve">rogramme: The Price Programme reinforces the value message to the consumer by being transparent regarding the price of the product and also offering consumers the option to purchase it through monthly instalment payments, in addition to providing a pricing comparison to other premium watches, thereby reducing the concern on affordability, and allowing the </w:t>
      </w:r>
      <w:r w:rsidRPr="00FC728C">
        <w:rPr>
          <w:rFonts w:ascii="Arial" w:hAnsi="Arial" w:cs="Arial"/>
        </w:rPr>
        <w:lastRenderedPageBreak/>
        <w:t>consumer to make more informed decisions about purchasing the product (Kotler et al., 2019).</w:t>
      </w:r>
    </w:p>
    <w:p w14:paraId="6CF7360A" w14:textId="2B957093" w:rsidR="00DF7C15" w:rsidRPr="00FC728C" w:rsidRDefault="00FC728C" w:rsidP="00FC728C">
      <w:pPr>
        <w:pStyle w:val="ListParagraph"/>
        <w:numPr>
          <w:ilvl w:val="0"/>
          <w:numId w:val="2"/>
        </w:numPr>
        <w:spacing w:line="480" w:lineRule="auto"/>
        <w:rPr>
          <w:rFonts w:ascii="Arial" w:hAnsi="Arial" w:cs="Arial"/>
        </w:rPr>
      </w:pPr>
      <w:r w:rsidRPr="00FC728C">
        <w:rPr>
          <w:rFonts w:ascii="Arial" w:hAnsi="Arial" w:cs="Arial"/>
        </w:rPr>
        <w:t xml:space="preserve">Place program: </w:t>
      </w:r>
      <w:r w:rsidR="00DF7C15" w:rsidRPr="00FC728C">
        <w:rPr>
          <w:rFonts w:ascii="Arial" w:hAnsi="Arial" w:cs="Arial"/>
        </w:rPr>
        <w:t>The use of a place programme by Apple supports the development of a combined digital/physical ecosystem to provide a seamless experience to the customer journey (Chaffey and Ellis-Chadwick, 2019). For example, Apple provides online shopping through the Apple Online Store, where customers can browse Apple product ranges, and then completes the digital purchasing process with an in-store experience.</w:t>
      </w:r>
    </w:p>
    <w:p w14:paraId="1F587E18" w14:textId="77777777" w:rsidR="00FC728C" w:rsidRPr="00FC728C" w:rsidRDefault="00FC728C" w:rsidP="00FC728C">
      <w:pPr>
        <w:pStyle w:val="ListParagraph"/>
        <w:numPr>
          <w:ilvl w:val="0"/>
          <w:numId w:val="2"/>
        </w:numPr>
        <w:spacing w:line="480" w:lineRule="auto"/>
        <w:rPr>
          <w:rFonts w:ascii="Arial" w:hAnsi="Arial" w:cs="Arial"/>
        </w:rPr>
      </w:pPr>
      <w:r w:rsidRPr="00FC728C">
        <w:rPr>
          <w:rFonts w:ascii="Arial" w:hAnsi="Arial" w:cs="Arial"/>
        </w:rPr>
        <w:t xml:space="preserve">Promotion program: </w:t>
      </w:r>
      <w:r w:rsidR="00DF7C15" w:rsidRPr="00FC728C">
        <w:rPr>
          <w:rFonts w:ascii="Arial" w:hAnsi="Arial" w:cs="Arial"/>
        </w:rPr>
        <w:t xml:space="preserve">The use of a promotion programme via digital-first IMC marketing will drive marketing impression, increase search engine visibility, incorporate social-storytelling techniques, educate through video and retarget based on segmentation using customer relationship management software (Kingsnorth, 2022). </w:t>
      </w:r>
    </w:p>
    <w:p w14:paraId="6EB309F9" w14:textId="27D95A80" w:rsidR="00DF7C15" w:rsidRPr="00FC728C" w:rsidRDefault="00FC728C" w:rsidP="00FC728C">
      <w:pPr>
        <w:pStyle w:val="ListParagraph"/>
        <w:numPr>
          <w:ilvl w:val="0"/>
          <w:numId w:val="2"/>
        </w:numPr>
        <w:spacing w:line="480" w:lineRule="auto"/>
        <w:rPr>
          <w:rFonts w:ascii="Arial" w:hAnsi="Arial" w:cs="Arial"/>
        </w:rPr>
      </w:pPr>
      <w:r w:rsidRPr="00FC728C">
        <w:rPr>
          <w:rFonts w:ascii="Arial" w:hAnsi="Arial" w:cs="Arial"/>
        </w:rPr>
        <w:t xml:space="preserve">People program: </w:t>
      </w:r>
      <w:r w:rsidR="00DF7C15" w:rsidRPr="00FC728C">
        <w:rPr>
          <w:rFonts w:ascii="Arial" w:hAnsi="Arial" w:cs="Arial"/>
        </w:rPr>
        <w:t>The people programme provides knowledgeable and empathetic support to first-time customers through the retail and online support team members (Hollensen, 2020).</w:t>
      </w:r>
    </w:p>
    <w:p w14:paraId="4192FC97" w14:textId="137B16E8" w:rsidR="00DF7C15" w:rsidRPr="00FC728C" w:rsidRDefault="00FC728C" w:rsidP="00FC728C">
      <w:pPr>
        <w:pStyle w:val="ListParagraph"/>
        <w:numPr>
          <w:ilvl w:val="0"/>
          <w:numId w:val="2"/>
        </w:numPr>
        <w:spacing w:line="480" w:lineRule="auto"/>
        <w:rPr>
          <w:rFonts w:ascii="Arial" w:hAnsi="Arial" w:cs="Arial"/>
        </w:rPr>
      </w:pPr>
      <w:r w:rsidRPr="00FC728C">
        <w:rPr>
          <w:rFonts w:ascii="Arial" w:hAnsi="Arial" w:cs="Arial"/>
        </w:rPr>
        <w:t xml:space="preserve">Process program: </w:t>
      </w:r>
      <w:r w:rsidR="00DF7C15" w:rsidRPr="00FC728C">
        <w:rPr>
          <w:rFonts w:ascii="Arial" w:hAnsi="Arial" w:cs="Arial"/>
        </w:rPr>
        <w:t>The process programme offers low-friction onboarding and efficient service interaction (i.e. customer access); this is essential to perceived service quality in the early stages of consumer adoption. Apple supports the emotional and physical attributes of confidence, quality and reassurance, as embodied by the design of their packaging, and to maintain alignment with their brand promise (Baines et al., 2019).</w:t>
      </w:r>
    </w:p>
    <w:p w14:paraId="3F3BD09B" w14:textId="77777777" w:rsidR="00DF7C15" w:rsidRPr="00DF7C15" w:rsidRDefault="00DF7C15" w:rsidP="00DF7C15">
      <w:pPr>
        <w:spacing w:line="480" w:lineRule="auto"/>
        <w:rPr>
          <w:rFonts w:ascii="Arial" w:hAnsi="Arial" w:cs="Arial"/>
        </w:rPr>
      </w:pPr>
      <w:r w:rsidRPr="00DF7C15">
        <w:rPr>
          <w:rFonts w:ascii="Arial" w:hAnsi="Arial" w:cs="Arial"/>
        </w:rPr>
        <w:t>Combined, the seven marketing elements of a repositioning strategy represent the entire user experience, rather than only marketing communications.</w:t>
      </w:r>
    </w:p>
    <w:p w14:paraId="74BE923D" w14:textId="77777777" w:rsidR="00DF7C15" w:rsidRPr="00DF7C15" w:rsidRDefault="00DF7C15" w:rsidP="00DF7C15">
      <w:pPr>
        <w:spacing w:line="480" w:lineRule="auto"/>
        <w:rPr>
          <w:rFonts w:ascii="Arial" w:hAnsi="Arial" w:cs="Arial"/>
        </w:rPr>
      </w:pPr>
    </w:p>
    <w:p w14:paraId="4DFD1663" w14:textId="42661620" w:rsidR="00DF7C15" w:rsidRPr="00FC728C" w:rsidRDefault="00DF7C15" w:rsidP="00FC728C">
      <w:pPr>
        <w:pStyle w:val="ListParagraph"/>
        <w:numPr>
          <w:ilvl w:val="0"/>
          <w:numId w:val="1"/>
        </w:numPr>
        <w:spacing w:line="480" w:lineRule="auto"/>
        <w:rPr>
          <w:rFonts w:ascii="Arial" w:hAnsi="Arial" w:cs="Arial"/>
          <w:b/>
          <w:bCs/>
          <w:color w:val="E97132" w:themeColor="accent2"/>
        </w:rPr>
      </w:pPr>
      <w:r w:rsidRPr="00FC728C">
        <w:rPr>
          <w:rFonts w:ascii="Arial" w:hAnsi="Arial" w:cs="Arial"/>
          <w:b/>
          <w:bCs/>
          <w:color w:val="E97132" w:themeColor="accent2"/>
        </w:rPr>
        <w:lastRenderedPageBreak/>
        <w:t xml:space="preserve">Performance Assessment Measurements </w:t>
      </w:r>
    </w:p>
    <w:p w14:paraId="0D3A1FC1" w14:textId="18CA3C4E" w:rsidR="00DF7C15" w:rsidRPr="00DF7C15" w:rsidRDefault="00DF7C15" w:rsidP="00DF7C15">
      <w:pPr>
        <w:spacing w:line="480" w:lineRule="auto"/>
        <w:rPr>
          <w:rFonts w:ascii="Arial" w:hAnsi="Arial" w:cs="Arial"/>
        </w:rPr>
      </w:pPr>
      <w:r w:rsidRPr="00DF7C15">
        <w:rPr>
          <w:rFonts w:ascii="Arial" w:hAnsi="Arial" w:cs="Arial"/>
        </w:rPr>
        <w:t xml:space="preserve">The evaluation of </w:t>
      </w:r>
      <w:r w:rsidR="00FC728C">
        <w:rPr>
          <w:rFonts w:ascii="Arial" w:hAnsi="Arial" w:cs="Arial"/>
        </w:rPr>
        <w:t>plan</w:t>
      </w:r>
      <w:r w:rsidRPr="00DF7C15">
        <w:rPr>
          <w:rFonts w:ascii="Arial" w:hAnsi="Arial" w:cs="Arial"/>
        </w:rPr>
        <w:t xml:space="preserve"> performance incorporates measurable metrics from digital marketing activities, in addition to customer lifetime value-based analyses. Awareness measures include reach, engagement rates, the depth of interaction with content and dwell time on product pages; these metrics provide insight to the level of relevance experienced by the targeted non-adopter segment (Chaffey and Ellis-Chadwick, 2019). Mid-journey results include purchase convergence rate, instalment-plan selection completion and activation of primary features indicate how effective the reassurance and process quality was at driving the adoption of Watch SE in the first-time smartwatch user market (Kingsnorth, 2022).</w:t>
      </w:r>
    </w:p>
    <w:p w14:paraId="160DB941" w14:textId="77777777" w:rsidR="00DF7C15" w:rsidRPr="00DF7C15" w:rsidRDefault="00DF7C15" w:rsidP="00DF7C15">
      <w:pPr>
        <w:spacing w:line="480" w:lineRule="auto"/>
        <w:rPr>
          <w:rFonts w:ascii="Arial" w:hAnsi="Arial" w:cs="Arial"/>
        </w:rPr>
      </w:pPr>
      <w:r w:rsidRPr="00DF7C15">
        <w:rPr>
          <w:rFonts w:ascii="Arial" w:hAnsi="Arial" w:cs="Arial"/>
        </w:rPr>
        <w:t>Post-adoption performance assessment comprises usage frequency of Watch SE, how effectively Watch SE integrates into an existing ecosystem, customer satisfaction sentiment, and ongoing engagement behaviour, in accordance with the notions of building long-term relationships through customer engagement and trust development (Payne and Frow, 2017). Financial measures of success include upgrade pathway participation rates, accessory attachment rates and Customer Lifetime Value contributions; these are measures used to gauge the potential of a long-term strategic return as opposed to only measuring short-term quarterly sales performance (Wymbs, 2011).</w:t>
      </w:r>
    </w:p>
    <w:p w14:paraId="3776A944" w14:textId="77777777" w:rsidR="00FC728C" w:rsidRDefault="00DF7C15" w:rsidP="00DF7C15">
      <w:pPr>
        <w:spacing w:line="480" w:lineRule="auto"/>
        <w:rPr>
          <w:rFonts w:ascii="Arial" w:hAnsi="Arial" w:cs="Arial"/>
        </w:rPr>
      </w:pPr>
      <w:r w:rsidRPr="00DF7C15">
        <w:rPr>
          <w:rFonts w:ascii="Arial" w:hAnsi="Arial" w:cs="Arial"/>
        </w:rPr>
        <w:t xml:space="preserve">Insights from </w:t>
      </w:r>
      <w:r w:rsidR="00FC728C">
        <w:rPr>
          <w:rFonts w:ascii="Arial" w:hAnsi="Arial" w:cs="Arial"/>
        </w:rPr>
        <w:t>plan</w:t>
      </w:r>
      <w:r w:rsidRPr="00DF7C15">
        <w:rPr>
          <w:rFonts w:ascii="Arial" w:hAnsi="Arial" w:cs="Arial"/>
        </w:rPr>
        <w:t xml:space="preserve"> performance monitoring will allow for the continuous optimisation of targeting, creative messaging and onboarding processes. Therefore, each future marketing campaign can be appropriately refined, through iterative improvement, using established best practices in managing digital marketing (Lamberton and Stephen, 2016).</w:t>
      </w:r>
    </w:p>
    <w:p w14:paraId="4B19F5B5" w14:textId="0F4D9668" w:rsidR="00DF7C15" w:rsidRPr="00FC728C" w:rsidRDefault="00DF7C15" w:rsidP="00FC728C">
      <w:pPr>
        <w:pStyle w:val="ListParagraph"/>
        <w:numPr>
          <w:ilvl w:val="0"/>
          <w:numId w:val="1"/>
        </w:numPr>
        <w:spacing w:line="480" w:lineRule="auto"/>
        <w:rPr>
          <w:rFonts w:ascii="Arial" w:hAnsi="Arial" w:cs="Arial"/>
          <w:b/>
          <w:bCs/>
          <w:color w:val="E97132" w:themeColor="accent2"/>
        </w:rPr>
      </w:pPr>
      <w:r w:rsidRPr="00FC728C">
        <w:rPr>
          <w:rFonts w:ascii="Arial" w:hAnsi="Arial" w:cs="Arial"/>
          <w:b/>
          <w:bCs/>
          <w:color w:val="E97132" w:themeColor="accent2"/>
        </w:rPr>
        <w:lastRenderedPageBreak/>
        <w:t>Strategic Contribution</w:t>
      </w:r>
    </w:p>
    <w:p w14:paraId="7FE9A9F2" w14:textId="548EEF63" w:rsidR="00DF7C15" w:rsidRDefault="00DF7C15" w:rsidP="00DF7C15">
      <w:pPr>
        <w:spacing w:line="480" w:lineRule="auto"/>
        <w:rPr>
          <w:rFonts w:ascii="Arial" w:hAnsi="Arial" w:cs="Arial"/>
        </w:rPr>
      </w:pPr>
      <w:r w:rsidRPr="00DF7C15">
        <w:rPr>
          <w:rFonts w:ascii="Arial" w:hAnsi="Arial" w:cs="Arial"/>
        </w:rPr>
        <w:t xml:space="preserve">This </w:t>
      </w:r>
      <w:r w:rsidR="00FC728C">
        <w:rPr>
          <w:rFonts w:ascii="Arial" w:hAnsi="Arial" w:cs="Arial"/>
        </w:rPr>
        <w:t>plan</w:t>
      </w:r>
      <w:r w:rsidRPr="00DF7C15">
        <w:rPr>
          <w:rFonts w:ascii="Arial" w:hAnsi="Arial" w:cs="Arial"/>
        </w:rPr>
        <w:t xml:space="preserve"> demonstrates Apple's ability to leverage the Watch SE brand position, by expanding the opportunity for Apple to successfully use a Strategic Target Position to identify and promote Watch SE as a digital consumer gateway product that will facilitate a smooth entry into wearable technology and thereby drive ecosystem entry, relationship value and brand growth over time through confidence and everyday relevan</w:t>
      </w:r>
      <w:r>
        <w:rPr>
          <w:rFonts w:ascii="Arial" w:hAnsi="Arial" w:cs="Arial"/>
        </w:rPr>
        <w:t>ce.</w:t>
      </w:r>
    </w:p>
    <w:p w14:paraId="4B84EEA5" w14:textId="77777777" w:rsidR="00FC728C" w:rsidRDefault="00FC728C" w:rsidP="00DF7C15">
      <w:pPr>
        <w:spacing w:line="480" w:lineRule="auto"/>
        <w:rPr>
          <w:rFonts w:ascii="Arial" w:hAnsi="Arial" w:cs="Arial"/>
        </w:rPr>
      </w:pPr>
    </w:p>
    <w:p w14:paraId="0F2AB323" w14:textId="77777777" w:rsidR="00FC728C" w:rsidRDefault="00FC728C" w:rsidP="00DF7C15">
      <w:pPr>
        <w:spacing w:line="480" w:lineRule="auto"/>
        <w:rPr>
          <w:rFonts w:ascii="Arial" w:hAnsi="Arial" w:cs="Arial"/>
        </w:rPr>
      </w:pPr>
    </w:p>
    <w:p w14:paraId="1979F8B6" w14:textId="77777777" w:rsidR="00FC728C" w:rsidRDefault="00FC728C" w:rsidP="00DF7C15">
      <w:pPr>
        <w:spacing w:line="480" w:lineRule="auto"/>
        <w:rPr>
          <w:rFonts w:ascii="Arial" w:hAnsi="Arial" w:cs="Arial"/>
        </w:rPr>
      </w:pPr>
    </w:p>
    <w:p w14:paraId="00129C83" w14:textId="77777777" w:rsidR="00FC728C" w:rsidRDefault="00FC728C" w:rsidP="00DF7C15">
      <w:pPr>
        <w:spacing w:line="480" w:lineRule="auto"/>
        <w:rPr>
          <w:rFonts w:ascii="Arial" w:hAnsi="Arial" w:cs="Arial"/>
        </w:rPr>
      </w:pPr>
    </w:p>
    <w:p w14:paraId="70015432" w14:textId="77777777" w:rsidR="00FC728C" w:rsidRDefault="00FC728C" w:rsidP="00DF7C15">
      <w:pPr>
        <w:spacing w:line="480" w:lineRule="auto"/>
        <w:rPr>
          <w:rFonts w:ascii="Arial" w:hAnsi="Arial" w:cs="Arial"/>
        </w:rPr>
      </w:pPr>
    </w:p>
    <w:p w14:paraId="10DA49BB" w14:textId="77777777" w:rsidR="00FC728C" w:rsidRDefault="00FC728C" w:rsidP="00DF7C15">
      <w:pPr>
        <w:spacing w:line="480" w:lineRule="auto"/>
        <w:rPr>
          <w:rFonts w:ascii="Arial" w:hAnsi="Arial" w:cs="Arial"/>
        </w:rPr>
      </w:pPr>
    </w:p>
    <w:p w14:paraId="602182BE" w14:textId="77777777" w:rsidR="00FC728C" w:rsidRDefault="00FC728C" w:rsidP="00DF7C15">
      <w:pPr>
        <w:spacing w:line="480" w:lineRule="auto"/>
        <w:rPr>
          <w:rFonts w:ascii="Arial" w:hAnsi="Arial" w:cs="Arial"/>
        </w:rPr>
      </w:pPr>
    </w:p>
    <w:p w14:paraId="554BD66A" w14:textId="77777777" w:rsidR="00FC728C" w:rsidRDefault="00FC728C" w:rsidP="00DF7C15">
      <w:pPr>
        <w:spacing w:line="480" w:lineRule="auto"/>
        <w:rPr>
          <w:rFonts w:ascii="Arial" w:hAnsi="Arial" w:cs="Arial"/>
        </w:rPr>
      </w:pPr>
    </w:p>
    <w:p w14:paraId="5AF26353" w14:textId="77777777" w:rsidR="00FC728C" w:rsidRDefault="00FC728C" w:rsidP="00DF7C15">
      <w:pPr>
        <w:spacing w:line="480" w:lineRule="auto"/>
        <w:rPr>
          <w:rFonts w:ascii="Arial" w:hAnsi="Arial" w:cs="Arial"/>
        </w:rPr>
      </w:pPr>
    </w:p>
    <w:p w14:paraId="6F092623" w14:textId="77777777" w:rsidR="00FC728C" w:rsidRDefault="00FC728C" w:rsidP="00DF7C15">
      <w:pPr>
        <w:spacing w:line="480" w:lineRule="auto"/>
        <w:rPr>
          <w:rFonts w:ascii="Arial" w:hAnsi="Arial" w:cs="Arial"/>
        </w:rPr>
      </w:pPr>
    </w:p>
    <w:p w14:paraId="6EA34C27" w14:textId="77777777" w:rsidR="00FC728C" w:rsidRDefault="00FC728C" w:rsidP="00DF7C15">
      <w:pPr>
        <w:spacing w:line="480" w:lineRule="auto"/>
        <w:rPr>
          <w:rFonts w:ascii="Arial" w:hAnsi="Arial" w:cs="Arial"/>
        </w:rPr>
      </w:pPr>
    </w:p>
    <w:p w14:paraId="5DBDD930" w14:textId="77777777" w:rsidR="00FC728C" w:rsidRDefault="00FC728C" w:rsidP="00DF7C15">
      <w:pPr>
        <w:spacing w:line="480" w:lineRule="auto"/>
        <w:rPr>
          <w:rFonts w:ascii="Arial" w:hAnsi="Arial" w:cs="Arial"/>
        </w:rPr>
      </w:pPr>
    </w:p>
    <w:p w14:paraId="1587F27E" w14:textId="77777777" w:rsidR="00FC728C" w:rsidRDefault="00FC728C" w:rsidP="00DF7C15">
      <w:pPr>
        <w:spacing w:line="480" w:lineRule="auto"/>
        <w:rPr>
          <w:rFonts w:ascii="Arial" w:hAnsi="Arial" w:cs="Arial"/>
        </w:rPr>
      </w:pPr>
    </w:p>
    <w:p w14:paraId="7C0E49A6" w14:textId="77777777" w:rsidR="00FC728C" w:rsidRDefault="00FC728C" w:rsidP="00DF7C15">
      <w:pPr>
        <w:spacing w:line="480" w:lineRule="auto"/>
        <w:rPr>
          <w:rFonts w:ascii="Arial" w:hAnsi="Arial" w:cs="Arial"/>
        </w:rPr>
      </w:pPr>
    </w:p>
    <w:p w14:paraId="7E7EBDBB" w14:textId="468B8A07" w:rsidR="00FC728C" w:rsidRPr="00FC728C" w:rsidRDefault="00FC728C" w:rsidP="00DF7C15">
      <w:pPr>
        <w:spacing w:line="480" w:lineRule="auto"/>
        <w:rPr>
          <w:rFonts w:ascii="Arial" w:hAnsi="Arial" w:cs="Arial"/>
          <w:b/>
          <w:bCs/>
          <w:color w:val="E97132" w:themeColor="accent2"/>
        </w:rPr>
      </w:pPr>
      <w:r w:rsidRPr="00FC728C">
        <w:rPr>
          <w:rFonts w:ascii="Arial" w:hAnsi="Arial" w:cs="Arial"/>
          <w:b/>
          <w:bCs/>
          <w:color w:val="E97132" w:themeColor="accent2"/>
        </w:rPr>
        <w:lastRenderedPageBreak/>
        <w:t xml:space="preserve">References </w:t>
      </w:r>
    </w:p>
    <w:p w14:paraId="617AE839" w14:textId="77777777" w:rsidR="00FC728C" w:rsidRDefault="00FC728C" w:rsidP="00FC728C">
      <w:pPr>
        <w:spacing w:line="480" w:lineRule="auto"/>
        <w:rPr>
          <w:rFonts w:ascii="Arial" w:hAnsi="Arial" w:cs="Arial"/>
        </w:rPr>
      </w:pPr>
      <w:r w:rsidRPr="00FC728C">
        <w:rPr>
          <w:rFonts w:ascii="Arial" w:hAnsi="Arial" w:cs="Arial"/>
        </w:rPr>
        <w:t xml:space="preserve">Baines, P., Fill, C., &amp; Page, K. (2019). </w:t>
      </w:r>
      <w:r w:rsidRPr="00FC728C">
        <w:rPr>
          <w:rFonts w:ascii="Arial" w:hAnsi="Arial" w:cs="Arial"/>
          <w:i/>
          <w:iCs/>
        </w:rPr>
        <w:t>Essentials of marketing</w:t>
      </w:r>
      <w:r w:rsidRPr="00FC728C">
        <w:rPr>
          <w:rFonts w:ascii="Arial" w:hAnsi="Arial" w:cs="Arial"/>
        </w:rPr>
        <w:t>. Oxford University Press.</w:t>
      </w:r>
    </w:p>
    <w:p w14:paraId="6277E1EC" w14:textId="2C0BC3C2" w:rsidR="00FC728C" w:rsidRPr="00FC728C" w:rsidRDefault="00FC728C" w:rsidP="00FC728C">
      <w:pPr>
        <w:spacing w:line="480" w:lineRule="auto"/>
        <w:rPr>
          <w:rFonts w:ascii="Arial" w:hAnsi="Arial" w:cs="Arial"/>
        </w:rPr>
      </w:pPr>
      <w:r w:rsidRPr="00FC728C">
        <w:rPr>
          <w:rFonts w:ascii="Arial" w:hAnsi="Arial" w:cs="Arial"/>
        </w:rPr>
        <w:t xml:space="preserve">Budiono, K., &amp; </w:t>
      </w:r>
      <w:proofErr w:type="spellStart"/>
      <w:r w:rsidRPr="00FC728C">
        <w:rPr>
          <w:rFonts w:ascii="Arial" w:hAnsi="Arial" w:cs="Arial"/>
        </w:rPr>
        <w:t>Ellitan</w:t>
      </w:r>
      <w:proofErr w:type="spellEnd"/>
      <w:r w:rsidRPr="00FC728C">
        <w:rPr>
          <w:rFonts w:ascii="Arial" w:hAnsi="Arial" w:cs="Arial"/>
        </w:rPr>
        <w:t xml:space="preserve">, L. (2024). The Efficiency and Performance of Apple’s Supply Chain Management. ULIL ALBAB: </w:t>
      </w:r>
      <w:proofErr w:type="spellStart"/>
      <w:r w:rsidRPr="00FC728C">
        <w:rPr>
          <w:rFonts w:ascii="Arial" w:hAnsi="Arial" w:cs="Arial"/>
          <w:i/>
          <w:iCs/>
        </w:rPr>
        <w:t>Jurnal</w:t>
      </w:r>
      <w:proofErr w:type="spellEnd"/>
      <w:r w:rsidRPr="00FC728C">
        <w:rPr>
          <w:rFonts w:ascii="Arial" w:hAnsi="Arial" w:cs="Arial"/>
          <w:i/>
          <w:iCs/>
        </w:rPr>
        <w:t xml:space="preserve"> </w:t>
      </w:r>
      <w:proofErr w:type="spellStart"/>
      <w:r w:rsidRPr="00FC728C">
        <w:rPr>
          <w:rFonts w:ascii="Arial" w:hAnsi="Arial" w:cs="Arial"/>
          <w:i/>
          <w:iCs/>
        </w:rPr>
        <w:t>Ilmiah</w:t>
      </w:r>
      <w:proofErr w:type="spellEnd"/>
      <w:r w:rsidRPr="00FC728C">
        <w:rPr>
          <w:rFonts w:ascii="Arial" w:hAnsi="Arial" w:cs="Arial"/>
          <w:i/>
          <w:iCs/>
        </w:rPr>
        <w:t xml:space="preserve"> Multidisiplin, 3</w:t>
      </w:r>
      <w:r w:rsidRPr="00FC728C">
        <w:rPr>
          <w:rFonts w:ascii="Arial" w:hAnsi="Arial" w:cs="Arial"/>
        </w:rPr>
        <w:t xml:space="preserve"> (5), 46, 67.</w:t>
      </w:r>
    </w:p>
    <w:p w14:paraId="01F6B574" w14:textId="77777777" w:rsidR="00FC728C" w:rsidRPr="00FC728C" w:rsidRDefault="00FC728C" w:rsidP="00FC728C">
      <w:pPr>
        <w:spacing w:line="480" w:lineRule="auto"/>
        <w:rPr>
          <w:rFonts w:ascii="Arial" w:hAnsi="Arial" w:cs="Arial"/>
        </w:rPr>
      </w:pPr>
      <w:r w:rsidRPr="00FC728C">
        <w:rPr>
          <w:rFonts w:ascii="Arial" w:hAnsi="Arial" w:cs="Arial"/>
        </w:rPr>
        <w:t xml:space="preserve">Baker, M. (2014). </w:t>
      </w:r>
      <w:r w:rsidRPr="00FC728C">
        <w:rPr>
          <w:rFonts w:ascii="Arial" w:hAnsi="Arial" w:cs="Arial"/>
          <w:i/>
          <w:iCs/>
        </w:rPr>
        <w:t>Marketing strategy and management</w:t>
      </w:r>
      <w:r w:rsidRPr="00FC728C">
        <w:rPr>
          <w:rFonts w:ascii="Arial" w:hAnsi="Arial" w:cs="Arial"/>
        </w:rPr>
        <w:t>. Palgrave Macmillan.</w:t>
      </w:r>
    </w:p>
    <w:p w14:paraId="22F8BA6F" w14:textId="77777777" w:rsidR="00FC728C" w:rsidRDefault="00FC728C" w:rsidP="00FC728C">
      <w:pPr>
        <w:spacing w:line="480" w:lineRule="auto"/>
        <w:rPr>
          <w:rFonts w:ascii="Arial" w:hAnsi="Arial" w:cs="Arial"/>
        </w:rPr>
      </w:pPr>
      <w:r w:rsidRPr="00FC728C">
        <w:rPr>
          <w:rFonts w:ascii="Arial" w:hAnsi="Arial" w:cs="Arial"/>
        </w:rPr>
        <w:t xml:space="preserve">Chaffey, D., &amp; Ellis-Chadwick, F. (2019). </w:t>
      </w:r>
      <w:r w:rsidRPr="00FC728C">
        <w:rPr>
          <w:rFonts w:ascii="Arial" w:hAnsi="Arial" w:cs="Arial"/>
          <w:i/>
          <w:iCs/>
        </w:rPr>
        <w:t>Digital marketing</w:t>
      </w:r>
      <w:r w:rsidRPr="00FC728C">
        <w:rPr>
          <w:rFonts w:ascii="Arial" w:hAnsi="Arial" w:cs="Arial"/>
        </w:rPr>
        <w:t>. Pearson.</w:t>
      </w:r>
    </w:p>
    <w:p w14:paraId="3DBE3F58" w14:textId="5BC9468E" w:rsidR="00FC728C" w:rsidRPr="00FC728C" w:rsidRDefault="00FC728C" w:rsidP="00FC728C">
      <w:pPr>
        <w:spacing w:line="480" w:lineRule="auto"/>
        <w:rPr>
          <w:rFonts w:ascii="Arial" w:hAnsi="Arial" w:cs="Arial"/>
        </w:rPr>
      </w:pPr>
      <w:r w:rsidRPr="00FC728C">
        <w:rPr>
          <w:rFonts w:ascii="Arial" w:hAnsi="Arial" w:cs="Arial"/>
        </w:rPr>
        <w:t xml:space="preserve">Chen, X., Liu, Y., &amp; Gong, H. (2021, December). Apple Inc. strategic marketing analysis and evaluation. In </w:t>
      </w:r>
      <w:r w:rsidRPr="00FC728C">
        <w:rPr>
          <w:rFonts w:ascii="Arial" w:hAnsi="Arial" w:cs="Arial"/>
          <w:i/>
          <w:iCs/>
        </w:rPr>
        <w:t>2021 3rd International Conference on Economic Management and Cultural Industry</w:t>
      </w:r>
      <w:r w:rsidRPr="00FC728C">
        <w:rPr>
          <w:rFonts w:ascii="Arial" w:hAnsi="Arial" w:cs="Arial"/>
        </w:rPr>
        <w:t xml:space="preserve"> (ICEMCI 2021) (pp. 3053-3061). Atlantis Press.</w:t>
      </w:r>
    </w:p>
    <w:p w14:paraId="2BE536F5" w14:textId="77777777" w:rsidR="00FC728C" w:rsidRPr="00FC728C" w:rsidRDefault="00FC728C" w:rsidP="00FC728C">
      <w:pPr>
        <w:spacing w:line="480" w:lineRule="auto"/>
        <w:rPr>
          <w:rFonts w:ascii="Arial" w:hAnsi="Arial" w:cs="Arial"/>
        </w:rPr>
      </w:pPr>
      <w:r w:rsidRPr="00FC728C">
        <w:rPr>
          <w:rFonts w:ascii="Arial" w:hAnsi="Arial" w:cs="Arial"/>
        </w:rPr>
        <w:t xml:space="preserve">Dwivedi, Y. K., </w:t>
      </w:r>
      <w:proofErr w:type="spellStart"/>
      <w:r w:rsidRPr="00FC728C">
        <w:rPr>
          <w:rFonts w:ascii="Arial" w:hAnsi="Arial" w:cs="Arial"/>
        </w:rPr>
        <w:t>Ismagilova</w:t>
      </w:r>
      <w:proofErr w:type="spellEnd"/>
      <w:r w:rsidRPr="00FC728C">
        <w:rPr>
          <w:rFonts w:ascii="Arial" w:hAnsi="Arial" w:cs="Arial"/>
        </w:rPr>
        <w:t xml:space="preserve">, E., Hughes, D. L., Carlson, J., </w:t>
      </w:r>
      <w:proofErr w:type="spellStart"/>
      <w:r w:rsidRPr="00FC728C">
        <w:rPr>
          <w:rFonts w:ascii="Arial" w:hAnsi="Arial" w:cs="Arial"/>
        </w:rPr>
        <w:t>Filieri</w:t>
      </w:r>
      <w:proofErr w:type="spellEnd"/>
      <w:r w:rsidRPr="00FC728C">
        <w:rPr>
          <w:rFonts w:ascii="Arial" w:hAnsi="Arial" w:cs="Arial"/>
        </w:rPr>
        <w:t xml:space="preserve">, R., Jacobson, J., Jain, V., Karjaluoto, H., </w:t>
      </w:r>
      <w:proofErr w:type="spellStart"/>
      <w:r w:rsidRPr="00FC728C">
        <w:rPr>
          <w:rFonts w:ascii="Arial" w:hAnsi="Arial" w:cs="Arial"/>
        </w:rPr>
        <w:t>Kefi</w:t>
      </w:r>
      <w:proofErr w:type="spellEnd"/>
      <w:r w:rsidRPr="00FC728C">
        <w:rPr>
          <w:rFonts w:ascii="Arial" w:hAnsi="Arial" w:cs="Arial"/>
        </w:rPr>
        <w:t xml:space="preserve">, H., Krishen, A. S., Kumar, V., Rahman, M. M., Raman, R., </w:t>
      </w:r>
      <w:proofErr w:type="spellStart"/>
      <w:r w:rsidRPr="00FC728C">
        <w:rPr>
          <w:rFonts w:ascii="Arial" w:hAnsi="Arial" w:cs="Arial"/>
        </w:rPr>
        <w:t>Rauschnabel</w:t>
      </w:r>
      <w:proofErr w:type="spellEnd"/>
      <w:r w:rsidRPr="00FC728C">
        <w:rPr>
          <w:rFonts w:ascii="Arial" w:hAnsi="Arial" w:cs="Arial"/>
        </w:rPr>
        <w:t xml:space="preserve">, P. A., Rowley, J., Salo, J., Tran, G. A., &amp; Wang, Y. (2021). Setting the future of digital and social media marketing research. </w:t>
      </w:r>
      <w:r w:rsidRPr="00FC728C">
        <w:rPr>
          <w:rFonts w:ascii="Arial" w:hAnsi="Arial" w:cs="Arial"/>
          <w:i/>
          <w:iCs/>
        </w:rPr>
        <w:t>International Journal of Information Management,</w:t>
      </w:r>
      <w:r w:rsidRPr="00FC728C">
        <w:rPr>
          <w:rFonts w:ascii="Arial" w:hAnsi="Arial" w:cs="Arial"/>
        </w:rPr>
        <w:t xml:space="preserve"> 59, 1–37.</w:t>
      </w:r>
    </w:p>
    <w:p w14:paraId="4E7887C4" w14:textId="77777777" w:rsidR="00FC728C" w:rsidRDefault="00FC728C" w:rsidP="00FC728C">
      <w:pPr>
        <w:spacing w:line="480" w:lineRule="auto"/>
        <w:rPr>
          <w:rFonts w:ascii="Arial" w:hAnsi="Arial" w:cs="Arial"/>
        </w:rPr>
      </w:pPr>
      <w:r w:rsidRPr="00FC728C">
        <w:rPr>
          <w:rFonts w:ascii="Arial" w:hAnsi="Arial" w:cs="Arial"/>
        </w:rPr>
        <w:t xml:space="preserve">Hollensen, S. (2020). </w:t>
      </w:r>
      <w:r w:rsidRPr="00FC728C">
        <w:rPr>
          <w:rFonts w:ascii="Arial" w:hAnsi="Arial" w:cs="Arial"/>
          <w:i/>
          <w:iCs/>
        </w:rPr>
        <w:t>Marketing management: A relationship approach</w:t>
      </w:r>
      <w:r w:rsidRPr="00FC728C">
        <w:rPr>
          <w:rFonts w:ascii="Arial" w:hAnsi="Arial" w:cs="Arial"/>
        </w:rPr>
        <w:t xml:space="preserve"> (4th ed.). Pearson.</w:t>
      </w:r>
    </w:p>
    <w:p w14:paraId="3CB4827B" w14:textId="218F43C0" w:rsidR="00FC728C" w:rsidRPr="00FC728C" w:rsidRDefault="00FC728C" w:rsidP="00FC728C">
      <w:pPr>
        <w:spacing w:line="480" w:lineRule="auto"/>
        <w:rPr>
          <w:rFonts w:ascii="Arial" w:hAnsi="Arial" w:cs="Arial"/>
          <w:i/>
          <w:iCs/>
        </w:rPr>
      </w:pPr>
      <w:r w:rsidRPr="00FC728C">
        <w:rPr>
          <w:rFonts w:ascii="Arial" w:hAnsi="Arial" w:cs="Arial"/>
        </w:rPr>
        <w:t xml:space="preserve">Khalid, M. A., &amp; Vida, V. (2023). </w:t>
      </w:r>
      <w:r w:rsidRPr="00FC728C">
        <w:rPr>
          <w:rFonts w:ascii="Arial" w:hAnsi="Arial" w:cs="Arial"/>
          <w:i/>
          <w:iCs/>
        </w:rPr>
        <w:t>Strategic Marketing Plan for APPLE Inc.</w:t>
      </w:r>
    </w:p>
    <w:p w14:paraId="0EAF711A" w14:textId="77777777" w:rsidR="00FC728C" w:rsidRPr="00FC728C" w:rsidRDefault="00FC728C" w:rsidP="00FC728C">
      <w:pPr>
        <w:spacing w:line="480" w:lineRule="auto"/>
        <w:rPr>
          <w:rFonts w:ascii="Arial" w:hAnsi="Arial" w:cs="Arial"/>
        </w:rPr>
      </w:pPr>
      <w:r w:rsidRPr="00FC728C">
        <w:rPr>
          <w:rFonts w:ascii="Arial" w:hAnsi="Arial" w:cs="Arial"/>
        </w:rPr>
        <w:t xml:space="preserve">Keller, K. L. (2013). </w:t>
      </w:r>
      <w:r w:rsidRPr="00FC728C">
        <w:rPr>
          <w:rFonts w:ascii="Arial" w:hAnsi="Arial" w:cs="Arial"/>
          <w:i/>
          <w:iCs/>
        </w:rPr>
        <w:t>Strategic brand management</w:t>
      </w:r>
      <w:r w:rsidRPr="00FC728C">
        <w:rPr>
          <w:rFonts w:ascii="Arial" w:hAnsi="Arial" w:cs="Arial"/>
        </w:rPr>
        <w:t xml:space="preserve"> (4th ed.). Pearson.</w:t>
      </w:r>
    </w:p>
    <w:p w14:paraId="46D40ACD" w14:textId="77777777" w:rsidR="00FC728C" w:rsidRPr="00FC728C" w:rsidRDefault="00FC728C" w:rsidP="00FC728C">
      <w:pPr>
        <w:spacing w:line="480" w:lineRule="auto"/>
        <w:rPr>
          <w:rFonts w:ascii="Arial" w:hAnsi="Arial" w:cs="Arial"/>
        </w:rPr>
      </w:pPr>
      <w:r w:rsidRPr="00FC728C">
        <w:rPr>
          <w:rFonts w:ascii="Arial" w:hAnsi="Arial" w:cs="Arial"/>
        </w:rPr>
        <w:t xml:space="preserve">Kingsnorth, S. (2022). </w:t>
      </w:r>
      <w:r w:rsidRPr="00FC728C">
        <w:rPr>
          <w:rFonts w:ascii="Arial" w:hAnsi="Arial" w:cs="Arial"/>
          <w:i/>
          <w:iCs/>
        </w:rPr>
        <w:t>Digital marketing strategy</w:t>
      </w:r>
      <w:r w:rsidRPr="00FC728C">
        <w:rPr>
          <w:rFonts w:ascii="Arial" w:hAnsi="Arial" w:cs="Arial"/>
        </w:rPr>
        <w:t xml:space="preserve"> (3rd ed.). Kogan Page.</w:t>
      </w:r>
    </w:p>
    <w:p w14:paraId="0EB8FB46" w14:textId="77777777" w:rsidR="00FC728C" w:rsidRPr="00FC728C" w:rsidRDefault="00FC728C" w:rsidP="00FC728C">
      <w:pPr>
        <w:spacing w:line="480" w:lineRule="auto"/>
        <w:rPr>
          <w:rFonts w:ascii="Arial" w:hAnsi="Arial" w:cs="Arial"/>
        </w:rPr>
      </w:pPr>
      <w:r w:rsidRPr="00FC728C">
        <w:rPr>
          <w:rFonts w:ascii="Arial" w:hAnsi="Arial" w:cs="Arial"/>
        </w:rPr>
        <w:t xml:space="preserve">Kotler, P., Keller, K. L., &amp; Chernev, A. (2019). </w:t>
      </w:r>
      <w:r w:rsidRPr="00FC728C">
        <w:rPr>
          <w:rFonts w:ascii="Arial" w:hAnsi="Arial" w:cs="Arial"/>
          <w:i/>
          <w:iCs/>
        </w:rPr>
        <w:t>Marketing management</w:t>
      </w:r>
      <w:r w:rsidRPr="00FC728C">
        <w:rPr>
          <w:rFonts w:ascii="Arial" w:hAnsi="Arial" w:cs="Arial"/>
        </w:rPr>
        <w:t xml:space="preserve"> (16th ed.). Pearson.</w:t>
      </w:r>
    </w:p>
    <w:p w14:paraId="49BB13C8" w14:textId="77777777" w:rsidR="00FC728C" w:rsidRDefault="00FC728C" w:rsidP="00FC728C">
      <w:pPr>
        <w:spacing w:line="480" w:lineRule="auto"/>
        <w:rPr>
          <w:rFonts w:ascii="Arial" w:hAnsi="Arial" w:cs="Arial"/>
        </w:rPr>
      </w:pPr>
      <w:r w:rsidRPr="00FC728C">
        <w:rPr>
          <w:rFonts w:ascii="Arial" w:hAnsi="Arial" w:cs="Arial"/>
        </w:rPr>
        <w:lastRenderedPageBreak/>
        <w:t xml:space="preserve">Lamberton, C., &amp; Stephen, A. T. (2016). A thematic exploration of digital marketing research over four decades. </w:t>
      </w:r>
      <w:r w:rsidRPr="00FC728C">
        <w:rPr>
          <w:rFonts w:ascii="Arial" w:hAnsi="Arial" w:cs="Arial"/>
          <w:i/>
          <w:iCs/>
        </w:rPr>
        <w:t>Journal of Marketing, 80</w:t>
      </w:r>
      <w:r w:rsidRPr="00FC728C">
        <w:rPr>
          <w:rFonts w:ascii="Arial" w:hAnsi="Arial" w:cs="Arial"/>
        </w:rPr>
        <w:t>(6), 146–172.</w:t>
      </w:r>
    </w:p>
    <w:p w14:paraId="712A5A78" w14:textId="673C9AE7" w:rsidR="00FC728C" w:rsidRPr="00FC728C" w:rsidRDefault="00FC728C" w:rsidP="00FC728C">
      <w:pPr>
        <w:spacing w:line="480" w:lineRule="auto"/>
        <w:rPr>
          <w:rFonts w:ascii="Arial" w:hAnsi="Arial" w:cs="Arial"/>
        </w:rPr>
      </w:pPr>
      <w:r w:rsidRPr="00FC728C">
        <w:rPr>
          <w:rFonts w:ascii="Arial" w:hAnsi="Arial" w:cs="Arial"/>
        </w:rPr>
        <w:t xml:space="preserve">Li, Z. (2023). Strategic Marketing-Marketing Analysis of Apple Company. </w:t>
      </w:r>
      <w:r w:rsidRPr="00FC728C">
        <w:rPr>
          <w:rFonts w:ascii="Arial" w:hAnsi="Arial" w:cs="Arial"/>
          <w:i/>
          <w:iCs/>
        </w:rPr>
        <w:t>International Journal of Management Science Research, 6</w:t>
      </w:r>
      <w:r w:rsidRPr="00FC728C">
        <w:rPr>
          <w:rFonts w:ascii="Arial" w:hAnsi="Arial" w:cs="Arial"/>
        </w:rPr>
        <w:t>(4), 19-26.</w:t>
      </w:r>
    </w:p>
    <w:p w14:paraId="00FCE33F" w14:textId="77777777" w:rsidR="00FC728C" w:rsidRDefault="00FC728C" w:rsidP="00FC728C">
      <w:pPr>
        <w:spacing w:line="480" w:lineRule="auto"/>
        <w:rPr>
          <w:rFonts w:ascii="Arial" w:hAnsi="Arial" w:cs="Arial"/>
        </w:rPr>
      </w:pPr>
      <w:r w:rsidRPr="00FC728C">
        <w:rPr>
          <w:rFonts w:ascii="Arial" w:hAnsi="Arial" w:cs="Arial"/>
        </w:rPr>
        <w:t>McDonald, M., &amp; Wilson, H. (2016</w:t>
      </w:r>
      <w:r w:rsidRPr="00FC728C">
        <w:rPr>
          <w:rFonts w:ascii="Arial" w:hAnsi="Arial" w:cs="Arial"/>
          <w:i/>
          <w:iCs/>
        </w:rPr>
        <w:t>). Marketing plans: How to prepare them, how to use them</w:t>
      </w:r>
      <w:r w:rsidRPr="00FC728C">
        <w:rPr>
          <w:rFonts w:ascii="Arial" w:hAnsi="Arial" w:cs="Arial"/>
        </w:rPr>
        <w:t xml:space="preserve"> (8th ed.). Wiley.</w:t>
      </w:r>
    </w:p>
    <w:p w14:paraId="72A036D4" w14:textId="28E91AB2" w:rsidR="00FC728C" w:rsidRPr="00FC728C" w:rsidRDefault="00FC728C" w:rsidP="00FC728C">
      <w:pPr>
        <w:spacing w:line="480" w:lineRule="auto"/>
        <w:rPr>
          <w:rFonts w:ascii="Arial" w:hAnsi="Arial" w:cs="Arial"/>
        </w:rPr>
      </w:pPr>
      <w:r w:rsidRPr="00FC728C">
        <w:rPr>
          <w:rFonts w:ascii="Arial" w:hAnsi="Arial" w:cs="Arial"/>
        </w:rPr>
        <w:t xml:space="preserve">Omar, H. M., Yahya, A., &amp; Mohammed, S. M. (2025). Data Analysis Approaches for Apple Stock Price Prediction and Financial Risk Management. </w:t>
      </w:r>
      <w:proofErr w:type="spellStart"/>
      <w:r w:rsidRPr="00FC728C">
        <w:rPr>
          <w:rFonts w:ascii="Arial" w:hAnsi="Arial" w:cs="Arial"/>
          <w:i/>
          <w:iCs/>
        </w:rPr>
        <w:t>Danadyaksa</w:t>
      </w:r>
      <w:proofErr w:type="spellEnd"/>
      <w:r w:rsidRPr="00FC728C">
        <w:rPr>
          <w:rFonts w:ascii="Arial" w:hAnsi="Arial" w:cs="Arial"/>
          <w:i/>
          <w:iCs/>
        </w:rPr>
        <w:t>: Post Modern Economy Journal, 3</w:t>
      </w:r>
      <w:r w:rsidRPr="00FC728C">
        <w:rPr>
          <w:rFonts w:ascii="Arial" w:hAnsi="Arial" w:cs="Arial"/>
        </w:rPr>
        <w:t>(1), 32-43.</w:t>
      </w:r>
    </w:p>
    <w:p w14:paraId="1342723B" w14:textId="77777777" w:rsidR="00FC728C" w:rsidRDefault="00FC728C" w:rsidP="00FC728C">
      <w:pPr>
        <w:spacing w:line="480" w:lineRule="auto"/>
        <w:rPr>
          <w:rFonts w:ascii="Arial" w:hAnsi="Arial" w:cs="Arial"/>
        </w:rPr>
      </w:pPr>
      <w:r w:rsidRPr="00FC728C">
        <w:rPr>
          <w:rFonts w:ascii="Arial" w:hAnsi="Arial" w:cs="Arial"/>
        </w:rPr>
        <w:t xml:space="preserve">Payne, A., &amp; Frow, P. (2017). Relationship marketing: Looking backwards towards the future. </w:t>
      </w:r>
      <w:r w:rsidRPr="00FC728C">
        <w:rPr>
          <w:rFonts w:ascii="Arial" w:hAnsi="Arial" w:cs="Arial"/>
          <w:i/>
          <w:iCs/>
        </w:rPr>
        <w:t>Journal of Marketing Management, 33</w:t>
      </w:r>
      <w:r w:rsidRPr="00FC728C">
        <w:rPr>
          <w:rFonts w:ascii="Arial" w:hAnsi="Arial" w:cs="Arial"/>
        </w:rPr>
        <w:t>(3–4), 341–370.</w:t>
      </w:r>
    </w:p>
    <w:p w14:paraId="2C38CD82" w14:textId="18370EE0" w:rsidR="00FC728C" w:rsidRPr="00FC728C" w:rsidRDefault="00FC728C" w:rsidP="00FC728C">
      <w:pPr>
        <w:spacing w:line="480" w:lineRule="auto"/>
        <w:rPr>
          <w:rFonts w:ascii="Arial" w:hAnsi="Arial" w:cs="Arial"/>
        </w:rPr>
      </w:pPr>
      <w:r w:rsidRPr="00FC728C">
        <w:rPr>
          <w:rFonts w:ascii="Arial" w:hAnsi="Arial" w:cs="Arial"/>
        </w:rPr>
        <w:t xml:space="preserve">Royle, J., &amp; Laing, A. (2014). The digital marketing skills gap: Developing a digital marketer model for the communication industries. </w:t>
      </w:r>
      <w:r w:rsidRPr="00FC728C">
        <w:rPr>
          <w:rFonts w:ascii="Arial" w:hAnsi="Arial" w:cs="Arial"/>
          <w:i/>
          <w:iCs/>
        </w:rPr>
        <w:t>Journal of Marketing Management, 30</w:t>
      </w:r>
      <w:r w:rsidRPr="00FC728C">
        <w:rPr>
          <w:rFonts w:ascii="Arial" w:hAnsi="Arial" w:cs="Arial"/>
        </w:rPr>
        <w:t>(1–2), 985–1008.</w:t>
      </w:r>
    </w:p>
    <w:p w14:paraId="5BC04678" w14:textId="77777777" w:rsidR="00FC728C" w:rsidRPr="00FC728C" w:rsidRDefault="00FC728C" w:rsidP="00FC728C">
      <w:pPr>
        <w:spacing w:line="480" w:lineRule="auto"/>
        <w:rPr>
          <w:rFonts w:ascii="Arial" w:hAnsi="Arial" w:cs="Arial"/>
        </w:rPr>
      </w:pPr>
      <w:r w:rsidRPr="00FC728C">
        <w:rPr>
          <w:rFonts w:ascii="Arial" w:hAnsi="Arial" w:cs="Arial"/>
        </w:rPr>
        <w:t xml:space="preserve">Stone, M., &amp; Woodcock, N. (2014). Interactive, direct and digital marketing: A future that depends on better use of business intelligence. </w:t>
      </w:r>
      <w:r w:rsidRPr="00FC728C">
        <w:rPr>
          <w:rFonts w:ascii="Arial" w:hAnsi="Arial" w:cs="Arial"/>
          <w:i/>
          <w:iCs/>
        </w:rPr>
        <w:t>Journal of Research in Interactive Marketing, 8</w:t>
      </w:r>
      <w:r w:rsidRPr="00FC728C">
        <w:rPr>
          <w:rFonts w:ascii="Arial" w:hAnsi="Arial" w:cs="Arial"/>
        </w:rPr>
        <w:t>(1), 4–17.</w:t>
      </w:r>
    </w:p>
    <w:p w14:paraId="43346CBC" w14:textId="77777777" w:rsidR="00FC728C" w:rsidRPr="00FC728C" w:rsidRDefault="00FC728C" w:rsidP="00FC728C">
      <w:pPr>
        <w:spacing w:line="480" w:lineRule="auto"/>
        <w:rPr>
          <w:rFonts w:ascii="Arial" w:hAnsi="Arial" w:cs="Arial"/>
        </w:rPr>
      </w:pPr>
      <w:r w:rsidRPr="00FC728C">
        <w:rPr>
          <w:rFonts w:ascii="Arial" w:hAnsi="Arial" w:cs="Arial"/>
        </w:rPr>
        <w:t xml:space="preserve">Tuten, T., &amp; Solomon, M. (2017). </w:t>
      </w:r>
      <w:r w:rsidRPr="00FC728C">
        <w:rPr>
          <w:rFonts w:ascii="Arial" w:hAnsi="Arial" w:cs="Arial"/>
          <w:i/>
          <w:iCs/>
        </w:rPr>
        <w:t>Social media marketing</w:t>
      </w:r>
      <w:r w:rsidRPr="00FC728C">
        <w:rPr>
          <w:rFonts w:ascii="Arial" w:hAnsi="Arial" w:cs="Arial"/>
        </w:rPr>
        <w:t xml:space="preserve"> (3rd ed.). Sage.</w:t>
      </w:r>
    </w:p>
    <w:p w14:paraId="5BC65FE7" w14:textId="1AE79438" w:rsidR="00FC728C" w:rsidRPr="00DF7C15" w:rsidRDefault="00FC728C" w:rsidP="00FC728C">
      <w:pPr>
        <w:spacing w:line="480" w:lineRule="auto"/>
        <w:rPr>
          <w:rFonts w:ascii="Arial" w:hAnsi="Arial" w:cs="Arial"/>
        </w:rPr>
      </w:pPr>
      <w:r w:rsidRPr="00FC728C">
        <w:rPr>
          <w:rFonts w:ascii="Arial" w:hAnsi="Arial" w:cs="Arial"/>
        </w:rPr>
        <w:t xml:space="preserve">Wymbs, C. (2011). Digital marketing: The time for a new academic major has arrived. </w:t>
      </w:r>
      <w:r w:rsidRPr="00FC728C">
        <w:rPr>
          <w:rFonts w:ascii="Arial" w:hAnsi="Arial" w:cs="Arial"/>
          <w:i/>
          <w:iCs/>
        </w:rPr>
        <w:t>Journal of Marketing Education, 33</w:t>
      </w:r>
      <w:r w:rsidRPr="00FC728C">
        <w:rPr>
          <w:rFonts w:ascii="Arial" w:hAnsi="Arial" w:cs="Arial"/>
        </w:rPr>
        <w:t>(1), 93–106.</w:t>
      </w:r>
    </w:p>
    <w:sectPr w:rsidR="00FC728C" w:rsidRPr="00DF7C15" w:rsidSect="00FC728C">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59BD00" w14:textId="77777777" w:rsidR="00AE1710" w:rsidRDefault="00AE1710" w:rsidP="00FC728C">
      <w:pPr>
        <w:spacing w:after="0" w:line="240" w:lineRule="auto"/>
      </w:pPr>
      <w:r>
        <w:separator/>
      </w:r>
    </w:p>
  </w:endnote>
  <w:endnote w:type="continuationSeparator" w:id="0">
    <w:p w14:paraId="79AA5CA9" w14:textId="77777777" w:rsidR="00AE1710" w:rsidRDefault="00AE1710" w:rsidP="00FC72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99D05" w14:textId="20E43592" w:rsidR="00FC728C" w:rsidRDefault="00FC728C">
    <w:pPr>
      <w:pStyle w:val="Footer"/>
    </w:pPr>
    <w:r>
      <w:rPr>
        <w:noProof/>
        <w:color w:val="156082" w:themeColor="accent1"/>
      </w:rPr>
      <mc:AlternateContent>
        <mc:Choice Requires="wps">
          <w:drawing>
            <wp:anchor distT="0" distB="0" distL="114300" distR="114300" simplePos="0" relativeHeight="251659264" behindDoc="0" locked="0" layoutInCell="1" allowOverlap="1" wp14:anchorId="6DE7EC11" wp14:editId="755833B2">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6DB9D8A"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EE6302" w14:textId="77777777" w:rsidR="00AE1710" w:rsidRDefault="00AE1710" w:rsidP="00FC728C">
      <w:pPr>
        <w:spacing w:after="0" w:line="240" w:lineRule="auto"/>
      </w:pPr>
      <w:r>
        <w:separator/>
      </w:r>
    </w:p>
  </w:footnote>
  <w:footnote w:type="continuationSeparator" w:id="0">
    <w:p w14:paraId="3E3B4A1E" w14:textId="77777777" w:rsidR="00AE1710" w:rsidRDefault="00AE1710" w:rsidP="00FC72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D49AF"/>
    <w:multiLevelType w:val="hybridMultilevel"/>
    <w:tmpl w:val="101A2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F8739A"/>
    <w:multiLevelType w:val="hybridMultilevel"/>
    <w:tmpl w:val="4BCAF0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0398789">
    <w:abstractNumId w:val="1"/>
  </w:num>
  <w:num w:numId="2" w16cid:durableId="1211649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C15"/>
    <w:rsid w:val="006E01BD"/>
    <w:rsid w:val="00AE1710"/>
    <w:rsid w:val="00D02960"/>
    <w:rsid w:val="00DF7C15"/>
    <w:rsid w:val="00FC7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12583"/>
  <w15:chartTrackingRefBased/>
  <w15:docId w15:val="{E7056DAF-30B9-42AB-94EE-ADB96CBC3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C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7C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7C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7C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7C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7C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7C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7C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7C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C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7C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7C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7C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7C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7C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7C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7C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7C15"/>
    <w:rPr>
      <w:rFonts w:eastAsiaTheme="majorEastAsia" w:cstheme="majorBidi"/>
      <w:color w:val="272727" w:themeColor="text1" w:themeTint="D8"/>
    </w:rPr>
  </w:style>
  <w:style w:type="paragraph" w:styleId="Title">
    <w:name w:val="Title"/>
    <w:basedOn w:val="Normal"/>
    <w:next w:val="Normal"/>
    <w:link w:val="TitleChar"/>
    <w:uiPriority w:val="10"/>
    <w:qFormat/>
    <w:rsid w:val="00DF7C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7C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7C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7C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7C15"/>
    <w:pPr>
      <w:spacing w:before="160"/>
      <w:jc w:val="center"/>
    </w:pPr>
    <w:rPr>
      <w:i/>
      <w:iCs/>
      <w:color w:val="404040" w:themeColor="text1" w:themeTint="BF"/>
    </w:rPr>
  </w:style>
  <w:style w:type="character" w:customStyle="1" w:styleId="QuoteChar">
    <w:name w:val="Quote Char"/>
    <w:basedOn w:val="DefaultParagraphFont"/>
    <w:link w:val="Quote"/>
    <w:uiPriority w:val="29"/>
    <w:rsid w:val="00DF7C15"/>
    <w:rPr>
      <w:i/>
      <w:iCs/>
      <w:color w:val="404040" w:themeColor="text1" w:themeTint="BF"/>
    </w:rPr>
  </w:style>
  <w:style w:type="paragraph" w:styleId="ListParagraph">
    <w:name w:val="List Paragraph"/>
    <w:basedOn w:val="Normal"/>
    <w:uiPriority w:val="34"/>
    <w:qFormat/>
    <w:rsid w:val="00DF7C15"/>
    <w:pPr>
      <w:ind w:left="720"/>
      <w:contextualSpacing/>
    </w:pPr>
  </w:style>
  <w:style w:type="character" w:styleId="IntenseEmphasis">
    <w:name w:val="Intense Emphasis"/>
    <w:basedOn w:val="DefaultParagraphFont"/>
    <w:uiPriority w:val="21"/>
    <w:qFormat/>
    <w:rsid w:val="00DF7C15"/>
    <w:rPr>
      <w:i/>
      <w:iCs/>
      <w:color w:val="0F4761" w:themeColor="accent1" w:themeShade="BF"/>
    </w:rPr>
  </w:style>
  <w:style w:type="paragraph" w:styleId="IntenseQuote">
    <w:name w:val="Intense Quote"/>
    <w:basedOn w:val="Normal"/>
    <w:next w:val="Normal"/>
    <w:link w:val="IntenseQuoteChar"/>
    <w:uiPriority w:val="30"/>
    <w:qFormat/>
    <w:rsid w:val="00DF7C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7C15"/>
    <w:rPr>
      <w:i/>
      <w:iCs/>
      <w:color w:val="0F4761" w:themeColor="accent1" w:themeShade="BF"/>
    </w:rPr>
  </w:style>
  <w:style w:type="character" w:styleId="IntenseReference">
    <w:name w:val="Intense Reference"/>
    <w:basedOn w:val="DefaultParagraphFont"/>
    <w:uiPriority w:val="32"/>
    <w:qFormat/>
    <w:rsid w:val="00DF7C15"/>
    <w:rPr>
      <w:b/>
      <w:bCs/>
      <w:smallCaps/>
      <w:color w:val="0F4761" w:themeColor="accent1" w:themeShade="BF"/>
      <w:spacing w:val="5"/>
    </w:rPr>
  </w:style>
  <w:style w:type="paragraph" w:styleId="Header">
    <w:name w:val="header"/>
    <w:basedOn w:val="Normal"/>
    <w:link w:val="HeaderChar"/>
    <w:uiPriority w:val="99"/>
    <w:unhideWhenUsed/>
    <w:rsid w:val="00FC72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28C"/>
  </w:style>
  <w:style w:type="paragraph" w:styleId="Footer">
    <w:name w:val="footer"/>
    <w:basedOn w:val="Normal"/>
    <w:link w:val="FooterChar"/>
    <w:uiPriority w:val="99"/>
    <w:unhideWhenUsed/>
    <w:rsid w:val="00FC72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28C"/>
  </w:style>
  <w:style w:type="paragraph" w:styleId="NoSpacing">
    <w:name w:val="No Spacing"/>
    <w:link w:val="NoSpacingChar"/>
    <w:uiPriority w:val="1"/>
    <w:qFormat/>
    <w:rsid w:val="00FC728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C728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TotalTime>
  <Pages>13</Pages>
  <Words>2785</Words>
  <Characters>15876</Characters>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Report</dc:title>
  <dc:subject/>
  <cp:keywords/>
  <dc:description/>
  <dcterms:created xsi:type="dcterms:W3CDTF">2026-01-07T17:59:00Z</dcterms:created>
  <dcterms:modified xsi:type="dcterms:W3CDTF">2026-01-07T19:46:00Z</dcterms:modified>
</cp:coreProperties>
</file>