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52415027"/>
        <w:docPartObj>
          <w:docPartGallery w:val="Cover Pages"/>
          <w:docPartUnique/>
        </w:docPartObj>
      </w:sdtPr>
      <w:sdtEndPr/>
      <w:sdtContent>
        <w:p w14:paraId="5A81AB65" w14:textId="7F420220" w:rsidR="00146E6C" w:rsidRDefault="00146E6C">
          <w:r>
            <w:rPr>
              <w:noProof/>
            </w:rPr>
            <mc:AlternateContent>
              <mc:Choice Requires="wpg">
                <w:drawing>
                  <wp:anchor distT="0" distB="0" distL="114300" distR="114300" simplePos="0" relativeHeight="251659264" behindDoc="1" locked="0" layoutInCell="1" allowOverlap="1" wp14:anchorId="3B993921" wp14:editId="00316F00">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0D6A215" w14:textId="7A2F607E" w:rsidR="00146E6C" w:rsidRDefault="00146E6C">
                                      <w:pPr>
                                        <w:pStyle w:val="NoSpacing"/>
                                        <w:spacing w:before="120"/>
                                        <w:jc w:val="center"/>
                                        <w:rPr>
                                          <w:color w:val="FFFFFF" w:themeColor="background1"/>
                                        </w:rPr>
                                      </w:pPr>
                                      <w:r>
                                        <w:rPr>
                                          <w:color w:val="FFFFFF" w:themeColor="background1"/>
                                        </w:rPr>
                                        <w:t xml:space="preserve">Olivia Jane </w:t>
                                      </w:r>
                                      <w:proofErr w:type="spellStart"/>
                                      <w:r>
                                        <w:rPr>
                                          <w:color w:val="FFFFFF" w:themeColor="background1"/>
                                        </w:rPr>
                                        <w:t>Hurlow</w:t>
                                      </w:r>
                                      <w:proofErr w:type="spellEnd"/>
                                      <w:r>
                                        <w:rPr>
                                          <w:color w:val="FFFFFF" w:themeColor="background1"/>
                                        </w:rPr>
                                        <w:t xml:space="preserve"> (2103531)</w:t>
                                      </w:r>
                                    </w:p>
                                  </w:sdtContent>
                                </w:sdt>
                                <w:p w14:paraId="7514E11C" w14:textId="65AAA0DE" w:rsidR="00146E6C" w:rsidRDefault="00FB694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BF4373">
                                        <w:rPr>
                                          <w:caps/>
                                          <w:color w:val="FFFFFF" w:themeColor="background1"/>
                                        </w:rPr>
                                        <w:t>Legal Process – Aissgnment 2</w:t>
                                      </w:r>
                                    </w:sdtContent>
                                  </w:sdt>
                                  <w:r w:rsidR="00146E6C">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059F4E3" w14:textId="7EC52F12" w:rsidR="00146E6C" w:rsidRDefault="00BF437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52"/>
                                          <w:szCs w:val="52"/>
                                        </w:rPr>
                                        <w:t>it may be argued that the principle of statutory interpretation diminishes the status of legislation as the primary source of law in the UK. dISCUSS.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B993921"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0D6A215" w14:textId="7A2F607E" w:rsidR="00146E6C" w:rsidRDefault="00146E6C">
                                <w:pPr>
                                  <w:pStyle w:val="NoSpacing"/>
                                  <w:spacing w:before="120"/>
                                  <w:jc w:val="center"/>
                                  <w:rPr>
                                    <w:color w:val="FFFFFF" w:themeColor="background1"/>
                                  </w:rPr>
                                </w:pPr>
                                <w:r>
                                  <w:rPr>
                                    <w:color w:val="FFFFFF" w:themeColor="background1"/>
                                  </w:rPr>
                                  <w:t xml:space="preserve">Olivia Jane </w:t>
                                </w:r>
                                <w:proofErr w:type="spellStart"/>
                                <w:r>
                                  <w:rPr>
                                    <w:color w:val="FFFFFF" w:themeColor="background1"/>
                                  </w:rPr>
                                  <w:t>Hurlow</w:t>
                                </w:r>
                                <w:proofErr w:type="spellEnd"/>
                                <w:r>
                                  <w:rPr>
                                    <w:color w:val="FFFFFF" w:themeColor="background1"/>
                                  </w:rPr>
                                  <w:t xml:space="preserve"> (2103531)</w:t>
                                </w:r>
                              </w:p>
                            </w:sdtContent>
                          </w:sdt>
                          <w:p w14:paraId="7514E11C" w14:textId="65AAA0DE" w:rsidR="00146E6C" w:rsidRDefault="00FB694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BF4373">
                                  <w:rPr>
                                    <w:caps/>
                                    <w:color w:val="FFFFFF" w:themeColor="background1"/>
                                  </w:rPr>
                                  <w:t>Legal Process – Aissgnment 2</w:t>
                                </w:r>
                              </w:sdtContent>
                            </w:sdt>
                            <w:r w:rsidR="00146E6C">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059F4E3" w14:textId="7EC52F12" w:rsidR="00146E6C" w:rsidRDefault="00BF437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52"/>
                                    <w:szCs w:val="52"/>
                                  </w:rPr>
                                  <w:t>it may be argued that the principle of statutory interpretation diminishes the status of legislation as the primary source of law in the UK. dISCUSS.</w:t>
                                </w:r>
                              </w:p>
                            </w:sdtContent>
                          </w:sdt>
                        </w:txbxContent>
                      </v:textbox>
                    </v:shape>
                    <w10:wrap anchorx="page" anchory="page"/>
                  </v:group>
                </w:pict>
              </mc:Fallback>
            </mc:AlternateContent>
          </w:r>
        </w:p>
        <w:p w14:paraId="05DBE5C1" w14:textId="037BF579" w:rsidR="00146E6C" w:rsidRDefault="00146E6C">
          <w:r>
            <w:br w:type="page"/>
          </w:r>
        </w:p>
      </w:sdtContent>
    </w:sdt>
    <w:p w14:paraId="58377BDF" w14:textId="0FC475A3" w:rsidR="00EF74A8" w:rsidRDefault="001C37C5">
      <w:pPr>
        <w:rPr>
          <w:noProof/>
        </w:rPr>
      </w:pPr>
      <w:r>
        <w:lastRenderedPageBreak/>
        <w:t xml:space="preserve">Statutory interpretation is statutes of law which is also known as legislation, and these are the written laws within the UK. However, statutory interpretation is known to be used </w:t>
      </w:r>
      <w:r w:rsidR="00433542">
        <w:t>when legislation is not always straightforward and, in some cases, judges are used so they can interpret the different legislation based on the laws that already exist using the rules of statutory interpretation</w:t>
      </w:r>
      <w:r w:rsidR="000E281B">
        <w:t xml:space="preserve"> </w:t>
      </w:r>
      <w:r w:rsidR="00433542" w:rsidRPr="00433542">
        <w:rPr>
          <w:noProof/>
        </w:rPr>
        <w:t>(Laver, 2022)</w:t>
      </w:r>
      <w:r w:rsidR="00433542">
        <w:rPr>
          <w:noProof/>
        </w:rPr>
        <w:t xml:space="preserve">. </w:t>
      </w:r>
      <w:r w:rsidR="000E281B">
        <w:rPr>
          <w:noProof/>
        </w:rPr>
        <w:t xml:space="preserve"> Statues are an act of parliament </w:t>
      </w:r>
      <w:r w:rsidR="005B4E30">
        <w:rPr>
          <w:noProof/>
        </w:rPr>
        <w:t>that</w:t>
      </w:r>
      <w:r w:rsidR="000E281B">
        <w:rPr>
          <w:noProof/>
        </w:rPr>
        <w:t xml:space="preserve"> are laws made by the Uk Parliament, all acts start as bills </w:t>
      </w:r>
      <w:r w:rsidR="005B4E30">
        <w:rPr>
          <w:noProof/>
        </w:rPr>
        <w:t xml:space="preserve">that are introduced in either the Commons or the Lords, and once a bill has been agreed it then becomes an act </w:t>
      </w:r>
      <w:r w:rsidR="005B4E30" w:rsidRPr="005B4E30">
        <w:rPr>
          <w:noProof/>
        </w:rPr>
        <w:t>(Parliment, 2022)</w:t>
      </w:r>
      <w:r w:rsidR="005B4E30">
        <w:rPr>
          <w:noProof/>
        </w:rPr>
        <w:t xml:space="preserve">.  </w:t>
      </w:r>
      <w:r w:rsidR="00A729CF">
        <w:rPr>
          <w:noProof/>
        </w:rPr>
        <w:t>Statutory interpretation is the process where statutes are interpreted by judges and the wording of statutes is very specific although it can have a certain level of ambiguity and vagueness</w:t>
      </w:r>
      <w:r w:rsidR="00EF74A8">
        <w:rPr>
          <w:noProof/>
        </w:rPr>
        <w:t xml:space="preserve">, which means that without statutory interpretation, judges may have trouble coming up with their own judgments within a case an example of this is the case of Twining V Myers (1982). </w:t>
      </w:r>
    </w:p>
    <w:p w14:paraId="7EE195C6" w14:textId="2E9E502B" w:rsidR="00BF4373" w:rsidRDefault="00F452B3">
      <w:pPr>
        <w:rPr>
          <w:noProof/>
        </w:rPr>
      </w:pPr>
      <w:r>
        <w:rPr>
          <w:noProof/>
        </w:rPr>
        <w:t>Statutory</w:t>
      </w:r>
      <w:r w:rsidR="00346724">
        <w:rPr>
          <w:noProof/>
        </w:rPr>
        <w:t xml:space="preserve"> </w:t>
      </w:r>
      <w:r>
        <w:rPr>
          <w:noProof/>
        </w:rPr>
        <w:t>interpretation</w:t>
      </w:r>
      <w:r w:rsidR="00346724">
        <w:rPr>
          <w:noProof/>
        </w:rPr>
        <w:t xml:space="preserve"> is so important and necessary within cases because it is </w:t>
      </w:r>
      <w:r>
        <w:rPr>
          <w:noProof/>
        </w:rPr>
        <w:t>a statute</w:t>
      </w:r>
      <w:r w:rsidR="00346724">
        <w:rPr>
          <w:noProof/>
        </w:rPr>
        <w:t xml:space="preserve"> </w:t>
      </w:r>
      <w:r>
        <w:rPr>
          <w:noProof/>
        </w:rPr>
        <w:t>that</w:t>
      </w:r>
      <w:r w:rsidR="00346724">
        <w:rPr>
          <w:noProof/>
        </w:rPr>
        <w:t xml:space="preserve"> makes up statutory law, therefore, it is important to use statutory </w:t>
      </w:r>
      <w:r>
        <w:rPr>
          <w:noProof/>
        </w:rPr>
        <w:t>interpretation</w:t>
      </w:r>
      <w:r w:rsidR="00346724">
        <w:rPr>
          <w:noProof/>
        </w:rPr>
        <w:t xml:space="preserve"> because if judges have trouble making their own </w:t>
      </w:r>
      <w:r>
        <w:rPr>
          <w:noProof/>
        </w:rPr>
        <w:t xml:space="preserve">judgments or if they come across any problems they are unable to change the law so they cannot keep the flow of justice going, so it allows parliament to make the laws and then the bodies within the court and then apply it in the right way and it eases the ambiguity and vagueness that tends to surround statutes </w:t>
      </w:r>
      <w:r w:rsidR="00E408AC" w:rsidRPr="00E408AC">
        <w:rPr>
          <w:noProof/>
        </w:rPr>
        <w:t>(Fochsen, 2020)</w:t>
      </w:r>
      <w:r w:rsidR="00E408AC">
        <w:rPr>
          <w:noProof/>
        </w:rPr>
        <w:t>.</w:t>
      </w:r>
      <w:r w:rsidR="00432A25">
        <w:rPr>
          <w:noProof/>
        </w:rPr>
        <w:t xml:space="preserve"> </w:t>
      </w:r>
      <w:r w:rsidR="00940D93">
        <w:rPr>
          <w:noProof/>
        </w:rPr>
        <w:t xml:space="preserve">Statutory interpretation is key for when different laws are anticipated within cases as this can lead to gaps within the law so interpretation of the law is needed to make sure that the result is the right one and no mistakes are made, so this stops different parties taking those mistakes and using them to their advantage so that the court then has to interpret the right meaning </w:t>
      </w:r>
      <w:r w:rsidR="00432A25">
        <w:rPr>
          <w:noProof/>
        </w:rPr>
        <w:t>further</w:t>
      </w:r>
      <w:r w:rsidR="00940D93">
        <w:rPr>
          <w:noProof/>
        </w:rPr>
        <w:t xml:space="preserve"> and it will become their </w:t>
      </w:r>
      <w:r w:rsidR="00432A25">
        <w:rPr>
          <w:noProof/>
        </w:rPr>
        <w:t>liability</w:t>
      </w:r>
      <w:r w:rsidR="00940D93">
        <w:rPr>
          <w:noProof/>
        </w:rPr>
        <w:t xml:space="preserve"> </w:t>
      </w:r>
      <w:r w:rsidR="00432A25" w:rsidRPr="00432A25">
        <w:rPr>
          <w:noProof/>
        </w:rPr>
        <w:t>(Lee, 2018)</w:t>
      </w:r>
      <w:r w:rsidR="00432A25">
        <w:rPr>
          <w:noProof/>
        </w:rPr>
        <w:t xml:space="preserve">. </w:t>
      </w:r>
      <w:r w:rsidR="00A672EB">
        <w:rPr>
          <w:noProof/>
        </w:rPr>
        <w:t>Statutory</w:t>
      </w:r>
      <w:r w:rsidR="0037759A">
        <w:rPr>
          <w:noProof/>
        </w:rPr>
        <w:t xml:space="preserve"> </w:t>
      </w:r>
      <w:r w:rsidR="00A672EB">
        <w:rPr>
          <w:noProof/>
        </w:rPr>
        <w:t>interpretation</w:t>
      </w:r>
      <w:r w:rsidR="0037759A">
        <w:rPr>
          <w:noProof/>
        </w:rPr>
        <w:t xml:space="preserve"> is key for judges and other people in some cases </w:t>
      </w:r>
      <w:r w:rsidR="00A672EB">
        <w:rPr>
          <w:noProof/>
        </w:rPr>
        <w:t xml:space="preserve">to be able to describe how they approach statutory interpretation as a process and it must justify the meaning of that process, which can mean explaining why it is so important for the interpretation to be done in a certain way </w:t>
      </w:r>
      <w:r w:rsidR="00FD4993" w:rsidRPr="00A672EB">
        <w:rPr>
          <w:noProof/>
        </w:rPr>
        <w:t>(Cownie, 2010)</w:t>
      </w:r>
      <w:r w:rsidR="00FD4993">
        <w:rPr>
          <w:noProof/>
        </w:rPr>
        <w:t xml:space="preserve">. </w:t>
      </w:r>
    </w:p>
    <w:p w14:paraId="0A765E29" w14:textId="393546ED" w:rsidR="004A73F1" w:rsidRDefault="00762278">
      <w:pPr>
        <w:rPr>
          <w:noProof/>
        </w:rPr>
      </w:pPr>
      <w:r>
        <w:rPr>
          <w:noProof/>
        </w:rPr>
        <w:lastRenderedPageBreak/>
        <w:t xml:space="preserve">Within the courts </w:t>
      </w:r>
      <w:r w:rsidR="006D62C6">
        <w:rPr>
          <w:noProof/>
        </w:rPr>
        <w:t xml:space="preserve">nowadays they </w:t>
      </w:r>
      <w:r>
        <w:rPr>
          <w:noProof/>
        </w:rPr>
        <w:t xml:space="preserve">use an interpretive rule, and this is when an administrative agency uses this rule to explain or clarify what laws or regulations that already exist mean. However interpretive rule does not have the force of law and before the rule came into play </w:t>
      </w:r>
      <w:r w:rsidR="006D62C6">
        <w:rPr>
          <w:noProof/>
        </w:rPr>
        <w:t xml:space="preserve">they would interpret legislation using one of three rules: The Literal Rule, The Golden Rule, and The Mischief Rule </w:t>
      </w:r>
      <w:r w:rsidR="006D62C6" w:rsidRPr="006D62C6">
        <w:rPr>
          <w:noProof/>
        </w:rPr>
        <w:t>(Webster, 2022)</w:t>
      </w:r>
      <w:r w:rsidR="006D62C6">
        <w:rPr>
          <w:noProof/>
        </w:rPr>
        <w:t xml:space="preserve">. </w:t>
      </w:r>
      <w:r w:rsidR="00BD4052">
        <w:rPr>
          <w:noProof/>
        </w:rPr>
        <w:t xml:space="preserve">By looking at these rules closely we can begin to understand why the courts interpret statutes and where there needs to be an introduction of tension between the executive and the legislature. However, there are suggestions that there are only three rules that govern the interpretation and they can come across as </w:t>
      </w:r>
      <w:r w:rsidR="00027843">
        <w:rPr>
          <w:noProof/>
        </w:rPr>
        <w:t xml:space="preserve">controversial </w:t>
      </w:r>
      <w:r w:rsidR="00027843" w:rsidRPr="00027843">
        <w:rPr>
          <w:noProof/>
        </w:rPr>
        <w:t>(Bennion, 1990)</w:t>
      </w:r>
      <w:r w:rsidR="00027843">
        <w:rPr>
          <w:noProof/>
        </w:rPr>
        <w:t xml:space="preserve">.  </w:t>
      </w:r>
      <w:r w:rsidR="00B5205C">
        <w:rPr>
          <w:noProof/>
        </w:rPr>
        <w:t xml:space="preserve">The courts do not determine themselves to be bound by the rules and they see them more as conventions rather than rules. </w:t>
      </w:r>
    </w:p>
    <w:p w14:paraId="13ABBF11" w14:textId="77777777" w:rsidR="00D03AB5" w:rsidRDefault="00B5205C">
      <w:pPr>
        <w:rPr>
          <w:noProof/>
        </w:rPr>
      </w:pPr>
      <w:r>
        <w:rPr>
          <w:noProof/>
        </w:rPr>
        <w:t xml:space="preserve">The first rule is The Literal Rule and this is considered to be the most normal rule as it tends to comply with the views that are more traditional in the courts that their roles are not to make or enforce the law but to apply the law that parliament has created. The meaning and use of the literal rule is that they take the words written by parliament and they apply them with the suggestion that parliament must have known what they meant </w:t>
      </w:r>
      <w:r w:rsidRPr="00B5205C">
        <w:rPr>
          <w:noProof/>
        </w:rPr>
        <w:t>(Gillespie, 2011)</w:t>
      </w:r>
      <w:r>
        <w:rPr>
          <w:noProof/>
        </w:rPr>
        <w:t xml:space="preserve">. </w:t>
      </w:r>
      <w:r w:rsidR="00146B07">
        <w:rPr>
          <w:noProof/>
        </w:rPr>
        <w:t xml:space="preserve">The literal rule is the first rule that is applied by judges and every word is given in their ordinary meaning and the judges do not try to put a gloss over them to try and make sense of the statute for example in the case of R V Harris (1836) 7  C &amp; P 446. The Next rule that judges use within </w:t>
      </w:r>
      <w:r w:rsidR="00181620">
        <w:rPr>
          <w:noProof/>
        </w:rPr>
        <w:t xml:space="preserve">the </w:t>
      </w:r>
      <w:r w:rsidR="00146B07">
        <w:rPr>
          <w:noProof/>
        </w:rPr>
        <w:t>court is The Golden Rule</w:t>
      </w:r>
      <w:r w:rsidR="00181620">
        <w:rPr>
          <w:noProof/>
        </w:rPr>
        <w:t xml:space="preserve">, this is the opposite of the literal rule because the literal rule is applied normally however, on some occasions the literal rule can defeat the object and the intentions of what parliament is trying to say rather than applying it so therefore when this happens judges will feel they cannot obey the literal rule so they will have to follow what is known as the Golden Rule </w:t>
      </w:r>
      <w:r w:rsidR="00181620" w:rsidRPr="00181620">
        <w:rPr>
          <w:noProof/>
        </w:rPr>
        <w:t>(Gillespie, 2011)</w:t>
      </w:r>
      <w:r w:rsidR="00181620">
        <w:rPr>
          <w:noProof/>
        </w:rPr>
        <w:t xml:space="preserve">. </w:t>
      </w:r>
      <w:r w:rsidR="0077386B">
        <w:rPr>
          <w:noProof/>
        </w:rPr>
        <w:t xml:space="preserve">When this is the case the courts will apply a secondary meaning as the literal rule has caused </w:t>
      </w:r>
      <w:r w:rsidR="003020E4">
        <w:rPr>
          <w:noProof/>
        </w:rPr>
        <w:t>absurdity</w:t>
      </w:r>
      <w:r w:rsidR="0077386B">
        <w:rPr>
          <w:noProof/>
        </w:rPr>
        <w:t xml:space="preserve">, for example in the case of River Wear Commissioners V Adamson </w:t>
      </w:r>
      <w:r w:rsidR="003020E4">
        <w:rPr>
          <w:noProof/>
        </w:rPr>
        <w:t xml:space="preserve">(1876-1877) L.R 2 App Cas 743. </w:t>
      </w:r>
      <w:r w:rsidR="003B26D3" w:rsidRPr="00447EC7">
        <w:rPr>
          <w:noProof/>
        </w:rPr>
        <w:t>(</w:t>
      </w:r>
      <w:r w:rsidR="003B26D3">
        <w:rPr>
          <w:noProof/>
        </w:rPr>
        <w:t>Manchester Et Al</w:t>
      </w:r>
      <w:r w:rsidR="003B26D3" w:rsidRPr="00447EC7">
        <w:rPr>
          <w:noProof/>
        </w:rPr>
        <w:t>, 2000)</w:t>
      </w:r>
      <w:r w:rsidR="003B26D3">
        <w:rPr>
          <w:noProof/>
        </w:rPr>
        <w:t xml:space="preserve">. The third rule that is more commonly </w:t>
      </w:r>
      <w:r w:rsidR="00D03AB5">
        <w:rPr>
          <w:noProof/>
        </w:rPr>
        <w:t xml:space="preserve">used by the courts is the mischief rule and this rule differs from the first two as it is more important with the words that are used rather than the </w:t>
      </w:r>
    </w:p>
    <w:p w14:paraId="4BEED3CE" w14:textId="6F53EA90" w:rsidR="00B5205C" w:rsidRDefault="00D03AB5">
      <w:pPr>
        <w:rPr>
          <w:noProof/>
        </w:rPr>
      </w:pPr>
      <w:r>
        <w:rPr>
          <w:noProof/>
        </w:rPr>
        <w:lastRenderedPageBreak/>
        <w:t>reasoning why parliament created them, this rule is often used when a statute has been in force for a certain amount of years</w:t>
      </w:r>
      <w:r w:rsidR="00CF629F">
        <w:rPr>
          <w:noProof/>
        </w:rPr>
        <w:t xml:space="preserve">, for example, the offenses against the person act of 1861 which is one of the most common statutes that is used in criminal law </w:t>
      </w:r>
      <w:r w:rsidR="00CF629F" w:rsidRPr="00CF629F">
        <w:rPr>
          <w:noProof/>
        </w:rPr>
        <w:t>(Gillespie, 2011)</w:t>
      </w:r>
      <w:r w:rsidR="00CF629F">
        <w:rPr>
          <w:noProof/>
        </w:rPr>
        <w:t xml:space="preserve">. The mischief rule allows the court to move away from the actual meaning of words that are used at the time and instead use the intentions of parliament to allow them to legislate for particular mischief this can be applied to modern society, </w:t>
      </w:r>
      <w:r w:rsidR="00DE44D8">
        <w:rPr>
          <w:noProof/>
        </w:rPr>
        <w:t xml:space="preserve">and it is said to only be used when it is ambiguity in the statute and it is the court’s responsibility to suppress the mischief that the act being used is aimed at for example the case of Smith V Hughes (1960) 1 WRL 830. </w:t>
      </w:r>
      <w:r w:rsidR="00DE44D8" w:rsidRPr="00DE44D8">
        <w:rPr>
          <w:noProof/>
        </w:rPr>
        <w:t>(Resources, 2022)</w:t>
      </w:r>
      <w:r w:rsidR="00DE44D8">
        <w:rPr>
          <w:noProof/>
        </w:rPr>
        <w:t xml:space="preserve">. </w:t>
      </w:r>
    </w:p>
    <w:p w14:paraId="62A63DFB" w14:textId="3F8689B3" w:rsidR="001756C0" w:rsidRDefault="00003D9C">
      <w:pPr>
        <w:rPr>
          <w:noProof/>
        </w:rPr>
      </w:pPr>
      <w:r>
        <w:t>Typical problems that can occur due to statutory interpretation are a failure to cover the key points within the legislation, drafting errors, language changes, developments in the legal field, and the use of words that can be dated back to the 18</w:t>
      </w:r>
      <w:r w:rsidRPr="00003D9C">
        <w:rPr>
          <w:vertAlign w:val="superscript"/>
        </w:rPr>
        <w:t>th</w:t>
      </w:r>
      <w:r>
        <w:t xml:space="preserve"> century that have a different meaning today which can cause confusion and ambiguity </w:t>
      </w:r>
      <w:r w:rsidRPr="00003D9C">
        <w:rPr>
          <w:noProof/>
        </w:rPr>
        <w:t>(Laver, 2022)</w:t>
      </w:r>
      <w:r>
        <w:t xml:space="preserve">. </w:t>
      </w:r>
      <w:r w:rsidR="002369CC">
        <w:t xml:space="preserve">Other problems or errors that can occur with statutory interpretation </w:t>
      </w:r>
      <w:r w:rsidR="00C36AF8">
        <w:t>are</w:t>
      </w:r>
      <w:r w:rsidR="002369CC">
        <w:t xml:space="preserve"> the small mistakes such as printing errors as it can be noted in some cases that the statutory interpretation </w:t>
      </w:r>
      <w:r w:rsidR="00C36AF8">
        <w:t>is</w:t>
      </w:r>
      <w:r w:rsidR="002369CC">
        <w:t xml:space="preserve"> not the ones that have been created by parliament but the ones that judges have developed themselves </w:t>
      </w:r>
      <w:r w:rsidR="002369CC" w:rsidRPr="002369CC">
        <w:rPr>
          <w:noProof/>
        </w:rPr>
        <w:t>(Bailey, 1996)</w:t>
      </w:r>
      <w:r w:rsidR="002369CC">
        <w:rPr>
          <w:noProof/>
        </w:rPr>
        <w:t xml:space="preserve">. </w:t>
      </w:r>
      <w:r w:rsidR="00C36AF8">
        <w:rPr>
          <w:noProof/>
        </w:rPr>
        <w:t xml:space="preserve">Lawmakers should try and express their intentions clearer in some cases because sometimes there can be a high level of confusion and ambiguity within the case because the intentions have not been clear. It is the judiciary’s role to act upon the true intentions of legislation/the legislature, the main way lawmakers can make their intentions clearer is by </w:t>
      </w:r>
      <w:r w:rsidR="00126462">
        <w:rPr>
          <w:noProof/>
        </w:rPr>
        <w:t>explaining</w:t>
      </w:r>
      <w:r w:rsidR="00C36AF8">
        <w:rPr>
          <w:noProof/>
        </w:rPr>
        <w:t xml:space="preserve"> what the different words mean </w:t>
      </w:r>
      <w:r w:rsidR="001756C0">
        <w:rPr>
          <w:noProof/>
        </w:rPr>
        <w:t>by</w:t>
      </w:r>
      <w:r w:rsidR="00C36AF8">
        <w:rPr>
          <w:noProof/>
        </w:rPr>
        <w:t xml:space="preserve"> us</w:t>
      </w:r>
      <w:r w:rsidR="001756C0">
        <w:rPr>
          <w:noProof/>
        </w:rPr>
        <w:t xml:space="preserve">ing </w:t>
      </w:r>
      <w:r w:rsidR="00126462">
        <w:rPr>
          <w:noProof/>
        </w:rPr>
        <w:t xml:space="preserve">the </w:t>
      </w:r>
      <w:r w:rsidR="00C36AF8">
        <w:rPr>
          <w:noProof/>
        </w:rPr>
        <w:t xml:space="preserve">purpose and object </w:t>
      </w:r>
      <w:r w:rsidR="00126462">
        <w:rPr>
          <w:noProof/>
        </w:rPr>
        <w:t xml:space="preserve">of what the statute is and the meaning behind it </w:t>
      </w:r>
      <w:r w:rsidR="00126462" w:rsidRPr="00126462">
        <w:rPr>
          <w:noProof/>
        </w:rPr>
        <w:t>(Jusprudentia, 2018)</w:t>
      </w:r>
      <w:r w:rsidR="00126462">
        <w:rPr>
          <w:noProof/>
        </w:rPr>
        <w:t>. Parliament is a body that has many heads within it, the intention part of it is a single mind and for lawmakers to make their intentions clearer it is said that</w:t>
      </w:r>
      <w:r w:rsidR="001756C0">
        <w:rPr>
          <w:noProof/>
        </w:rPr>
        <w:t xml:space="preserve"> </w:t>
      </w:r>
      <w:r w:rsidR="00126462">
        <w:rPr>
          <w:noProof/>
        </w:rPr>
        <w:t xml:space="preserve">they should all intend to </w:t>
      </w:r>
      <w:r w:rsidR="001756C0">
        <w:rPr>
          <w:noProof/>
        </w:rPr>
        <w:t xml:space="preserve">act in the same way and achieve the same results, that way there can be a limited amount of confusion and ambiguity however if this is not the case within parliament then there is no way that individuals or groups can entertain the same intentions </w:t>
      </w:r>
      <w:r w:rsidR="001756C0" w:rsidRPr="001756C0">
        <w:rPr>
          <w:noProof/>
        </w:rPr>
        <w:t>(Laws, 2017)</w:t>
      </w:r>
      <w:r w:rsidR="001756C0">
        <w:rPr>
          <w:noProof/>
        </w:rPr>
        <w:t xml:space="preserve">.   </w:t>
      </w:r>
    </w:p>
    <w:p w14:paraId="275D67E7" w14:textId="1E9C7928" w:rsidR="002E0DB3" w:rsidRDefault="009D1440">
      <w:pPr>
        <w:rPr>
          <w:noProof/>
        </w:rPr>
      </w:pPr>
      <w:r>
        <w:rPr>
          <w:noProof/>
        </w:rPr>
        <w:lastRenderedPageBreak/>
        <w:t xml:space="preserve">In conclusion Statutory interpretation is the main way that judges use to help them interpret the purpose of the different acts that Parliament has created. </w:t>
      </w:r>
      <w:r w:rsidR="00DC6588">
        <w:rPr>
          <w:noProof/>
        </w:rPr>
        <w:t xml:space="preserve">The key question that is asked </w:t>
      </w:r>
      <w:r w:rsidR="00070A30">
        <w:rPr>
          <w:noProof/>
        </w:rPr>
        <w:t>nowadays</w:t>
      </w:r>
      <w:r w:rsidR="00DC6588">
        <w:rPr>
          <w:noProof/>
        </w:rPr>
        <w:t xml:space="preserve"> is whether the principle of statutory interpretation </w:t>
      </w:r>
      <w:r w:rsidR="00070A30">
        <w:rPr>
          <w:noProof/>
        </w:rPr>
        <w:t>diminishes</w:t>
      </w:r>
      <w:r w:rsidR="00DC6588">
        <w:rPr>
          <w:noProof/>
        </w:rPr>
        <w:t xml:space="preserve"> the status of </w:t>
      </w:r>
      <w:r w:rsidR="00070A30">
        <w:rPr>
          <w:noProof/>
        </w:rPr>
        <w:t xml:space="preserve">legislation as the primary source of law within the UK, this is not accurate because statutory interpretation is the reason that legislation is easy to understand and explain within different cases, this is because the </w:t>
      </w:r>
      <w:r w:rsidR="00A24750">
        <w:rPr>
          <w:noProof/>
        </w:rPr>
        <w:t>principles</w:t>
      </w:r>
      <w:r w:rsidR="00070A30">
        <w:rPr>
          <w:noProof/>
        </w:rPr>
        <w:t xml:space="preserve"> of </w:t>
      </w:r>
      <w:r w:rsidR="00A24750">
        <w:rPr>
          <w:noProof/>
        </w:rPr>
        <w:t>statutory</w:t>
      </w:r>
      <w:r w:rsidR="00070A30">
        <w:rPr>
          <w:noProof/>
        </w:rPr>
        <w:t xml:space="preserve"> interpretation is that an act of parliament must be created as a whole so that </w:t>
      </w:r>
      <w:r w:rsidR="00A24750">
        <w:rPr>
          <w:noProof/>
        </w:rPr>
        <w:t>consistencies</w:t>
      </w:r>
      <w:r w:rsidR="00070A30">
        <w:rPr>
          <w:noProof/>
        </w:rPr>
        <w:t xml:space="preserve"> can be avoided, words that can only be in </w:t>
      </w:r>
      <w:r w:rsidR="00A24750">
        <w:rPr>
          <w:noProof/>
        </w:rPr>
        <w:t>reference</w:t>
      </w:r>
      <w:r w:rsidR="00070A30">
        <w:rPr>
          <w:noProof/>
        </w:rPr>
        <w:t xml:space="preserve"> of only one meaning has to be given that meaning regardless of the result which is also known as the literal rule, ordinary words can be used to be given their </w:t>
      </w:r>
      <w:r w:rsidR="00A24750">
        <w:rPr>
          <w:noProof/>
        </w:rPr>
        <w:t>ordinary</w:t>
      </w:r>
      <w:r w:rsidR="00070A30">
        <w:rPr>
          <w:noProof/>
        </w:rPr>
        <w:t xml:space="preserve"> meaning and the same applies to technical words unless any sort of absurdity could result and an act must have a defect in the law and any ambiguity has to be resolved </w:t>
      </w:r>
      <w:r w:rsidR="00A24750">
        <w:rPr>
          <w:noProof/>
        </w:rPr>
        <w:t xml:space="preserve">with a way that can work in favor of the aim which is known as the mischief rule </w:t>
      </w:r>
      <w:r w:rsidR="00A24750" w:rsidRPr="00A24750">
        <w:rPr>
          <w:noProof/>
        </w:rPr>
        <w:t>(Oxford, 2022)</w:t>
      </w:r>
      <w:r w:rsidR="00A24750">
        <w:rPr>
          <w:noProof/>
        </w:rPr>
        <w:t xml:space="preserve">.  Without any of these principles, it can become difficult for legislation to be interpreted in the right way so therefore using statutory interpretation in fact makes understanding and using legislation an easy and more effective way than not using it. </w:t>
      </w:r>
    </w:p>
    <w:sdt>
      <w:sdtPr>
        <w:id w:val="-54922767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99D5657" w14:textId="1717303C" w:rsidR="00A24750" w:rsidRDefault="00A24750">
          <w:pPr>
            <w:pStyle w:val="Heading1"/>
          </w:pPr>
          <w:r>
            <w:t>References</w:t>
          </w:r>
        </w:p>
        <w:sdt>
          <w:sdtPr>
            <w:id w:val="-573587230"/>
            <w:bibliography/>
          </w:sdtPr>
          <w:sdtContent>
            <w:p w14:paraId="71E2A85B" w14:textId="198BC784" w:rsidR="00A24750" w:rsidRDefault="00A24750" w:rsidP="00A24750">
              <w:pPr>
                <w:pStyle w:val="Bibliography"/>
                <w:rPr>
                  <w:noProof/>
                  <w:sz w:val="24"/>
                  <w:szCs w:val="24"/>
                  <w:lang w:val="en-US"/>
                </w:rPr>
              </w:pPr>
              <w:r>
                <w:rPr>
                  <w:noProof/>
                  <w:lang w:val="en-US"/>
                </w:rPr>
                <w:t>Bailey, S. &amp;., 1996. The modern english legal system . In: New York : Oxford University Press , pp. 351-403.</w:t>
              </w:r>
            </w:p>
            <w:p w14:paraId="1F619B74" w14:textId="77777777" w:rsidR="00A24750" w:rsidRDefault="00A24750" w:rsidP="00A24750">
              <w:pPr>
                <w:pStyle w:val="Bibliography"/>
                <w:rPr>
                  <w:noProof/>
                  <w:lang w:val="en-US"/>
                </w:rPr>
              </w:pPr>
              <w:r>
                <w:rPr>
                  <w:noProof/>
                  <w:lang w:val="en-US"/>
                </w:rPr>
                <w:t>Bennion, 1990. Bennion on statute law . In: Harlow: Longman , pp. 104- 105 .</w:t>
              </w:r>
            </w:p>
            <w:p w14:paraId="7E95764C" w14:textId="77777777" w:rsidR="00A24750" w:rsidRDefault="00A24750" w:rsidP="00A24750">
              <w:pPr>
                <w:pStyle w:val="Bibliography"/>
                <w:rPr>
                  <w:noProof/>
                  <w:lang w:val="en-US"/>
                </w:rPr>
              </w:pPr>
              <w:r>
                <w:rPr>
                  <w:noProof/>
                  <w:lang w:val="en-US"/>
                </w:rPr>
                <w:t>Cownie, B. &amp;. B., 2010. English Legal System in context . In: New York : Oxford University Press , pp. 114-115 .</w:t>
              </w:r>
            </w:p>
            <w:p w14:paraId="46E8348D" w14:textId="77777777" w:rsidR="00A24750" w:rsidRDefault="00A24750" w:rsidP="00A24750">
              <w:pPr>
                <w:pStyle w:val="Bibliography"/>
                <w:rPr>
                  <w:noProof/>
                  <w:lang w:val="en-US"/>
                </w:rPr>
              </w:pPr>
              <w:r>
                <w:rPr>
                  <w:noProof/>
                  <w:lang w:val="en-US"/>
                </w:rPr>
                <w:t xml:space="preserve">Fochsen, M., 2020. </w:t>
              </w:r>
              <w:r>
                <w:rPr>
                  <w:i/>
                  <w:iCs/>
                  <w:noProof/>
                  <w:lang w:val="en-US"/>
                </w:rPr>
                <w:t xml:space="preserve">Why is statutory law important?. </w:t>
              </w:r>
              <w:r>
                <w:rPr>
                  <w:noProof/>
                  <w:lang w:val="en-US"/>
                </w:rPr>
                <w:t xml:space="preserve">[Online] </w:t>
              </w:r>
              <w:r>
                <w:rPr>
                  <w:noProof/>
                  <w:lang w:val="en-US"/>
                </w:rPr>
                <w:br/>
                <w:t xml:space="preserve">Available at: </w:t>
              </w:r>
              <w:r>
                <w:rPr>
                  <w:noProof/>
                  <w:u w:val="single"/>
                  <w:lang w:val="en-US"/>
                </w:rPr>
                <w:t>https://askinglot.com/why-is-statutory-law-important#:~:text=Statutory%20interpretation%20is%20important%20so%20that%20they%20are,body%20and%20court%20will%20then%20apply%20the%20law.</w:t>
              </w:r>
              <w:r>
                <w:rPr>
                  <w:noProof/>
                  <w:lang w:val="en-US"/>
                </w:rPr>
                <w:br/>
                <w:t>[Accessed 28 April 2022].</w:t>
              </w:r>
            </w:p>
            <w:p w14:paraId="5534D146" w14:textId="77777777" w:rsidR="00A24750" w:rsidRDefault="00A24750" w:rsidP="00A24750">
              <w:pPr>
                <w:pStyle w:val="Bibliography"/>
                <w:rPr>
                  <w:noProof/>
                  <w:lang w:val="en-US"/>
                </w:rPr>
              </w:pPr>
              <w:r>
                <w:rPr>
                  <w:noProof/>
                  <w:lang w:val="en-US"/>
                </w:rPr>
                <w:lastRenderedPageBreak/>
                <w:t>Gillespie, A., 2011. The English Legal System . In: New York : Oxford University Press , pp. 36-37.</w:t>
              </w:r>
            </w:p>
            <w:p w14:paraId="664D5247" w14:textId="77777777" w:rsidR="00A24750" w:rsidRDefault="00A24750" w:rsidP="00A24750">
              <w:pPr>
                <w:pStyle w:val="Bibliography"/>
                <w:rPr>
                  <w:noProof/>
                  <w:lang w:val="en-US"/>
                </w:rPr>
              </w:pPr>
              <w:r>
                <w:rPr>
                  <w:noProof/>
                  <w:lang w:val="en-US"/>
                </w:rPr>
                <w:t xml:space="preserve">Jusprudentia, 2018. </w:t>
              </w:r>
              <w:r>
                <w:rPr>
                  <w:i/>
                  <w:iCs/>
                  <w:noProof/>
                  <w:lang w:val="en-US"/>
                </w:rPr>
                <w:t xml:space="preserve">Meaning of interpretation of statutes and the intention of legislature. </w:t>
              </w:r>
              <w:r>
                <w:rPr>
                  <w:noProof/>
                  <w:lang w:val="en-US"/>
                </w:rPr>
                <w:t xml:space="preserve">[Online] </w:t>
              </w:r>
              <w:r>
                <w:rPr>
                  <w:noProof/>
                  <w:lang w:val="en-US"/>
                </w:rPr>
                <w:br/>
                <w:t xml:space="preserve">Available at: </w:t>
              </w:r>
              <w:r>
                <w:rPr>
                  <w:noProof/>
                  <w:u w:val="single"/>
                  <w:lang w:val="en-US"/>
                </w:rPr>
                <w:t>https://www.jusprudentia.com/single-post/2018/01/02/Meaning-of-Interpretation-of-Statutes-and-The-Intention-of-Legislature</w:t>
              </w:r>
              <w:r>
                <w:rPr>
                  <w:noProof/>
                  <w:lang w:val="en-US"/>
                </w:rPr>
                <w:br/>
                <w:t>[Accessed 2 May 2022].</w:t>
              </w:r>
            </w:p>
            <w:p w14:paraId="3F5A648E" w14:textId="77777777" w:rsidR="00A24750" w:rsidRDefault="00A24750" w:rsidP="00A24750">
              <w:pPr>
                <w:pStyle w:val="Bibliography"/>
                <w:rPr>
                  <w:noProof/>
                  <w:lang w:val="en-US"/>
                </w:rPr>
              </w:pPr>
              <w:r>
                <w:rPr>
                  <w:noProof/>
                  <w:lang w:val="en-US"/>
                </w:rPr>
                <w:t xml:space="preserve">Laver, N., 2022. </w:t>
              </w:r>
              <w:r>
                <w:rPr>
                  <w:i/>
                  <w:iCs/>
                  <w:noProof/>
                  <w:lang w:val="en-US"/>
                </w:rPr>
                <w:t xml:space="preserve">Statutory Interpretation. </w:t>
              </w:r>
              <w:r>
                <w:rPr>
                  <w:noProof/>
                  <w:lang w:val="en-US"/>
                </w:rPr>
                <w:t xml:space="preserve">[Online] </w:t>
              </w:r>
              <w:r>
                <w:rPr>
                  <w:noProof/>
                  <w:lang w:val="en-US"/>
                </w:rPr>
                <w:br/>
                <w:t xml:space="preserve">Available at: </w:t>
              </w:r>
              <w:r>
                <w:rPr>
                  <w:noProof/>
                  <w:u w:val="single"/>
                  <w:lang w:val="en-US"/>
                </w:rPr>
                <w:t>https://www.inbrief.co.uk/legal-system/statutory-interpretation/</w:t>
              </w:r>
              <w:r>
                <w:rPr>
                  <w:noProof/>
                  <w:lang w:val="en-US"/>
                </w:rPr>
                <w:br/>
                <w:t>[Accessed 27 April 2022].</w:t>
              </w:r>
            </w:p>
            <w:p w14:paraId="09D0719B" w14:textId="77777777" w:rsidR="00A24750" w:rsidRDefault="00A24750" w:rsidP="00A24750">
              <w:pPr>
                <w:pStyle w:val="Bibliography"/>
                <w:rPr>
                  <w:noProof/>
                  <w:lang w:val="en-US"/>
                </w:rPr>
              </w:pPr>
              <w:r>
                <w:rPr>
                  <w:noProof/>
                  <w:lang w:val="en-US"/>
                </w:rPr>
                <w:t xml:space="preserve">Laws, S. J., 2017. </w:t>
              </w:r>
              <w:r>
                <w:rPr>
                  <w:i/>
                  <w:iCs/>
                  <w:noProof/>
                  <w:lang w:val="en-US"/>
                </w:rPr>
                <w:t xml:space="preserve">Statutory Interpretation - The myth of Parliamentary intent. </w:t>
              </w:r>
              <w:r>
                <w:rPr>
                  <w:noProof/>
                  <w:lang w:val="en-US"/>
                </w:rPr>
                <w:t xml:space="preserve">[Online] </w:t>
              </w:r>
              <w:r>
                <w:rPr>
                  <w:noProof/>
                  <w:lang w:val="en-US"/>
                </w:rPr>
                <w:br/>
                <w:t xml:space="preserve">Available at: </w:t>
              </w:r>
              <w:r>
                <w:rPr>
                  <w:noProof/>
                  <w:u w:val="single"/>
                  <w:lang w:val="en-US"/>
                </w:rPr>
                <w:t>http://www.statutelawsociety.co.uk/wp-content/uploads/2017/11/The-Myth-of-Parliamentary-Intent-text.pdf</w:t>
              </w:r>
              <w:r>
                <w:rPr>
                  <w:noProof/>
                  <w:lang w:val="en-US"/>
                </w:rPr>
                <w:br/>
                <w:t>[Accessed 2 May 2022].</w:t>
              </w:r>
            </w:p>
            <w:p w14:paraId="1CA30EDE" w14:textId="77777777" w:rsidR="00A24750" w:rsidRDefault="00A24750" w:rsidP="00A24750">
              <w:pPr>
                <w:pStyle w:val="Bibliography"/>
                <w:rPr>
                  <w:noProof/>
                  <w:lang w:val="en-US"/>
                </w:rPr>
              </w:pPr>
              <w:r>
                <w:rPr>
                  <w:noProof/>
                  <w:lang w:val="en-US"/>
                </w:rPr>
                <w:t xml:space="preserve">Lee, S., 2018 . </w:t>
              </w:r>
              <w:r>
                <w:rPr>
                  <w:i/>
                  <w:iCs/>
                  <w:noProof/>
                  <w:lang w:val="en-US"/>
                </w:rPr>
                <w:t xml:space="preserve">Importance Of Statutory Interpretation In The Field Of Law Studies. </w:t>
              </w:r>
              <w:r>
                <w:rPr>
                  <w:noProof/>
                  <w:lang w:val="en-US"/>
                </w:rPr>
                <w:t xml:space="preserve">[Online] </w:t>
              </w:r>
              <w:r>
                <w:rPr>
                  <w:noProof/>
                  <w:lang w:val="en-US"/>
                </w:rPr>
                <w:br/>
                <w:t xml:space="preserve">Available at: </w:t>
              </w:r>
              <w:r>
                <w:rPr>
                  <w:noProof/>
                  <w:u w:val="single"/>
                  <w:lang w:val="en-US"/>
                </w:rPr>
                <w:t>https://www.abcassignmenthelp.com/blog/importance-of-statutory-interpretation-in-the-field-of-law-studies</w:t>
              </w:r>
              <w:r>
                <w:rPr>
                  <w:noProof/>
                  <w:lang w:val="en-US"/>
                </w:rPr>
                <w:br/>
                <w:t>[Accessed 28 April 2022].</w:t>
              </w:r>
            </w:p>
            <w:p w14:paraId="367E2008" w14:textId="77777777" w:rsidR="00A24750" w:rsidRDefault="00A24750" w:rsidP="00A24750">
              <w:pPr>
                <w:pStyle w:val="Bibliography"/>
                <w:rPr>
                  <w:noProof/>
                  <w:lang w:val="en-US"/>
                </w:rPr>
              </w:pPr>
              <w:r>
                <w:rPr>
                  <w:noProof/>
                  <w:lang w:val="en-US"/>
                </w:rPr>
                <w:t>Manchester C, S. D. a. M. P., 2000. Exploring the law; The dynamics of precedent and staturtory Interpretation. In: London: Sweet &amp; Maxwell, p. 42.</w:t>
              </w:r>
            </w:p>
            <w:p w14:paraId="1F9FB464" w14:textId="77777777" w:rsidR="00A24750" w:rsidRDefault="00A24750" w:rsidP="00A24750">
              <w:pPr>
                <w:pStyle w:val="Bibliography"/>
                <w:rPr>
                  <w:noProof/>
                  <w:lang w:val="en-US"/>
                </w:rPr>
              </w:pPr>
              <w:r>
                <w:rPr>
                  <w:noProof/>
                  <w:lang w:val="en-US"/>
                </w:rPr>
                <w:t xml:space="preserve">Oxford, R., 2022. </w:t>
              </w:r>
              <w:r>
                <w:rPr>
                  <w:i/>
                  <w:iCs/>
                  <w:noProof/>
                  <w:lang w:val="en-US"/>
                </w:rPr>
                <w:t xml:space="preserve">Interpretation, Rules and Principles of Statutory. </w:t>
              </w:r>
              <w:r>
                <w:rPr>
                  <w:noProof/>
                  <w:lang w:val="en-US"/>
                </w:rPr>
                <w:t xml:space="preserve">[Online] </w:t>
              </w:r>
              <w:r>
                <w:rPr>
                  <w:noProof/>
                  <w:lang w:val="en-US"/>
                </w:rPr>
                <w:br/>
                <w:t xml:space="preserve">Available at: </w:t>
              </w:r>
              <w:r>
                <w:rPr>
                  <w:noProof/>
                  <w:u w:val="single"/>
                  <w:lang w:val="en-US"/>
                </w:rPr>
                <w:t>https://www.oxfordreference.com/view/10.1093/oi/authority.20110803100008301#:~:text=Quick%20Reference%20The%20principal%20rules%20of%20statutory%20interpretation,must%20be%20given%20that%20meaning%20whatever%20the%20result.</w:t>
              </w:r>
              <w:r>
                <w:rPr>
                  <w:noProof/>
                  <w:lang w:val="en-US"/>
                </w:rPr>
                <w:br/>
                <w:t>[Accessed 2 May 2022].</w:t>
              </w:r>
            </w:p>
            <w:p w14:paraId="4CD81FDE" w14:textId="77777777" w:rsidR="00A24750" w:rsidRDefault="00A24750" w:rsidP="00A24750">
              <w:pPr>
                <w:pStyle w:val="Bibliography"/>
                <w:rPr>
                  <w:noProof/>
                  <w:lang w:val="en-US"/>
                </w:rPr>
              </w:pPr>
              <w:r>
                <w:rPr>
                  <w:noProof/>
                  <w:lang w:val="en-US"/>
                </w:rPr>
                <w:lastRenderedPageBreak/>
                <w:t xml:space="preserve">Parliment, U., 2022. </w:t>
              </w:r>
              <w:r>
                <w:rPr>
                  <w:i/>
                  <w:iCs/>
                  <w:noProof/>
                  <w:lang w:val="en-US"/>
                </w:rPr>
                <w:t xml:space="preserve">Statute. </w:t>
              </w:r>
              <w:r>
                <w:rPr>
                  <w:noProof/>
                  <w:lang w:val="en-US"/>
                </w:rPr>
                <w:t xml:space="preserve">[Online] </w:t>
              </w:r>
              <w:r>
                <w:rPr>
                  <w:noProof/>
                  <w:lang w:val="en-US"/>
                </w:rPr>
                <w:br/>
                <w:t xml:space="preserve">Available at: </w:t>
              </w:r>
              <w:r>
                <w:rPr>
                  <w:noProof/>
                  <w:u w:val="single"/>
                  <w:lang w:val="en-US"/>
                </w:rPr>
                <w:t>https://www.parliament.uk/site-information/glossary/statutes/</w:t>
              </w:r>
              <w:r>
                <w:rPr>
                  <w:noProof/>
                  <w:lang w:val="en-US"/>
                </w:rPr>
                <w:br/>
                <w:t>[Accessed 27 April 2022].</w:t>
              </w:r>
            </w:p>
            <w:p w14:paraId="1A4B62B0" w14:textId="77777777" w:rsidR="00A24750" w:rsidRDefault="00A24750" w:rsidP="00A24750">
              <w:pPr>
                <w:pStyle w:val="Bibliography"/>
                <w:rPr>
                  <w:noProof/>
                  <w:lang w:val="en-US"/>
                </w:rPr>
              </w:pPr>
              <w:r>
                <w:rPr>
                  <w:noProof/>
                  <w:lang w:val="en-US"/>
                </w:rPr>
                <w:t xml:space="preserve">Resources, L., 2022. </w:t>
              </w:r>
              <w:r>
                <w:rPr>
                  <w:i/>
                  <w:iCs/>
                  <w:noProof/>
                  <w:lang w:val="en-US"/>
                </w:rPr>
                <w:t xml:space="preserve">The Mischief Rule of Statutory Interpretation. </w:t>
              </w:r>
              <w:r>
                <w:rPr>
                  <w:noProof/>
                  <w:lang w:val="en-US"/>
                </w:rPr>
                <w:t xml:space="preserve">[Online] </w:t>
              </w:r>
              <w:r>
                <w:rPr>
                  <w:noProof/>
                  <w:lang w:val="en-US"/>
                </w:rPr>
                <w:br/>
                <w:t xml:space="preserve">Available at: </w:t>
              </w:r>
              <w:r>
                <w:rPr>
                  <w:noProof/>
                  <w:u w:val="single"/>
                  <w:lang w:val="en-US"/>
                </w:rPr>
                <w:t>http://www.e-lawresources.co.uk/Mischief-rule.php</w:t>
              </w:r>
              <w:r>
                <w:rPr>
                  <w:noProof/>
                  <w:lang w:val="en-US"/>
                </w:rPr>
                <w:br/>
                <w:t>[Accessed 30 April 2022].</w:t>
              </w:r>
            </w:p>
            <w:p w14:paraId="5915C803" w14:textId="77777777" w:rsidR="00A24750" w:rsidRDefault="00A24750" w:rsidP="00A24750">
              <w:pPr>
                <w:pStyle w:val="Bibliography"/>
                <w:rPr>
                  <w:noProof/>
                  <w:lang w:val="en-US"/>
                </w:rPr>
              </w:pPr>
              <w:r>
                <w:rPr>
                  <w:noProof/>
                  <w:lang w:val="en-US"/>
                </w:rPr>
                <w:t xml:space="preserve">Webster, M., 2022. </w:t>
              </w:r>
              <w:r>
                <w:rPr>
                  <w:i/>
                  <w:iCs/>
                  <w:noProof/>
                  <w:lang w:val="en-US"/>
                </w:rPr>
                <w:t xml:space="preserve">Interpretive Rule. </w:t>
              </w:r>
              <w:r>
                <w:rPr>
                  <w:noProof/>
                  <w:lang w:val="en-US"/>
                </w:rPr>
                <w:t xml:space="preserve">[Online] </w:t>
              </w:r>
              <w:r>
                <w:rPr>
                  <w:noProof/>
                  <w:lang w:val="en-US"/>
                </w:rPr>
                <w:br/>
                <w:t xml:space="preserve">Available at: </w:t>
              </w:r>
              <w:r>
                <w:rPr>
                  <w:noProof/>
                  <w:u w:val="single"/>
                  <w:lang w:val="en-US"/>
                </w:rPr>
                <w:t>https://www.merriam-webster.com/legal/interpretive%20rule</w:t>
              </w:r>
              <w:r>
                <w:rPr>
                  <w:noProof/>
                  <w:lang w:val="en-US"/>
                </w:rPr>
                <w:br/>
                <w:t>[Accessed 30 April 2022].</w:t>
              </w:r>
            </w:p>
            <w:p w14:paraId="04061D8D" w14:textId="63F3C2F9" w:rsidR="00A24750" w:rsidRDefault="00A24750" w:rsidP="00A24750"/>
          </w:sdtContent>
        </w:sdt>
      </w:sdtContent>
    </w:sdt>
    <w:p w14:paraId="178B28A3" w14:textId="112AFEA2" w:rsidR="00A24750" w:rsidRDefault="00A24750">
      <w:pPr>
        <w:rPr>
          <w:noProof/>
        </w:rPr>
      </w:pPr>
    </w:p>
    <w:p w14:paraId="7D58B5EE" w14:textId="560A4281" w:rsidR="00146E6C" w:rsidRDefault="00146E6C">
      <w:r>
        <w:br w:type="page"/>
      </w:r>
    </w:p>
    <w:p w14:paraId="0827E4B2" w14:textId="77777777" w:rsidR="004729EF" w:rsidRDefault="004729EF"/>
    <w:sectPr w:rsidR="004729EF" w:rsidSect="00146E6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9EF"/>
    <w:rsid w:val="00003D9C"/>
    <w:rsid w:val="00027843"/>
    <w:rsid w:val="00070A30"/>
    <w:rsid w:val="000E281B"/>
    <w:rsid w:val="00126462"/>
    <w:rsid w:val="00146B07"/>
    <w:rsid w:val="00146E6C"/>
    <w:rsid w:val="001756C0"/>
    <w:rsid w:val="00181620"/>
    <w:rsid w:val="001C37C5"/>
    <w:rsid w:val="002369CC"/>
    <w:rsid w:val="00253EE1"/>
    <w:rsid w:val="002E0DB3"/>
    <w:rsid w:val="003020E4"/>
    <w:rsid w:val="00346724"/>
    <w:rsid w:val="0037759A"/>
    <w:rsid w:val="003B26D3"/>
    <w:rsid w:val="00432A25"/>
    <w:rsid w:val="00433542"/>
    <w:rsid w:val="00447EC7"/>
    <w:rsid w:val="004729EF"/>
    <w:rsid w:val="004A73F1"/>
    <w:rsid w:val="004B3F05"/>
    <w:rsid w:val="005B4E30"/>
    <w:rsid w:val="006D62C6"/>
    <w:rsid w:val="00762278"/>
    <w:rsid w:val="0077386B"/>
    <w:rsid w:val="007D74FF"/>
    <w:rsid w:val="008317B1"/>
    <w:rsid w:val="00940D93"/>
    <w:rsid w:val="00976A12"/>
    <w:rsid w:val="009D1440"/>
    <w:rsid w:val="00A24750"/>
    <w:rsid w:val="00A57ADC"/>
    <w:rsid w:val="00A672EB"/>
    <w:rsid w:val="00A729CF"/>
    <w:rsid w:val="00B5205C"/>
    <w:rsid w:val="00BD4052"/>
    <w:rsid w:val="00BF4373"/>
    <w:rsid w:val="00C36AF8"/>
    <w:rsid w:val="00CF629F"/>
    <w:rsid w:val="00D03AB5"/>
    <w:rsid w:val="00DC6588"/>
    <w:rsid w:val="00DE44D8"/>
    <w:rsid w:val="00E408AC"/>
    <w:rsid w:val="00EF74A8"/>
    <w:rsid w:val="00F452B3"/>
    <w:rsid w:val="00FB694F"/>
    <w:rsid w:val="00FD49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4B1DD"/>
  <w15:chartTrackingRefBased/>
  <w15:docId w15:val="{527B2A04-2CAE-4E89-961F-27E84B526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4750"/>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46E6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6E6C"/>
    <w:rPr>
      <w:rFonts w:eastAsiaTheme="minorEastAsia"/>
      <w:lang w:val="en-US"/>
    </w:rPr>
  </w:style>
  <w:style w:type="character" w:customStyle="1" w:styleId="Heading1Char">
    <w:name w:val="Heading 1 Char"/>
    <w:basedOn w:val="DefaultParagraphFont"/>
    <w:link w:val="Heading1"/>
    <w:uiPriority w:val="9"/>
    <w:rsid w:val="00A2475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247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43657">
      <w:bodyDiv w:val="1"/>
      <w:marLeft w:val="0"/>
      <w:marRight w:val="0"/>
      <w:marTop w:val="0"/>
      <w:marBottom w:val="0"/>
      <w:divBdr>
        <w:top w:val="none" w:sz="0" w:space="0" w:color="auto"/>
        <w:left w:val="none" w:sz="0" w:space="0" w:color="auto"/>
        <w:bottom w:val="none" w:sz="0" w:space="0" w:color="auto"/>
        <w:right w:val="none" w:sz="0" w:space="0" w:color="auto"/>
      </w:divBdr>
    </w:div>
    <w:div w:id="86582454">
      <w:bodyDiv w:val="1"/>
      <w:marLeft w:val="0"/>
      <w:marRight w:val="0"/>
      <w:marTop w:val="0"/>
      <w:marBottom w:val="0"/>
      <w:divBdr>
        <w:top w:val="none" w:sz="0" w:space="0" w:color="auto"/>
        <w:left w:val="none" w:sz="0" w:space="0" w:color="auto"/>
        <w:bottom w:val="none" w:sz="0" w:space="0" w:color="auto"/>
        <w:right w:val="none" w:sz="0" w:space="0" w:color="auto"/>
      </w:divBdr>
    </w:div>
    <w:div w:id="262960207">
      <w:bodyDiv w:val="1"/>
      <w:marLeft w:val="0"/>
      <w:marRight w:val="0"/>
      <w:marTop w:val="0"/>
      <w:marBottom w:val="0"/>
      <w:divBdr>
        <w:top w:val="none" w:sz="0" w:space="0" w:color="auto"/>
        <w:left w:val="none" w:sz="0" w:space="0" w:color="auto"/>
        <w:bottom w:val="none" w:sz="0" w:space="0" w:color="auto"/>
        <w:right w:val="none" w:sz="0" w:space="0" w:color="auto"/>
      </w:divBdr>
    </w:div>
    <w:div w:id="767314283">
      <w:bodyDiv w:val="1"/>
      <w:marLeft w:val="0"/>
      <w:marRight w:val="0"/>
      <w:marTop w:val="0"/>
      <w:marBottom w:val="0"/>
      <w:divBdr>
        <w:top w:val="none" w:sz="0" w:space="0" w:color="auto"/>
        <w:left w:val="none" w:sz="0" w:space="0" w:color="auto"/>
        <w:bottom w:val="none" w:sz="0" w:space="0" w:color="auto"/>
        <w:right w:val="none" w:sz="0" w:space="0" w:color="auto"/>
      </w:divBdr>
    </w:div>
    <w:div w:id="788014888">
      <w:bodyDiv w:val="1"/>
      <w:marLeft w:val="0"/>
      <w:marRight w:val="0"/>
      <w:marTop w:val="0"/>
      <w:marBottom w:val="0"/>
      <w:divBdr>
        <w:top w:val="none" w:sz="0" w:space="0" w:color="auto"/>
        <w:left w:val="none" w:sz="0" w:space="0" w:color="auto"/>
        <w:bottom w:val="none" w:sz="0" w:space="0" w:color="auto"/>
        <w:right w:val="none" w:sz="0" w:space="0" w:color="auto"/>
      </w:divBdr>
    </w:div>
    <w:div w:id="947198323">
      <w:bodyDiv w:val="1"/>
      <w:marLeft w:val="0"/>
      <w:marRight w:val="0"/>
      <w:marTop w:val="0"/>
      <w:marBottom w:val="0"/>
      <w:divBdr>
        <w:top w:val="none" w:sz="0" w:space="0" w:color="auto"/>
        <w:left w:val="none" w:sz="0" w:space="0" w:color="auto"/>
        <w:bottom w:val="none" w:sz="0" w:space="0" w:color="auto"/>
        <w:right w:val="none" w:sz="0" w:space="0" w:color="auto"/>
      </w:divBdr>
    </w:div>
    <w:div w:id="956765052">
      <w:bodyDiv w:val="1"/>
      <w:marLeft w:val="0"/>
      <w:marRight w:val="0"/>
      <w:marTop w:val="0"/>
      <w:marBottom w:val="0"/>
      <w:divBdr>
        <w:top w:val="none" w:sz="0" w:space="0" w:color="auto"/>
        <w:left w:val="none" w:sz="0" w:space="0" w:color="auto"/>
        <w:bottom w:val="none" w:sz="0" w:space="0" w:color="auto"/>
        <w:right w:val="none" w:sz="0" w:space="0" w:color="auto"/>
      </w:divBdr>
    </w:div>
    <w:div w:id="1037972590">
      <w:bodyDiv w:val="1"/>
      <w:marLeft w:val="0"/>
      <w:marRight w:val="0"/>
      <w:marTop w:val="0"/>
      <w:marBottom w:val="0"/>
      <w:divBdr>
        <w:top w:val="none" w:sz="0" w:space="0" w:color="auto"/>
        <w:left w:val="none" w:sz="0" w:space="0" w:color="auto"/>
        <w:bottom w:val="none" w:sz="0" w:space="0" w:color="auto"/>
        <w:right w:val="none" w:sz="0" w:space="0" w:color="auto"/>
      </w:divBdr>
    </w:div>
    <w:div w:id="1243753620">
      <w:bodyDiv w:val="1"/>
      <w:marLeft w:val="0"/>
      <w:marRight w:val="0"/>
      <w:marTop w:val="0"/>
      <w:marBottom w:val="0"/>
      <w:divBdr>
        <w:top w:val="none" w:sz="0" w:space="0" w:color="auto"/>
        <w:left w:val="none" w:sz="0" w:space="0" w:color="auto"/>
        <w:bottom w:val="none" w:sz="0" w:space="0" w:color="auto"/>
        <w:right w:val="none" w:sz="0" w:space="0" w:color="auto"/>
      </w:divBdr>
    </w:div>
    <w:div w:id="1542549476">
      <w:bodyDiv w:val="1"/>
      <w:marLeft w:val="0"/>
      <w:marRight w:val="0"/>
      <w:marTop w:val="0"/>
      <w:marBottom w:val="0"/>
      <w:divBdr>
        <w:top w:val="none" w:sz="0" w:space="0" w:color="auto"/>
        <w:left w:val="none" w:sz="0" w:space="0" w:color="auto"/>
        <w:bottom w:val="none" w:sz="0" w:space="0" w:color="auto"/>
        <w:right w:val="none" w:sz="0" w:space="0" w:color="auto"/>
      </w:divBdr>
    </w:div>
    <w:div w:id="1615357609">
      <w:bodyDiv w:val="1"/>
      <w:marLeft w:val="0"/>
      <w:marRight w:val="0"/>
      <w:marTop w:val="0"/>
      <w:marBottom w:val="0"/>
      <w:divBdr>
        <w:top w:val="none" w:sz="0" w:space="0" w:color="auto"/>
        <w:left w:val="none" w:sz="0" w:space="0" w:color="auto"/>
        <w:bottom w:val="none" w:sz="0" w:space="0" w:color="auto"/>
        <w:right w:val="none" w:sz="0" w:space="0" w:color="auto"/>
      </w:divBdr>
    </w:div>
    <w:div w:id="1672639091">
      <w:bodyDiv w:val="1"/>
      <w:marLeft w:val="0"/>
      <w:marRight w:val="0"/>
      <w:marTop w:val="0"/>
      <w:marBottom w:val="0"/>
      <w:divBdr>
        <w:top w:val="none" w:sz="0" w:space="0" w:color="auto"/>
        <w:left w:val="none" w:sz="0" w:space="0" w:color="auto"/>
        <w:bottom w:val="none" w:sz="0" w:space="0" w:color="auto"/>
        <w:right w:val="none" w:sz="0" w:space="0" w:color="auto"/>
      </w:divBdr>
    </w:div>
    <w:div w:id="1681926505">
      <w:bodyDiv w:val="1"/>
      <w:marLeft w:val="0"/>
      <w:marRight w:val="0"/>
      <w:marTop w:val="0"/>
      <w:marBottom w:val="0"/>
      <w:divBdr>
        <w:top w:val="none" w:sz="0" w:space="0" w:color="auto"/>
        <w:left w:val="none" w:sz="0" w:space="0" w:color="auto"/>
        <w:bottom w:val="none" w:sz="0" w:space="0" w:color="auto"/>
        <w:right w:val="none" w:sz="0" w:space="0" w:color="auto"/>
      </w:divBdr>
    </w:div>
    <w:div w:id="1708095907">
      <w:bodyDiv w:val="1"/>
      <w:marLeft w:val="0"/>
      <w:marRight w:val="0"/>
      <w:marTop w:val="0"/>
      <w:marBottom w:val="0"/>
      <w:divBdr>
        <w:top w:val="none" w:sz="0" w:space="0" w:color="auto"/>
        <w:left w:val="none" w:sz="0" w:space="0" w:color="auto"/>
        <w:bottom w:val="none" w:sz="0" w:space="0" w:color="auto"/>
        <w:right w:val="none" w:sz="0" w:space="0" w:color="auto"/>
      </w:divBdr>
    </w:div>
    <w:div w:id="1713923210">
      <w:bodyDiv w:val="1"/>
      <w:marLeft w:val="0"/>
      <w:marRight w:val="0"/>
      <w:marTop w:val="0"/>
      <w:marBottom w:val="0"/>
      <w:divBdr>
        <w:top w:val="none" w:sz="0" w:space="0" w:color="auto"/>
        <w:left w:val="none" w:sz="0" w:space="0" w:color="auto"/>
        <w:bottom w:val="none" w:sz="0" w:space="0" w:color="auto"/>
        <w:right w:val="none" w:sz="0" w:space="0" w:color="auto"/>
      </w:divBdr>
    </w:div>
    <w:div w:id="1918394081">
      <w:bodyDiv w:val="1"/>
      <w:marLeft w:val="0"/>
      <w:marRight w:val="0"/>
      <w:marTop w:val="0"/>
      <w:marBottom w:val="0"/>
      <w:divBdr>
        <w:top w:val="none" w:sz="0" w:space="0" w:color="auto"/>
        <w:left w:val="none" w:sz="0" w:space="0" w:color="auto"/>
        <w:bottom w:val="none" w:sz="0" w:space="0" w:color="auto"/>
        <w:right w:val="none" w:sz="0" w:space="0" w:color="auto"/>
      </w:divBdr>
    </w:div>
    <w:div w:id="2007782543">
      <w:bodyDiv w:val="1"/>
      <w:marLeft w:val="0"/>
      <w:marRight w:val="0"/>
      <w:marTop w:val="0"/>
      <w:marBottom w:val="0"/>
      <w:divBdr>
        <w:top w:val="none" w:sz="0" w:space="0" w:color="auto"/>
        <w:left w:val="none" w:sz="0" w:space="0" w:color="auto"/>
        <w:bottom w:val="none" w:sz="0" w:space="0" w:color="auto"/>
        <w:right w:val="none" w:sz="0" w:space="0" w:color="auto"/>
      </w:divBdr>
    </w:div>
    <w:div w:id="2041007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Nic221</b:Tag>
    <b:SourceType>InternetSite</b:SourceType>
    <b:Guid>{CC50A459-4B1C-4EC4-BEFD-5979E77D7C41}</b:Guid>
    <b:Author>
      <b:Author>
        <b:NameList>
          <b:Person>
            <b:Last>Laver</b:Last>
            <b:First>Nicola</b:First>
          </b:Person>
        </b:NameList>
      </b:Author>
    </b:Author>
    <b:Title>Statutory Interpretation </b:Title>
    <b:Year>2022</b:Year>
    <b:YearAccessed>2022</b:YearAccessed>
    <b:MonthAccessed>April </b:MonthAccessed>
    <b:DayAccessed>27</b:DayAccessed>
    <b:URL>https://www.inbrief.co.uk/legal-system/statutory-interpretation/</b:URL>
    <b:RefOrder>1</b:RefOrder>
  </b:Source>
  <b:Source>
    <b:Tag>UKP22</b:Tag>
    <b:SourceType>InternetSite</b:SourceType>
    <b:Guid>{5F3743BB-90E2-4802-844E-ADEDF7693AE4}</b:Guid>
    <b:Author>
      <b:Author>
        <b:NameList>
          <b:Person>
            <b:Last>Parliment</b:Last>
            <b:First>UK</b:First>
          </b:Person>
        </b:NameList>
      </b:Author>
    </b:Author>
    <b:Title>Statute</b:Title>
    <b:Year>2022</b:Year>
    <b:YearAccessed>2022</b:YearAccessed>
    <b:MonthAccessed>April </b:MonthAccessed>
    <b:DayAccessed>27</b:DayAccessed>
    <b:URL>https://www.parliament.uk/site-information/glossary/statutes/</b:URL>
    <b:RefOrder>2</b:RefOrder>
  </b:Source>
  <b:Source>
    <b:Tag>Mag20</b:Tag>
    <b:SourceType>InternetSite</b:SourceType>
    <b:Guid>{ADC9DCC1-B27F-4F26-B0CB-E8D6E0DF4372}</b:Guid>
    <b:Author>
      <b:Author>
        <b:NameList>
          <b:Person>
            <b:Last>Fochsen</b:Last>
            <b:First>Magencia</b:First>
          </b:Person>
        </b:NameList>
      </b:Author>
    </b:Author>
    <b:Title>Why is statutory law important?</b:Title>
    <b:Year>2020</b:Year>
    <b:YearAccessed>2022</b:YearAccessed>
    <b:MonthAccessed>April </b:MonthAccessed>
    <b:DayAccessed>28</b:DayAccessed>
    <b:URL>https://askinglot.com/why-is-statutory-law-important#:~:text=Statutory%20interpretation%20is%20important%20so%20that%20they%20are,body%20and%20court%20will%20then%20apply%20the%20law.</b:URL>
    <b:RefOrder>3</b:RefOrder>
  </b:Source>
  <b:Source>
    <b:Tag>Sta18</b:Tag>
    <b:SourceType>InternetSite</b:SourceType>
    <b:Guid>{AFC9F553-2253-430A-96AC-911C5E887D53}</b:Guid>
    <b:Author>
      <b:Author>
        <b:NameList>
          <b:Person>
            <b:Last>Lee</b:Last>
            <b:First>Stacey</b:First>
          </b:Person>
        </b:NameList>
      </b:Author>
    </b:Author>
    <b:Title>Importance Of Statutory Interpretation In The Field Of Law Studies</b:Title>
    <b:Year>2018 </b:Year>
    <b:YearAccessed>2022</b:YearAccessed>
    <b:MonthAccessed>April </b:MonthAccessed>
    <b:DayAccessed>28</b:DayAccessed>
    <b:URL>https://www.abcassignmenthelp.com/blog/importance-of-statutory-interpretation-in-the-field-of-law-studies</b:URL>
    <b:RefOrder>4</b:RefOrder>
  </b:Source>
  <b:Source>
    <b:Tag>Cow10</b:Tag>
    <b:SourceType>BookSection</b:SourceType>
    <b:Guid>{70C5300F-E3B5-4A94-A0E5-A2545D69CBAA}</b:Guid>
    <b:Title>English Legal System in context </b:Title>
    <b:Year>2010</b:Year>
    <b:Author>
      <b:Author>
        <b:NameList>
          <b:Person>
            <b:Last>Cownie</b:Last>
            <b:First>Bradney</b:First>
            <b:Middle>&amp; Burton</b:Middle>
          </b:Person>
        </b:NameList>
      </b:Author>
    </b:Author>
    <b:Pages>114-115 </b:Pages>
    <b:City>New York </b:City>
    <b:Publisher>Oxford University Press </b:Publisher>
    <b:RefOrder>5</b:RefOrder>
  </b:Source>
  <b:Source>
    <b:Tag>Web22</b:Tag>
    <b:SourceType>InternetSite</b:SourceType>
    <b:Guid>{78F7503E-0A65-4E11-B699-E62D8F58417D}</b:Guid>
    <b:Author>
      <b:Author>
        <b:NameList>
          <b:Person>
            <b:Last>Webster</b:Last>
            <b:First>Merriam</b:First>
          </b:Person>
        </b:NameList>
      </b:Author>
    </b:Author>
    <b:Title>Interpretive Rule</b:Title>
    <b:Year>2022</b:Year>
    <b:YearAccessed>2022</b:YearAccessed>
    <b:MonthAccessed>April </b:MonthAccessed>
    <b:DayAccessed>30</b:DayAccessed>
    <b:URL>https://www.merriam-webster.com/legal/interpretive%20rule</b:URL>
    <b:RefOrder>6</b:RefOrder>
  </b:Source>
  <b:Source>
    <b:Tag>Ben90</b:Tag>
    <b:SourceType>BookSection</b:SourceType>
    <b:Guid>{53562B46-7440-4AFD-AA2A-3554B518134D}</b:Guid>
    <b:Title>Bennion on statute law </b:Title>
    <b:Year>1990</b:Year>
    <b:Author>
      <b:Author>
        <b:NameList>
          <b:Person>
            <b:Last>Bennion</b:Last>
          </b:Person>
        </b:NameList>
      </b:Author>
    </b:Author>
    <b:Pages>104- 105 </b:Pages>
    <b:City>Harlow</b:City>
    <b:Publisher>Longman </b:Publisher>
    <b:RefOrder>7</b:RefOrder>
  </b:Source>
  <b:Source>
    <b:Tag>Ali11</b:Tag>
    <b:SourceType>BookSection</b:SourceType>
    <b:Guid>{F30399A4-45E4-4597-8AC9-432898AE8910}</b:Guid>
    <b:Author>
      <b:Author>
        <b:NameList>
          <b:Person>
            <b:Last>Gillespie</b:Last>
            <b:First>Alisdair</b:First>
          </b:Person>
        </b:NameList>
      </b:Author>
    </b:Author>
    <b:Title>The English Legal System </b:Title>
    <b:Year>2011</b:Year>
    <b:Pages>36-37</b:Pages>
    <b:City>New York </b:City>
    <b:Publisher>Oxford University Press </b:Publisher>
    <b:RefOrder>8</b:RefOrder>
  </b:Source>
  <b:Source>
    <b:Tag>Man00</b:Tag>
    <b:SourceType>BookSection</b:SourceType>
    <b:Guid>{7AF2F3F6-C645-40FA-AAD0-1F47C48558BE}</b:Guid>
    <b:Author>
      <b:Author>
        <b:NameList>
          <b:Person>
            <b:Last>Manchester C</b:Last>
            <b:First>Salter</b:First>
            <b:Middle>D and Moodie P</b:Middle>
          </b:Person>
        </b:NameList>
      </b:Author>
    </b:Author>
    <b:Title>Exploring the law; The dynamics of precedent and staturtory Interpretation</b:Title>
    <b:Year>2000</b:Year>
    <b:Pages>42</b:Pages>
    <b:City>London</b:City>
    <b:Publisher>Sweet &amp; Maxwell</b:Publisher>
    <b:RefOrder>9</b:RefOrder>
  </b:Source>
  <b:Source>
    <b:Tag>Law22</b:Tag>
    <b:SourceType>InternetSite</b:SourceType>
    <b:Guid>{488EE2B9-1BAA-4362-9515-C08320C4DC68}</b:Guid>
    <b:Title>The Mischief Rule of Statutory Interpretation</b:Title>
    <b:Year>2022</b:Year>
    <b:Author>
      <b:Author>
        <b:NameList>
          <b:Person>
            <b:Last>Resources</b:Last>
            <b:First>Law</b:First>
          </b:Person>
        </b:NameList>
      </b:Author>
    </b:Author>
    <b:YearAccessed>2022</b:YearAccessed>
    <b:MonthAccessed>April </b:MonthAccessed>
    <b:DayAccessed>30</b:DayAccessed>
    <b:URL>http://www.e-lawresources.co.uk/Mischief-rule.php</b:URL>
    <b:RefOrder>10</b:RefOrder>
  </b:Source>
  <b:Source>
    <b:Tag>Smi96</b:Tag>
    <b:SourceType>BookSection</b:SourceType>
    <b:Guid>{519F737C-F187-444C-AE28-0D879E06B25F}</b:Guid>
    <b:Title> The modern english legal system </b:Title>
    <b:Year>1996</b:Year>
    <b:Author>
      <b:Author>
        <b:NameList>
          <b:Person>
            <b:Last>Bailey</b:Last>
            <b:First>Smith</b:First>
            <b:Middle>&amp;</b:Middle>
          </b:Person>
        </b:NameList>
      </b:Author>
    </b:Author>
    <b:Pages>351-403</b:Pages>
    <b:City>New York </b:City>
    <b:Publisher>Oxford University Press </b:Publisher>
    <b:RefOrder>11</b:RefOrder>
  </b:Source>
  <b:Source>
    <b:Tag>Jus18</b:Tag>
    <b:SourceType>InternetSite</b:SourceType>
    <b:Guid>{60BD207A-9884-4E6C-9753-BF44F947538E}</b:Guid>
    <b:Title>Meaning of interpretation of statutes and the intention of legislature </b:Title>
    <b:Year>2018</b:Year>
    <b:Author>
      <b:Author>
        <b:NameList>
          <b:Person>
            <b:Last>Jusprudentia</b:Last>
          </b:Person>
        </b:NameList>
      </b:Author>
    </b:Author>
    <b:YearAccessed>2022</b:YearAccessed>
    <b:MonthAccessed>May </b:MonthAccessed>
    <b:DayAccessed>2</b:DayAccessed>
    <b:URL>https://www.jusprudentia.com/single-post/2018/01/02/Meaning-of-Interpretation-of-Statutes-and-The-Intention-of-Legislature</b:URL>
    <b:RefOrder>12</b:RefOrder>
  </b:Source>
  <b:Source>
    <b:Tag>Sir17</b:Tag>
    <b:SourceType>InternetSite</b:SourceType>
    <b:Guid>{F579715C-FE3B-45B7-A9BE-04807A0C2AE1}</b:Guid>
    <b:Author>
      <b:Author>
        <b:NameList>
          <b:Person>
            <b:Last>Laws</b:Last>
            <b:First>Sir</b:First>
            <b:Middle>John</b:Middle>
          </b:Person>
        </b:NameList>
      </b:Author>
    </b:Author>
    <b:Title>Statutory Interpretation - The myth of Parliamentary intent </b:Title>
    <b:Year>2017</b:Year>
    <b:YearAccessed>2022</b:YearAccessed>
    <b:MonthAccessed>May </b:MonthAccessed>
    <b:DayAccessed>2</b:DayAccessed>
    <b:URL>http://www.statutelawsociety.co.uk/wp-content/uploads/2017/11/The-Myth-of-Parliamentary-Intent-text.pdf</b:URL>
    <b:RefOrder>13</b:RefOrder>
  </b:Source>
  <b:Source>
    <b:Tag>Ref22</b:Tag>
    <b:SourceType>InternetSite</b:SourceType>
    <b:Guid>{DEC3EEDC-1DBB-483C-B22C-7694FBFB6928}</b:Guid>
    <b:Author>
      <b:Author>
        <b:NameList>
          <b:Person>
            <b:Last>Oxford</b:Last>
            <b:First>Reference</b:First>
          </b:Person>
        </b:NameList>
      </b:Author>
    </b:Author>
    <b:Title>Interpretation, Rules and Principles of Statutory</b:Title>
    <b:Year>2022</b:Year>
    <b:YearAccessed>2022</b:YearAccessed>
    <b:MonthAccessed>May </b:MonthAccessed>
    <b:DayAccessed>2</b:DayAccessed>
    <b:URL>https://www.oxfordreference.com/view/10.1093/oi/authority.20110803100008301#:~:text=Quick%20Reference%20The%20principal%20rules%20of%20statutory%20interpretation,must%20be%20given%20that%20meaning%20whatever%20the%20result.</b:URL>
    <b:RefOrder>14</b:RefOrder>
  </b:Source>
</b:Sources>
</file>

<file path=customXml/itemProps1.xml><?xml version="1.0" encoding="utf-8"?>
<ds:datastoreItem xmlns:ds="http://schemas.openxmlformats.org/officeDocument/2006/customXml" ds:itemID="{B5D8DB3B-55FB-4813-B4A2-C4C9B1FD83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1650</Words>
  <Characters>9409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it may be argued that the principle of statutory interpretation diminishes the status of legislation as the primary source of law in the UK. dISCUSS.</vt:lpstr>
    </vt:vector>
  </TitlesOfParts>
  <Company>Legal Process – Aissgnment 2</Company>
  <LinksUpToDate>false</LinksUpToDate>
  <CharactersWithSpaces>11037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it may be argued that the principle of statutory interpretation diminishes the status of legislation as the primary source of law in the UK. dISCUSS.</dc:title>
  <dc:subject/>
  <dc:creator>Olivia Jane Hurlow (2103531)</dc:creator>
  <cp:keywords/>
  <dc:description/>
  <cp:lastModifiedBy>HURLOW J. (2109227)</cp:lastModifiedBy>
  <cp:revision>2</cp:revision>
  <dcterms:created xsi:type="dcterms:W3CDTF">2022-05-02T17:40:00Z</dcterms:created>
  <dcterms:modified xsi:type="dcterms:W3CDTF">2022-05-02T17:40:00Z</dcterms:modified>
</cp:coreProperties>
</file>