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D4893A3" w14:textId="5AC694DD" w:rsidR="00F15326" w:rsidRDefault="00D01682">
      <w:pPr>
        <w:rPr>
          <w:lang w:val="en-US"/>
        </w:rPr>
      </w:pPr>
      <w:r>
        <w:rPr>
          <w:lang w:val="en-US"/>
        </w:rPr>
        <w:t>Post-Medieval England Commemoratio</w:t>
      </w:r>
      <w:r w:rsidR="002A4E0E">
        <w:rPr>
          <w:lang w:val="en-US"/>
        </w:rPr>
        <w:t>n</w:t>
      </w:r>
      <w:r w:rsidR="00A51FA6">
        <w:rPr>
          <w:noProof/>
          <w:lang w:val="en-US"/>
        </w:rPr>
        <w:drawing>
          <wp:inline distT="0" distB="0" distL="0" distR="0" wp14:anchorId="1FA381B6" wp14:editId="75E070B9">
            <wp:extent cx="5731510" cy="8602345"/>
            <wp:effectExtent l="0" t="0" r="0" b="0"/>
            <wp:docPr id="12324221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422137" name="Picture 1232422137"/>
                    <pic:cNvPicPr/>
                  </pic:nvPicPr>
                  <pic:blipFill>
                    <a:blip r:embed="rId4">
                      <a:extLst>
                        <a:ext uri="{28A0092B-C50C-407E-A947-70E740481C1C}">
                          <a14:useLocalDpi xmlns:a14="http://schemas.microsoft.com/office/drawing/2010/main" val="0"/>
                        </a:ext>
                      </a:extLst>
                    </a:blip>
                    <a:stretch>
                      <a:fillRect/>
                    </a:stretch>
                  </pic:blipFill>
                  <pic:spPr>
                    <a:xfrm>
                      <a:off x="0" y="0"/>
                      <a:ext cx="5731510" cy="8602345"/>
                    </a:xfrm>
                    <a:prstGeom prst="rect">
                      <a:avLst/>
                    </a:prstGeom>
                  </pic:spPr>
                </pic:pic>
              </a:graphicData>
            </a:graphic>
          </wp:inline>
        </w:drawing>
      </w:r>
    </w:p>
    <w:p w14:paraId="763AE805" w14:textId="42580B94" w:rsidR="00D01682" w:rsidRDefault="00D01682">
      <w:r>
        <w:rPr>
          <w:lang w:val="en-US"/>
        </w:rPr>
        <w:lastRenderedPageBreak/>
        <w:t xml:space="preserve">The change in how the commemoration of individuals has changed and varied across time, with potentially one of the stark and biggest changes happening from the Medieval to Post Medieval in the which it can be seen that burials were singular, with very little to no grave goods found </w:t>
      </w:r>
      <w:r w:rsidR="00352E0A">
        <w:t>(Historic England, 2017</w:t>
      </w:r>
      <w:r w:rsidR="00352E0A">
        <w:t>.</w:t>
      </w:r>
      <w:r w:rsidR="00352E0A">
        <w:t>)</w:t>
      </w:r>
      <w:r w:rsidR="00352E0A">
        <w:t xml:space="preserve"> This change in how burials has shown allowance</w:t>
      </w:r>
      <w:r w:rsidR="004E5E34">
        <w:t xml:space="preserve"> for personalisation of various forms of commemoration of the chosen time of Post-Medieval England which can be defined as being from 1540 to 1901</w:t>
      </w:r>
      <w:r w:rsidR="004E5E34">
        <w:t>(</w:t>
      </w:r>
      <w:r w:rsidR="004E5E34">
        <w:rPr>
          <w:i/>
          <w:iCs/>
        </w:rPr>
        <w:t>England’s Historic Periods | Historic England</w:t>
      </w:r>
      <w:r w:rsidR="004E5E34">
        <w:t xml:space="preserve">, </w:t>
      </w:r>
      <w:r w:rsidR="004E5E34">
        <w:t>2026.</w:t>
      </w:r>
      <w:r w:rsidR="004E5E34">
        <w:t>)</w:t>
      </w:r>
      <w:r w:rsidR="00B203B2">
        <w:t xml:space="preserve"> The above images shows a variety of forms of commemorative post-medieval forms, all of which are uniquely catered for, however, this does show not only the change in styles but it shows the changes which occurred religiously during the reformation which occurred during the post-medieval era where they no longer have sunken grave markers or wooden ones which have since degraded or disappeared (Historic England, 2018.)</w:t>
      </w:r>
    </w:p>
    <w:p w14:paraId="6CD7D84F" w14:textId="77777777" w:rsidR="00B203B2" w:rsidRDefault="00B203B2"/>
    <w:p w14:paraId="285F5474" w14:textId="509E8818" w:rsidR="00B203B2" w:rsidRDefault="00B203B2">
      <w:r>
        <w:t>Bibliography:</w:t>
      </w:r>
    </w:p>
    <w:p w14:paraId="28D91B35" w14:textId="77777777" w:rsidR="00B203B2" w:rsidRDefault="00B203B2" w:rsidP="00B203B2">
      <w:pPr>
        <w:spacing w:after="0" w:line="240" w:lineRule="auto"/>
        <w:rPr>
          <w:rFonts w:ascii="Times New Roman" w:eastAsia="Times New Roman" w:hAnsi="Times New Roman" w:cs="Times New Roman"/>
          <w:i/>
          <w:iCs/>
          <w:kern w:val="0"/>
          <w:lang w:eastAsia="en-GB"/>
          <w14:ligatures w14:val="none"/>
        </w:rPr>
      </w:pPr>
    </w:p>
    <w:p w14:paraId="6996C5BD" w14:textId="722FA4FB" w:rsidR="00B203B2" w:rsidRPr="00B203B2" w:rsidRDefault="00B203B2" w:rsidP="00B203B2">
      <w:pPr>
        <w:spacing w:after="0" w:line="240" w:lineRule="auto"/>
        <w:rPr>
          <w:rFonts w:ascii="Times New Roman" w:eastAsia="Times New Roman" w:hAnsi="Times New Roman" w:cs="Times New Roman"/>
          <w:kern w:val="0"/>
          <w:lang w:eastAsia="en-GB"/>
          <w14:ligatures w14:val="none"/>
        </w:rPr>
      </w:pPr>
      <w:r w:rsidRPr="00B203B2">
        <w:rPr>
          <w:rFonts w:ascii="Times New Roman" w:eastAsia="Times New Roman" w:hAnsi="Times New Roman" w:cs="Times New Roman"/>
          <w:i/>
          <w:iCs/>
          <w:kern w:val="0"/>
          <w:lang w:eastAsia="en-GB"/>
          <w14:ligatures w14:val="none"/>
        </w:rPr>
        <w:t>England’s Historic Periods | Historic England</w:t>
      </w:r>
      <w:r w:rsidRPr="00B203B2">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2026</w:t>
      </w:r>
      <w:r w:rsidRPr="00B203B2">
        <w:rPr>
          <w:rFonts w:ascii="Times New Roman" w:eastAsia="Times New Roman" w:hAnsi="Times New Roman" w:cs="Times New Roman"/>
          <w:kern w:val="0"/>
          <w:lang w:eastAsia="en-GB"/>
          <w14:ligatures w14:val="none"/>
        </w:rPr>
        <w:t xml:space="preserve">). Available at: </w:t>
      </w:r>
      <w:hyperlink r:id="rId5" w:history="1">
        <w:r w:rsidRPr="00B203B2">
          <w:rPr>
            <w:rFonts w:ascii="Times New Roman" w:eastAsia="Times New Roman" w:hAnsi="Times New Roman" w:cs="Times New Roman"/>
            <w:color w:val="0000FF"/>
            <w:kern w:val="0"/>
            <w:u w:val="single"/>
            <w:lang w:eastAsia="en-GB"/>
            <w14:ligatures w14:val="none"/>
          </w:rPr>
          <w:t>https://historicengland.org.uk/listing/the-list/historic-periods/</w:t>
        </w:r>
      </w:hyperlink>
      <w:r w:rsidRPr="00B203B2">
        <w:rPr>
          <w:rFonts w:ascii="Times New Roman" w:eastAsia="Times New Roman" w:hAnsi="Times New Roman" w:cs="Times New Roman"/>
          <w:kern w:val="0"/>
          <w:lang w:eastAsia="en-GB"/>
          <w14:ligatures w14:val="none"/>
        </w:rPr>
        <w:t xml:space="preserve"> (Accessed: 23 October 2026).</w:t>
      </w:r>
    </w:p>
    <w:p w14:paraId="171B516F" w14:textId="77777777" w:rsidR="00B203B2" w:rsidRDefault="00B203B2" w:rsidP="00B203B2">
      <w:pPr>
        <w:spacing w:after="0" w:line="240" w:lineRule="auto"/>
        <w:rPr>
          <w:rFonts w:ascii="Times New Roman" w:eastAsia="Times New Roman" w:hAnsi="Times New Roman" w:cs="Times New Roman"/>
          <w:kern w:val="0"/>
          <w:lang w:eastAsia="en-GB"/>
          <w14:ligatures w14:val="none"/>
        </w:rPr>
      </w:pPr>
    </w:p>
    <w:p w14:paraId="582CE210" w14:textId="2F923581" w:rsidR="00B203B2" w:rsidRPr="00B203B2" w:rsidRDefault="00B203B2" w:rsidP="00B203B2">
      <w:pPr>
        <w:spacing w:after="0" w:line="240" w:lineRule="auto"/>
        <w:rPr>
          <w:rFonts w:ascii="Times New Roman" w:eastAsia="Times New Roman" w:hAnsi="Times New Roman" w:cs="Times New Roman"/>
          <w:kern w:val="0"/>
          <w:lang w:eastAsia="en-GB"/>
          <w14:ligatures w14:val="none"/>
        </w:rPr>
      </w:pPr>
      <w:r w:rsidRPr="00B203B2">
        <w:rPr>
          <w:rFonts w:ascii="Times New Roman" w:eastAsia="Times New Roman" w:hAnsi="Times New Roman" w:cs="Times New Roman"/>
          <w:kern w:val="0"/>
          <w:lang w:eastAsia="en-GB"/>
          <w14:ligatures w14:val="none"/>
        </w:rPr>
        <w:t>Historic England (2017) ‘Commemorative Structures’, pp. 1–20.</w:t>
      </w:r>
    </w:p>
    <w:p w14:paraId="10040961" w14:textId="77777777" w:rsidR="00B203B2" w:rsidRDefault="00B203B2" w:rsidP="00B203B2">
      <w:pPr>
        <w:spacing w:after="0" w:line="240" w:lineRule="auto"/>
        <w:rPr>
          <w:rFonts w:ascii="Times New Roman" w:eastAsia="Times New Roman" w:hAnsi="Times New Roman" w:cs="Times New Roman"/>
          <w:kern w:val="0"/>
          <w:lang w:eastAsia="en-GB"/>
          <w14:ligatures w14:val="none"/>
        </w:rPr>
      </w:pPr>
    </w:p>
    <w:p w14:paraId="4CE96A0F" w14:textId="0E0FD250" w:rsidR="00B203B2" w:rsidRPr="00B203B2" w:rsidRDefault="00B203B2" w:rsidP="00B203B2">
      <w:pPr>
        <w:spacing w:after="0" w:line="240" w:lineRule="auto"/>
        <w:rPr>
          <w:rFonts w:ascii="Times New Roman" w:eastAsia="Times New Roman" w:hAnsi="Times New Roman" w:cs="Times New Roman"/>
          <w:kern w:val="0"/>
          <w:lang w:eastAsia="en-GB"/>
          <w14:ligatures w14:val="none"/>
        </w:rPr>
      </w:pPr>
      <w:r w:rsidRPr="00B203B2">
        <w:rPr>
          <w:rFonts w:ascii="Times New Roman" w:eastAsia="Times New Roman" w:hAnsi="Times New Roman" w:cs="Times New Roman"/>
          <w:kern w:val="0"/>
          <w:lang w:eastAsia="en-GB"/>
          <w14:ligatures w14:val="none"/>
        </w:rPr>
        <w:t>Historic England (2018) ‘Commemorative and Funerary’, pp. 1–28.</w:t>
      </w:r>
    </w:p>
    <w:p w14:paraId="7407F26C" w14:textId="77777777" w:rsidR="00B203B2" w:rsidRDefault="00B203B2" w:rsidP="00B203B2">
      <w:pPr>
        <w:spacing w:after="0" w:line="240" w:lineRule="auto"/>
        <w:rPr>
          <w:rFonts w:ascii="Times New Roman" w:eastAsia="Times New Roman" w:hAnsi="Times New Roman" w:cs="Times New Roman"/>
          <w:kern w:val="0"/>
          <w:lang w:eastAsia="en-GB"/>
          <w14:ligatures w14:val="none"/>
        </w:rPr>
      </w:pPr>
    </w:p>
    <w:p w14:paraId="3196B105" w14:textId="46C0F871" w:rsidR="00B203B2" w:rsidRPr="00B203B2" w:rsidRDefault="00B203B2" w:rsidP="00B203B2">
      <w:pPr>
        <w:spacing w:after="0" w:line="240" w:lineRule="auto"/>
        <w:rPr>
          <w:rFonts w:ascii="Times New Roman" w:eastAsia="Times New Roman" w:hAnsi="Times New Roman" w:cs="Times New Roman"/>
          <w:kern w:val="0"/>
          <w:lang w:eastAsia="en-GB"/>
          <w14:ligatures w14:val="none"/>
        </w:rPr>
      </w:pPr>
      <w:r w:rsidRPr="00B203B2">
        <w:rPr>
          <w:rFonts w:ascii="Times New Roman" w:eastAsia="Times New Roman" w:hAnsi="Times New Roman" w:cs="Times New Roman"/>
          <w:kern w:val="0"/>
          <w:lang w:eastAsia="en-GB"/>
          <w14:ligatures w14:val="none"/>
        </w:rPr>
        <w:t xml:space="preserve">King, S.A. (2022) ‘Introduction: Death, Memory and Commemoration in the English Midlands, 1600-1900’, </w:t>
      </w:r>
      <w:r w:rsidRPr="00B203B2">
        <w:rPr>
          <w:rFonts w:ascii="Times New Roman" w:eastAsia="Times New Roman" w:hAnsi="Times New Roman" w:cs="Times New Roman"/>
          <w:i/>
          <w:iCs/>
          <w:kern w:val="0"/>
          <w:lang w:eastAsia="en-GB"/>
          <w14:ligatures w14:val="none"/>
        </w:rPr>
        <w:t>Midland History</w:t>
      </w:r>
      <w:r w:rsidRPr="00B203B2">
        <w:rPr>
          <w:rFonts w:ascii="Times New Roman" w:eastAsia="Times New Roman" w:hAnsi="Times New Roman" w:cs="Times New Roman"/>
          <w:kern w:val="0"/>
          <w:lang w:eastAsia="en-GB"/>
          <w14:ligatures w14:val="none"/>
        </w:rPr>
        <w:t xml:space="preserve">, 47(3), pp. 223–231. Available at: </w:t>
      </w:r>
      <w:hyperlink r:id="rId6" w:history="1">
        <w:r w:rsidRPr="00B203B2">
          <w:rPr>
            <w:rFonts w:ascii="Times New Roman" w:eastAsia="Times New Roman" w:hAnsi="Times New Roman" w:cs="Times New Roman"/>
            <w:color w:val="0000FF"/>
            <w:kern w:val="0"/>
            <w:u w:val="single"/>
            <w:lang w:eastAsia="en-GB"/>
            <w14:ligatures w14:val="none"/>
          </w:rPr>
          <w:t>https://doi.org/10.1080/0047729X.2022.2126242</w:t>
        </w:r>
      </w:hyperlink>
      <w:r w:rsidRPr="00B203B2">
        <w:rPr>
          <w:rFonts w:ascii="Times New Roman" w:eastAsia="Times New Roman" w:hAnsi="Times New Roman" w:cs="Times New Roman"/>
          <w:kern w:val="0"/>
          <w:lang w:eastAsia="en-GB"/>
          <w14:ligatures w14:val="none"/>
        </w:rPr>
        <w:t>.</w:t>
      </w:r>
    </w:p>
    <w:p w14:paraId="4B853E4E" w14:textId="77777777" w:rsidR="00B203B2" w:rsidRDefault="00B203B2" w:rsidP="00B203B2">
      <w:pPr>
        <w:spacing w:after="0" w:line="240" w:lineRule="auto"/>
        <w:rPr>
          <w:rFonts w:ascii="Times New Roman" w:eastAsia="Times New Roman" w:hAnsi="Times New Roman" w:cs="Times New Roman"/>
          <w:kern w:val="0"/>
          <w:lang w:eastAsia="en-GB"/>
          <w14:ligatures w14:val="none"/>
        </w:rPr>
      </w:pPr>
    </w:p>
    <w:p w14:paraId="7D11D20C" w14:textId="6FEBFE3C" w:rsidR="00B203B2" w:rsidRPr="00B203B2" w:rsidRDefault="00B203B2" w:rsidP="00B203B2">
      <w:pPr>
        <w:spacing w:after="0" w:line="240" w:lineRule="auto"/>
        <w:rPr>
          <w:rFonts w:ascii="Times New Roman" w:eastAsia="Times New Roman" w:hAnsi="Times New Roman" w:cs="Times New Roman"/>
          <w:kern w:val="0"/>
          <w:lang w:eastAsia="en-GB"/>
          <w14:ligatures w14:val="none"/>
        </w:rPr>
      </w:pPr>
      <w:proofErr w:type="spellStart"/>
      <w:r w:rsidRPr="00B203B2">
        <w:rPr>
          <w:rFonts w:ascii="Times New Roman" w:eastAsia="Times New Roman" w:hAnsi="Times New Roman" w:cs="Times New Roman"/>
          <w:kern w:val="0"/>
          <w:lang w:eastAsia="en-GB"/>
          <w14:ligatures w14:val="none"/>
        </w:rPr>
        <w:t>Mytum</w:t>
      </w:r>
      <w:proofErr w:type="spellEnd"/>
      <w:r w:rsidRPr="00B203B2">
        <w:rPr>
          <w:rFonts w:ascii="Times New Roman" w:eastAsia="Times New Roman" w:hAnsi="Times New Roman" w:cs="Times New Roman"/>
          <w:kern w:val="0"/>
          <w:lang w:eastAsia="en-GB"/>
          <w14:ligatures w14:val="none"/>
        </w:rPr>
        <w:t xml:space="preserve">, H. (2006) ‘Popular attitudes to memory, the body, and social identity: the rise of external commemoration in Britain, Ireland, and New England’, </w:t>
      </w:r>
      <w:r w:rsidRPr="00B203B2">
        <w:rPr>
          <w:rFonts w:ascii="Times New Roman" w:eastAsia="Times New Roman" w:hAnsi="Times New Roman" w:cs="Times New Roman"/>
          <w:i/>
          <w:iCs/>
          <w:kern w:val="0"/>
          <w:lang w:eastAsia="en-GB"/>
          <w14:ligatures w14:val="none"/>
        </w:rPr>
        <w:t>Post Medieval Archaeology</w:t>
      </w:r>
      <w:r w:rsidRPr="00B203B2">
        <w:rPr>
          <w:rFonts w:ascii="Times New Roman" w:eastAsia="Times New Roman" w:hAnsi="Times New Roman" w:cs="Times New Roman"/>
          <w:kern w:val="0"/>
          <w:lang w:eastAsia="en-GB"/>
          <w14:ligatures w14:val="none"/>
        </w:rPr>
        <w:t>, pp. 96–110.</w:t>
      </w:r>
    </w:p>
    <w:p w14:paraId="03C6610F" w14:textId="77777777" w:rsidR="00B203B2" w:rsidRDefault="00B203B2" w:rsidP="00B203B2">
      <w:pPr>
        <w:spacing w:after="0" w:line="240" w:lineRule="auto"/>
        <w:rPr>
          <w:rFonts w:ascii="Times New Roman" w:eastAsia="Times New Roman" w:hAnsi="Times New Roman" w:cs="Times New Roman"/>
          <w:kern w:val="0"/>
          <w:lang w:eastAsia="en-GB"/>
          <w14:ligatures w14:val="none"/>
        </w:rPr>
      </w:pPr>
    </w:p>
    <w:p w14:paraId="2FB41045" w14:textId="51B40F93" w:rsidR="00B203B2" w:rsidRPr="00B203B2" w:rsidRDefault="00B203B2" w:rsidP="00B203B2">
      <w:pPr>
        <w:spacing w:after="0" w:line="240" w:lineRule="auto"/>
        <w:rPr>
          <w:rFonts w:ascii="Times New Roman" w:eastAsia="Times New Roman" w:hAnsi="Times New Roman" w:cs="Times New Roman"/>
          <w:kern w:val="0"/>
          <w:lang w:eastAsia="en-GB"/>
          <w14:ligatures w14:val="none"/>
        </w:rPr>
      </w:pPr>
      <w:r w:rsidRPr="00B203B2">
        <w:rPr>
          <w:rFonts w:ascii="Times New Roman" w:eastAsia="Times New Roman" w:hAnsi="Times New Roman" w:cs="Times New Roman"/>
          <w:kern w:val="0"/>
          <w:lang w:eastAsia="en-GB"/>
          <w14:ligatures w14:val="none"/>
        </w:rPr>
        <w:t>Newman, R. and McNeil, R. (2007) ‘The Post-Medieval Period Research Agenda’, 9(19).</w:t>
      </w:r>
    </w:p>
    <w:p w14:paraId="29E0EEED" w14:textId="77777777" w:rsidR="00B203B2" w:rsidRPr="00B203B2" w:rsidRDefault="00B203B2" w:rsidP="00B203B2">
      <w:pPr>
        <w:spacing w:after="0" w:line="240" w:lineRule="auto"/>
        <w:rPr>
          <w:rFonts w:ascii="Times New Roman" w:eastAsia="Times New Roman" w:hAnsi="Times New Roman" w:cs="Times New Roman"/>
          <w:kern w:val="0"/>
          <w:lang w:eastAsia="en-GB"/>
          <w14:ligatures w14:val="none"/>
        </w:rPr>
      </w:pPr>
      <w:r w:rsidRPr="00B203B2">
        <w:rPr>
          <w:rFonts w:ascii="Times New Roman" w:eastAsia="Times New Roman" w:hAnsi="Times New Roman" w:cs="Times New Roman"/>
          <w:i/>
          <w:iCs/>
          <w:kern w:val="0"/>
          <w:lang w:eastAsia="en-GB"/>
          <w14:ligatures w14:val="none"/>
        </w:rPr>
        <w:t>Post-medieval London cemeteries</w:t>
      </w:r>
      <w:r w:rsidRPr="00B203B2">
        <w:rPr>
          <w:rFonts w:ascii="Times New Roman" w:eastAsia="Times New Roman" w:hAnsi="Times New Roman" w:cs="Times New Roman"/>
          <w:kern w:val="0"/>
          <w:lang w:eastAsia="en-GB"/>
          <w14:ligatures w14:val="none"/>
        </w:rPr>
        <w:t xml:space="preserve"> (no date) </w:t>
      </w:r>
      <w:r w:rsidRPr="00B203B2">
        <w:rPr>
          <w:rFonts w:ascii="Times New Roman" w:eastAsia="Times New Roman" w:hAnsi="Times New Roman" w:cs="Times New Roman"/>
          <w:i/>
          <w:iCs/>
          <w:kern w:val="0"/>
          <w:lang w:eastAsia="en-GB"/>
          <w14:ligatures w14:val="none"/>
        </w:rPr>
        <w:t>London Museum</w:t>
      </w:r>
      <w:r w:rsidRPr="00B203B2">
        <w:rPr>
          <w:rFonts w:ascii="Times New Roman" w:eastAsia="Times New Roman" w:hAnsi="Times New Roman" w:cs="Times New Roman"/>
          <w:kern w:val="0"/>
          <w:lang w:eastAsia="en-GB"/>
          <w14:ligatures w14:val="none"/>
        </w:rPr>
        <w:t xml:space="preserve">. Available at: </w:t>
      </w:r>
      <w:hyperlink r:id="rId7" w:history="1">
        <w:r w:rsidRPr="00B203B2">
          <w:rPr>
            <w:rFonts w:ascii="Times New Roman" w:eastAsia="Times New Roman" w:hAnsi="Times New Roman" w:cs="Times New Roman"/>
            <w:color w:val="0000FF"/>
            <w:kern w:val="0"/>
            <w:u w:val="single"/>
            <w:lang w:eastAsia="en-GB"/>
            <w14:ligatures w14:val="none"/>
          </w:rPr>
          <w:t>https://www.londonmuseum.org.uk/collections/research/osteological-database/post-medieval-cemeteries/</w:t>
        </w:r>
      </w:hyperlink>
      <w:r w:rsidRPr="00B203B2">
        <w:rPr>
          <w:rFonts w:ascii="Times New Roman" w:eastAsia="Times New Roman" w:hAnsi="Times New Roman" w:cs="Times New Roman"/>
          <w:kern w:val="0"/>
          <w:lang w:eastAsia="en-GB"/>
          <w14:ligatures w14:val="none"/>
        </w:rPr>
        <w:t xml:space="preserve"> (Accessed: 21 October 2026).</w:t>
      </w:r>
    </w:p>
    <w:p w14:paraId="3073F6F7" w14:textId="77777777" w:rsidR="00B203B2" w:rsidRPr="00D01682" w:rsidRDefault="00B203B2">
      <w:pPr>
        <w:rPr>
          <w:lang w:val="en-US"/>
        </w:rPr>
      </w:pPr>
    </w:p>
    <w:sectPr w:rsidR="00B203B2" w:rsidRPr="00D016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1682"/>
    <w:rsid w:val="002714B8"/>
    <w:rsid w:val="002A4E0E"/>
    <w:rsid w:val="002D0BC2"/>
    <w:rsid w:val="0034106C"/>
    <w:rsid w:val="00352E0A"/>
    <w:rsid w:val="004E5E34"/>
    <w:rsid w:val="00756806"/>
    <w:rsid w:val="00775D05"/>
    <w:rsid w:val="00A51FA6"/>
    <w:rsid w:val="00B203B2"/>
    <w:rsid w:val="00D01682"/>
    <w:rsid w:val="00F153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15165D"/>
  <w15:chartTrackingRefBased/>
  <w15:docId w15:val="{FAD4550A-8199-284B-8247-8FEBF524FC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16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016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16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16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16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16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16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16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16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16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016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16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16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16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16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16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16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1682"/>
    <w:rPr>
      <w:rFonts w:eastAsiaTheme="majorEastAsia" w:cstheme="majorBidi"/>
      <w:color w:val="272727" w:themeColor="text1" w:themeTint="D8"/>
    </w:rPr>
  </w:style>
  <w:style w:type="paragraph" w:styleId="Title">
    <w:name w:val="Title"/>
    <w:basedOn w:val="Normal"/>
    <w:next w:val="Normal"/>
    <w:link w:val="TitleChar"/>
    <w:uiPriority w:val="10"/>
    <w:qFormat/>
    <w:rsid w:val="00D016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16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16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16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1682"/>
    <w:pPr>
      <w:spacing w:before="160"/>
      <w:jc w:val="center"/>
    </w:pPr>
    <w:rPr>
      <w:i/>
      <w:iCs/>
      <w:color w:val="404040" w:themeColor="text1" w:themeTint="BF"/>
    </w:rPr>
  </w:style>
  <w:style w:type="character" w:customStyle="1" w:styleId="QuoteChar">
    <w:name w:val="Quote Char"/>
    <w:basedOn w:val="DefaultParagraphFont"/>
    <w:link w:val="Quote"/>
    <w:uiPriority w:val="29"/>
    <w:rsid w:val="00D01682"/>
    <w:rPr>
      <w:i/>
      <w:iCs/>
      <w:color w:val="404040" w:themeColor="text1" w:themeTint="BF"/>
    </w:rPr>
  </w:style>
  <w:style w:type="paragraph" w:styleId="ListParagraph">
    <w:name w:val="List Paragraph"/>
    <w:basedOn w:val="Normal"/>
    <w:uiPriority w:val="34"/>
    <w:qFormat/>
    <w:rsid w:val="00D01682"/>
    <w:pPr>
      <w:ind w:left="720"/>
      <w:contextualSpacing/>
    </w:pPr>
  </w:style>
  <w:style w:type="character" w:styleId="IntenseEmphasis">
    <w:name w:val="Intense Emphasis"/>
    <w:basedOn w:val="DefaultParagraphFont"/>
    <w:uiPriority w:val="21"/>
    <w:qFormat/>
    <w:rsid w:val="00D01682"/>
    <w:rPr>
      <w:i/>
      <w:iCs/>
      <w:color w:val="0F4761" w:themeColor="accent1" w:themeShade="BF"/>
    </w:rPr>
  </w:style>
  <w:style w:type="paragraph" w:styleId="IntenseQuote">
    <w:name w:val="Intense Quote"/>
    <w:basedOn w:val="Normal"/>
    <w:next w:val="Normal"/>
    <w:link w:val="IntenseQuoteChar"/>
    <w:uiPriority w:val="30"/>
    <w:qFormat/>
    <w:rsid w:val="00D016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1682"/>
    <w:rPr>
      <w:i/>
      <w:iCs/>
      <w:color w:val="0F4761" w:themeColor="accent1" w:themeShade="BF"/>
    </w:rPr>
  </w:style>
  <w:style w:type="character" w:styleId="IntenseReference">
    <w:name w:val="Intense Reference"/>
    <w:basedOn w:val="DefaultParagraphFont"/>
    <w:uiPriority w:val="32"/>
    <w:qFormat/>
    <w:rsid w:val="00D01682"/>
    <w:rPr>
      <w:b/>
      <w:bCs/>
      <w:smallCaps/>
      <w:color w:val="0F4761" w:themeColor="accent1" w:themeShade="BF"/>
      <w:spacing w:val="5"/>
    </w:rPr>
  </w:style>
  <w:style w:type="character" w:styleId="Hyperlink">
    <w:name w:val="Hyperlink"/>
    <w:basedOn w:val="DefaultParagraphFont"/>
    <w:uiPriority w:val="99"/>
    <w:semiHidden/>
    <w:unhideWhenUsed/>
    <w:rsid w:val="00B203B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londonmuseum.org.uk/collections/research/osteological-database/post-medieval-cemeteri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80/0047729X.2022.2126242" TargetMode="External"/><Relationship Id="rId5" Type="http://schemas.openxmlformats.org/officeDocument/2006/relationships/hyperlink" Target="https://historicengland.org.uk/listing/the-list/historic-periods/" TargetMode="External"/><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TotalTime>
  <Pages>2</Pages>
  <Words>337</Words>
  <Characters>1922</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Lye (2304505)</dc:creator>
  <cp:keywords/>
  <dc:description/>
  <cp:lastModifiedBy>Cerys Lye (2304505)</cp:lastModifiedBy>
  <cp:revision>1</cp:revision>
  <dcterms:created xsi:type="dcterms:W3CDTF">2026-10-21T14:35:00Z</dcterms:created>
  <dcterms:modified xsi:type="dcterms:W3CDTF">2026-10-23T20:41:00Z</dcterms:modified>
</cp:coreProperties>
</file>