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sdt>
      <w:sdtPr>
        <w:id w:val="-1864587330"/>
        <w:docPartObj>
          <w:docPartGallery w:val="Cover Pages"/>
          <w:docPartUnique/>
        </w:docPartObj>
      </w:sdtPr>
      <w:sdtEndPr>
        <w:rPr>
          <w:b/>
          <w:bCs/>
          <w:sz w:val="28"/>
          <w:szCs w:val="28"/>
        </w:rPr>
      </w:sdtEndPr>
      <w:sdtContent>
        <w:p w14:paraId="755A09FC" w14:textId="77777777" w:rsidR="000F3DF1" w:rsidRPr="00797623" w:rsidRDefault="00AF3243">
          <w:r w:rsidRPr="00797623">
            <w:rPr>
              <w:noProof/>
            </w:rPr>
            <mc:AlternateContent>
              <mc:Choice Requires="wps">
                <w:drawing>
                  <wp:anchor distT="0" distB="0" distL="114300" distR="114300" simplePos="0" relativeHeight="251663360" behindDoc="0" locked="0" layoutInCell="1" allowOverlap="1" wp14:anchorId="56DDAA09" wp14:editId="777EBF25">
                    <wp:simplePos x="0" y="0"/>
                    <wp:positionH relativeFrom="column">
                      <wp:posOffset>3589019</wp:posOffset>
                    </wp:positionH>
                    <wp:positionV relativeFrom="paragraph">
                      <wp:posOffset>2959331</wp:posOffset>
                    </wp:positionV>
                    <wp:extent cx="2776451" cy="1596044"/>
                    <wp:effectExtent l="0" t="0" r="5080" b="4445"/>
                    <wp:wrapNone/>
                    <wp:docPr id="721701772" name="Text Box 7"/>
                    <wp:cNvGraphicFramePr/>
                    <a:graphic xmlns:a="http://schemas.openxmlformats.org/drawingml/2006/main">
                      <a:graphicData uri="http://schemas.microsoft.com/office/word/2010/wordprocessingShape">
                        <wps:wsp>
                          <wps:cNvSpPr txBox="1"/>
                          <wps:spPr>
                            <a:xfrm>
                              <a:off x="0" y="0"/>
                              <a:ext cx="2776451" cy="1596044"/>
                            </a:xfrm>
                            <a:prstGeom prst="rect">
                              <a:avLst/>
                            </a:prstGeom>
                            <a:solidFill>
                              <a:schemeClr val="lt1"/>
                            </a:solidFill>
                            <a:ln w="6350">
                              <a:noFill/>
                            </a:ln>
                          </wps:spPr>
                          <wps:txbx>
                            <w:txbxContent>
                              <w:p w14:paraId="172ACBC7" w14:textId="77777777" w:rsidR="00AF3243" w:rsidRPr="000F3DF1" w:rsidRDefault="00AF3243">
                                <w:pPr>
                                  <w:rPr>
                                    <w:rFonts w:ascii="Times New Roman" w:hAnsi="Times New Roman" w:cs="Times New Roman"/>
                                    <w:b/>
                                    <w:bCs/>
                                    <w:color w:val="1C2F3E"/>
                                    <w:sz w:val="48"/>
                                    <w:szCs w:val="48"/>
                                    <w14:shadow w14:blurRad="50800" w14:dist="38100" w14:dir="5400000" w14:sx="100000" w14:sy="100000" w14:kx="0" w14:ky="0" w14:algn="t">
                                      <w14:srgbClr w14:val="000000">
                                        <w14:alpha w14:val="60000"/>
                                      </w14:srgbClr>
                                    </w14:shadow>
                                  </w:rPr>
                                </w:pPr>
                                <w:r w:rsidRPr="000F3DF1">
                                  <w:rPr>
                                    <w:rFonts w:ascii="Times New Roman" w:hAnsi="Times New Roman" w:cs="Times New Roman"/>
                                    <w:b/>
                                    <w:bCs/>
                                    <w:color w:val="1C2F3E"/>
                                    <w:sz w:val="48"/>
                                    <w:szCs w:val="48"/>
                                    <w14:shadow w14:blurRad="50800" w14:dist="38100" w14:dir="5400000" w14:sx="100000" w14:sy="100000" w14:kx="0" w14:ky="0" w14:algn="t">
                                      <w14:srgbClr w14:val="000000">
                                        <w14:alpha w14:val="60000"/>
                                      </w14:srgbClr>
                                    </w14:shadow>
                                  </w:rPr>
                                  <w:t xml:space="preserve">Rheumatoid Arthritis </w:t>
                                </w:r>
                              </w:p>
                              <w:p w14:paraId="40351DD6" w14:textId="5477E8CC" w:rsidR="00AF3243" w:rsidRPr="000F3DF1" w:rsidRDefault="00AF3243">
                                <w:pPr>
                                  <w:rPr>
                                    <w:rFonts w:ascii="Times New Roman" w:hAnsi="Times New Roman" w:cs="Times New Roman"/>
                                    <w:b/>
                                    <w:bCs/>
                                    <w:color w:val="1C2F3E"/>
                                    <w:sz w:val="48"/>
                                    <w:szCs w:val="48"/>
                                    <w14:shadow w14:blurRad="50800" w14:dist="38100" w14:dir="5400000" w14:sx="100000" w14:sy="100000" w14:kx="0" w14:ky="0" w14:algn="t">
                                      <w14:srgbClr w14:val="000000">
                                        <w14:alpha w14:val="60000"/>
                                      </w14:srgbClr>
                                    </w14:shadow>
                                  </w:rPr>
                                </w:pPr>
                                <w:r w:rsidRPr="000F3DF1">
                                  <w:rPr>
                                    <w:rFonts w:ascii="Times New Roman" w:hAnsi="Times New Roman" w:cs="Times New Roman"/>
                                    <w:b/>
                                    <w:bCs/>
                                    <w:color w:val="1C2F3E"/>
                                    <w:sz w:val="48"/>
                                    <w:szCs w:val="48"/>
                                    <w14:shadow w14:blurRad="50800" w14:dist="38100" w14:dir="5400000" w14:sx="100000" w14:sy="100000" w14:kx="0" w14:ky="0" w14:algn="t">
                                      <w14:srgbClr w14:val="000000">
                                        <w14:alpha w14:val="60000"/>
                                      </w14:srgbClr>
                                    </w14:shadow>
                                  </w:rPr>
                                  <w:t>as a Long-Term Condition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56DDAA09" id="_x0000_t202" coordsize="21600,21600" o:spt="202" path="m,l,21600r21600,l21600,xe">
                    <v:stroke joinstyle="miter"/>
                    <v:path gradientshapeok="t" o:connecttype="rect"/>
                  </v:shapetype>
                  <v:shape id="Text Box 7" o:spid="_x0000_s1026" type="#_x0000_t202" style="position:absolute;margin-left:282.6pt;margin-top:233pt;width:218.6pt;height:125.65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" fillcolor="white [3201]" stroked="f" strokeweight=".5pt">
                    <v:textbox>
                      <w:txbxContent>
                        <w:p w14:paraId="172ACBC7" w14:textId="77777777" w:rsidR="00AF3243" w:rsidRPr="000F3DF1" w:rsidRDefault="00AF3243">
                          <w:pPr>
                            <w:rPr>
                              <w:rFonts w:ascii="Times New Roman" w:hAnsi="Times New Roman" w:cs="Times New Roman"/>
                              <w:b/>
                              <w:bCs/>
                              <w:color w:val="1C2F3E"/>
                              <w:sz w:val="48"/>
                              <w:szCs w:val="48"/>
                              <w14:shadow w14:blurRad="50800" w14:dist="38100" w14:dir="5400000" w14:sx="100000" w14:sy="100000" w14:kx="0" w14:ky="0" w14:algn="t">
                                <w14:srgbClr w14:val="000000">
                                  <w14:alpha w14:val="60000"/>
                                </w14:srgbClr>
                              </w14:shadow>
                            </w:rPr>
                          </w:pPr>
                          <w:r w:rsidRPr="000F3DF1">
                            <w:rPr>
                              <w:rFonts w:ascii="Times New Roman" w:hAnsi="Times New Roman" w:cs="Times New Roman"/>
                              <w:b/>
                              <w:bCs/>
                              <w:color w:val="1C2F3E"/>
                              <w:sz w:val="48"/>
                              <w:szCs w:val="48"/>
                              <w14:shadow w14:blurRad="50800" w14:dist="38100" w14:dir="5400000" w14:sx="100000" w14:sy="100000" w14:kx="0" w14:ky="0" w14:algn="t">
                                <w14:srgbClr w14:val="000000">
                                  <w14:alpha w14:val="60000"/>
                                </w14:srgbClr>
                              </w14:shadow>
                            </w:rPr>
                            <w:t xml:space="preserve">Rheumatoid Arthritis </w:t>
                          </w:r>
                        </w:p>
                        <w:p w14:paraId="40351DD6" w14:textId="5477E8CC" w:rsidR="00AF3243" w:rsidRPr="000F3DF1" w:rsidRDefault="00AF3243">
                          <w:pPr>
                            <w:rPr>
                              <w:rFonts w:ascii="Times New Roman" w:hAnsi="Times New Roman" w:cs="Times New Roman"/>
                              <w:b/>
                              <w:bCs/>
                              <w:color w:val="1C2F3E"/>
                              <w:sz w:val="48"/>
                              <w:szCs w:val="48"/>
                              <w14:shadow w14:blurRad="50800" w14:dist="38100" w14:dir="5400000" w14:sx="100000" w14:sy="100000" w14:kx="0" w14:ky="0" w14:algn="t">
                                <w14:srgbClr w14:val="000000">
                                  <w14:alpha w14:val="60000"/>
                                </w14:srgbClr>
                              </w14:shadow>
                            </w:rPr>
                          </w:pPr>
                          <w:r w:rsidRPr="000F3DF1">
                            <w:rPr>
                              <w:rFonts w:ascii="Times New Roman" w:hAnsi="Times New Roman" w:cs="Times New Roman"/>
                              <w:b/>
                              <w:bCs/>
                              <w:color w:val="1C2F3E"/>
                              <w:sz w:val="48"/>
                              <w:szCs w:val="48"/>
                              <w14:shadow w14:blurRad="50800" w14:dist="38100" w14:dir="5400000" w14:sx="100000" w14:sy="100000" w14:kx="0" w14:ky="0" w14:algn="t">
                                <w14:srgbClr w14:val="000000">
                                  <w14:alpha w14:val="60000"/>
                                </w14:srgbClr>
                              </w14:shadow>
                            </w:rPr>
                            <w:t>as a Long-Term Condition</w:t>
                          </w:r>
                        </w:p>
                      </w:txbxContent>
                    </v:textbox>
                  </v:shape>
                </w:pict>
              </mc:Fallback>
            </mc:AlternateContent>
          </w:r>
          <w:r w:rsidRPr="00797623">
            <w:rPr>
              <w:noProof/>
            </w:rPr>
            <w:drawing>
              <wp:inline distT="0" distB="0" distL="0" distR="0" wp14:anchorId="6B58BD51" wp14:editId="76AB5B20">
                <wp:extent cx="3374967" cy="3374967"/>
                <wp:effectExtent l="0" t="0" r="3810" b="3810"/>
                <wp:docPr id="370687341"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0687341" name="Picture 370687341"/>
                        <pic:cNvPicPr/>
                      </pic:nvPicPr>
                      <pic:blipFill>
                        <a:blip r:embed="rId8" cstate="print">
                          <a:extLst>
                            <a:ext uri="{28A0092B-C50C-407E-A947-70E740481C1C}">
                              <a14:useLocalDpi xmlns:a14="http://schemas.microsoft.com/office/drawing/2010/main" val="0"/>
                            </a:ext>
                          </a:extLst>
                        </a:blip>
                        <a:stretch>
                          <a:fillRect/>
                        </a:stretch>
                      </pic:blipFill>
                      <pic:spPr>
                        <a:xfrm>
                          <a:off x="0" y="0"/>
                          <a:ext cx="3387613" cy="3387613"/>
                        </a:xfrm>
                        <a:prstGeom prst="rect">
                          <a:avLst/>
                        </a:prstGeom>
                        <a:ln>
                          <a:noFill/>
                        </a:ln>
                        <a:effectLst>
                          <a:softEdge rad="112500"/>
                        </a:effectLst>
                      </pic:spPr>
                    </pic:pic>
                  </a:graphicData>
                </a:graphic>
              </wp:inline>
            </w:drawing>
          </w:r>
        </w:p>
        <w:p w14:paraId="570B14B5" w14:textId="77777777" w:rsidR="000F3DF1" w:rsidRPr="00797623" w:rsidRDefault="000F3DF1"/>
        <w:p w14:paraId="57DC6FFC" w14:textId="77777777" w:rsidR="000F3DF1" w:rsidRPr="00797623" w:rsidRDefault="000F3DF1"/>
        <w:p w14:paraId="6B4E348F" w14:textId="5F26356D" w:rsidR="007D3BA8" w:rsidRPr="00797623" w:rsidRDefault="00AF3243">
          <w:r w:rsidRPr="00797623">
            <w:rPr>
              <w:noProof/>
            </w:rPr>
            <mc:AlternateContent>
              <mc:Choice Requires="wps">
                <w:drawing>
                  <wp:anchor distT="0" distB="0" distL="114300" distR="114300" simplePos="0" relativeHeight="251659264" behindDoc="0" locked="0" layoutInCell="1" allowOverlap="1" wp14:anchorId="2A06F222" wp14:editId="07FE8E81">
                    <wp:simplePos x="0" y="0"/>
                    <wp:positionH relativeFrom="page">
                      <wp:posOffset>847264</wp:posOffset>
                    </wp:positionH>
                    <wp:positionV relativeFrom="page">
                      <wp:posOffset>-42661</wp:posOffset>
                    </wp:positionV>
                    <wp:extent cx="5917507" cy="2917768"/>
                    <wp:effectExtent l="0" t="0" r="0" b="3810"/>
                    <wp:wrapSquare wrapText="bothSides"/>
                    <wp:docPr id="154" name="Text Box 25"/>
                    <wp:cNvGraphicFramePr/>
                    <a:graphic xmlns:a="http://schemas.openxmlformats.org/drawingml/2006/main">
                      <a:graphicData uri="http://schemas.microsoft.com/office/word/2010/wordprocessingShape">
                        <wps:wsp>
                          <wps:cNvSpPr txBox="1"/>
                          <wps:spPr>
                            <a:xfrm>
                              <a:off x="0" y="0"/>
                              <a:ext cx="5917507" cy="291776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D413836" w14:textId="40AECBD2" w:rsidR="007D3BA8" w:rsidRPr="000D7A2F" w:rsidRDefault="00AF3243" w:rsidP="00AF3243">
                                <w:pPr>
                                  <w:spacing w:before="160" w:after="80" w:line="276" w:lineRule="auto"/>
                                </w:pPr>
                                <w:r>
                                  <w:rPr>
                                    <w:noProof/>
                                  </w:rPr>
                                  <w:drawing>
                                    <wp:inline distT="0" distB="0" distL="0" distR="0" wp14:anchorId="5CBD40E1" wp14:editId="75CC6B6D">
                                      <wp:extent cx="2543695" cy="1060487"/>
                                      <wp:effectExtent l="0" t="0" r="0" b="0"/>
                                      <wp:docPr id="1698414503"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43307807" name="Picture 943307807"/>
                                              <pic:cNvPicPr/>
                                            </pic:nvPicPr>
                                            <pic:blipFill>
                                              <a:blip r:embed="rId9">
                                                <a:extLst>
                                                  <a:ext uri="{28A0092B-C50C-407E-A947-70E740481C1C}">
                                                    <a14:useLocalDpi xmlns:a14="http://schemas.microsoft.com/office/drawing/2010/main" val="0"/>
                                                  </a:ext>
                                                </a:extLst>
                                              </a:blip>
                                              <a:stretch>
                                                <a:fillRect/>
                                              </a:stretch>
                                            </pic:blipFill>
                                            <pic:spPr>
                                              <a:xfrm>
                                                <a:off x="0" y="0"/>
                                                <a:ext cx="2567356" cy="1070351"/>
                                              </a:xfrm>
                                              <a:prstGeom prst="rect">
                                                <a:avLst/>
                                              </a:prstGeom>
                                            </pic:spPr>
                                          </pic:pic>
                                        </a:graphicData>
                                      </a:graphic>
                                    </wp:inline>
                                  </w:drawing>
                                </w:r>
                              </w:p>
                              <w:p w14:paraId="43E81C70" w14:textId="3B8BC1A0" w:rsidR="007D3BA8" w:rsidRDefault="007D3BA8">
                                <w:pPr>
                                  <w:jc w:val="right"/>
                                  <w:rPr>
                                    <w:smallCaps/>
                                    <w:color w:val="404040" w:themeColor="text1" w:themeTint="BF"/>
                                    <w:sz w:val="36"/>
                                    <w:szCs w:val="36"/>
                                  </w:rPr>
                                </w:pP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 w14:anchorId="2A06F222" id="Text Box 25" o:spid="_x0000_s1027" type="#_x0000_t202" style="position:absolute;margin-left:66.7pt;margin-top:-3.35pt;width:465.95pt;height:229.75pt;z-index:251659264;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" filled="f" stroked="f" strokeweight=".5pt">
                    <v:textbox inset="126pt,0,54pt,0">
                      <w:txbxContent>
                        <w:p w14:paraId="5D413836" w14:textId="40AECBD2" w:rsidR="007D3BA8" w:rsidRPr="000D7A2F" w:rsidRDefault="00AF3243" w:rsidP="00AF3243">
                          <w:pPr>
                            <w:spacing w:before="160" w:after="80" w:line="276" w:lineRule="auto"/>
                          </w:pPr>
                          <w:r>
                            <w:rPr>
                              <w:noProof/>
                            </w:rPr>
                            <w:drawing>
                              <wp:inline distT="0" distB="0" distL="0" distR="0" wp14:anchorId="5CBD40E1" wp14:editId="75CC6B6D">
                                <wp:extent cx="2543695" cy="1060487"/>
                                <wp:effectExtent l="0" t="0" r="0" b="0"/>
                                <wp:docPr id="1698414503"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43307807" name="Picture 943307807"/>
                                        <pic:cNvPicPr/>
                                      </pic:nvPicPr>
                                      <pic:blipFill>
                                        <a:blip r:embed="rId9">
                                          <a:extLst>
                                            <a:ext uri="{28A0092B-C50C-407E-A947-70E740481C1C}">
                                              <a14:useLocalDpi xmlns:a14="http://schemas.microsoft.com/office/drawing/2010/main" val="0"/>
                                            </a:ext>
                                          </a:extLst>
                                        </a:blip>
                                        <a:stretch>
                                          <a:fillRect/>
                                        </a:stretch>
                                      </pic:blipFill>
                                      <pic:spPr>
                                        <a:xfrm>
                                          <a:off x="0" y="0"/>
                                          <a:ext cx="2567356" cy="1070351"/>
                                        </a:xfrm>
                                        <a:prstGeom prst="rect">
                                          <a:avLst/>
                                        </a:prstGeom>
                                      </pic:spPr>
                                    </pic:pic>
                                  </a:graphicData>
                                </a:graphic>
                              </wp:inline>
                            </w:drawing>
                          </w:r>
                        </w:p>
                        <w:p w14:paraId="43E81C70" w14:textId="3B8BC1A0" w:rsidR="007D3BA8" w:rsidRDefault="007D3BA8">
                          <w:pPr>
                            <w:jc w:val="right"/>
                            <w:rPr>
                              <w:smallCaps/>
                              <w:color w:val="404040" w:themeColor="text1" w:themeTint="BF"/>
                              <w:sz w:val="36"/>
                              <w:szCs w:val="36"/>
                            </w:rPr>
                          </w:pPr>
                        </w:p>
                      </w:txbxContent>
                    </v:textbox>
                    <w10:wrap type="square" anchorx="page" anchory="page"/>
                  </v:shape>
                </w:pict>
              </mc:Fallback>
            </mc:AlternateContent>
          </w:r>
          <w:r w:rsidR="007D3BA8" w:rsidRPr="00797623">
            <w:rPr>
              <w:noProof/>
            </w:rPr>
            <mc:AlternateContent>
              <mc:Choice Requires="wpg">
                <w:drawing>
                  <wp:anchor distT="0" distB="0" distL="114300" distR="114300" simplePos="0" relativeHeight="251662336" behindDoc="0" locked="0" layoutInCell="1" allowOverlap="1" wp14:anchorId="32434AF6" wp14:editId="22A47A21">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10"/>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4836C3F6" id="Group 1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3;&#10;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">
                    <v:shape id="Rectangle 51" o:spid="_x0000_s1027" style="position:absolute;width:73152;height:11303;visibility:visible;mso-wrap-style:square;v-text-anchor:middle" coordsize="7312660,112966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" path="m,l7312660,r,1129665l3619500,733425,,1091565,,xe" fillcolor="#156082 [3204]" stroked="f" strokeweight="1.5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" stroked="f" strokeweight="1.5pt">
                      <v:fill r:id="rId11" o:title="" recolor="t" rotate="t" type="frame"/>
                    </v:rect>
                    <w10:wrap anchorx="page" anchory="page"/>
                  </v:group>
                </w:pict>
              </mc:Fallback>
            </mc:AlternateContent>
          </w:r>
        </w:p>
        <w:tbl>
          <w:tblPr>
            <w:tblStyle w:val="TableGrid"/>
            <w:tblW w:w="9570" w:type="dxa"/>
            <w:tblLook w:val="04A0" w:firstRow="1" w:lastRow="0" w:firstColumn="1" w:lastColumn="0" w:noHBand="0" w:noVBand="1"/>
          </w:tblPr>
          <w:tblGrid>
            <w:gridCol w:w="4785"/>
            <w:gridCol w:w="4785"/>
          </w:tblGrid>
          <w:tr w:rsidR="000F3DF1" w:rsidRPr="00797623" w14:paraId="4243DAB5" w14:textId="77777777" w:rsidTr="000F3DF1">
            <w:trPr>
              <w:trHeight w:val="480"/>
            </w:trPr>
            <w:tc>
              <w:tcPr>
                <w:tcW w:w="4785" w:type="dxa"/>
              </w:tcPr>
              <w:p w14:paraId="7771B0D9" w14:textId="49FD607F" w:rsidR="000F3DF1" w:rsidRPr="00797623" w:rsidRDefault="000F3DF1" w:rsidP="000F3DF1">
                <w:pPr>
                  <w:rPr>
                    <w:sz w:val="28"/>
                    <w:szCs w:val="28"/>
                  </w:rPr>
                </w:pPr>
                <w:r w:rsidRPr="00797623">
                  <w:rPr>
                    <w:sz w:val="28"/>
                    <w:szCs w:val="28"/>
                  </w:rPr>
                  <w:t>Module Code</w:t>
                </w:r>
              </w:p>
            </w:tc>
            <w:tc>
              <w:tcPr>
                <w:tcW w:w="4785" w:type="dxa"/>
              </w:tcPr>
              <w:p w14:paraId="5F9A6C91" w14:textId="4DFA2A16" w:rsidR="000F3DF1" w:rsidRPr="00797623" w:rsidRDefault="000F3DF1" w:rsidP="000F3DF1">
                <w:pPr>
                  <w:rPr>
                    <w:sz w:val="28"/>
                    <w:szCs w:val="28"/>
                  </w:rPr>
                </w:pPr>
                <w:r w:rsidRPr="00797623">
                  <w:rPr>
                    <w:sz w:val="28"/>
                    <w:szCs w:val="28"/>
                  </w:rPr>
                  <w:t>LCHS7003</w:t>
                </w:r>
              </w:p>
            </w:tc>
          </w:tr>
          <w:tr w:rsidR="000F3DF1" w:rsidRPr="00797623" w14:paraId="69BE09C1" w14:textId="77777777" w:rsidTr="000F3DF1">
            <w:trPr>
              <w:trHeight w:val="980"/>
            </w:trPr>
            <w:tc>
              <w:tcPr>
                <w:tcW w:w="4785" w:type="dxa"/>
              </w:tcPr>
              <w:p w14:paraId="402A1809" w14:textId="3EC10B23" w:rsidR="000F3DF1" w:rsidRPr="00797623" w:rsidRDefault="000F3DF1" w:rsidP="000F3DF1">
                <w:pPr>
                  <w:rPr>
                    <w:sz w:val="28"/>
                    <w:szCs w:val="28"/>
                  </w:rPr>
                </w:pPr>
                <w:r w:rsidRPr="00797623">
                  <w:rPr>
                    <w:sz w:val="28"/>
                    <w:szCs w:val="28"/>
                  </w:rPr>
                  <w:t>Module Name</w:t>
                </w:r>
              </w:p>
            </w:tc>
            <w:tc>
              <w:tcPr>
                <w:tcW w:w="4785" w:type="dxa"/>
              </w:tcPr>
              <w:p w14:paraId="29E8F9A5" w14:textId="06AE7F84" w:rsidR="000F3DF1" w:rsidRPr="00797623" w:rsidRDefault="000F3DF1" w:rsidP="000F3DF1">
                <w:pPr>
                  <w:rPr>
                    <w:sz w:val="28"/>
                    <w:szCs w:val="28"/>
                  </w:rPr>
                </w:pPr>
                <w:r w:rsidRPr="00797623">
                  <w:rPr>
                    <w:sz w:val="28"/>
                    <w:szCs w:val="28"/>
                  </w:rPr>
                  <w:t>Community Care and Management of longer-term condition</w:t>
                </w:r>
              </w:p>
            </w:tc>
          </w:tr>
          <w:tr w:rsidR="000F3DF1" w:rsidRPr="00797623" w14:paraId="2577BA25" w14:textId="77777777" w:rsidTr="000F3DF1">
            <w:trPr>
              <w:trHeight w:val="500"/>
            </w:trPr>
            <w:tc>
              <w:tcPr>
                <w:tcW w:w="4785" w:type="dxa"/>
              </w:tcPr>
              <w:p w14:paraId="3A8910A6" w14:textId="598869AA" w:rsidR="000F3DF1" w:rsidRPr="00797623" w:rsidRDefault="000F3DF1" w:rsidP="000F3DF1">
                <w:pPr>
                  <w:rPr>
                    <w:sz w:val="28"/>
                    <w:szCs w:val="28"/>
                  </w:rPr>
                </w:pPr>
                <w:r w:rsidRPr="00797623">
                  <w:rPr>
                    <w:sz w:val="28"/>
                    <w:szCs w:val="28"/>
                  </w:rPr>
                  <w:t>Student Name</w:t>
                </w:r>
              </w:p>
            </w:tc>
            <w:tc>
              <w:tcPr>
                <w:tcW w:w="4785" w:type="dxa"/>
              </w:tcPr>
              <w:p w14:paraId="37507A7C" w14:textId="573AAA87" w:rsidR="000F3DF1" w:rsidRPr="00797623" w:rsidRDefault="000F3DF1" w:rsidP="000F3DF1">
                <w:pPr>
                  <w:rPr>
                    <w:sz w:val="28"/>
                    <w:szCs w:val="28"/>
                  </w:rPr>
                </w:pPr>
                <w:r w:rsidRPr="00797623">
                  <w:rPr>
                    <w:sz w:val="28"/>
                    <w:szCs w:val="28"/>
                  </w:rPr>
                  <w:t>Dhruvi Maisuriya</w:t>
                </w:r>
              </w:p>
            </w:tc>
          </w:tr>
          <w:tr w:rsidR="000F3DF1" w:rsidRPr="00797623" w14:paraId="167A25DD" w14:textId="77777777" w:rsidTr="000F3DF1">
            <w:trPr>
              <w:trHeight w:val="480"/>
            </w:trPr>
            <w:tc>
              <w:tcPr>
                <w:tcW w:w="4785" w:type="dxa"/>
              </w:tcPr>
              <w:p w14:paraId="7D2CE1C6" w14:textId="5BC79AD5" w:rsidR="000F3DF1" w:rsidRPr="00797623" w:rsidRDefault="000F3DF1" w:rsidP="000F3DF1">
                <w:pPr>
                  <w:rPr>
                    <w:sz w:val="28"/>
                    <w:szCs w:val="28"/>
                  </w:rPr>
                </w:pPr>
                <w:r w:rsidRPr="00797623">
                  <w:rPr>
                    <w:sz w:val="28"/>
                    <w:szCs w:val="28"/>
                  </w:rPr>
                  <w:t>Student I’D</w:t>
                </w:r>
              </w:p>
            </w:tc>
            <w:tc>
              <w:tcPr>
                <w:tcW w:w="4785" w:type="dxa"/>
              </w:tcPr>
              <w:p w14:paraId="3DDE5BF2" w14:textId="0EB705BF" w:rsidR="000F3DF1" w:rsidRPr="00797623" w:rsidRDefault="000F3DF1" w:rsidP="000F3DF1">
                <w:pPr>
                  <w:rPr>
                    <w:sz w:val="28"/>
                    <w:szCs w:val="28"/>
                  </w:rPr>
                </w:pPr>
                <w:r w:rsidRPr="00797623">
                  <w:rPr>
                    <w:sz w:val="28"/>
                    <w:szCs w:val="28"/>
                  </w:rPr>
                  <w:t>2532720</w:t>
                </w:r>
              </w:p>
            </w:tc>
          </w:tr>
          <w:tr w:rsidR="000F3DF1" w:rsidRPr="00797623" w14:paraId="792D10B6" w14:textId="77777777" w:rsidTr="000F3DF1">
            <w:trPr>
              <w:trHeight w:val="480"/>
            </w:trPr>
            <w:tc>
              <w:tcPr>
                <w:tcW w:w="4785" w:type="dxa"/>
              </w:tcPr>
              <w:p w14:paraId="670B45AE" w14:textId="222420D8" w:rsidR="000F3DF1" w:rsidRPr="00797623" w:rsidRDefault="000F3DF1" w:rsidP="000F3DF1">
                <w:pPr>
                  <w:rPr>
                    <w:sz w:val="28"/>
                    <w:szCs w:val="28"/>
                  </w:rPr>
                </w:pPr>
                <w:r w:rsidRPr="00797623">
                  <w:rPr>
                    <w:sz w:val="28"/>
                    <w:szCs w:val="28"/>
                  </w:rPr>
                  <w:t>Lecturer Name</w:t>
                </w:r>
              </w:p>
            </w:tc>
            <w:tc>
              <w:tcPr>
                <w:tcW w:w="4785" w:type="dxa"/>
              </w:tcPr>
              <w:p w14:paraId="367D1F78" w14:textId="59E0E58C" w:rsidR="000F3DF1" w:rsidRPr="00797623" w:rsidRDefault="000F3DF1" w:rsidP="000F3DF1">
                <w:pPr>
                  <w:rPr>
                    <w:sz w:val="28"/>
                    <w:szCs w:val="28"/>
                  </w:rPr>
                </w:pPr>
                <w:r w:rsidRPr="00797623">
                  <w:rPr>
                    <w:sz w:val="28"/>
                    <w:szCs w:val="28"/>
                  </w:rPr>
                  <w:t>Muhammad Khan</w:t>
                </w:r>
              </w:p>
            </w:tc>
          </w:tr>
        </w:tbl>
        <w:p w14:paraId="481FFAB1" w14:textId="78E74460" w:rsidR="002752D8" w:rsidRPr="00797623" w:rsidRDefault="007D3BA8">
          <w:pPr>
            <w:rPr>
              <w:sz w:val="28"/>
              <w:szCs w:val="28"/>
            </w:rPr>
          </w:pPr>
          <w:r w:rsidRPr="00797623">
            <w:rPr>
              <w:sz w:val="28"/>
              <w:szCs w:val="28"/>
            </w:rPr>
            <w:br w:type="page"/>
          </w:r>
        </w:p>
        <w:sdt>
          <w:sdtPr>
            <w:rPr>
              <w:rFonts w:ascii="Arial" w:hAnsi="Arial" w:cs="Arial"/>
              <w:sz w:val="36"/>
              <w:szCs w:val="36"/>
            </w:rPr>
            <w:id w:val="-725525782"/>
            <w:docPartObj>
              <w:docPartGallery w:val="Table of Contents"/>
              <w:docPartUnique/>
            </w:docPartObj>
          </w:sdtPr>
          <w:sdtEndPr>
            <w:rPr>
              <w:rFonts w:eastAsia="Arial"/>
              <w:noProof/>
              <w:color w:val="153D63" w:themeColor="text2" w:themeTint="E6"/>
              <w:lang w:val="en-GB" w:eastAsia="en-GB"/>
            </w:rPr>
          </w:sdtEndPr>
          <w:sdtContent>
            <w:p w14:paraId="0BD89014" w14:textId="10641408" w:rsidR="002752D8" w:rsidRDefault="002752D8" w:rsidP="0073129F">
              <w:pPr>
                <w:pStyle w:val="TOCHeading"/>
                <w:jc w:val="center"/>
                <w:rPr>
                  <w:rFonts w:ascii="Arial" w:hAnsi="Arial" w:cs="Arial"/>
                  <w:sz w:val="36"/>
                  <w:szCs w:val="36"/>
                </w:rPr>
              </w:pPr>
              <w:r w:rsidRPr="0073129F">
                <w:rPr>
                  <w:rFonts w:ascii="Arial" w:hAnsi="Arial" w:cs="Arial"/>
                  <w:sz w:val="36"/>
                  <w:szCs w:val="36"/>
                </w:rPr>
                <w:t>Table of Contents</w:t>
              </w:r>
            </w:p>
            <w:p w14:paraId="16B32BD9" w14:textId="77777777" w:rsidR="00ED4EE5" w:rsidRPr="00ED4EE5" w:rsidRDefault="00ED4EE5" w:rsidP="00ED4EE5">
              <w:pPr>
                <w:rPr>
                  <w:lang w:val="en-US" w:eastAsia="en-US"/>
                </w:rPr>
              </w:pPr>
            </w:p>
            <w:p w14:paraId="2A6781B7" w14:textId="738E8423" w:rsidR="00797623" w:rsidRPr="0073129F" w:rsidRDefault="002752D8" w:rsidP="00ED4EE5">
              <w:pPr>
                <w:pStyle w:val="TOC1"/>
                <w:rPr>
                  <w:rFonts w:eastAsiaTheme="minorEastAsia"/>
                  <w:kern w:val="2"/>
                  <w14:ligatures w14:val="standardContextual"/>
                </w:rPr>
              </w:pPr>
              <w:r w:rsidRPr="0073129F">
                <w:rPr>
                  <w:noProof w:val="0"/>
                </w:rPr>
                <w:fldChar w:fldCharType="begin"/>
              </w:r>
              <w:r w:rsidRPr="0073129F">
                <w:instrText xml:space="preserve"> TOC \o "1-3" \h \z \u </w:instrText>
              </w:r>
              <w:r w:rsidRPr="0073129F">
                <w:rPr>
                  <w:noProof w:val="0"/>
                </w:rPr>
                <w:fldChar w:fldCharType="separate"/>
              </w:r>
              <w:hyperlink w:anchor="_Toc235140601" w:history="1">
                <w:r w:rsidR="00797623" w:rsidRPr="0073129F">
                  <w:rPr>
                    <w:rStyle w:val="Hyperlink"/>
                    <w:i w:val="0"/>
                    <w:iCs w:val="0"/>
                  </w:rPr>
                  <w:t>1.  Definition, Burden and Risk Factors</w:t>
                </w:r>
                <w:r w:rsidR="00797623" w:rsidRPr="0073129F">
                  <w:rPr>
                    <w:webHidden/>
                  </w:rPr>
                  <w:tab/>
                </w:r>
                <w:r w:rsidR="00797623" w:rsidRPr="0073129F">
                  <w:rPr>
                    <w:webHidden/>
                  </w:rPr>
                  <w:fldChar w:fldCharType="begin"/>
                </w:r>
                <w:r w:rsidR="00797623" w:rsidRPr="0073129F">
                  <w:rPr>
                    <w:webHidden/>
                  </w:rPr>
                  <w:instrText xml:space="preserve"> PAGEREF _Toc235140601 \h </w:instrText>
                </w:r>
                <w:r w:rsidR="00797623" w:rsidRPr="0073129F">
                  <w:rPr>
                    <w:webHidden/>
                  </w:rPr>
                </w:r>
                <w:r w:rsidR="00797623" w:rsidRPr="0073129F">
                  <w:rPr>
                    <w:webHidden/>
                  </w:rPr>
                  <w:fldChar w:fldCharType="separate"/>
                </w:r>
                <w:r w:rsidR="00797623" w:rsidRPr="0073129F">
                  <w:rPr>
                    <w:webHidden/>
                  </w:rPr>
                  <w:t>2</w:t>
                </w:r>
                <w:r w:rsidR="00797623" w:rsidRPr="0073129F">
                  <w:rPr>
                    <w:webHidden/>
                  </w:rPr>
                  <w:fldChar w:fldCharType="end"/>
                </w:r>
              </w:hyperlink>
            </w:p>
            <w:p w14:paraId="5FE81202" w14:textId="126FC95D" w:rsidR="00797623" w:rsidRPr="0073129F" w:rsidRDefault="00797623" w:rsidP="00ED4EE5">
              <w:pPr>
                <w:pStyle w:val="TOC2"/>
                <w:tabs>
                  <w:tab w:val="right" w:leader="dot" w:pos="9376"/>
                </w:tabs>
                <w:spacing w:line="360" w:lineRule="auto"/>
                <w:rPr>
                  <w:rFonts w:ascii="Arial" w:eastAsiaTheme="minorEastAsia" w:hAnsi="Arial"/>
                  <w:noProof/>
                  <w:kern w:val="2"/>
                  <w:sz w:val="24"/>
                  <w:szCs w:val="24"/>
                  <w14:ligatures w14:val="standardContextual"/>
                </w:rPr>
              </w:pPr>
              <w:hyperlink w:anchor="_Toc235140602" w:history="1">
                <w:r w:rsidRPr="0073129F">
                  <w:rPr>
                    <w:rStyle w:val="Hyperlink"/>
                    <w:rFonts w:ascii="Arial" w:hAnsi="Arial"/>
                    <w:noProof/>
                  </w:rPr>
                  <w:t>1.1 Definition and Pathophysiology</w:t>
                </w:r>
                <w:r w:rsidRPr="0073129F">
                  <w:rPr>
                    <w:rFonts w:ascii="Arial" w:hAnsi="Arial"/>
                    <w:noProof/>
                    <w:webHidden/>
                  </w:rPr>
                  <w:tab/>
                </w:r>
                <w:r w:rsidRPr="0073129F">
                  <w:rPr>
                    <w:rFonts w:ascii="Arial" w:hAnsi="Arial"/>
                    <w:noProof/>
                    <w:webHidden/>
                  </w:rPr>
                  <w:fldChar w:fldCharType="begin"/>
                </w:r>
                <w:r w:rsidRPr="0073129F">
                  <w:rPr>
                    <w:rFonts w:ascii="Arial" w:hAnsi="Arial"/>
                    <w:noProof/>
                    <w:webHidden/>
                  </w:rPr>
                  <w:instrText xml:space="preserve"> PAGEREF _Toc235140602 \h </w:instrText>
                </w:r>
                <w:r w:rsidRPr="0073129F">
                  <w:rPr>
                    <w:rFonts w:ascii="Arial" w:hAnsi="Arial"/>
                    <w:noProof/>
                    <w:webHidden/>
                  </w:rPr>
                </w:r>
                <w:r w:rsidRPr="0073129F">
                  <w:rPr>
                    <w:rFonts w:ascii="Arial" w:hAnsi="Arial"/>
                    <w:noProof/>
                    <w:webHidden/>
                  </w:rPr>
                  <w:fldChar w:fldCharType="separate"/>
                </w:r>
                <w:r w:rsidRPr="0073129F">
                  <w:rPr>
                    <w:rFonts w:ascii="Arial" w:hAnsi="Arial"/>
                    <w:noProof/>
                    <w:webHidden/>
                  </w:rPr>
                  <w:t>2</w:t>
                </w:r>
                <w:r w:rsidRPr="0073129F">
                  <w:rPr>
                    <w:rFonts w:ascii="Arial" w:hAnsi="Arial"/>
                    <w:noProof/>
                    <w:webHidden/>
                  </w:rPr>
                  <w:fldChar w:fldCharType="end"/>
                </w:r>
              </w:hyperlink>
            </w:p>
            <w:p w14:paraId="6507D055" w14:textId="63D75934" w:rsidR="00797623" w:rsidRPr="0073129F" w:rsidRDefault="00797623" w:rsidP="00ED4EE5">
              <w:pPr>
                <w:pStyle w:val="TOC2"/>
                <w:tabs>
                  <w:tab w:val="right" w:leader="dot" w:pos="9376"/>
                </w:tabs>
                <w:spacing w:line="360" w:lineRule="auto"/>
                <w:rPr>
                  <w:rFonts w:ascii="Arial" w:eastAsiaTheme="minorEastAsia" w:hAnsi="Arial"/>
                  <w:noProof/>
                  <w:kern w:val="2"/>
                  <w:sz w:val="24"/>
                  <w:szCs w:val="24"/>
                  <w14:ligatures w14:val="standardContextual"/>
                </w:rPr>
              </w:pPr>
              <w:hyperlink w:anchor="_Toc235140603" w:history="1">
                <w:r w:rsidRPr="0073129F">
                  <w:rPr>
                    <w:rStyle w:val="Hyperlink"/>
                    <w:rFonts w:ascii="Arial" w:hAnsi="Arial"/>
                    <w:noProof/>
                  </w:rPr>
                  <w:t>1.2 Burden of Disease</w:t>
                </w:r>
                <w:r w:rsidRPr="0073129F">
                  <w:rPr>
                    <w:rFonts w:ascii="Arial" w:hAnsi="Arial"/>
                    <w:noProof/>
                    <w:webHidden/>
                  </w:rPr>
                  <w:tab/>
                </w:r>
                <w:r w:rsidRPr="0073129F">
                  <w:rPr>
                    <w:rFonts w:ascii="Arial" w:hAnsi="Arial"/>
                    <w:noProof/>
                    <w:webHidden/>
                  </w:rPr>
                  <w:fldChar w:fldCharType="begin"/>
                </w:r>
                <w:r w:rsidRPr="0073129F">
                  <w:rPr>
                    <w:rFonts w:ascii="Arial" w:hAnsi="Arial"/>
                    <w:noProof/>
                    <w:webHidden/>
                  </w:rPr>
                  <w:instrText xml:space="preserve"> PAGEREF _Toc235140603 \h </w:instrText>
                </w:r>
                <w:r w:rsidRPr="0073129F">
                  <w:rPr>
                    <w:rFonts w:ascii="Arial" w:hAnsi="Arial"/>
                    <w:noProof/>
                    <w:webHidden/>
                  </w:rPr>
                </w:r>
                <w:r w:rsidRPr="0073129F">
                  <w:rPr>
                    <w:rFonts w:ascii="Arial" w:hAnsi="Arial"/>
                    <w:noProof/>
                    <w:webHidden/>
                  </w:rPr>
                  <w:fldChar w:fldCharType="separate"/>
                </w:r>
                <w:r w:rsidRPr="0073129F">
                  <w:rPr>
                    <w:rFonts w:ascii="Arial" w:hAnsi="Arial"/>
                    <w:noProof/>
                    <w:webHidden/>
                  </w:rPr>
                  <w:t>3</w:t>
                </w:r>
                <w:r w:rsidRPr="0073129F">
                  <w:rPr>
                    <w:rFonts w:ascii="Arial" w:hAnsi="Arial"/>
                    <w:noProof/>
                    <w:webHidden/>
                  </w:rPr>
                  <w:fldChar w:fldCharType="end"/>
                </w:r>
              </w:hyperlink>
            </w:p>
            <w:p w14:paraId="77D04583" w14:textId="4C459006" w:rsidR="00797623" w:rsidRPr="0073129F" w:rsidRDefault="00797623" w:rsidP="00ED4EE5">
              <w:pPr>
                <w:pStyle w:val="TOC3"/>
                <w:tabs>
                  <w:tab w:val="right" w:leader="dot" w:pos="9376"/>
                </w:tabs>
                <w:spacing w:line="360" w:lineRule="auto"/>
                <w:rPr>
                  <w:rFonts w:ascii="Arial" w:eastAsiaTheme="minorEastAsia" w:hAnsi="Arial"/>
                  <w:b/>
                  <w:bCs/>
                  <w:noProof/>
                  <w:kern w:val="2"/>
                  <w:sz w:val="24"/>
                  <w:szCs w:val="24"/>
                  <w14:ligatures w14:val="standardContextual"/>
                </w:rPr>
              </w:pPr>
              <w:hyperlink w:anchor="_Toc235140604" w:history="1">
                <w:r w:rsidRPr="0073129F">
                  <w:rPr>
                    <w:rStyle w:val="Hyperlink"/>
                    <w:rFonts w:ascii="Arial" w:hAnsi="Arial"/>
                    <w:b/>
                    <w:bCs/>
                    <w:noProof/>
                  </w:rPr>
                  <w:t>1.2.1 Global Burden</w:t>
                </w:r>
                <w:r w:rsidRPr="0073129F">
                  <w:rPr>
                    <w:rFonts w:ascii="Arial" w:hAnsi="Arial"/>
                    <w:b/>
                    <w:bCs/>
                    <w:noProof/>
                    <w:webHidden/>
                  </w:rPr>
                  <w:tab/>
                </w:r>
                <w:r w:rsidRPr="0073129F">
                  <w:rPr>
                    <w:rFonts w:ascii="Arial" w:hAnsi="Arial"/>
                    <w:b/>
                    <w:bCs/>
                    <w:noProof/>
                    <w:webHidden/>
                  </w:rPr>
                  <w:fldChar w:fldCharType="begin"/>
                </w:r>
                <w:r w:rsidRPr="0073129F">
                  <w:rPr>
                    <w:rFonts w:ascii="Arial" w:hAnsi="Arial"/>
                    <w:b/>
                    <w:bCs/>
                    <w:noProof/>
                    <w:webHidden/>
                  </w:rPr>
                  <w:instrText xml:space="preserve"> PAGEREF _Toc235140604 \h </w:instrText>
                </w:r>
                <w:r w:rsidRPr="0073129F">
                  <w:rPr>
                    <w:rFonts w:ascii="Arial" w:hAnsi="Arial"/>
                    <w:b/>
                    <w:bCs/>
                    <w:noProof/>
                    <w:webHidden/>
                  </w:rPr>
                </w:r>
                <w:r w:rsidRPr="0073129F">
                  <w:rPr>
                    <w:rFonts w:ascii="Arial" w:hAnsi="Arial"/>
                    <w:b/>
                    <w:bCs/>
                    <w:noProof/>
                    <w:webHidden/>
                  </w:rPr>
                  <w:fldChar w:fldCharType="separate"/>
                </w:r>
                <w:r w:rsidRPr="0073129F">
                  <w:rPr>
                    <w:rFonts w:ascii="Arial" w:hAnsi="Arial"/>
                    <w:b/>
                    <w:bCs/>
                    <w:noProof/>
                    <w:webHidden/>
                  </w:rPr>
                  <w:t>3</w:t>
                </w:r>
                <w:r w:rsidRPr="0073129F">
                  <w:rPr>
                    <w:rFonts w:ascii="Arial" w:hAnsi="Arial"/>
                    <w:b/>
                    <w:bCs/>
                    <w:noProof/>
                    <w:webHidden/>
                  </w:rPr>
                  <w:fldChar w:fldCharType="end"/>
                </w:r>
              </w:hyperlink>
            </w:p>
            <w:p w14:paraId="0C079D5E" w14:textId="28E77111" w:rsidR="00797623" w:rsidRPr="0073129F" w:rsidRDefault="00797623" w:rsidP="00ED4EE5">
              <w:pPr>
                <w:pStyle w:val="TOC3"/>
                <w:tabs>
                  <w:tab w:val="right" w:leader="dot" w:pos="9376"/>
                </w:tabs>
                <w:spacing w:line="360" w:lineRule="auto"/>
                <w:rPr>
                  <w:rFonts w:ascii="Arial" w:eastAsiaTheme="minorEastAsia" w:hAnsi="Arial"/>
                  <w:b/>
                  <w:bCs/>
                  <w:noProof/>
                  <w:kern w:val="2"/>
                  <w:sz w:val="24"/>
                  <w:szCs w:val="24"/>
                  <w14:ligatures w14:val="standardContextual"/>
                </w:rPr>
              </w:pPr>
              <w:hyperlink w:anchor="_Toc235140605" w:history="1">
                <w:r w:rsidRPr="0073129F">
                  <w:rPr>
                    <w:rStyle w:val="Hyperlink"/>
                    <w:rFonts w:ascii="Arial" w:hAnsi="Arial"/>
                    <w:b/>
                    <w:bCs/>
                    <w:noProof/>
                  </w:rPr>
                  <w:t>1.2.2 UK Burden</w:t>
                </w:r>
                <w:r w:rsidRPr="0073129F">
                  <w:rPr>
                    <w:rFonts w:ascii="Arial" w:hAnsi="Arial"/>
                    <w:b/>
                    <w:bCs/>
                    <w:noProof/>
                    <w:webHidden/>
                  </w:rPr>
                  <w:tab/>
                </w:r>
                <w:r w:rsidRPr="0073129F">
                  <w:rPr>
                    <w:rFonts w:ascii="Arial" w:hAnsi="Arial"/>
                    <w:b/>
                    <w:bCs/>
                    <w:noProof/>
                    <w:webHidden/>
                  </w:rPr>
                  <w:fldChar w:fldCharType="begin"/>
                </w:r>
                <w:r w:rsidRPr="0073129F">
                  <w:rPr>
                    <w:rFonts w:ascii="Arial" w:hAnsi="Arial"/>
                    <w:b/>
                    <w:bCs/>
                    <w:noProof/>
                    <w:webHidden/>
                  </w:rPr>
                  <w:instrText xml:space="preserve"> PAGEREF _Toc235140605 \h </w:instrText>
                </w:r>
                <w:r w:rsidRPr="0073129F">
                  <w:rPr>
                    <w:rFonts w:ascii="Arial" w:hAnsi="Arial"/>
                    <w:b/>
                    <w:bCs/>
                    <w:noProof/>
                    <w:webHidden/>
                  </w:rPr>
                </w:r>
                <w:r w:rsidRPr="0073129F">
                  <w:rPr>
                    <w:rFonts w:ascii="Arial" w:hAnsi="Arial"/>
                    <w:b/>
                    <w:bCs/>
                    <w:noProof/>
                    <w:webHidden/>
                  </w:rPr>
                  <w:fldChar w:fldCharType="separate"/>
                </w:r>
                <w:r w:rsidRPr="0073129F">
                  <w:rPr>
                    <w:rFonts w:ascii="Arial" w:hAnsi="Arial"/>
                    <w:b/>
                    <w:bCs/>
                    <w:noProof/>
                    <w:webHidden/>
                  </w:rPr>
                  <w:t>3</w:t>
                </w:r>
                <w:r w:rsidRPr="0073129F">
                  <w:rPr>
                    <w:rFonts w:ascii="Arial" w:hAnsi="Arial"/>
                    <w:b/>
                    <w:bCs/>
                    <w:noProof/>
                    <w:webHidden/>
                  </w:rPr>
                  <w:fldChar w:fldCharType="end"/>
                </w:r>
              </w:hyperlink>
            </w:p>
            <w:p w14:paraId="1B2CCC7C" w14:textId="002B3D74" w:rsidR="00797623" w:rsidRPr="0073129F" w:rsidRDefault="00797623" w:rsidP="00ED4EE5">
              <w:pPr>
                <w:pStyle w:val="TOC2"/>
                <w:tabs>
                  <w:tab w:val="right" w:leader="dot" w:pos="9376"/>
                </w:tabs>
                <w:spacing w:line="360" w:lineRule="auto"/>
                <w:rPr>
                  <w:rFonts w:ascii="Arial" w:eastAsiaTheme="minorEastAsia" w:hAnsi="Arial"/>
                  <w:noProof/>
                  <w:kern w:val="2"/>
                  <w:sz w:val="24"/>
                  <w:szCs w:val="24"/>
                  <w14:ligatures w14:val="standardContextual"/>
                </w:rPr>
              </w:pPr>
              <w:hyperlink w:anchor="_Toc235140606" w:history="1">
                <w:r w:rsidRPr="0073129F">
                  <w:rPr>
                    <w:rStyle w:val="Hyperlink"/>
                    <w:rFonts w:ascii="Arial" w:hAnsi="Arial"/>
                    <w:noProof/>
                  </w:rPr>
                  <w:t>1.3 Risk Factors and Aetiology</w:t>
                </w:r>
                <w:r w:rsidRPr="0073129F">
                  <w:rPr>
                    <w:rFonts w:ascii="Arial" w:hAnsi="Arial"/>
                    <w:noProof/>
                    <w:webHidden/>
                  </w:rPr>
                  <w:tab/>
                </w:r>
                <w:r w:rsidRPr="0073129F">
                  <w:rPr>
                    <w:rFonts w:ascii="Arial" w:hAnsi="Arial"/>
                    <w:noProof/>
                    <w:webHidden/>
                  </w:rPr>
                  <w:fldChar w:fldCharType="begin"/>
                </w:r>
                <w:r w:rsidRPr="0073129F">
                  <w:rPr>
                    <w:rFonts w:ascii="Arial" w:hAnsi="Arial"/>
                    <w:noProof/>
                    <w:webHidden/>
                  </w:rPr>
                  <w:instrText xml:space="preserve"> PAGEREF _Toc235140606 \h </w:instrText>
                </w:r>
                <w:r w:rsidRPr="0073129F">
                  <w:rPr>
                    <w:rFonts w:ascii="Arial" w:hAnsi="Arial"/>
                    <w:noProof/>
                    <w:webHidden/>
                  </w:rPr>
                </w:r>
                <w:r w:rsidRPr="0073129F">
                  <w:rPr>
                    <w:rFonts w:ascii="Arial" w:hAnsi="Arial"/>
                    <w:noProof/>
                    <w:webHidden/>
                  </w:rPr>
                  <w:fldChar w:fldCharType="separate"/>
                </w:r>
                <w:r w:rsidRPr="0073129F">
                  <w:rPr>
                    <w:rFonts w:ascii="Arial" w:hAnsi="Arial"/>
                    <w:noProof/>
                    <w:webHidden/>
                  </w:rPr>
                  <w:t>3</w:t>
                </w:r>
                <w:r w:rsidRPr="0073129F">
                  <w:rPr>
                    <w:rFonts w:ascii="Arial" w:hAnsi="Arial"/>
                    <w:noProof/>
                    <w:webHidden/>
                  </w:rPr>
                  <w:fldChar w:fldCharType="end"/>
                </w:r>
              </w:hyperlink>
            </w:p>
            <w:p w14:paraId="20AD6067" w14:textId="7D06A6C0" w:rsidR="00797623" w:rsidRPr="0073129F" w:rsidRDefault="00797623" w:rsidP="00ED4EE5">
              <w:pPr>
                <w:pStyle w:val="TOC1"/>
                <w:rPr>
                  <w:rFonts w:eastAsiaTheme="minorEastAsia"/>
                  <w:kern w:val="2"/>
                  <w14:ligatures w14:val="standardContextual"/>
                </w:rPr>
              </w:pPr>
              <w:hyperlink w:anchor="_Toc235140607" w:history="1">
                <w:r w:rsidRPr="0073129F">
                  <w:rPr>
                    <w:rStyle w:val="Hyperlink"/>
                    <w:i w:val="0"/>
                    <w:iCs w:val="0"/>
                  </w:rPr>
                  <w:t>2.  Impact on Individuals and Families</w:t>
                </w:r>
                <w:r w:rsidRPr="0073129F">
                  <w:rPr>
                    <w:webHidden/>
                  </w:rPr>
                  <w:tab/>
                </w:r>
                <w:r w:rsidRPr="0073129F">
                  <w:rPr>
                    <w:webHidden/>
                  </w:rPr>
                  <w:fldChar w:fldCharType="begin"/>
                </w:r>
                <w:r w:rsidRPr="0073129F">
                  <w:rPr>
                    <w:webHidden/>
                  </w:rPr>
                  <w:instrText xml:space="preserve"> PAGEREF _Toc235140607 \h </w:instrText>
                </w:r>
                <w:r w:rsidRPr="0073129F">
                  <w:rPr>
                    <w:webHidden/>
                  </w:rPr>
                </w:r>
                <w:r w:rsidRPr="0073129F">
                  <w:rPr>
                    <w:webHidden/>
                  </w:rPr>
                  <w:fldChar w:fldCharType="separate"/>
                </w:r>
                <w:r w:rsidRPr="0073129F">
                  <w:rPr>
                    <w:webHidden/>
                  </w:rPr>
                  <w:t>4</w:t>
                </w:r>
                <w:r w:rsidRPr="0073129F">
                  <w:rPr>
                    <w:webHidden/>
                  </w:rPr>
                  <w:fldChar w:fldCharType="end"/>
                </w:r>
              </w:hyperlink>
            </w:p>
            <w:p w14:paraId="36582177" w14:textId="18000159" w:rsidR="00797623" w:rsidRPr="0073129F" w:rsidRDefault="00797623" w:rsidP="00ED4EE5">
              <w:pPr>
                <w:pStyle w:val="TOC2"/>
                <w:tabs>
                  <w:tab w:val="right" w:leader="dot" w:pos="9376"/>
                </w:tabs>
                <w:spacing w:line="360" w:lineRule="auto"/>
                <w:rPr>
                  <w:rFonts w:ascii="Arial" w:eastAsiaTheme="minorEastAsia" w:hAnsi="Arial"/>
                  <w:noProof/>
                  <w:kern w:val="2"/>
                  <w:sz w:val="24"/>
                  <w:szCs w:val="24"/>
                  <w14:ligatures w14:val="standardContextual"/>
                </w:rPr>
              </w:pPr>
              <w:hyperlink w:anchor="_Toc235140608" w:history="1">
                <w:r w:rsidRPr="0073129F">
                  <w:rPr>
                    <w:rStyle w:val="Hyperlink"/>
                    <w:rFonts w:ascii="Arial" w:hAnsi="Arial"/>
                    <w:noProof/>
                  </w:rPr>
                  <w:t>2.1 Physical Implications</w:t>
                </w:r>
                <w:r w:rsidRPr="0073129F">
                  <w:rPr>
                    <w:rFonts w:ascii="Arial" w:hAnsi="Arial"/>
                    <w:noProof/>
                    <w:webHidden/>
                  </w:rPr>
                  <w:tab/>
                </w:r>
                <w:r w:rsidRPr="0073129F">
                  <w:rPr>
                    <w:rFonts w:ascii="Arial" w:hAnsi="Arial"/>
                    <w:noProof/>
                    <w:webHidden/>
                  </w:rPr>
                  <w:fldChar w:fldCharType="begin"/>
                </w:r>
                <w:r w:rsidRPr="0073129F">
                  <w:rPr>
                    <w:rFonts w:ascii="Arial" w:hAnsi="Arial"/>
                    <w:noProof/>
                    <w:webHidden/>
                  </w:rPr>
                  <w:instrText xml:space="preserve"> PAGEREF _Toc235140608 \h </w:instrText>
                </w:r>
                <w:r w:rsidRPr="0073129F">
                  <w:rPr>
                    <w:rFonts w:ascii="Arial" w:hAnsi="Arial"/>
                    <w:noProof/>
                    <w:webHidden/>
                  </w:rPr>
                </w:r>
                <w:r w:rsidRPr="0073129F">
                  <w:rPr>
                    <w:rFonts w:ascii="Arial" w:hAnsi="Arial"/>
                    <w:noProof/>
                    <w:webHidden/>
                  </w:rPr>
                  <w:fldChar w:fldCharType="separate"/>
                </w:r>
                <w:r w:rsidRPr="0073129F">
                  <w:rPr>
                    <w:rFonts w:ascii="Arial" w:hAnsi="Arial"/>
                    <w:noProof/>
                    <w:webHidden/>
                  </w:rPr>
                  <w:t>4</w:t>
                </w:r>
                <w:r w:rsidRPr="0073129F">
                  <w:rPr>
                    <w:rFonts w:ascii="Arial" w:hAnsi="Arial"/>
                    <w:noProof/>
                    <w:webHidden/>
                  </w:rPr>
                  <w:fldChar w:fldCharType="end"/>
                </w:r>
              </w:hyperlink>
            </w:p>
            <w:p w14:paraId="6E08A819" w14:textId="6B52BDBD" w:rsidR="00797623" w:rsidRPr="0073129F" w:rsidRDefault="00797623" w:rsidP="00ED4EE5">
              <w:pPr>
                <w:pStyle w:val="TOC2"/>
                <w:tabs>
                  <w:tab w:val="right" w:leader="dot" w:pos="9376"/>
                </w:tabs>
                <w:spacing w:line="360" w:lineRule="auto"/>
                <w:rPr>
                  <w:rFonts w:ascii="Arial" w:eastAsiaTheme="minorEastAsia" w:hAnsi="Arial"/>
                  <w:noProof/>
                  <w:kern w:val="2"/>
                  <w:sz w:val="24"/>
                  <w:szCs w:val="24"/>
                  <w14:ligatures w14:val="standardContextual"/>
                </w:rPr>
              </w:pPr>
              <w:hyperlink w:anchor="_Toc235140609" w:history="1">
                <w:r w:rsidRPr="0073129F">
                  <w:rPr>
                    <w:rStyle w:val="Hyperlink"/>
                    <w:rFonts w:ascii="Arial" w:hAnsi="Arial"/>
                    <w:noProof/>
                  </w:rPr>
                  <w:t>2.2 Psychological Implications</w:t>
                </w:r>
                <w:r w:rsidRPr="0073129F">
                  <w:rPr>
                    <w:rFonts w:ascii="Arial" w:hAnsi="Arial"/>
                    <w:noProof/>
                    <w:webHidden/>
                  </w:rPr>
                  <w:tab/>
                </w:r>
                <w:r w:rsidRPr="0073129F">
                  <w:rPr>
                    <w:rFonts w:ascii="Arial" w:hAnsi="Arial"/>
                    <w:noProof/>
                    <w:webHidden/>
                  </w:rPr>
                  <w:fldChar w:fldCharType="begin"/>
                </w:r>
                <w:r w:rsidRPr="0073129F">
                  <w:rPr>
                    <w:rFonts w:ascii="Arial" w:hAnsi="Arial"/>
                    <w:noProof/>
                    <w:webHidden/>
                  </w:rPr>
                  <w:instrText xml:space="preserve"> PAGEREF _Toc235140609 \h </w:instrText>
                </w:r>
                <w:r w:rsidRPr="0073129F">
                  <w:rPr>
                    <w:rFonts w:ascii="Arial" w:hAnsi="Arial"/>
                    <w:noProof/>
                    <w:webHidden/>
                  </w:rPr>
                </w:r>
                <w:r w:rsidRPr="0073129F">
                  <w:rPr>
                    <w:rFonts w:ascii="Arial" w:hAnsi="Arial"/>
                    <w:noProof/>
                    <w:webHidden/>
                  </w:rPr>
                  <w:fldChar w:fldCharType="separate"/>
                </w:r>
                <w:r w:rsidRPr="0073129F">
                  <w:rPr>
                    <w:rFonts w:ascii="Arial" w:hAnsi="Arial"/>
                    <w:noProof/>
                    <w:webHidden/>
                  </w:rPr>
                  <w:t>4</w:t>
                </w:r>
                <w:r w:rsidRPr="0073129F">
                  <w:rPr>
                    <w:rFonts w:ascii="Arial" w:hAnsi="Arial"/>
                    <w:noProof/>
                    <w:webHidden/>
                  </w:rPr>
                  <w:fldChar w:fldCharType="end"/>
                </w:r>
              </w:hyperlink>
            </w:p>
            <w:p w14:paraId="5D25A710" w14:textId="7643F165" w:rsidR="00797623" w:rsidRPr="0073129F" w:rsidRDefault="00797623" w:rsidP="00ED4EE5">
              <w:pPr>
                <w:pStyle w:val="TOC2"/>
                <w:tabs>
                  <w:tab w:val="right" w:leader="dot" w:pos="9376"/>
                </w:tabs>
                <w:spacing w:line="360" w:lineRule="auto"/>
                <w:rPr>
                  <w:rFonts w:ascii="Arial" w:eastAsiaTheme="minorEastAsia" w:hAnsi="Arial"/>
                  <w:noProof/>
                  <w:kern w:val="2"/>
                  <w:sz w:val="24"/>
                  <w:szCs w:val="24"/>
                  <w14:ligatures w14:val="standardContextual"/>
                </w:rPr>
              </w:pPr>
              <w:hyperlink w:anchor="_Toc235140610" w:history="1">
                <w:r w:rsidRPr="0073129F">
                  <w:rPr>
                    <w:rStyle w:val="Hyperlink"/>
                    <w:rFonts w:ascii="Arial" w:hAnsi="Arial"/>
                    <w:noProof/>
                  </w:rPr>
                  <w:t>2.3 Social and Family Implications</w:t>
                </w:r>
                <w:r w:rsidRPr="0073129F">
                  <w:rPr>
                    <w:rFonts w:ascii="Arial" w:hAnsi="Arial"/>
                    <w:noProof/>
                    <w:webHidden/>
                  </w:rPr>
                  <w:tab/>
                </w:r>
                <w:r w:rsidRPr="0073129F">
                  <w:rPr>
                    <w:rFonts w:ascii="Arial" w:hAnsi="Arial"/>
                    <w:noProof/>
                    <w:webHidden/>
                  </w:rPr>
                  <w:fldChar w:fldCharType="begin"/>
                </w:r>
                <w:r w:rsidRPr="0073129F">
                  <w:rPr>
                    <w:rFonts w:ascii="Arial" w:hAnsi="Arial"/>
                    <w:noProof/>
                    <w:webHidden/>
                  </w:rPr>
                  <w:instrText xml:space="preserve"> PAGEREF _Toc235140610 \h </w:instrText>
                </w:r>
                <w:r w:rsidRPr="0073129F">
                  <w:rPr>
                    <w:rFonts w:ascii="Arial" w:hAnsi="Arial"/>
                    <w:noProof/>
                    <w:webHidden/>
                  </w:rPr>
                </w:r>
                <w:r w:rsidRPr="0073129F">
                  <w:rPr>
                    <w:rFonts w:ascii="Arial" w:hAnsi="Arial"/>
                    <w:noProof/>
                    <w:webHidden/>
                  </w:rPr>
                  <w:fldChar w:fldCharType="separate"/>
                </w:r>
                <w:r w:rsidRPr="0073129F">
                  <w:rPr>
                    <w:rFonts w:ascii="Arial" w:hAnsi="Arial"/>
                    <w:noProof/>
                    <w:webHidden/>
                  </w:rPr>
                  <w:t>5</w:t>
                </w:r>
                <w:r w:rsidRPr="0073129F">
                  <w:rPr>
                    <w:rFonts w:ascii="Arial" w:hAnsi="Arial"/>
                    <w:noProof/>
                    <w:webHidden/>
                  </w:rPr>
                  <w:fldChar w:fldCharType="end"/>
                </w:r>
              </w:hyperlink>
            </w:p>
            <w:p w14:paraId="088704E1" w14:textId="7168BC03" w:rsidR="00797623" w:rsidRPr="0073129F" w:rsidRDefault="00797623" w:rsidP="00ED4EE5">
              <w:pPr>
                <w:pStyle w:val="TOC1"/>
                <w:rPr>
                  <w:rFonts w:eastAsiaTheme="minorEastAsia"/>
                  <w:kern w:val="2"/>
                  <w14:ligatures w14:val="standardContextual"/>
                </w:rPr>
              </w:pPr>
              <w:hyperlink w:anchor="_Toc235140611" w:history="1">
                <w:r w:rsidRPr="0073129F">
                  <w:rPr>
                    <w:rStyle w:val="Hyperlink"/>
                    <w:i w:val="0"/>
                    <w:iCs w:val="0"/>
                  </w:rPr>
                  <w:t>3. Evidence-Based NHS Treatments</w:t>
                </w:r>
                <w:r w:rsidRPr="0073129F">
                  <w:rPr>
                    <w:webHidden/>
                  </w:rPr>
                  <w:tab/>
                </w:r>
                <w:r w:rsidRPr="0073129F">
                  <w:rPr>
                    <w:webHidden/>
                  </w:rPr>
                  <w:fldChar w:fldCharType="begin"/>
                </w:r>
                <w:r w:rsidRPr="0073129F">
                  <w:rPr>
                    <w:webHidden/>
                  </w:rPr>
                  <w:instrText xml:space="preserve"> PAGEREF _Toc235140611 \h </w:instrText>
                </w:r>
                <w:r w:rsidRPr="0073129F">
                  <w:rPr>
                    <w:webHidden/>
                  </w:rPr>
                </w:r>
                <w:r w:rsidRPr="0073129F">
                  <w:rPr>
                    <w:webHidden/>
                  </w:rPr>
                  <w:fldChar w:fldCharType="separate"/>
                </w:r>
                <w:r w:rsidRPr="0073129F">
                  <w:rPr>
                    <w:webHidden/>
                  </w:rPr>
                  <w:t>5</w:t>
                </w:r>
                <w:r w:rsidRPr="0073129F">
                  <w:rPr>
                    <w:webHidden/>
                  </w:rPr>
                  <w:fldChar w:fldCharType="end"/>
                </w:r>
              </w:hyperlink>
            </w:p>
            <w:p w14:paraId="3ED2ED13" w14:textId="0E3A2769" w:rsidR="00797623" w:rsidRPr="0073129F" w:rsidRDefault="00797623" w:rsidP="00ED4EE5">
              <w:pPr>
                <w:pStyle w:val="TOC1"/>
                <w:rPr>
                  <w:rFonts w:eastAsiaTheme="minorEastAsia"/>
                  <w:kern w:val="2"/>
                  <w14:ligatures w14:val="standardContextual"/>
                </w:rPr>
              </w:pPr>
              <w:hyperlink w:anchor="_Toc235140612" w:history="1">
                <w:r w:rsidRPr="0073129F">
                  <w:rPr>
                    <w:rStyle w:val="Hyperlink"/>
                    <w:i w:val="0"/>
                    <w:iCs w:val="0"/>
                  </w:rPr>
                  <w:t>4.  Theoretical Frameworks for Improved Outcomes</w:t>
                </w:r>
                <w:r w:rsidRPr="0073129F">
                  <w:rPr>
                    <w:webHidden/>
                  </w:rPr>
                  <w:tab/>
                </w:r>
                <w:r w:rsidRPr="0073129F">
                  <w:rPr>
                    <w:webHidden/>
                  </w:rPr>
                  <w:fldChar w:fldCharType="begin"/>
                </w:r>
                <w:r w:rsidRPr="0073129F">
                  <w:rPr>
                    <w:webHidden/>
                  </w:rPr>
                  <w:instrText xml:space="preserve"> PAGEREF _Toc235140612 \h </w:instrText>
                </w:r>
                <w:r w:rsidRPr="0073129F">
                  <w:rPr>
                    <w:webHidden/>
                  </w:rPr>
                </w:r>
                <w:r w:rsidRPr="0073129F">
                  <w:rPr>
                    <w:webHidden/>
                  </w:rPr>
                  <w:fldChar w:fldCharType="separate"/>
                </w:r>
                <w:r w:rsidRPr="0073129F">
                  <w:rPr>
                    <w:webHidden/>
                  </w:rPr>
                  <w:t>5</w:t>
                </w:r>
                <w:r w:rsidRPr="0073129F">
                  <w:rPr>
                    <w:webHidden/>
                  </w:rPr>
                  <w:fldChar w:fldCharType="end"/>
                </w:r>
              </w:hyperlink>
            </w:p>
            <w:p w14:paraId="3CDDDABA" w14:textId="60D6B263" w:rsidR="00797623" w:rsidRPr="0073129F" w:rsidRDefault="00797623" w:rsidP="00ED4EE5">
              <w:pPr>
                <w:pStyle w:val="TOC2"/>
                <w:tabs>
                  <w:tab w:val="right" w:leader="dot" w:pos="9376"/>
                </w:tabs>
                <w:spacing w:line="360" w:lineRule="auto"/>
                <w:rPr>
                  <w:rFonts w:ascii="Arial" w:eastAsiaTheme="minorEastAsia" w:hAnsi="Arial"/>
                  <w:noProof/>
                  <w:kern w:val="2"/>
                  <w:sz w:val="24"/>
                  <w:szCs w:val="24"/>
                  <w14:ligatures w14:val="standardContextual"/>
                </w:rPr>
              </w:pPr>
              <w:hyperlink w:anchor="_Toc235140613" w:history="1">
                <w:r w:rsidRPr="0073129F">
                  <w:rPr>
                    <w:rStyle w:val="Hyperlink"/>
                    <w:rFonts w:ascii="Arial" w:hAnsi="Arial"/>
                    <w:noProof/>
                  </w:rPr>
                  <w:t>4.1 UK Model: The House of Care Framework</w:t>
                </w:r>
                <w:r w:rsidRPr="0073129F">
                  <w:rPr>
                    <w:rFonts w:ascii="Arial" w:hAnsi="Arial"/>
                    <w:noProof/>
                    <w:webHidden/>
                  </w:rPr>
                  <w:tab/>
                </w:r>
                <w:r w:rsidRPr="0073129F">
                  <w:rPr>
                    <w:rFonts w:ascii="Arial" w:hAnsi="Arial"/>
                    <w:noProof/>
                    <w:webHidden/>
                  </w:rPr>
                  <w:fldChar w:fldCharType="begin"/>
                </w:r>
                <w:r w:rsidRPr="0073129F">
                  <w:rPr>
                    <w:rFonts w:ascii="Arial" w:hAnsi="Arial"/>
                    <w:noProof/>
                    <w:webHidden/>
                  </w:rPr>
                  <w:instrText xml:space="preserve"> PAGEREF _Toc235140613 \h </w:instrText>
                </w:r>
                <w:r w:rsidRPr="0073129F">
                  <w:rPr>
                    <w:rFonts w:ascii="Arial" w:hAnsi="Arial"/>
                    <w:noProof/>
                    <w:webHidden/>
                  </w:rPr>
                </w:r>
                <w:r w:rsidRPr="0073129F">
                  <w:rPr>
                    <w:rFonts w:ascii="Arial" w:hAnsi="Arial"/>
                    <w:noProof/>
                    <w:webHidden/>
                  </w:rPr>
                  <w:fldChar w:fldCharType="separate"/>
                </w:r>
                <w:r w:rsidRPr="0073129F">
                  <w:rPr>
                    <w:rFonts w:ascii="Arial" w:hAnsi="Arial"/>
                    <w:noProof/>
                    <w:webHidden/>
                  </w:rPr>
                  <w:t>5</w:t>
                </w:r>
                <w:r w:rsidRPr="0073129F">
                  <w:rPr>
                    <w:rFonts w:ascii="Arial" w:hAnsi="Arial"/>
                    <w:noProof/>
                    <w:webHidden/>
                  </w:rPr>
                  <w:fldChar w:fldCharType="end"/>
                </w:r>
              </w:hyperlink>
            </w:p>
            <w:p w14:paraId="261CEFD5" w14:textId="6CC7B09C" w:rsidR="00797623" w:rsidRPr="0073129F" w:rsidRDefault="00797623" w:rsidP="00ED4EE5">
              <w:pPr>
                <w:pStyle w:val="TOC2"/>
                <w:tabs>
                  <w:tab w:val="right" w:leader="dot" w:pos="9376"/>
                </w:tabs>
                <w:spacing w:line="360" w:lineRule="auto"/>
                <w:rPr>
                  <w:rFonts w:ascii="Arial" w:eastAsiaTheme="minorEastAsia" w:hAnsi="Arial"/>
                  <w:noProof/>
                  <w:kern w:val="2"/>
                  <w:sz w:val="24"/>
                  <w:szCs w:val="24"/>
                  <w14:ligatures w14:val="standardContextual"/>
                </w:rPr>
              </w:pPr>
              <w:hyperlink w:anchor="_Toc235140614" w:history="1">
                <w:r w:rsidRPr="0073129F">
                  <w:rPr>
                    <w:rStyle w:val="Hyperlink"/>
                    <w:rFonts w:ascii="Arial" w:hAnsi="Arial"/>
                    <w:noProof/>
                  </w:rPr>
                  <w:t>4.2 International Model: EULAR Treat-to-Target</w:t>
                </w:r>
                <w:r w:rsidRPr="0073129F">
                  <w:rPr>
                    <w:rFonts w:ascii="Arial" w:hAnsi="Arial"/>
                    <w:noProof/>
                    <w:webHidden/>
                  </w:rPr>
                  <w:tab/>
                </w:r>
                <w:r w:rsidRPr="0073129F">
                  <w:rPr>
                    <w:rFonts w:ascii="Arial" w:hAnsi="Arial"/>
                    <w:noProof/>
                    <w:webHidden/>
                  </w:rPr>
                  <w:fldChar w:fldCharType="begin"/>
                </w:r>
                <w:r w:rsidRPr="0073129F">
                  <w:rPr>
                    <w:rFonts w:ascii="Arial" w:hAnsi="Arial"/>
                    <w:noProof/>
                    <w:webHidden/>
                  </w:rPr>
                  <w:instrText xml:space="preserve"> PAGEREF _Toc235140614 \h </w:instrText>
                </w:r>
                <w:r w:rsidRPr="0073129F">
                  <w:rPr>
                    <w:rFonts w:ascii="Arial" w:hAnsi="Arial"/>
                    <w:noProof/>
                    <w:webHidden/>
                  </w:rPr>
                </w:r>
                <w:r w:rsidRPr="0073129F">
                  <w:rPr>
                    <w:rFonts w:ascii="Arial" w:hAnsi="Arial"/>
                    <w:noProof/>
                    <w:webHidden/>
                  </w:rPr>
                  <w:fldChar w:fldCharType="separate"/>
                </w:r>
                <w:r w:rsidRPr="0073129F">
                  <w:rPr>
                    <w:rFonts w:ascii="Arial" w:hAnsi="Arial"/>
                    <w:noProof/>
                    <w:webHidden/>
                  </w:rPr>
                  <w:t>6</w:t>
                </w:r>
                <w:r w:rsidRPr="0073129F">
                  <w:rPr>
                    <w:rFonts w:ascii="Arial" w:hAnsi="Arial"/>
                    <w:noProof/>
                    <w:webHidden/>
                  </w:rPr>
                  <w:fldChar w:fldCharType="end"/>
                </w:r>
              </w:hyperlink>
            </w:p>
            <w:p w14:paraId="3F298530" w14:textId="03AC0FB5" w:rsidR="00797623" w:rsidRPr="0073129F" w:rsidRDefault="00797623" w:rsidP="00ED4EE5">
              <w:pPr>
                <w:pStyle w:val="TOC1"/>
                <w:rPr>
                  <w:rFonts w:eastAsiaTheme="minorEastAsia"/>
                  <w:kern w:val="2"/>
                  <w14:ligatures w14:val="standardContextual"/>
                </w:rPr>
              </w:pPr>
              <w:r w:rsidRPr="0073129F">
                <w:rPr>
                  <w:rStyle w:val="Hyperlink"/>
                  <w:i w:val="0"/>
                  <w:iCs w:val="0"/>
                </w:rPr>
                <w:fldChar w:fldCharType="begin"/>
              </w:r>
              <w:r w:rsidRPr="0073129F">
                <w:rPr>
                  <w:rStyle w:val="Hyperlink"/>
                  <w:i w:val="0"/>
                  <w:iCs w:val="0"/>
                </w:rPr>
                <w:instrText xml:space="preserve"> </w:instrText>
              </w:r>
              <w:r w:rsidRPr="0073129F">
                <w:instrText>HYPERLINK \l "_Toc235140615"</w:instrText>
              </w:r>
              <w:r w:rsidRPr="0073129F">
                <w:rPr>
                  <w:rStyle w:val="Hyperlink"/>
                  <w:i w:val="0"/>
                  <w:iCs w:val="0"/>
                </w:rPr>
                <w:instrText xml:space="preserve"> </w:instrText>
              </w:r>
              <w:r w:rsidRPr="0073129F">
                <w:rPr>
                  <w:rStyle w:val="Hyperlink"/>
                  <w:i w:val="0"/>
                  <w:iCs w:val="0"/>
                </w:rPr>
              </w:r>
              <w:r w:rsidRPr="0073129F">
                <w:rPr>
                  <w:rStyle w:val="Hyperlink"/>
                  <w:i w:val="0"/>
                  <w:iCs w:val="0"/>
                </w:rPr>
                <w:fldChar w:fldCharType="separate"/>
              </w:r>
              <w:r w:rsidRPr="0073129F">
                <w:rPr>
                  <w:rStyle w:val="Hyperlink"/>
                  <w:i w:val="0"/>
                  <w:iCs w:val="0"/>
                </w:rPr>
                <w:t>5.  Health and Social Care Policy Agendas</w:t>
              </w:r>
              <w:r w:rsidRPr="0073129F">
                <w:rPr>
                  <w:webHidden/>
                </w:rPr>
                <w:tab/>
              </w:r>
              <w:r w:rsidRPr="0073129F">
                <w:rPr>
                  <w:webHidden/>
                </w:rPr>
                <w:fldChar w:fldCharType="begin"/>
              </w:r>
              <w:r w:rsidRPr="0073129F">
                <w:rPr>
                  <w:webHidden/>
                </w:rPr>
                <w:instrText xml:space="preserve"> PAGEREF _Toc235140615 \h </w:instrText>
              </w:r>
              <w:r w:rsidRPr="0073129F">
                <w:rPr>
                  <w:webHidden/>
                </w:rPr>
              </w:r>
              <w:r w:rsidRPr="0073129F">
                <w:rPr>
                  <w:webHidden/>
                </w:rPr>
                <w:fldChar w:fldCharType="separate"/>
              </w:r>
              <w:r w:rsidRPr="0073129F">
                <w:rPr>
                  <w:webHidden/>
                </w:rPr>
                <w:t>7</w:t>
              </w:r>
              <w:r w:rsidRPr="0073129F">
                <w:rPr>
                  <w:webHidden/>
                </w:rPr>
                <w:fldChar w:fldCharType="end"/>
              </w:r>
              <w:r w:rsidRPr="0073129F">
                <w:rPr>
                  <w:rStyle w:val="Hyperlink"/>
                  <w:i w:val="0"/>
                  <w:iCs w:val="0"/>
                </w:rPr>
                <w:fldChar w:fldCharType="end"/>
              </w:r>
            </w:p>
            <w:p w14:paraId="36E74EDE" w14:textId="7EA2193A" w:rsidR="00797623" w:rsidRPr="0073129F" w:rsidRDefault="00797623" w:rsidP="00ED4EE5">
              <w:pPr>
                <w:pStyle w:val="TOC1"/>
                <w:rPr>
                  <w:rFonts w:eastAsiaTheme="minorEastAsia"/>
                  <w:kern w:val="2"/>
                  <w14:ligatures w14:val="standardContextual"/>
                </w:rPr>
              </w:pPr>
              <w:hyperlink w:anchor="_Toc235140616" w:history="1">
                <w:r w:rsidRPr="0073129F">
                  <w:rPr>
                    <w:rStyle w:val="Hyperlink"/>
                    <w:i w:val="0"/>
                    <w:iCs w:val="0"/>
                  </w:rPr>
                  <w:t>6.  Recommendations for Improvement</w:t>
                </w:r>
                <w:r w:rsidRPr="0073129F">
                  <w:rPr>
                    <w:webHidden/>
                  </w:rPr>
                  <w:tab/>
                </w:r>
                <w:r w:rsidRPr="0073129F">
                  <w:rPr>
                    <w:webHidden/>
                  </w:rPr>
                  <w:fldChar w:fldCharType="begin"/>
                </w:r>
                <w:r w:rsidRPr="0073129F">
                  <w:rPr>
                    <w:webHidden/>
                  </w:rPr>
                  <w:instrText xml:space="preserve"> PAGEREF _Toc235140616 \h </w:instrText>
                </w:r>
                <w:r w:rsidRPr="0073129F">
                  <w:rPr>
                    <w:webHidden/>
                  </w:rPr>
                </w:r>
                <w:r w:rsidRPr="0073129F">
                  <w:rPr>
                    <w:webHidden/>
                  </w:rPr>
                  <w:fldChar w:fldCharType="separate"/>
                </w:r>
                <w:r w:rsidRPr="0073129F">
                  <w:rPr>
                    <w:webHidden/>
                  </w:rPr>
                  <w:t>8</w:t>
                </w:r>
                <w:r w:rsidRPr="0073129F">
                  <w:rPr>
                    <w:webHidden/>
                  </w:rPr>
                  <w:fldChar w:fldCharType="end"/>
                </w:r>
              </w:hyperlink>
            </w:p>
            <w:p w14:paraId="62C9589D" w14:textId="6BFBF189" w:rsidR="00797623" w:rsidRPr="0073129F" w:rsidRDefault="00797623" w:rsidP="00ED4EE5">
              <w:pPr>
                <w:pStyle w:val="TOC2"/>
                <w:tabs>
                  <w:tab w:val="right" w:leader="dot" w:pos="9376"/>
                </w:tabs>
                <w:spacing w:line="360" w:lineRule="auto"/>
                <w:rPr>
                  <w:rFonts w:ascii="Arial" w:eastAsiaTheme="minorEastAsia" w:hAnsi="Arial"/>
                  <w:noProof/>
                  <w:kern w:val="2"/>
                  <w:sz w:val="24"/>
                  <w:szCs w:val="24"/>
                  <w14:ligatures w14:val="standardContextual"/>
                </w:rPr>
              </w:pPr>
              <w:hyperlink w:anchor="_Toc235140617" w:history="1">
                <w:r w:rsidRPr="0073129F">
                  <w:rPr>
                    <w:rStyle w:val="Hyperlink"/>
                    <w:rFonts w:ascii="Arial" w:hAnsi="Arial"/>
                    <w:noProof/>
                  </w:rPr>
                  <w:t>6.1 Person-Centred Care</w:t>
                </w:r>
                <w:r w:rsidRPr="0073129F">
                  <w:rPr>
                    <w:rFonts w:ascii="Arial" w:hAnsi="Arial"/>
                    <w:noProof/>
                    <w:webHidden/>
                  </w:rPr>
                  <w:tab/>
                </w:r>
                <w:r w:rsidRPr="0073129F">
                  <w:rPr>
                    <w:rFonts w:ascii="Arial" w:hAnsi="Arial"/>
                    <w:noProof/>
                    <w:webHidden/>
                  </w:rPr>
                  <w:fldChar w:fldCharType="begin"/>
                </w:r>
                <w:r w:rsidRPr="0073129F">
                  <w:rPr>
                    <w:rFonts w:ascii="Arial" w:hAnsi="Arial"/>
                    <w:noProof/>
                    <w:webHidden/>
                  </w:rPr>
                  <w:instrText xml:space="preserve"> PAGEREF _Toc235140617 \h </w:instrText>
                </w:r>
                <w:r w:rsidRPr="0073129F">
                  <w:rPr>
                    <w:rFonts w:ascii="Arial" w:hAnsi="Arial"/>
                    <w:noProof/>
                    <w:webHidden/>
                  </w:rPr>
                </w:r>
                <w:r w:rsidRPr="0073129F">
                  <w:rPr>
                    <w:rFonts w:ascii="Arial" w:hAnsi="Arial"/>
                    <w:noProof/>
                    <w:webHidden/>
                  </w:rPr>
                  <w:fldChar w:fldCharType="separate"/>
                </w:r>
                <w:r w:rsidRPr="0073129F">
                  <w:rPr>
                    <w:rFonts w:ascii="Arial" w:hAnsi="Arial"/>
                    <w:noProof/>
                    <w:webHidden/>
                  </w:rPr>
                  <w:t>8</w:t>
                </w:r>
                <w:r w:rsidRPr="0073129F">
                  <w:rPr>
                    <w:rFonts w:ascii="Arial" w:hAnsi="Arial"/>
                    <w:noProof/>
                    <w:webHidden/>
                  </w:rPr>
                  <w:fldChar w:fldCharType="end"/>
                </w:r>
              </w:hyperlink>
            </w:p>
            <w:p w14:paraId="61596131" w14:textId="064A671C" w:rsidR="00797623" w:rsidRPr="0073129F" w:rsidRDefault="00797623" w:rsidP="00ED4EE5">
              <w:pPr>
                <w:pStyle w:val="TOC2"/>
                <w:tabs>
                  <w:tab w:val="right" w:leader="dot" w:pos="9376"/>
                </w:tabs>
                <w:spacing w:line="360" w:lineRule="auto"/>
                <w:rPr>
                  <w:rFonts w:ascii="Arial" w:eastAsiaTheme="minorEastAsia" w:hAnsi="Arial"/>
                  <w:noProof/>
                  <w:kern w:val="2"/>
                  <w:sz w:val="24"/>
                  <w:szCs w:val="24"/>
                  <w14:ligatures w14:val="standardContextual"/>
                </w:rPr>
              </w:pPr>
              <w:hyperlink w:anchor="_Toc235140618" w:history="1">
                <w:r w:rsidRPr="0073129F">
                  <w:rPr>
                    <w:rStyle w:val="Hyperlink"/>
                    <w:rFonts w:ascii="Arial" w:hAnsi="Arial"/>
                    <w:noProof/>
                  </w:rPr>
                  <w:t>6.2 Self-Management Support</w:t>
                </w:r>
                <w:r w:rsidRPr="0073129F">
                  <w:rPr>
                    <w:rFonts w:ascii="Arial" w:hAnsi="Arial"/>
                    <w:noProof/>
                    <w:webHidden/>
                  </w:rPr>
                  <w:tab/>
                </w:r>
                <w:r w:rsidRPr="0073129F">
                  <w:rPr>
                    <w:rFonts w:ascii="Arial" w:hAnsi="Arial"/>
                    <w:noProof/>
                    <w:webHidden/>
                  </w:rPr>
                  <w:fldChar w:fldCharType="begin"/>
                </w:r>
                <w:r w:rsidRPr="0073129F">
                  <w:rPr>
                    <w:rFonts w:ascii="Arial" w:hAnsi="Arial"/>
                    <w:noProof/>
                    <w:webHidden/>
                  </w:rPr>
                  <w:instrText xml:space="preserve"> PAGEREF _Toc235140618 \h </w:instrText>
                </w:r>
                <w:r w:rsidRPr="0073129F">
                  <w:rPr>
                    <w:rFonts w:ascii="Arial" w:hAnsi="Arial"/>
                    <w:noProof/>
                    <w:webHidden/>
                  </w:rPr>
                </w:r>
                <w:r w:rsidRPr="0073129F">
                  <w:rPr>
                    <w:rFonts w:ascii="Arial" w:hAnsi="Arial"/>
                    <w:noProof/>
                    <w:webHidden/>
                  </w:rPr>
                  <w:fldChar w:fldCharType="separate"/>
                </w:r>
                <w:r w:rsidRPr="0073129F">
                  <w:rPr>
                    <w:rFonts w:ascii="Arial" w:hAnsi="Arial"/>
                    <w:noProof/>
                    <w:webHidden/>
                  </w:rPr>
                  <w:t>8</w:t>
                </w:r>
                <w:r w:rsidRPr="0073129F">
                  <w:rPr>
                    <w:rFonts w:ascii="Arial" w:hAnsi="Arial"/>
                    <w:noProof/>
                    <w:webHidden/>
                  </w:rPr>
                  <w:fldChar w:fldCharType="end"/>
                </w:r>
              </w:hyperlink>
            </w:p>
            <w:p w14:paraId="3CF26CB1" w14:textId="2BED48C2" w:rsidR="00797623" w:rsidRPr="0073129F" w:rsidRDefault="00797623" w:rsidP="00ED4EE5">
              <w:pPr>
                <w:pStyle w:val="TOC2"/>
                <w:tabs>
                  <w:tab w:val="right" w:leader="dot" w:pos="9376"/>
                </w:tabs>
                <w:spacing w:line="360" w:lineRule="auto"/>
                <w:rPr>
                  <w:rFonts w:ascii="Arial" w:eastAsiaTheme="minorEastAsia" w:hAnsi="Arial"/>
                  <w:noProof/>
                  <w:kern w:val="2"/>
                  <w:sz w:val="24"/>
                  <w:szCs w:val="24"/>
                  <w14:ligatures w14:val="standardContextual"/>
                </w:rPr>
              </w:pPr>
              <w:hyperlink w:anchor="_Toc235140619" w:history="1">
                <w:r w:rsidRPr="0073129F">
                  <w:rPr>
                    <w:rStyle w:val="Hyperlink"/>
                    <w:rFonts w:ascii="Arial" w:hAnsi="Arial"/>
                    <w:noProof/>
                  </w:rPr>
                  <w:t>6.3 Addressing Health Inequalities</w:t>
                </w:r>
                <w:r w:rsidRPr="0073129F">
                  <w:rPr>
                    <w:rFonts w:ascii="Arial" w:hAnsi="Arial"/>
                    <w:noProof/>
                    <w:webHidden/>
                  </w:rPr>
                  <w:tab/>
                </w:r>
                <w:r w:rsidRPr="0073129F">
                  <w:rPr>
                    <w:rFonts w:ascii="Arial" w:hAnsi="Arial"/>
                    <w:noProof/>
                    <w:webHidden/>
                  </w:rPr>
                  <w:fldChar w:fldCharType="begin"/>
                </w:r>
                <w:r w:rsidRPr="0073129F">
                  <w:rPr>
                    <w:rFonts w:ascii="Arial" w:hAnsi="Arial"/>
                    <w:noProof/>
                    <w:webHidden/>
                  </w:rPr>
                  <w:instrText xml:space="preserve"> PAGEREF _Toc235140619 \h </w:instrText>
                </w:r>
                <w:r w:rsidRPr="0073129F">
                  <w:rPr>
                    <w:rFonts w:ascii="Arial" w:hAnsi="Arial"/>
                    <w:noProof/>
                    <w:webHidden/>
                  </w:rPr>
                </w:r>
                <w:r w:rsidRPr="0073129F">
                  <w:rPr>
                    <w:rFonts w:ascii="Arial" w:hAnsi="Arial"/>
                    <w:noProof/>
                    <w:webHidden/>
                  </w:rPr>
                  <w:fldChar w:fldCharType="separate"/>
                </w:r>
                <w:r w:rsidRPr="0073129F">
                  <w:rPr>
                    <w:rFonts w:ascii="Arial" w:hAnsi="Arial"/>
                    <w:noProof/>
                    <w:webHidden/>
                  </w:rPr>
                  <w:t>8</w:t>
                </w:r>
                <w:r w:rsidRPr="0073129F">
                  <w:rPr>
                    <w:rFonts w:ascii="Arial" w:hAnsi="Arial"/>
                    <w:noProof/>
                    <w:webHidden/>
                  </w:rPr>
                  <w:fldChar w:fldCharType="end"/>
                </w:r>
              </w:hyperlink>
            </w:p>
            <w:p w14:paraId="3B409E9D" w14:textId="16107641" w:rsidR="00797623" w:rsidRPr="0073129F" w:rsidRDefault="00797623" w:rsidP="00ED4EE5">
              <w:pPr>
                <w:pStyle w:val="TOC1"/>
                <w:rPr>
                  <w:rFonts w:eastAsiaTheme="minorEastAsia"/>
                  <w:kern w:val="2"/>
                  <w14:ligatures w14:val="standardContextual"/>
                </w:rPr>
              </w:pPr>
              <w:hyperlink w:anchor="_Toc235140620" w:history="1">
                <w:r w:rsidRPr="0073129F">
                  <w:rPr>
                    <w:rStyle w:val="Hyperlink"/>
                    <w:i w:val="0"/>
                    <w:iCs w:val="0"/>
                  </w:rPr>
                  <w:t>7.  Conclusion</w:t>
                </w:r>
                <w:r w:rsidRPr="0073129F">
                  <w:rPr>
                    <w:webHidden/>
                  </w:rPr>
                  <w:tab/>
                </w:r>
                <w:r w:rsidRPr="0073129F">
                  <w:rPr>
                    <w:webHidden/>
                  </w:rPr>
                  <w:fldChar w:fldCharType="begin"/>
                </w:r>
                <w:r w:rsidRPr="0073129F">
                  <w:rPr>
                    <w:webHidden/>
                  </w:rPr>
                  <w:instrText xml:space="preserve"> PAGEREF _Toc235140620 \h </w:instrText>
                </w:r>
                <w:r w:rsidRPr="0073129F">
                  <w:rPr>
                    <w:webHidden/>
                  </w:rPr>
                </w:r>
                <w:r w:rsidRPr="0073129F">
                  <w:rPr>
                    <w:webHidden/>
                  </w:rPr>
                  <w:fldChar w:fldCharType="separate"/>
                </w:r>
                <w:r w:rsidRPr="0073129F">
                  <w:rPr>
                    <w:webHidden/>
                  </w:rPr>
                  <w:t>9</w:t>
                </w:r>
                <w:r w:rsidRPr="0073129F">
                  <w:rPr>
                    <w:webHidden/>
                  </w:rPr>
                  <w:fldChar w:fldCharType="end"/>
                </w:r>
              </w:hyperlink>
            </w:p>
            <w:p w14:paraId="3911BE7C" w14:textId="4E9FCDA4" w:rsidR="00797623" w:rsidRPr="0073129F" w:rsidRDefault="00797623" w:rsidP="00ED4EE5">
              <w:pPr>
                <w:pStyle w:val="TOC1"/>
                <w:rPr>
                  <w:rFonts w:eastAsiaTheme="minorEastAsia"/>
                  <w:kern w:val="2"/>
                  <w14:ligatures w14:val="standardContextual"/>
                </w:rPr>
              </w:pPr>
              <w:hyperlink w:anchor="_Toc235140621" w:history="1">
                <w:r w:rsidRPr="0073129F">
                  <w:rPr>
                    <w:rStyle w:val="Hyperlink"/>
                    <w:i w:val="0"/>
                    <w:iCs w:val="0"/>
                  </w:rPr>
                  <w:t>References</w:t>
                </w:r>
                <w:r w:rsidRPr="0073129F">
                  <w:rPr>
                    <w:webHidden/>
                  </w:rPr>
                  <w:tab/>
                </w:r>
                <w:r w:rsidRPr="0073129F">
                  <w:rPr>
                    <w:webHidden/>
                  </w:rPr>
                  <w:fldChar w:fldCharType="begin"/>
                </w:r>
                <w:r w:rsidRPr="0073129F">
                  <w:rPr>
                    <w:webHidden/>
                  </w:rPr>
                  <w:instrText xml:space="preserve"> PAGEREF _Toc235140621 \h </w:instrText>
                </w:r>
                <w:r w:rsidRPr="0073129F">
                  <w:rPr>
                    <w:webHidden/>
                  </w:rPr>
                </w:r>
                <w:r w:rsidRPr="0073129F">
                  <w:rPr>
                    <w:webHidden/>
                  </w:rPr>
                  <w:fldChar w:fldCharType="separate"/>
                </w:r>
                <w:r w:rsidRPr="0073129F">
                  <w:rPr>
                    <w:webHidden/>
                  </w:rPr>
                  <w:t>9</w:t>
                </w:r>
                <w:r w:rsidRPr="0073129F">
                  <w:rPr>
                    <w:webHidden/>
                  </w:rPr>
                  <w:fldChar w:fldCharType="end"/>
                </w:r>
              </w:hyperlink>
            </w:p>
            <w:p w14:paraId="21B46F77" w14:textId="77777777" w:rsidR="00ED4EE5" w:rsidRDefault="002752D8" w:rsidP="00ED4EE5">
              <w:pPr>
                <w:spacing w:line="360" w:lineRule="auto"/>
                <w:jc w:val="center"/>
                <w:rPr>
                  <w:b/>
                  <w:bCs/>
                  <w:noProof/>
                </w:rPr>
              </w:pPr>
              <w:r w:rsidRPr="0073129F">
                <w:rPr>
                  <w:b/>
                  <w:bCs/>
                  <w:noProof/>
                </w:rPr>
                <w:fldChar w:fldCharType="end"/>
              </w:r>
            </w:p>
            <w:p w14:paraId="0E1BFFBF" w14:textId="750B85F9" w:rsidR="002752D8" w:rsidRPr="00ED4EE5" w:rsidRDefault="00ED4EE5" w:rsidP="00ED4EE5">
              <w:pPr>
                <w:spacing w:line="360" w:lineRule="auto"/>
                <w:jc w:val="center"/>
                <w:rPr>
                  <w:b/>
                  <w:bCs/>
                  <w:color w:val="153D63" w:themeColor="text2" w:themeTint="E6"/>
                  <w:sz w:val="36"/>
                  <w:szCs w:val="36"/>
                </w:rPr>
              </w:pPr>
              <w:r w:rsidRPr="00ED4EE5">
                <w:rPr>
                  <w:b/>
                  <w:bCs/>
                  <w:noProof/>
                  <w:color w:val="153D63" w:themeColor="text2" w:themeTint="E6"/>
                  <w:sz w:val="36"/>
                  <w:szCs w:val="36"/>
                </w:rPr>
                <w:t>T</w:t>
              </w:r>
              <w:r>
                <w:rPr>
                  <w:b/>
                  <w:bCs/>
                  <w:noProof/>
                  <w:color w:val="153D63" w:themeColor="text2" w:themeTint="E6"/>
                  <w:sz w:val="36"/>
                  <w:szCs w:val="36"/>
                </w:rPr>
                <w:t>able</w:t>
              </w:r>
              <w:r w:rsidRPr="00ED4EE5">
                <w:rPr>
                  <w:b/>
                  <w:bCs/>
                  <w:noProof/>
                  <w:color w:val="153D63" w:themeColor="text2" w:themeTint="E6"/>
                  <w:sz w:val="36"/>
                  <w:szCs w:val="36"/>
                </w:rPr>
                <w:t xml:space="preserve"> </w:t>
              </w:r>
              <w:r>
                <w:rPr>
                  <w:b/>
                  <w:bCs/>
                  <w:noProof/>
                  <w:color w:val="153D63" w:themeColor="text2" w:themeTint="E6"/>
                  <w:sz w:val="36"/>
                  <w:szCs w:val="36"/>
                </w:rPr>
                <w:t>of</w:t>
              </w:r>
              <w:r w:rsidRPr="00ED4EE5">
                <w:rPr>
                  <w:b/>
                  <w:bCs/>
                  <w:noProof/>
                  <w:color w:val="153D63" w:themeColor="text2" w:themeTint="E6"/>
                  <w:sz w:val="36"/>
                  <w:szCs w:val="36"/>
                </w:rPr>
                <w:t xml:space="preserve"> F</w:t>
              </w:r>
              <w:r>
                <w:rPr>
                  <w:b/>
                  <w:bCs/>
                  <w:noProof/>
                  <w:color w:val="153D63" w:themeColor="text2" w:themeTint="E6"/>
                  <w:sz w:val="36"/>
                  <w:szCs w:val="36"/>
                </w:rPr>
                <w:t>igures</w:t>
              </w:r>
            </w:p>
          </w:sdtContent>
        </w:sdt>
        <w:p w14:paraId="1B4EA707" w14:textId="09065E40" w:rsidR="00ED4EE5" w:rsidRPr="00ED4EE5" w:rsidRDefault="00ED4EE5" w:rsidP="00ED4EE5">
          <w:pPr>
            <w:pStyle w:val="TableofFigures"/>
            <w:tabs>
              <w:tab w:val="right" w:leader="dot" w:pos="9376"/>
            </w:tabs>
            <w:spacing w:line="360" w:lineRule="auto"/>
            <w:rPr>
              <w:b/>
              <w:bCs/>
              <w:noProof/>
            </w:rPr>
          </w:pPr>
          <w:r w:rsidRPr="00ED4EE5">
            <w:rPr>
              <w:b/>
              <w:bCs/>
              <w:sz w:val="28"/>
              <w:szCs w:val="28"/>
            </w:rPr>
            <w:fldChar w:fldCharType="begin"/>
          </w:r>
          <w:r w:rsidRPr="00ED4EE5">
            <w:rPr>
              <w:b/>
              <w:bCs/>
              <w:sz w:val="28"/>
              <w:szCs w:val="28"/>
            </w:rPr>
            <w:instrText xml:space="preserve"> TOC \h \z \c "Figure" </w:instrText>
          </w:r>
          <w:r w:rsidRPr="00ED4EE5">
            <w:rPr>
              <w:b/>
              <w:bCs/>
              <w:sz w:val="28"/>
              <w:szCs w:val="28"/>
            </w:rPr>
            <w:fldChar w:fldCharType="separate"/>
          </w:r>
          <w:hyperlink w:anchor="_Toc235141127" w:history="1">
            <w:r w:rsidRPr="00ED4EE5">
              <w:rPr>
                <w:rStyle w:val="Hyperlink"/>
                <w:b/>
                <w:bCs/>
                <w:noProof/>
              </w:rPr>
              <w:t>Figure 1 House of care framework</w:t>
            </w:r>
            <w:r w:rsidRPr="00ED4EE5">
              <w:rPr>
                <w:b/>
                <w:bCs/>
                <w:noProof/>
                <w:webHidden/>
              </w:rPr>
              <w:tab/>
            </w:r>
            <w:r w:rsidRPr="00ED4EE5">
              <w:rPr>
                <w:b/>
                <w:bCs/>
                <w:noProof/>
                <w:webHidden/>
              </w:rPr>
              <w:fldChar w:fldCharType="begin"/>
            </w:r>
            <w:r w:rsidRPr="00ED4EE5">
              <w:rPr>
                <w:b/>
                <w:bCs/>
                <w:noProof/>
                <w:webHidden/>
              </w:rPr>
              <w:instrText xml:space="preserve"> PAGEREF _Toc235141127 \h </w:instrText>
            </w:r>
            <w:r w:rsidRPr="00ED4EE5">
              <w:rPr>
                <w:b/>
                <w:bCs/>
                <w:noProof/>
                <w:webHidden/>
              </w:rPr>
            </w:r>
            <w:r w:rsidRPr="00ED4EE5">
              <w:rPr>
                <w:b/>
                <w:bCs/>
                <w:noProof/>
                <w:webHidden/>
              </w:rPr>
              <w:fldChar w:fldCharType="separate"/>
            </w:r>
            <w:r w:rsidRPr="00ED4EE5">
              <w:rPr>
                <w:b/>
                <w:bCs/>
                <w:noProof/>
                <w:webHidden/>
              </w:rPr>
              <w:t>6</w:t>
            </w:r>
            <w:r w:rsidRPr="00ED4EE5">
              <w:rPr>
                <w:b/>
                <w:bCs/>
                <w:noProof/>
                <w:webHidden/>
              </w:rPr>
              <w:fldChar w:fldCharType="end"/>
            </w:r>
          </w:hyperlink>
        </w:p>
        <w:p w14:paraId="336A8133" w14:textId="2A41FCA9" w:rsidR="00ED4EE5" w:rsidRPr="00ED4EE5" w:rsidRDefault="00ED4EE5" w:rsidP="00ED4EE5">
          <w:pPr>
            <w:pStyle w:val="TableofFigures"/>
            <w:tabs>
              <w:tab w:val="right" w:leader="dot" w:pos="9376"/>
            </w:tabs>
            <w:spacing w:line="360" w:lineRule="auto"/>
            <w:rPr>
              <w:b/>
              <w:bCs/>
              <w:noProof/>
            </w:rPr>
          </w:pPr>
          <w:hyperlink w:anchor="_Toc235141128" w:history="1">
            <w:r w:rsidRPr="00ED4EE5">
              <w:rPr>
                <w:rStyle w:val="Hyperlink"/>
                <w:b/>
                <w:bCs/>
                <w:noProof/>
              </w:rPr>
              <w:t>Figure 2 International Model: EULAR Treat-to-Target</w:t>
            </w:r>
            <w:r w:rsidRPr="00ED4EE5">
              <w:rPr>
                <w:b/>
                <w:bCs/>
                <w:noProof/>
                <w:webHidden/>
              </w:rPr>
              <w:tab/>
            </w:r>
            <w:r w:rsidRPr="00ED4EE5">
              <w:rPr>
                <w:b/>
                <w:bCs/>
                <w:noProof/>
                <w:webHidden/>
              </w:rPr>
              <w:fldChar w:fldCharType="begin"/>
            </w:r>
            <w:r w:rsidRPr="00ED4EE5">
              <w:rPr>
                <w:b/>
                <w:bCs/>
                <w:noProof/>
                <w:webHidden/>
              </w:rPr>
              <w:instrText xml:space="preserve"> PAGEREF _Toc235141128 \h </w:instrText>
            </w:r>
            <w:r w:rsidRPr="00ED4EE5">
              <w:rPr>
                <w:b/>
                <w:bCs/>
                <w:noProof/>
                <w:webHidden/>
              </w:rPr>
            </w:r>
            <w:r w:rsidRPr="00ED4EE5">
              <w:rPr>
                <w:b/>
                <w:bCs/>
                <w:noProof/>
                <w:webHidden/>
              </w:rPr>
              <w:fldChar w:fldCharType="separate"/>
            </w:r>
            <w:r w:rsidRPr="00ED4EE5">
              <w:rPr>
                <w:b/>
                <w:bCs/>
                <w:noProof/>
                <w:webHidden/>
              </w:rPr>
              <w:t>7</w:t>
            </w:r>
            <w:r w:rsidRPr="00ED4EE5">
              <w:rPr>
                <w:b/>
                <w:bCs/>
                <w:noProof/>
                <w:webHidden/>
              </w:rPr>
              <w:fldChar w:fldCharType="end"/>
            </w:r>
          </w:hyperlink>
        </w:p>
        <w:p w14:paraId="42D35F81" w14:textId="17EB4A36" w:rsidR="007D3BA8" w:rsidRPr="0073129F" w:rsidRDefault="00ED4EE5" w:rsidP="00ED4EE5">
          <w:pPr>
            <w:spacing w:line="360" w:lineRule="auto"/>
            <w:rPr>
              <w:b/>
              <w:bCs/>
              <w:sz w:val="28"/>
              <w:szCs w:val="28"/>
            </w:rPr>
          </w:pPr>
          <w:r w:rsidRPr="00ED4EE5">
            <w:rPr>
              <w:b/>
              <w:bCs/>
              <w:sz w:val="28"/>
              <w:szCs w:val="28"/>
            </w:rPr>
            <w:fldChar w:fldCharType="end"/>
          </w:r>
        </w:p>
      </w:sdtContent>
    </w:sdt>
    <w:p w14:paraId="04AEF72D" w14:textId="77777777" w:rsidR="007D3BA8" w:rsidRPr="0073129F" w:rsidRDefault="007D3BA8">
      <w:pPr>
        <w:rPr>
          <w:b/>
          <w:bCs/>
          <w:sz w:val="28"/>
          <w:szCs w:val="28"/>
        </w:rPr>
        <w:sectPr w:rsidR="007D3BA8" w:rsidRPr="0073129F" w:rsidSect="007D3BA8">
          <w:headerReference w:type="default" r:id="rId12"/>
          <w:footerReference w:type="default" r:id="rId13"/>
          <w:pgSz w:w="11906" w:h="16838"/>
          <w:pgMar w:top="1440" w:right="1260" w:bottom="1440" w:left="1260" w:header="708" w:footer="708" w:gutter="0"/>
          <w:pgBorders w:offsetFrom="page">
            <w:top w:val="single" w:sz="4" w:space="24" w:color="auto"/>
            <w:left w:val="single" w:sz="4" w:space="24" w:color="auto"/>
            <w:bottom w:val="single" w:sz="4" w:space="24" w:color="auto"/>
            <w:right w:val="single" w:sz="4" w:space="24" w:color="auto"/>
          </w:pgBorders>
          <w:pgNumType w:start="0"/>
          <w:cols w:space="720"/>
          <w:titlePg/>
          <w:docGrid w:linePitch="360"/>
        </w:sectPr>
      </w:pPr>
    </w:p>
    <w:p w14:paraId="67C6BA5D" w14:textId="06F1B5A7" w:rsidR="006730A7" w:rsidRPr="00ED4EE5" w:rsidRDefault="00797623" w:rsidP="00ED4EE5">
      <w:pPr>
        <w:pStyle w:val="Heading1"/>
      </w:pPr>
      <w:bookmarkStart w:id="0" w:name="_Toc235140601"/>
      <w:r w:rsidRPr="00797623">
        <w:br w:type="page"/>
      </w:r>
      <w:r w:rsidR="00000000" w:rsidRPr="00797623">
        <w:lastRenderedPageBreak/>
        <w:t>1.  Definition, Burden and Risk Factors</w:t>
      </w:r>
      <w:bookmarkEnd w:id="0"/>
    </w:p>
    <w:p w14:paraId="4DE86570" w14:textId="3165CD05" w:rsidR="006730A7" w:rsidRPr="00797623" w:rsidRDefault="00877010" w:rsidP="002752D8">
      <w:pPr>
        <w:pStyle w:val="Heading2"/>
        <w:rPr>
          <w:sz w:val="24"/>
          <w:szCs w:val="24"/>
        </w:rPr>
      </w:pPr>
      <w:bookmarkStart w:id="1" w:name="_Toc235140602"/>
      <w:r w:rsidRPr="00797623">
        <w:t>1.1 Definition and Pathophysiology</w:t>
      </w:r>
      <w:bookmarkEnd w:id="1"/>
    </w:p>
    <w:p w14:paraId="678869DA" w14:textId="460276F9" w:rsidR="006730A7" w:rsidRPr="00797623" w:rsidRDefault="00B931DF" w:rsidP="00797623">
      <w:pPr>
        <w:spacing w:line="276" w:lineRule="auto"/>
        <w:jc w:val="both"/>
        <w:rPr>
          <w:sz w:val="24"/>
          <w:szCs w:val="24"/>
        </w:rPr>
      </w:pPr>
      <w:r w:rsidRPr="00797623">
        <w:rPr>
          <w:sz w:val="24"/>
          <w:szCs w:val="24"/>
        </w:rPr>
        <w:t xml:space="preserve">Rheumatoid </w:t>
      </w:r>
      <w:r w:rsidR="00CA7549" w:rsidRPr="00797623">
        <w:rPr>
          <w:sz w:val="24"/>
          <w:szCs w:val="24"/>
        </w:rPr>
        <w:t>arthritis, often</w:t>
      </w:r>
      <w:r w:rsidRPr="00797623">
        <w:rPr>
          <w:sz w:val="24"/>
          <w:szCs w:val="24"/>
        </w:rPr>
        <w:t xml:space="preserve"> called RA is a chronic systemic autoimmune inflammatory disease characterised by ongoing synovitis, joint damage, and extra articular manifestations. The 2010 ACR/EULAR classification criteria lay out RA based on synovitis in at least one joint, ruling out other possible diagnoses, and then using a cumulative score that comes from joint involvement, serology, acute phase reactants, and how long symptoms have been present </w:t>
      </w:r>
      <w:r w:rsidR="00CA7549" w:rsidRPr="00797623">
        <w:rPr>
          <w:sz w:val="24"/>
          <w:szCs w:val="24"/>
        </w:rPr>
        <w:t>(Aletaha</w:t>
      </w:r>
      <w:r w:rsidRPr="00797623">
        <w:rPr>
          <w:sz w:val="24"/>
          <w:szCs w:val="24"/>
        </w:rPr>
        <w:t xml:space="preserve"> et al., 2010). By contrast with </w:t>
      </w:r>
      <w:r w:rsidR="00CA7549" w:rsidRPr="00797623">
        <w:rPr>
          <w:sz w:val="24"/>
          <w:szCs w:val="24"/>
        </w:rPr>
        <w:t>osteoarthritis,</w:t>
      </w:r>
      <w:r w:rsidRPr="00797623">
        <w:rPr>
          <w:sz w:val="24"/>
          <w:szCs w:val="24"/>
        </w:rPr>
        <w:t xml:space="preserve"> which is basically wear and tear, RA comes from an odd adaptive immune response where autoreactive T-cells and B-cells, plus pro-inflammatory cytokines, mainly TNF-α, IL-6 and IL-1, fuel synovial inflammation, pannus growth, erosion of cartilage, and destruction of bone ( McInnes and Schett, 2011).</w:t>
      </w:r>
    </w:p>
    <w:p w14:paraId="7751CD2C" w14:textId="502A7C45" w:rsidR="006730A7" w:rsidRPr="00797623" w:rsidRDefault="00B931DF" w:rsidP="00877010">
      <w:pPr>
        <w:spacing w:before="80" w:after="80" w:line="276" w:lineRule="auto"/>
        <w:jc w:val="both"/>
        <w:rPr>
          <w:sz w:val="24"/>
          <w:szCs w:val="24"/>
        </w:rPr>
      </w:pPr>
      <w:r w:rsidRPr="00797623">
        <w:rPr>
          <w:sz w:val="24"/>
          <w:szCs w:val="24"/>
        </w:rPr>
        <w:t xml:space="preserve">Clinically, RA shows up with </w:t>
      </w:r>
      <w:r w:rsidR="00CA7549" w:rsidRPr="00797623">
        <w:rPr>
          <w:sz w:val="24"/>
          <w:szCs w:val="24"/>
        </w:rPr>
        <w:t>symmetrical</w:t>
      </w:r>
      <w:r w:rsidRPr="00797623">
        <w:rPr>
          <w:sz w:val="24"/>
          <w:szCs w:val="24"/>
        </w:rPr>
        <w:t xml:space="preserve"> peripheral joint pain, swelling, and morning stiffness that tends to last more than 30 minutes, mostly involving the wrists and the metacarpophalangeal (MCP) plus metatarsophalangeal (MTP) joints. When people are seropositive for rheumatoid factor (RF) and anti-citrullinated protein antibodies (ACPA</w:t>
      </w:r>
      <w:r w:rsidR="00CA7549" w:rsidRPr="00797623">
        <w:rPr>
          <w:sz w:val="24"/>
          <w:szCs w:val="24"/>
        </w:rPr>
        <w:t>),</w:t>
      </w:r>
      <w:r w:rsidRPr="00797623">
        <w:rPr>
          <w:sz w:val="24"/>
          <w:szCs w:val="24"/>
        </w:rPr>
        <w:t xml:space="preserve"> which is seen in about 70–80% of cases, the disease course usually turns out more aggressive (Nishimura et al., 2007). There are also extra-articular features </w:t>
      </w:r>
      <w:r w:rsidR="00CA7549" w:rsidRPr="00797623">
        <w:rPr>
          <w:sz w:val="24"/>
          <w:szCs w:val="24"/>
        </w:rPr>
        <w:t>-</w:t>
      </w:r>
      <w:r w:rsidRPr="00797623">
        <w:rPr>
          <w:sz w:val="24"/>
          <w:szCs w:val="24"/>
        </w:rPr>
        <w:t>including cardiovascular disease, interstitial lung disease, and vasculitis</w:t>
      </w:r>
      <w:r w:rsidR="00CA7549" w:rsidRPr="00797623">
        <w:rPr>
          <w:sz w:val="24"/>
          <w:szCs w:val="24"/>
        </w:rPr>
        <w:t>-</w:t>
      </w:r>
      <w:r w:rsidRPr="00797623">
        <w:rPr>
          <w:sz w:val="24"/>
          <w:szCs w:val="24"/>
        </w:rPr>
        <w:t xml:space="preserve"> that really add weight to overall morbidity. </w:t>
      </w:r>
      <w:r w:rsidRPr="00797623">
        <w:rPr>
          <w:sz w:val="24"/>
          <w:szCs w:val="24"/>
        </w:rPr>
        <w:t xml:space="preserve">The pathogenesis is now thought to be a bit of a stepwise story: it can start with a pre-clinical autoantibody-positive phase before clinical arthritis becomes obvious, sometimes stretching over years (Deane et al., 2024). That pre-clinical window is getting more attention in public health, mainly because it hints at risk-cast prevention for higher-risk groups like first-degree relatives, but </w:t>
      </w:r>
      <w:r w:rsidR="00CA7549" w:rsidRPr="00797623">
        <w:rPr>
          <w:sz w:val="24"/>
          <w:szCs w:val="24"/>
        </w:rPr>
        <w:t>now</w:t>
      </w:r>
      <w:r w:rsidRPr="00797623">
        <w:rPr>
          <w:sz w:val="24"/>
          <w:szCs w:val="24"/>
        </w:rPr>
        <w:t xml:space="preserve"> there isn’t any NHS screening pathway in place for that </w:t>
      </w:r>
      <w:r w:rsidR="00CA7549" w:rsidRPr="00797623">
        <w:rPr>
          <w:sz w:val="24"/>
          <w:szCs w:val="24"/>
        </w:rPr>
        <w:t>aim.</w:t>
      </w:r>
    </w:p>
    <w:p w14:paraId="1839104A" w14:textId="2CB5FA80" w:rsidR="006730A7" w:rsidRPr="00797623" w:rsidRDefault="00877010" w:rsidP="002752D8">
      <w:pPr>
        <w:pStyle w:val="Heading2"/>
      </w:pPr>
      <w:bookmarkStart w:id="2" w:name="_Toc235140603"/>
      <w:r w:rsidRPr="00797623">
        <w:t>1.2 Burden of Disease</w:t>
      </w:r>
      <w:bookmarkEnd w:id="2"/>
    </w:p>
    <w:p w14:paraId="6032B1BC" w14:textId="58EA1223" w:rsidR="006730A7" w:rsidRPr="00797623" w:rsidRDefault="00877010" w:rsidP="002752D8">
      <w:pPr>
        <w:pStyle w:val="Heading3"/>
        <w:rPr>
          <w:color w:val="0070C0"/>
        </w:rPr>
      </w:pPr>
      <w:bookmarkStart w:id="3" w:name="_Toc235140604"/>
      <w:r w:rsidRPr="00797623">
        <w:rPr>
          <w:color w:val="0070C0"/>
        </w:rPr>
        <w:t>1.2.1 Global Burden</w:t>
      </w:r>
      <w:bookmarkEnd w:id="3"/>
    </w:p>
    <w:p w14:paraId="13D964BF" w14:textId="0A0EB1BC" w:rsidR="006730A7" w:rsidRPr="00797623" w:rsidRDefault="00B931DF" w:rsidP="00877010">
      <w:pPr>
        <w:spacing w:before="80" w:after="80" w:line="276" w:lineRule="auto"/>
        <w:jc w:val="both"/>
        <w:rPr>
          <w:sz w:val="24"/>
          <w:szCs w:val="24"/>
        </w:rPr>
      </w:pPr>
      <w:r w:rsidRPr="00797623">
        <w:rPr>
          <w:sz w:val="24"/>
          <w:szCs w:val="24"/>
        </w:rPr>
        <w:t xml:space="preserve">RA is becoming, really a major </w:t>
      </w:r>
      <w:r w:rsidR="00CA7549" w:rsidRPr="00797623">
        <w:rPr>
          <w:sz w:val="24"/>
          <w:szCs w:val="24"/>
        </w:rPr>
        <w:t>and</w:t>
      </w:r>
      <w:r w:rsidRPr="00797623">
        <w:rPr>
          <w:sz w:val="24"/>
          <w:szCs w:val="24"/>
        </w:rPr>
        <w:t xml:space="preserve"> growing global burden. The GBD 2021 work estimated around 17.6 million prevalent cases worldwide in 2020, with an age-standardised prevalence of 208.8 per </w:t>
      </w:r>
      <w:r w:rsidR="00CA7549" w:rsidRPr="00797623">
        <w:rPr>
          <w:sz w:val="24"/>
          <w:szCs w:val="24"/>
        </w:rPr>
        <w:t>100,000, that</w:t>
      </w:r>
      <w:r w:rsidRPr="00797623">
        <w:rPr>
          <w:sz w:val="24"/>
          <w:szCs w:val="24"/>
        </w:rPr>
        <w:t xml:space="preserve"> is a 14.1% uptick since 1990 (GBD 2021 RA Collaborators, 2023). Both prevalence and incidence went up from 1990 to 2021, but DALY rates dropped a little, which suggests better pharmacological management (Ma et al., 2025). In 2020 RA was linked to 3.06 million DALYs globally, and the years lived with disability made up 76.4% of that load, so it really reinforces that RA mostly impairs people rather than causing death (GBD 2021 RA Collaborators, 2023). Looking ahead, cases may climb to about 31.7 million by 2050, roughly an 80% jump, driven largely by population ageing, and in older age groups women are affected 2.2 times more than men (Zhang et al., 2025). </w:t>
      </w:r>
    </w:p>
    <w:p w14:paraId="15FAB8FF" w14:textId="77777777" w:rsidR="006730A7" w:rsidRPr="00797623" w:rsidRDefault="006730A7" w:rsidP="00877010">
      <w:pPr>
        <w:spacing w:before="60" w:after="60" w:line="276" w:lineRule="auto"/>
        <w:rPr>
          <w:sz w:val="24"/>
          <w:szCs w:val="24"/>
        </w:rPr>
      </w:pPr>
    </w:p>
    <w:p w14:paraId="242378CB" w14:textId="77777777" w:rsidR="00ED595A" w:rsidRPr="00797623" w:rsidRDefault="00ED595A" w:rsidP="00877010">
      <w:pPr>
        <w:pStyle w:val="Heading3"/>
        <w:spacing w:line="276" w:lineRule="auto"/>
        <w:rPr>
          <w:color w:val="00838A"/>
          <w:sz w:val="28"/>
          <w:szCs w:val="28"/>
        </w:rPr>
      </w:pPr>
    </w:p>
    <w:p w14:paraId="659FB046" w14:textId="77777777" w:rsidR="002752D8" w:rsidRPr="00797623" w:rsidRDefault="002752D8" w:rsidP="002752D8">
      <w:pPr>
        <w:pStyle w:val="Heading3"/>
      </w:pPr>
    </w:p>
    <w:p w14:paraId="6A95FF2C" w14:textId="77777777" w:rsidR="002752D8" w:rsidRPr="00797623" w:rsidRDefault="002752D8" w:rsidP="002752D8">
      <w:pPr>
        <w:pStyle w:val="Heading3"/>
      </w:pPr>
    </w:p>
    <w:p w14:paraId="79C6E711" w14:textId="3A3A532F" w:rsidR="006730A7" w:rsidRPr="00797623" w:rsidRDefault="00877010" w:rsidP="002752D8">
      <w:pPr>
        <w:pStyle w:val="Heading3"/>
        <w:rPr>
          <w:color w:val="0070C0"/>
        </w:rPr>
      </w:pPr>
      <w:bookmarkStart w:id="4" w:name="_Toc235140605"/>
      <w:r w:rsidRPr="00797623">
        <w:rPr>
          <w:color w:val="0070C0"/>
        </w:rPr>
        <w:t>1.2.2 UK Burden</w:t>
      </w:r>
      <w:bookmarkEnd w:id="4"/>
    </w:p>
    <w:p w14:paraId="3C7AE7A6" w14:textId="77777777" w:rsidR="00B931DF" w:rsidRPr="00797623" w:rsidRDefault="00B931DF" w:rsidP="00797623">
      <w:pPr>
        <w:spacing w:line="276" w:lineRule="auto"/>
        <w:jc w:val="both"/>
        <w:rPr>
          <w:b/>
          <w:bCs/>
          <w:sz w:val="24"/>
          <w:szCs w:val="24"/>
        </w:rPr>
      </w:pPr>
      <w:r w:rsidRPr="00797623">
        <w:rPr>
          <w:sz w:val="24"/>
          <w:szCs w:val="24"/>
        </w:rPr>
        <w:t>In the UK, RA impacts roughly 700,000 people, so, more than 1% of adults (NIHR, 2025; Arthritis UK, 2025). Data from CPRD/OpenSAFELY indicate incidence drops from 3.9 to 3.2 per 10,000 during the first pandemic year, then bounces back to 3.7 by 2021–22, which hints at a pandemic related diagnostic gap (England et al., 2022). Meanwhile, Lancet Regional Health – Europe findings show recorded prevalence increasing in England from 2004 through 2020, and that really points to how crucial it is to provide fast treat to target management for over 1% of English adults (Adas et al., 2022). Most diagnoses happen between 45 and 70 years, but RA is not limited to that range, it can turn up at any age, and women are more than twice as likely as men to develop it (Arthritis UK, 2025).</w:t>
      </w:r>
    </w:p>
    <w:p w14:paraId="5215A239" w14:textId="77777777" w:rsidR="00B931DF" w:rsidRPr="00797623" w:rsidRDefault="00B931DF" w:rsidP="00797623">
      <w:pPr>
        <w:pStyle w:val="Heading2"/>
        <w:spacing w:line="276" w:lineRule="auto"/>
        <w:jc w:val="both"/>
        <w:rPr>
          <w:b w:val="0"/>
          <w:bCs w:val="0"/>
          <w:color w:val="auto"/>
          <w:sz w:val="24"/>
          <w:szCs w:val="24"/>
        </w:rPr>
      </w:pPr>
    </w:p>
    <w:p w14:paraId="5944A6A0" w14:textId="04800FCB" w:rsidR="006730A7" w:rsidRPr="00797623" w:rsidRDefault="00877010" w:rsidP="002752D8">
      <w:pPr>
        <w:pStyle w:val="Heading2"/>
      </w:pPr>
      <w:bookmarkStart w:id="5" w:name="_Toc235140606"/>
      <w:r w:rsidRPr="00797623">
        <w:t>1.3 Risk Factors and Aetiology</w:t>
      </w:r>
      <w:bookmarkEnd w:id="5"/>
    </w:p>
    <w:p w14:paraId="5285FBB9" w14:textId="7B80851D" w:rsidR="00B931DF" w:rsidRPr="00797623" w:rsidRDefault="00ED595A" w:rsidP="00B931DF">
      <w:pPr>
        <w:spacing w:before="80" w:after="80" w:line="276" w:lineRule="auto"/>
        <w:jc w:val="both"/>
        <w:rPr>
          <w:sz w:val="24"/>
          <w:szCs w:val="24"/>
        </w:rPr>
      </w:pPr>
      <w:r w:rsidRPr="00797623">
        <w:rPr>
          <w:sz w:val="24"/>
          <w:szCs w:val="24"/>
        </w:rPr>
        <w:t>RA has an estimated heritability of 60% (Van Wesemael et al., 2025). The HLA-DRB1 shared epitope (SE) is the most significant genetic risk factor, associated with earlier onset, more severe erosions and ACPA positivity, and shows a biological interaction with smoking whereby combined risk exceeds the sum of individual risks (Maisha et al., 2023; Venetsanopoulou et al., 2023). PTPN22 and PADI4 polymorphisms further implicate adaptive immune signalling and citrullination (Maisha et al., 2023).</w:t>
      </w:r>
    </w:p>
    <w:p w14:paraId="114430C8" w14:textId="0C7FAFF6" w:rsidR="006730A7" w:rsidRPr="00797623" w:rsidRDefault="00B931DF" w:rsidP="00B931DF">
      <w:pPr>
        <w:spacing w:before="80" w:after="80" w:line="276" w:lineRule="auto"/>
        <w:jc w:val="both"/>
        <w:rPr>
          <w:sz w:val="24"/>
          <w:szCs w:val="24"/>
        </w:rPr>
      </w:pPr>
      <w:r w:rsidRPr="00797623">
        <w:rPr>
          <w:sz w:val="24"/>
          <w:szCs w:val="24"/>
        </w:rPr>
        <w:t xml:space="preserve">The economic consequences feel huge. Musculoskeletal problems, including RA, generated 23.3 million lost working days </w:t>
      </w:r>
      <w:r w:rsidRPr="00797623">
        <w:rPr>
          <w:sz w:val="24"/>
          <w:szCs w:val="24"/>
        </w:rPr>
        <w:t xml:space="preserve">in 2021, and they represent about one fifth of UK sickness absence, which translates to around 28.2 million lost working days per year across the whole economy (NIHR, 2025; Versus Arthritis/Arthritis UK, 2019). If you look wider, the combined healthcare costs for RA and osteoarthritis are forecast to reach £118.6 billion across the next decade (Versus Arthritis/Arthritis UK, 2019). </w:t>
      </w:r>
    </w:p>
    <w:tbl>
      <w:tblPr>
        <w:tblpPr w:leftFromText="180" w:rightFromText="180" w:vertAnchor="text" w:horzAnchor="margin" w:tblpXSpec="right" w:tblpY="174"/>
        <w:tblW w:w="43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990"/>
        <w:gridCol w:w="1145"/>
        <w:gridCol w:w="1124"/>
        <w:gridCol w:w="1041"/>
      </w:tblGrid>
      <w:tr w:rsidR="00ED595A" w:rsidRPr="00797623" w14:paraId="28BE8107" w14:textId="77777777" w:rsidTr="00ED595A">
        <w:trPr>
          <w:trHeight w:val="710"/>
        </w:trPr>
        <w:tc>
          <w:tcPr>
            <w:tcW w:w="990" w:type="dxa"/>
            <w:shd w:val="clear" w:color="auto" w:fill="1A2E4A"/>
            <w:tcMar>
              <w:top w:w="120" w:type="dxa"/>
              <w:left w:w="180" w:type="dxa"/>
              <w:bottom w:w="120" w:type="dxa"/>
              <w:right w:w="180" w:type="dxa"/>
            </w:tcMar>
            <w:vAlign w:val="center"/>
          </w:tcPr>
          <w:p w14:paraId="626081CD" w14:textId="77777777" w:rsidR="00ED595A" w:rsidRPr="00797623" w:rsidRDefault="00ED595A" w:rsidP="00ED595A">
            <w:pPr>
              <w:spacing w:line="276" w:lineRule="auto"/>
              <w:jc w:val="center"/>
              <w:rPr>
                <w:sz w:val="18"/>
                <w:szCs w:val="18"/>
              </w:rPr>
            </w:pPr>
            <w:r w:rsidRPr="00797623">
              <w:rPr>
                <w:b/>
                <w:bCs/>
                <w:color w:val="E8650A"/>
                <w:sz w:val="18"/>
                <w:szCs w:val="18"/>
              </w:rPr>
              <w:t>17.6m</w:t>
            </w:r>
          </w:p>
          <w:p w14:paraId="2B6081F8" w14:textId="77777777" w:rsidR="00ED595A" w:rsidRPr="00797623" w:rsidRDefault="00ED595A" w:rsidP="00ED595A">
            <w:pPr>
              <w:spacing w:line="276" w:lineRule="auto"/>
              <w:jc w:val="center"/>
              <w:rPr>
                <w:sz w:val="18"/>
                <w:szCs w:val="18"/>
              </w:rPr>
            </w:pPr>
            <w:r w:rsidRPr="00797623">
              <w:rPr>
                <w:color w:val="FFFFFF"/>
                <w:sz w:val="18"/>
                <w:szCs w:val="18"/>
              </w:rPr>
              <w:t>People with RA globally (2020)</w:t>
            </w:r>
          </w:p>
        </w:tc>
        <w:tc>
          <w:tcPr>
            <w:tcW w:w="1145" w:type="dxa"/>
            <w:shd w:val="clear" w:color="auto" w:fill="1A2E4A"/>
            <w:tcMar>
              <w:top w:w="120" w:type="dxa"/>
              <w:left w:w="180" w:type="dxa"/>
              <w:bottom w:w="120" w:type="dxa"/>
              <w:right w:w="180" w:type="dxa"/>
            </w:tcMar>
            <w:vAlign w:val="center"/>
          </w:tcPr>
          <w:p w14:paraId="3066E189" w14:textId="77777777" w:rsidR="00ED595A" w:rsidRPr="00797623" w:rsidRDefault="00ED595A" w:rsidP="00ED595A">
            <w:pPr>
              <w:spacing w:line="276" w:lineRule="auto"/>
              <w:jc w:val="center"/>
              <w:rPr>
                <w:sz w:val="18"/>
                <w:szCs w:val="18"/>
              </w:rPr>
            </w:pPr>
            <w:r w:rsidRPr="00797623">
              <w:rPr>
                <w:b/>
                <w:bCs/>
                <w:color w:val="E8650A"/>
                <w:sz w:val="18"/>
                <w:szCs w:val="18"/>
              </w:rPr>
              <w:t>31.7m</w:t>
            </w:r>
          </w:p>
          <w:p w14:paraId="75E70175" w14:textId="77777777" w:rsidR="00ED595A" w:rsidRPr="00797623" w:rsidRDefault="00ED595A" w:rsidP="00ED595A">
            <w:pPr>
              <w:spacing w:line="276" w:lineRule="auto"/>
              <w:jc w:val="center"/>
              <w:rPr>
                <w:sz w:val="18"/>
                <w:szCs w:val="18"/>
              </w:rPr>
            </w:pPr>
            <w:r w:rsidRPr="00797623">
              <w:rPr>
                <w:color w:val="FFFFFF"/>
                <w:sz w:val="18"/>
                <w:szCs w:val="18"/>
              </w:rPr>
              <w:t>Projected cases by 2050</w:t>
            </w:r>
          </w:p>
        </w:tc>
        <w:tc>
          <w:tcPr>
            <w:tcW w:w="1124" w:type="dxa"/>
            <w:shd w:val="clear" w:color="auto" w:fill="1A2E4A"/>
            <w:tcMar>
              <w:top w:w="120" w:type="dxa"/>
              <w:left w:w="180" w:type="dxa"/>
              <w:bottom w:w="120" w:type="dxa"/>
              <w:right w:w="180" w:type="dxa"/>
            </w:tcMar>
            <w:vAlign w:val="center"/>
          </w:tcPr>
          <w:p w14:paraId="3A2FEAA7" w14:textId="77777777" w:rsidR="00ED595A" w:rsidRPr="00797623" w:rsidRDefault="00ED595A" w:rsidP="00ED595A">
            <w:pPr>
              <w:spacing w:line="276" w:lineRule="auto"/>
              <w:jc w:val="center"/>
              <w:rPr>
                <w:sz w:val="18"/>
                <w:szCs w:val="18"/>
              </w:rPr>
            </w:pPr>
            <w:r w:rsidRPr="00797623">
              <w:rPr>
                <w:b/>
                <w:bCs/>
                <w:color w:val="E8650A"/>
                <w:sz w:val="18"/>
                <w:szCs w:val="18"/>
              </w:rPr>
              <w:t>76.4%</w:t>
            </w:r>
          </w:p>
          <w:p w14:paraId="5B49D9F7" w14:textId="77777777" w:rsidR="00ED595A" w:rsidRPr="00797623" w:rsidRDefault="00ED595A" w:rsidP="00ED595A">
            <w:pPr>
              <w:spacing w:line="276" w:lineRule="auto"/>
              <w:jc w:val="center"/>
              <w:rPr>
                <w:sz w:val="18"/>
                <w:szCs w:val="18"/>
              </w:rPr>
            </w:pPr>
            <w:r w:rsidRPr="00797623">
              <w:rPr>
                <w:color w:val="FFFFFF"/>
                <w:sz w:val="18"/>
                <w:szCs w:val="18"/>
              </w:rPr>
              <w:t>RA burden from disability, not death</w:t>
            </w:r>
          </w:p>
        </w:tc>
        <w:tc>
          <w:tcPr>
            <w:tcW w:w="1041" w:type="dxa"/>
            <w:shd w:val="clear" w:color="auto" w:fill="1A2E4A"/>
            <w:tcMar>
              <w:top w:w="120" w:type="dxa"/>
              <w:left w:w="180" w:type="dxa"/>
              <w:bottom w:w="120" w:type="dxa"/>
              <w:right w:w="180" w:type="dxa"/>
            </w:tcMar>
            <w:vAlign w:val="center"/>
          </w:tcPr>
          <w:p w14:paraId="3B3BB5A4" w14:textId="77777777" w:rsidR="00ED595A" w:rsidRPr="00797623" w:rsidRDefault="00ED595A" w:rsidP="00ED595A">
            <w:pPr>
              <w:spacing w:line="276" w:lineRule="auto"/>
              <w:jc w:val="center"/>
              <w:rPr>
                <w:sz w:val="18"/>
                <w:szCs w:val="18"/>
              </w:rPr>
            </w:pPr>
            <w:r w:rsidRPr="00797623">
              <w:rPr>
                <w:b/>
                <w:bCs/>
                <w:color w:val="E8650A"/>
                <w:sz w:val="18"/>
                <w:szCs w:val="18"/>
              </w:rPr>
              <w:t>3:1</w:t>
            </w:r>
          </w:p>
          <w:p w14:paraId="7CB43768" w14:textId="77777777" w:rsidR="00ED595A" w:rsidRPr="00797623" w:rsidRDefault="00ED595A" w:rsidP="00ED595A">
            <w:pPr>
              <w:spacing w:line="276" w:lineRule="auto"/>
              <w:jc w:val="center"/>
              <w:rPr>
                <w:sz w:val="18"/>
                <w:szCs w:val="18"/>
              </w:rPr>
            </w:pPr>
            <w:r w:rsidRPr="00797623">
              <w:rPr>
                <w:color w:val="FFFFFF"/>
                <w:sz w:val="18"/>
                <w:szCs w:val="18"/>
              </w:rPr>
              <w:t>Female-to-male ratio globally</w:t>
            </w:r>
          </w:p>
        </w:tc>
      </w:tr>
    </w:tbl>
    <w:p w14:paraId="1769191C" w14:textId="77777777" w:rsidR="00ED4EE5" w:rsidRDefault="00ED4EE5" w:rsidP="00797623">
      <w:pPr>
        <w:spacing w:line="276" w:lineRule="auto"/>
        <w:jc w:val="both"/>
        <w:rPr>
          <w:sz w:val="24"/>
          <w:szCs w:val="24"/>
        </w:rPr>
      </w:pPr>
    </w:p>
    <w:p w14:paraId="56719405" w14:textId="05E4038E" w:rsidR="00B931DF" w:rsidRPr="00797623" w:rsidRDefault="00B931DF" w:rsidP="00797623">
      <w:pPr>
        <w:spacing w:line="276" w:lineRule="auto"/>
        <w:jc w:val="both"/>
        <w:rPr>
          <w:b/>
          <w:bCs/>
          <w:sz w:val="24"/>
          <w:szCs w:val="24"/>
        </w:rPr>
      </w:pPr>
      <w:r w:rsidRPr="00797623">
        <w:rPr>
          <w:sz w:val="24"/>
          <w:szCs w:val="24"/>
        </w:rPr>
        <w:t xml:space="preserve">RA is basically caused by a mix of genetic predisposition together with environmental triggers, you know. Smoking is, </w:t>
      </w:r>
      <w:r w:rsidR="00CA7549" w:rsidRPr="00797623">
        <w:rPr>
          <w:sz w:val="24"/>
          <w:szCs w:val="24"/>
        </w:rPr>
        <w:t>the</w:t>
      </w:r>
      <w:r w:rsidRPr="00797623">
        <w:rPr>
          <w:sz w:val="24"/>
          <w:szCs w:val="24"/>
        </w:rPr>
        <w:t xml:space="preserve"> single biggest preventable risk factor – and if someone stops smoking it can slow the disease down </w:t>
      </w:r>
      <w:r w:rsidR="00CA7549" w:rsidRPr="00797623">
        <w:rPr>
          <w:sz w:val="24"/>
          <w:szCs w:val="24"/>
        </w:rPr>
        <w:t>and</w:t>
      </w:r>
      <w:r w:rsidRPr="00797623">
        <w:rPr>
          <w:sz w:val="24"/>
          <w:szCs w:val="24"/>
        </w:rPr>
        <w:t xml:space="preserve"> make treatment response a bit better (GBD 2021 RA Collaborators, </w:t>
      </w:r>
      <w:r w:rsidR="00CA7549" w:rsidRPr="00797623">
        <w:rPr>
          <w:sz w:val="24"/>
          <w:szCs w:val="24"/>
        </w:rPr>
        <w:t>2023;</w:t>
      </w:r>
      <w:r w:rsidRPr="00797623">
        <w:rPr>
          <w:sz w:val="24"/>
          <w:szCs w:val="24"/>
        </w:rPr>
        <w:t xml:space="preserve"> NICE NG100, 2018).</w:t>
      </w:r>
    </w:p>
    <w:p w14:paraId="056A5226" w14:textId="120B4C0F" w:rsidR="006730A7" w:rsidRPr="00797623" w:rsidRDefault="00000000" w:rsidP="002752D8">
      <w:pPr>
        <w:pStyle w:val="Heading1"/>
      </w:pPr>
      <w:bookmarkStart w:id="6" w:name="_Toc235140607"/>
      <w:r w:rsidRPr="00797623">
        <w:t>2.  Impact on Individuals and Families</w:t>
      </w:r>
      <w:bookmarkEnd w:id="6"/>
    </w:p>
    <w:p w14:paraId="5ADE264A" w14:textId="035A938A" w:rsidR="006730A7" w:rsidRPr="00797623" w:rsidRDefault="00877010" w:rsidP="002752D8">
      <w:pPr>
        <w:pStyle w:val="Heading2"/>
      </w:pPr>
      <w:bookmarkStart w:id="7" w:name="_Toc235140608"/>
      <w:r w:rsidRPr="00797623">
        <w:t>2.1 Physical Implications</w:t>
      </w:r>
      <w:bookmarkEnd w:id="7"/>
    </w:p>
    <w:p w14:paraId="36EBCE8F" w14:textId="056BBA1C" w:rsidR="00B931DF" w:rsidRPr="00797623" w:rsidRDefault="00B931DF" w:rsidP="00B931DF">
      <w:pPr>
        <w:spacing w:before="80" w:after="80" w:line="276" w:lineRule="auto"/>
        <w:jc w:val="both"/>
        <w:rPr>
          <w:sz w:val="24"/>
          <w:szCs w:val="24"/>
        </w:rPr>
      </w:pPr>
      <w:r w:rsidRPr="00797623">
        <w:rPr>
          <w:sz w:val="24"/>
          <w:szCs w:val="24"/>
        </w:rPr>
        <w:t xml:space="preserve">Persistent synovitis brings about pain, </w:t>
      </w:r>
      <w:r w:rsidR="00CA7549" w:rsidRPr="00797623">
        <w:rPr>
          <w:sz w:val="24"/>
          <w:szCs w:val="24"/>
        </w:rPr>
        <w:t>swelling,</w:t>
      </w:r>
      <w:r w:rsidRPr="00797623">
        <w:rPr>
          <w:sz w:val="24"/>
          <w:szCs w:val="24"/>
        </w:rPr>
        <w:t xml:space="preserve"> and stiffness that if it isn’t well controlled, tends to drift toward irreversible joint erosion and later on to deformity, then disability -in a way that feels kind of disproportionate for hand and wrist function, making everyday things like gripping, writing and self-care notably harder (NIHR, 2025). The NICE-endorsed SARAH hand-exercise programme showed a clear functional </w:t>
      </w:r>
      <w:r w:rsidRPr="00797623">
        <w:rPr>
          <w:sz w:val="24"/>
          <w:szCs w:val="24"/>
        </w:rPr>
        <w:lastRenderedPageBreak/>
        <w:t xml:space="preserve">gain with no extra pain across 17 NHS </w:t>
      </w:r>
      <w:r w:rsidR="00CA7549" w:rsidRPr="00797623">
        <w:rPr>
          <w:sz w:val="24"/>
          <w:szCs w:val="24"/>
        </w:rPr>
        <w:t>sites,</w:t>
      </w:r>
      <w:r w:rsidRPr="00797623">
        <w:rPr>
          <w:sz w:val="24"/>
          <w:szCs w:val="24"/>
        </w:rPr>
        <w:t xml:space="preserve"> so it sort of demonstrates what a targeted intervention can do, even once the condition is already established (NIHR, 2025).</w:t>
      </w:r>
    </w:p>
    <w:p w14:paraId="0F600F8E" w14:textId="77777777" w:rsidR="00B931DF" w:rsidRPr="00797623" w:rsidRDefault="00B931DF" w:rsidP="00B931DF">
      <w:pPr>
        <w:spacing w:before="80" w:after="80" w:line="276" w:lineRule="auto"/>
        <w:jc w:val="both"/>
        <w:rPr>
          <w:sz w:val="24"/>
          <w:szCs w:val="24"/>
        </w:rPr>
      </w:pPr>
    </w:p>
    <w:p w14:paraId="4D2E1A18" w14:textId="55A888B1" w:rsidR="00B931DF" w:rsidRPr="00797623" w:rsidRDefault="00B931DF" w:rsidP="00B931DF">
      <w:pPr>
        <w:spacing w:before="80" w:after="80" w:line="276" w:lineRule="auto"/>
        <w:jc w:val="both"/>
        <w:rPr>
          <w:sz w:val="24"/>
          <w:szCs w:val="24"/>
        </w:rPr>
      </w:pPr>
      <w:r w:rsidRPr="00797623">
        <w:rPr>
          <w:sz w:val="24"/>
          <w:szCs w:val="24"/>
        </w:rPr>
        <w:t xml:space="preserve">Osteoporosis, made worse by glucocorticoid treatment and reduced mobility, lifts fracture risk; and fatigue can affect up to 80% of people with active RA, usually driven by pain, poor sleep and depression, not simply by the disease activity itself (Hewlett et al., 2011). </w:t>
      </w:r>
    </w:p>
    <w:p w14:paraId="43DC6AAE" w14:textId="33BCCC4A" w:rsidR="006730A7" w:rsidRPr="00797623" w:rsidRDefault="00877010" w:rsidP="002752D8">
      <w:pPr>
        <w:pStyle w:val="Heading2"/>
      </w:pPr>
      <w:bookmarkStart w:id="8" w:name="_Toc235140609"/>
      <w:r w:rsidRPr="00797623">
        <w:t>2.2 Psychological Implications</w:t>
      </w:r>
      <w:bookmarkEnd w:id="8"/>
    </w:p>
    <w:p w14:paraId="0623690D" w14:textId="00BCD87A" w:rsidR="00DE3888" w:rsidRPr="00797623" w:rsidRDefault="00DE3888" w:rsidP="00797623">
      <w:pPr>
        <w:spacing w:line="276" w:lineRule="auto"/>
        <w:jc w:val="both"/>
        <w:rPr>
          <w:b/>
          <w:bCs/>
          <w:sz w:val="24"/>
          <w:szCs w:val="24"/>
        </w:rPr>
      </w:pPr>
      <w:r w:rsidRPr="00797623">
        <w:rPr>
          <w:sz w:val="24"/>
          <w:szCs w:val="24"/>
        </w:rPr>
        <w:t xml:space="preserve">Living with RA takes a serious, almost heavy psychological toll, in ways that can feel hard to explain. Depression shows up in about 13–47% of patients with RA, which is roughly two to three times the rate seen in the general population, and anxiety is reported in 20–70%. When depression and anxiety </w:t>
      </w:r>
      <w:r w:rsidR="00CA7549" w:rsidRPr="00797623">
        <w:rPr>
          <w:sz w:val="24"/>
          <w:szCs w:val="24"/>
        </w:rPr>
        <w:t>co-exist,</w:t>
      </w:r>
      <w:r w:rsidRPr="00797623">
        <w:rPr>
          <w:sz w:val="24"/>
          <w:szCs w:val="24"/>
        </w:rPr>
        <w:t xml:space="preserve"> they seem to link independently to the worst health-related quality of life, (Matcham et al., 2019; Kataria and Weiss, 2024). The connection isn’t one-direction only either, it goes both ways. Depression is associated with higher inflammatory markers, worse pain, poorer treatment adherence, and even higher mortality risk (Matcham et al., 2019).  </w:t>
      </w:r>
    </w:p>
    <w:p w14:paraId="69829384" w14:textId="3D90CA3D" w:rsidR="00DE3888" w:rsidRPr="00797623" w:rsidRDefault="00DE3888" w:rsidP="00797623">
      <w:pPr>
        <w:spacing w:line="276" w:lineRule="auto"/>
        <w:jc w:val="both"/>
        <w:rPr>
          <w:b/>
          <w:bCs/>
          <w:sz w:val="24"/>
          <w:szCs w:val="24"/>
        </w:rPr>
      </w:pPr>
      <w:r w:rsidRPr="00797623">
        <w:rPr>
          <w:sz w:val="24"/>
          <w:szCs w:val="24"/>
        </w:rPr>
        <w:t xml:space="preserve">Silverthorne et al. (2023, Musculoskeletal Care) reported that three in four NHS rheumatology units say mental health support needs improving, and only about one in five patients with RA are ever asked about their mental health, which is a </w:t>
      </w:r>
      <w:r w:rsidR="00CA7549" w:rsidRPr="00797623">
        <w:rPr>
          <w:sz w:val="24"/>
          <w:szCs w:val="24"/>
        </w:rPr>
        <w:t>startling</w:t>
      </w:r>
      <w:r w:rsidRPr="00797623">
        <w:rPr>
          <w:sz w:val="24"/>
          <w:szCs w:val="24"/>
        </w:rPr>
        <w:t xml:space="preserve"> </w:t>
      </w:r>
      <w:r w:rsidR="00CA7549" w:rsidRPr="00797623">
        <w:rPr>
          <w:sz w:val="24"/>
          <w:szCs w:val="24"/>
        </w:rPr>
        <w:t>gap, considering</w:t>
      </w:r>
      <w:r w:rsidRPr="00797623">
        <w:rPr>
          <w:sz w:val="24"/>
          <w:szCs w:val="24"/>
        </w:rPr>
        <w:t xml:space="preserve"> the evidence. </w:t>
      </w:r>
    </w:p>
    <w:p w14:paraId="51621F7F" w14:textId="77777777" w:rsidR="00DE3888" w:rsidRPr="00797623" w:rsidRDefault="00DE3888" w:rsidP="00797623">
      <w:pPr>
        <w:pStyle w:val="Heading2"/>
        <w:spacing w:line="276" w:lineRule="auto"/>
        <w:jc w:val="both"/>
        <w:rPr>
          <w:b w:val="0"/>
          <w:bCs w:val="0"/>
          <w:color w:val="auto"/>
          <w:sz w:val="24"/>
          <w:szCs w:val="24"/>
        </w:rPr>
      </w:pPr>
    </w:p>
    <w:p w14:paraId="2E99ED01" w14:textId="44203799" w:rsidR="00DE3888" w:rsidRPr="00797623" w:rsidRDefault="00DE3888" w:rsidP="00797623">
      <w:pPr>
        <w:spacing w:line="276" w:lineRule="auto"/>
        <w:jc w:val="both"/>
        <w:rPr>
          <w:b/>
          <w:bCs/>
          <w:sz w:val="24"/>
          <w:szCs w:val="24"/>
        </w:rPr>
      </w:pPr>
      <w:r w:rsidRPr="00797623">
        <w:rPr>
          <w:sz w:val="24"/>
          <w:szCs w:val="24"/>
        </w:rPr>
        <w:t xml:space="preserve">Matcham et al.’s (2020) qualitative meta-synthesis highlighted “renegotiating the </w:t>
      </w:r>
      <w:r w:rsidRPr="00797623">
        <w:rPr>
          <w:sz w:val="24"/>
          <w:szCs w:val="24"/>
        </w:rPr>
        <w:t xml:space="preserve">self”, and this includes self-concept, self-esteem, and self-efficacy, as the central lived experience behind RA self-management. </w:t>
      </w:r>
    </w:p>
    <w:p w14:paraId="28D4731D" w14:textId="2817A822" w:rsidR="006730A7" w:rsidRPr="00797623" w:rsidRDefault="00877010" w:rsidP="002752D8">
      <w:pPr>
        <w:pStyle w:val="Heading2"/>
      </w:pPr>
      <w:bookmarkStart w:id="9" w:name="_Toc235140610"/>
      <w:r w:rsidRPr="00797623">
        <w:t>2.3 Social and Family Implications</w:t>
      </w:r>
      <w:bookmarkEnd w:id="9"/>
    </w:p>
    <w:p w14:paraId="58D2EEC6" w14:textId="628A3448" w:rsidR="00DE3888" w:rsidRPr="00797623" w:rsidRDefault="00DE3888" w:rsidP="00797623">
      <w:pPr>
        <w:spacing w:line="276" w:lineRule="auto"/>
        <w:jc w:val="both"/>
        <w:rPr>
          <w:b/>
          <w:bCs/>
          <w:sz w:val="24"/>
          <w:szCs w:val="24"/>
        </w:rPr>
      </w:pPr>
      <w:r w:rsidRPr="00797623">
        <w:rPr>
          <w:sz w:val="24"/>
          <w:szCs w:val="24"/>
        </w:rPr>
        <w:t xml:space="preserve">RA seems to reshape social life in a way that is way beyond the clinic. Social isolation is not just “linked”, it is independently tied to both getting RA in the first place and to worse outcomes once RA is already there, with effects that appear to be pushed along by mobility limitation, fatigue, job loss and that stigma of an illness that is often invisible to other people (Chen et al., 2025). Losing work can strip away income, meaning, day to day companionship and even pension access. At the same time, how supported someone feels socially, predicts fewer depression and anxiety cases on its own, even after </w:t>
      </w:r>
      <w:r w:rsidR="00CA7549" w:rsidRPr="00797623">
        <w:rPr>
          <w:sz w:val="24"/>
          <w:szCs w:val="24"/>
        </w:rPr>
        <w:t>your</w:t>
      </w:r>
      <w:r w:rsidRPr="00797623">
        <w:rPr>
          <w:sz w:val="24"/>
          <w:szCs w:val="24"/>
        </w:rPr>
        <w:t xml:space="preserve"> account for how severe the disease is (Covic et al., 2012).</w:t>
      </w:r>
      <w:r w:rsidR="00DF1CEF" w:rsidRPr="00797623">
        <w:rPr>
          <w:b/>
          <w:bCs/>
          <w:sz w:val="24"/>
          <w:szCs w:val="24"/>
        </w:rPr>
        <w:t xml:space="preserve"> </w:t>
      </w:r>
      <w:r w:rsidRPr="00797623">
        <w:rPr>
          <w:sz w:val="24"/>
          <w:szCs w:val="24"/>
        </w:rPr>
        <w:t xml:space="preserve">UK work has recorded lower quality of life, worse work performance and a lot of emotional strain among carers for people with RA. These carers, very often provide unpaid help with household tasks, personal care, and transport, day after day (Strand et al., 2021). </w:t>
      </w:r>
    </w:p>
    <w:p w14:paraId="118ED830" w14:textId="7FF09940" w:rsidR="00787B93" w:rsidRPr="00797623" w:rsidRDefault="00DE3888" w:rsidP="00797623">
      <w:pPr>
        <w:spacing w:line="276" w:lineRule="auto"/>
        <w:jc w:val="both"/>
        <w:rPr>
          <w:b/>
          <w:bCs/>
          <w:sz w:val="24"/>
          <w:szCs w:val="24"/>
        </w:rPr>
      </w:pPr>
      <w:r w:rsidRPr="00797623">
        <w:rPr>
          <w:sz w:val="24"/>
          <w:szCs w:val="24"/>
        </w:rPr>
        <w:t xml:space="preserve">In practice, people with RA are constantly renegotiating who they are, and what they can manage to do, but routine psychological screening is still inconsistently put into the NHS rheumatology pathways. This is despite NICE NG100, which recommends annual comorbidity review (NICE, 2018). So yeah, this remains one of the most major and </w:t>
      </w:r>
      <w:r w:rsidR="00CA7549" w:rsidRPr="00797623">
        <w:rPr>
          <w:sz w:val="24"/>
          <w:szCs w:val="24"/>
        </w:rPr>
        <w:t>addressable</w:t>
      </w:r>
      <w:r w:rsidRPr="00797623">
        <w:rPr>
          <w:sz w:val="24"/>
          <w:szCs w:val="24"/>
        </w:rPr>
        <w:t xml:space="preserve"> gaps in today’s UK RA care.</w:t>
      </w:r>
    </w:p>
    <w:p w14:paraId="5074E7CE" w14:textId="77777777" w:rsidR="00797623" w:rsidRDefault="00797623" w:rsidP="002752D8">
      <w:pPr>
        <w:pStyle w:val="Heading1"/>
        <w:spacing w:before="300" w:after="150"/>
      </w:pPr>
      <w:bookmarkStart w:id="10" w:name="_Toc235140611"/>
    </w:p>
    <w:p w14:paraId="3AC9E32C" w14:textId="63690F18" w:rsidR="002752D8" w:rsidRPr="00797623" w:rsidRDefault="002752D8" w:rsidP="002752D8">
      <w:pPr>
        <w:pStyle w:val="Heading1"/>
        <w:spacing w:before="300" w:after="150"/>
      </w:pPr>
      <w:r w:rsidRPr="00797623">
        <w:t>3. Evidence-Based NHS Treatments</w:t>
      </w:r>
      <w:bookmarkEnd w:id="10"/>
    </w:p>
    <w:p w14:paraId="1EA88C7F" w14:textId="24C32C41" w:rsidR="00DE3888" w:rsidRPr="00797623" w:rsidRDefault="00DE3888" w:rsidP="00DE3888">
      <w:pPr>
        <w:spacing w:before="80" w:after="80" w:line="276" w:lineRule="auto"/>
        <w:jc w:val="both"/>
        <w:rPr>
          <w:sz w:val="24"/>
          <w:szCs w:val="24"/>
        </w:rPr>
      </w:pPr>
      <w:r w:rsidRPr="00797623">
        <w:rPr>
          <w:sz w:val="24"/>
          <w:szCs w:val="24"/>
        </w:rPr>
        <w:t xml:space="preserve">NHS pharmacological management is </w:t>
      </w:r>
      <w:r w:rsidR="00CA7549" w:rsidRPr="00797623">
        <w:rPr>
          <w:sz w:val="24"/>
          <w:szCs w:val="24"/>
        </w:rPr>
        <w:t>kind of</w:t>
      </w:r>
      <w:r w:rsidRPr="00797623">
        <w:rPr>
          <w:sz w:val="24"/>
          <w:szCs w:val="24"/>
        </w:rPr>
        <w:t xml:space="preserve"> governed by NICE Guideline NG100 (2018, reviewed 2024), which supports a treat to target (T2T) approach: you set remission or low disease activity as the aim, and you track it using validated combined measures like DAS28, usually with monthly checking when disease is active, then </w:t>
      </w:r>
      <w:r w:rsidR="00CA7549" w:rsidRPr="00797623">
        <w:rPr>
          <w:sz w:val="24"/>
          <w:szCs w:val="24"/>
        </w:rPr>
        <w:t>protocol-based</w:t>
      </w:r>
      <w:r w:rsidRPr="00797623">
        <w:rPr>
          <w:sz w:val="24"/>
          <w:szCs w:val="24"/>
        </w:rPr>
        <w:t xml:space="preserve"> step-up if the target is not reached (NICE, 2018). </w:t>
      </w:r>
    </w:p>
    <w:p w14:paraId="4322B882" w14:textId="77777777" w:rsidR="00DE3888" w:rsidRPr="00797623" w:rsidRDefault="00DE3888" w:rsidP="00DE3888">
      <w:pPr>
        <w:spacing w:before="80" w:after="80" w:line="276" w:lineRule="auto"/>
        <w:jc w:val="both"/>
        <w:rPr>
          <w:sz w:val="24"/>
          <w:szCs w:val="24"/>
        </w:rPr>
      </w:pPr>
    </w:p>
    <w:p w14:paraId="269162AF" w14:textId="42ADE8A7" w:rsidR="00DE3888" w:rsidRPr="00797623" w:rsidRDefault="00DE3888" w:rsidP="00DE3888">
      <w:pPr>
        <w:spacing w:before="80" w:after="80" w:line="276" w:lineRule="auto"/>
        <w:jc w:val="both"/>
        <w:rPr>
          <w:sz w:val="24"/>
          <w:szCs w:val="24"/>
        </w:rPr>
      </w:pPr>
      <w:r w:rsidRPr="00797623">
        <w:rPr>
          <w:sz w:val="24"/>
          <w:szCs w:val="24"/>
        </w:rPr>
        <w:t xml:space="preserve">In practice, the first line usually starts with a conventional synthetic DMARD (csDMARD), most often methotrexate, started promptly after diagnosis. In the meantime, short term bridge treatment with glucocorticoids is often given while waiting for the DMARD to kick in (NICE, 2018). If someone doesn’t respond well enough to two or more csDMARDs, NICE allows a set of biologic DMARDs (bDMARDs): TNF-α inhibitors such as adalimumab, etanercept, infliximab, certolizumab pegol and golimumab are treated as established first-line options for severe RA (NICE TA375, 2015). For staying on any biologic, there needs to be evidence of a moderate EULAR response, and biosimilars are generally preferred for cost effectiveness, where it makes clinical sense (NWICB, 2023). </w:t>
      </w:r>
    </w:p>
    <w:p w14:paraId="6E19AD50" w14:textId="665264CB" w:rsidR="00DE3888" w:rsidRPr="00797623" w:rsidRDefault="00DE3888" w:rsidP="00797623">
      <w:pPr>
        <w:pStyle w:val="Caption"/>
        <w:spacing w:line="276" w:lineRule="auto"/>
        <w:jc w:val="both"/>
        <w:rPr>
          <w:b/>
          <w:bCs/>
          <w:i w:val="0"/>
          <w:iCs w:val="0"/>
          <w:color w:val="auto"/>
          <w:sz w:val="24"/>
          <w:szCs w:val="24"/>
        </w:rPr>
      </w:pPr>
      <w:r w:rsidRPr="00797623">
        <w:rPr>
          <w:i w:val="0"/>
          <w:iCs w:val="0"/>
          <w:color w:val="auto"/>
          <w:sz w:val="24"/>
          <w:szCs w:val="24"/>
        </w:rPr>
        <w:t xml:space="preserve">Non-pharmacological support is just as </w:t>
      </w:r>
      <w:r w:rsidR="00CA7549" w:rsidRPr="00797623">
        <w:rPr>
          <w:i w:val="0"/>
          <w:iCs w:val="0"/>
          <w:color w:val="auto"/>
          <w:sz w:val="24"/>
          <w:szCs w:val="24"/>
        </w:rPr>
        <w:t>important,</w:t>
      </w:r>
      <w:r w:rsidRPr="00797623">
        <w:rPr>
          <w:i w:val="0"/>
          <w:iCs w:val="0"/>
          <w:color w:val="auto"/>
          <w:sz w:val="24"/>
          <w:szCs w:val="24"/>
        </w:rPr>
        <w:t xml:space="preserve"> and </w:t>
      </w:r>
      <w:r w:rsidR="00CA7549" w:rsidRPr="00797623">
        <w:rPr>
          <w:i w:val="0"/>
          <w:iCs w:val="0"/>
          <w:color w:val="auto"/>
          <w:sz w:val="24"/>
          <w:szCs w:val="24"/>
        </w:rPr>
        <w:t>it’s</w:t>
      </w:r>
      <w:r w:rsidRPr="00797623">
        <w:rPr>
          <w:i w:val="0"/>
          <w:iCs w:val="0"/>
          <w:color w:val="auto"/>
          <w:sz w:val="24"/>
          <w:szCs w:val="24"/>
        </w:rPr>
        <w:t xml:space="preserve"> explicitly pushed by NICE. Physiotherapy- including the SARAH hand exercise programme, and occupational therapy help people regain function and independence, bit by bit. </w:t>
      </w:r>
      <w:r w:rsidR="00CA7549" w:rsidRPr="00797623">
        <w:rPr>
          <w:i w:val="0"/>
          <w:iCs w:val="0"/>
          <w:color w:val="auto"/>
          <w:sz w:val="24"/>
          <w:szCs w:val="24"/>
        </w:rPr>
        <w:t>Also,</w:t>
      </w:r>
      <w:r w:rsidRPr="00797623">
        <w:rPr>
          <w:i w:val="0"/>
          <w:iCs w:val="0"/>
          <w:color w:val="auto"/>
          <w:sz w:val="24"/>
          <w:szCs w:val="24"/>
        </w:rPr>
        <w:t xml:space="preserve"> cardiovascular risk </w:t>
      </w:r>
      <w:r w:rsidR="00CA7549" w:rsidRPr="00797623">
        <w:rPr>
          <w:i w:val="0"/>
          <w:iCs w:val="0"/>
          <w:color w:val="auto"/>
          <w:sz w:val="24"/>
          <w:szCs w:val="24"/>
        </w:rPr>
        <w:t>management,</w:t>
      </w:r>
      <w:r w:rsidRPr="00797623">
        <w:rPr>
          <w:i w:val="0"/>
          <w:iCs w:val="0"/>
          <w:color w:val="auto"/>
          <w:sz w:val="24"/>
          <w:szCs w:val="24"/>
        </w:rPr>
        <w:t xml:space="preserve"> like lipid-lowering therapy and good blood pressure control, plus smoking cessation are both named NG100 targets (NICE, 2018). </w:t>
      </w:r>
    </w:p>
    <w:p w14:paraId="3B7735CD" w14:textId="406497A0" w:rsidR="006730A7" w:rsidRPr="00797623" w:rsidRDefault="00000000" w:rsidP="002752D8">
      <w:pPr>
        <w:pStyle w:val="Heading1"/>
      </w:pPr>
      <w:bookmarkStart w:id="11" w:name="_Toc235140612"/>
      <w:r w:rsidRPr="00797623">
        <w:t>4.  Theoretical Frameworks for Improved Outcomes</w:t>
      </w:r>
      <w:bookmarkEnd w:id="11"/>
    </w:p>
    <w:p w14:paraId="6757D2B6" w14:textId="44EE6CB2" w:rsidR="006730A7" w:rsidRPr="00797623" w:rsidRDefault="00877010" w:rsidP="002752D8">
      <w:pPr>
        <w:pStyle w:val="Heading2"/>
      </w:pPr>
      <w:bookmarkStart w:id="12" w:name="_Toc235140613"/>
      <w:r w:rsidRPr="00797623">
        <w:t>4.1 UK Model: The House of Care Framework</w:t>
      </w:r>
      <w:bookmarkEnd w:id="12"/>
    </w:p>
    <w:p w14:paraId="7A40040C" w14:textId="30E845B6" w:rsidR="00DE3888" w:rsidRPr="00797623" w:rsidRDefault="00DE3888" w:rsidP="00797623">
      <w:pPr>
        <w:jc w:val="both"/>
        <w:rPr>
          <w:b/>
          <w:bCs/>
          <w:sz w:val="24"/>
          <w:szCs w:val="24"/>
        </w:rPr>
      </w:pPr>
      <w:r w:rsidRPr="00797623">
        <w:rPr>
          <w:sz w:val="24"/>
          <w:szCs w:val="24"/>
        </w:rPr>
        <w:t xml:space="preserve">The House of Care (HoC) </w:t>
      </w:r>
      <w:r w:rsidR="00CA7549" w:rsidRPr="00797623">
        <w:rPr>
          <w:sz w:val="24"/>
          <w:szCs w:val="24"/>
        </w:rPr>
        <w:t>framework,</w:t>
      </w:r>
      <w:r w:rsidRPr="00797623">
        <w:rPr>
          <w:sz w:val="24"/>
          <w:szCs w:val="24"/>
        </w:rPr>
        <w:t xml:space="preserve"> promoted by NHS England, NHS Scotland and the RCGP is the principal UK model for coordinating long term condition management. Coulter et al. (2016) describe it as 'a framework enabling patients and clinicians to work together to determine and shape the support needed to live well with a condition</w:t>
      </w:r>
      <w:r w:rsidR="00CA7549" w:rsidRPr="00797623">
        <w:rPr>
          <w:sz w:val="24"/>
          <w:szCs w:val="24"/>
        </w:rPr>
        <w:t>’,</w:t>
      </w:r>
      <w:r w:rsidRPr="00797623">
        <w:rPr>
          <w:sz w:val="24"/>
          <w:szCs w:val="24"/>
        </w:rPr>
        <w:t xml:space="preserve"> structured around four interlocking </w:t>
      </w:r>
      <w:r w:rsidR="00CA7549" w:rsidRPr="00797623">
        <w:rPr>
          <w:sz w:val="24"/>
          <w:szCs w:val="24"/>
        </w:rPr>
        <w:t>domains:</w:t>
      </w:r>
      <w:r w:rsidRPr="00797623">
        <w:rPr>
          <w:sz w:val="24"/>
          <w:szCs w:val="24"/>
        </w:rPr>
        <w:t xml:space="preserve"> engaged, informed patients and carers; health and care professionals committed to partnership; organisational and clinical processes delivering care and </w:t>
      </w:r>
      <w:r w:rsidR="00CA7549" w:rsidRPr="00797623">
        <w:rPr>
          <w:sz w:val="24"/>
          <w:szCs w:val="24"/>
        </w:rPr>
        <w:t>support;</w:t>
      </w:r>
      <w:r w:rsidRPr="00797623">
        <w:rPr>
          <w:sz w:val="24"/>
          <w:szCs w:val="24"/>
        </w:rPr>
        <w:t xml:space="preserve"> and an enabling commissioning infrastructure.  </w:t>
      </w:r>
    </w:p>
    <w:p w14:paraId="26E41AE3" w14:textId="7521F681" w:rsidR="00DE38F4" w:rsidRPr="00797623" w:rsidRDefault="00DE38F4" w:rsidP="00797623">
      <w:r w:rsidRPr="00797623">
        <w:rPr>
          <w:noProof/>
        </w:rPr>
        <w:drawing>
          <wp:inline distT="0" distB="0" distL="0" distR="0" wp14:anchorId="32FA98C4" wp14:editId="376324C5">
            <wp:extent cx="2526371" cy="2585258"/>
            <wp:effectExtent l="0" t="0" r="1270" b="5715"/>
            <wp:docPr id="1277007422"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77007422" name="Picture 1277007422"/>
                    <pic:cNvPicPr/>
                  </pic:nvPicPr>
                  <pic:blipFill>
                    <a:blip r:embed="rId14">
                      <a:extLst>
                        <a:ext uri="{28A0092B-C50C-407E-A947-70E740481C1C}">
                          <a14:useLocalDpi xmlns:a14="http://schemas.microsoft.com/office/drawing/2010/main" val="0"/>
                        </a:ext>
                      </a:extLst>
                    </a:blip>
                    <a:stretch>
                      <a:fillRect/>
                    </a:stretch>
                  </pic:blipFill>
                  <pic:spPr>
                    <a:xfrm>
                      <a:off x="0" y="0"/>
                      <a:ext cx="2603911" cy="2664606"/>
                    </a:xfrm>
                    <a:prstGeom prst="rect">
                      <a:avLst/>
                    </a:prstGeom>
                  </pic:spPr>
                </pic:pic>
              </a:graphicData>
            </a:graphic>
          </wp:inline>
        </w:drawing>
      </w:r>
    </w:p>
    <w:p w14:paraId="3E34593C" w14:textId="04A89C00" w:rsidR="002912FB" w:rsidRPr="00797623" w:rsidRDefault="002912FB" w:rsidP="002912FB">
      <w:pPr>
        <w:pStyle w:val="Caption"/>
        <w:jc w:val="center"/>
      </w:pPr>
      <w:bookmarkStart w:id="13" w:name="_Toc235141127"/>
      <w:r w:rsidRPr="00797623">
        <w:t xml:space="preserve">Figure </w:t>
      </w:r>
      <w:r w:rsidRPr="00797623">
        <w:fldChar w:fldCharType="begin"/>
      </w:r>
      <w:r w:rsidRPr="00797623">
        <w:instrText xml:space="preserve"> SEQ Figure \* ARABIC </w:instrText>
      </w:r>
      <w:r w:rsidRPr="00797623">
        <w:fldChar w:fldCharType="separate"/>
      </w:r>
      <w:r w:rsidRPr="00797623">
        <w:rPr>
          <w:noProof/>
        </w:rPr>
        <w:t>1</w:t>
      </w:r>
      <w:r w:rsidRPr="00797623">
        <w:fldChar w:fldCharType="end"/>
      </w:r>
      <w:r w:rsidRPr="00797623">
        <w:t xml:space="preserve"> House of care framework</w:t>
      </w:r>
      <w:bookmarkEnd w:id="13"/>
    </w:p>
    <w:p w14:paraId="7E5070BF" w14:textId="0F72A6B2" w:rsidR="00DE3888" w:rsidRPr="00797623" w:rsidRDefault="00DE3888" w:rsidP="00797623">
      <w:pPr>
        <w:spacing w:line="276" w:lineRule="auto"/>
        <w:jc w:val="both"/>
        <w:rPr>
          <w:b/>
          <w:bCs/>
          <w:sz w:val="24"/>
          <w:szCs w:val="24"/>
        </w:rPr>
      </w:pPr>
      <w:r w:rsidRPr="00797623">
        <w:rPr>
          <w:sz w:val="24"/>
          <w:szCs w:val="24"/>
        </w:rPr>
        <w:t xml:space="preserve">Really central to the House of Care is the collaborative care and support planning consultation- a sort of structured dialogue where the patient’s goals (about work, </w:t>
      </w:r>
      <w:r w:rsidR="00CA7549" w:rsidRPr="00797623">
        <w:rPr>
          <w:sz w:val="24"/>
          <w:szCs w:val="24"/>
        </w:rPr>
        <w:lastRenderedPageBreak/>
        <w:t>family,</w:t>
      </w:r>
      <w:r w:rsidRPr="00797623">
        <w:rPr>
          <w:sz w:val="24"/>
          <w:szCs w:val="24"/>
        </w:rPr>
        <w:t xml:space="preserve"> social life) sit right alongside clinical disease metrics, not as something afterthought or secondary. For RA, this matters a lot, because the discordance between how clinicians and patients judge disease impact is well documented (NICE, 2018). The framework also nudges routine use of patient reported outcome and experience measures (PROMs and PREMs) and it even spells out carers as part of the care planning conversation, so it’s not only patient focused. It further links up with the NHS </w:t>
      </w:r>
      <w:r w:rsidR="00CA7549" w:rsidRPr="00797623">
        <w:rPr>
          <w:sz w:val="24"/>
          <w:szCs w:val="24"/>
        </w:rPr>
        <w:t>Ten-Year</w:t>
      </w:r>
      <w:r w:rsidRPr="00797623">
        <w:rPr>
          <w:sz w:val="24"/>
          <w:szCs w:val="24"/>
        </w:rPr>
        <w:t xml:space="preserve"> Health </w:t>
      </w:r>
      <w:r w:rsidR="00CA7549" w:rsidRPr="00797623">
        <w:rPr>
          <w:sz w:val="24"/>
          <w:szCs w:val="24"/>
        </w:rPr>
        <w:t>Plan,</w:t>
      </w:r>
      <w:r w:rsidRPr="00797623">
        <w:rPr>
          <w:sz w:val="24"/>
          <w:szCs w:val="24"/>
        </w:rPr>
        <w:t xml:space="preserve"> especially the commitment to neighbourhood health and personalised care (NHS England, 2025).  </w:t>
      </w:r>
    </w:p>
    <w:p w14:paraId="5D526A0F" w14:textId="77777777" w:rsidR="00DF1CEF" w:rsidRPr="00797623" w:rsidRDefault="00DF1CEF" w:rsidP="00DE3888">
      <w:pPr>
        <w:pStyle w:val="Heading2"/>
        <w:spacing w:line="276" w:lineRule="auto"/>
        <w:rPr>
          <w:b w:val="0"/>
          <w:bCs w:val="0"/>
          <w:color w:val="auto"/>
          <w:sz w:val="24"/>
          <w:szCs w:val="24"/>
        </w:rPr>
      </w:pPr>
    </w:p>
    <w:p w14:paraId="48885A8A" w14:textId="1FE0635C" w:rsidR="006730A7" w:rsidRPr="00797623" w:rsidRDefault="00877010" w:rsidP="00DE3888">
      <w:pPr>
        <w:pStyle w:val="Heading2"/>
        <w:spacing w:line="276" w:lineRule="auto"/>
        <w:rPr>
          <w:sz w:val="28"/>
          <w:szCs w:val="28"/>
        </w:rPr>
      </w:pPr>
      <w:bookmarkStart w:id="14" w:name="_Toc235140614"/>
      <w:r w:rsidRPr="00797623">
        <w:rPr>
          <w:sz w:val="28"/>
          <w:szCs w:val="28"/>
        </w:rPr>
        <w:t>4.2 International Model: EULAR Treat-to-Target</w:t>
      </w:r>
      <w:bookmarkEnd w:id="14"/>
    </w:p>
    <w:p w14:paraId="22E1C1A7" w14:textId="396ED6C5" w:rsidR="00DE3888" w:rsidRPr="00797623" w:rsidRDefault="00DE3888" w:rsidP="00DE3888">
      <w:pPr>
        <w:spacing w:before="80" w:after="80" w:line="276" w:lineRule="auto"/>
        <w:jc w:val="both"/>
        <w:rPr>
          <w:sz w:val="24"/>
          <w:szCs w:val="24"/>
        </w:rPr>
      </w:pPr>
      <w:r w:rsidRPr="00797623">
        <w:rPr>
          <w:sz w:val="24"/>
          <w:szCs w:val="24"/>
        </w:rPr>
        <w:t xml:space="preserve">Internationally, the EULAR Treat-to-Target (T2T) </w:t>
      </w:r>
      <w:r w:rsidR="00CA7549" w:rsidRPr="00797623">
        <w:rPr>
          <w:sz w:val="24"/>
          <w:szCs w:val="24"/>
        </w:rPr>
        <w:t>recommendations updated</w:t>
      </w:r>
      <w:r w:rsidRPr="00797623">
        <w:rPr>
          <w:sz w:val="24"/>
          <w:szCs w:val="24"/>
        </w:rPr>
        <w:t xml:space="preserve"> in 2022 and once more in </w:t>
      </w:r>
      <w:r w:rsidR="00CA7549" w:rsidRPr="00797623">
        <w:rPr>
          <w:sz w:val="24"/>
          <w:szCs w:val="24"/>
        </w:rPr>
        <w:t>2025 offer</w:t>
      </w:r>
      <w:r w:rsidRPr="00797623">
        <w:rPr>
          <w:sz w:val="24"/>
          <w:szCs w:val="24"/>
        </w:rPr>
        <w:t>, in practice, one of the most evidence-based and broadly used global ways to manage RA (Smolen et al., 2023). Beneath them sit four core ideas that drive twelve stepwise recommendations: shared decision-making between the patient and the rheumatologist; maximising long-term quality of life as the main aim; active elimination of inflammation as the key engine; and rheumatologist-led management while working alongside other professionals. Taken together, these ideas make the patient’s voice the base layer of care</w:t>
      </w:r>
      <w:r w:rsidR="00CA7549" w:rsidRPr="00797623">
        <w:rPr>
          <w:sz w:val="24"/>
          <w:szCs w:val="24"/>
        </w:rPr>
        <w:t>-</w:t>
      </w:r>
      <w:r w:rsidRPr="00797623">
        <w:rPr>
          <w:sz w:val="24"/>
          <w:szCs w:val="24"/>
        </w:rPr>
        <w:t>not a small extra piece, but really the starting point, right from the beginning.</w:t>
      </w:r>
    </w:p>
    <w:p w14:paraId="3F6B9730" w14:textId="77777777" w:rsidR="002912FB" w:rsidRPr="00797623" w:rsidRDefault="002912FB" w:rsidP="00DE3888">
      <w:pPr>
        <w:spacing w:before="80" w:after="80" w:line="276" w:lineRule="auto"/>
        <w:jc w:val="both"/>
        <w:rPr>
          <w:sz w:val="24"/>
          <w:szCs w:val="24"/>
        </w:rPr>
      </w:pPr>
    </w:p>
    <w:p w14:paraId="4F04374F" w14:textId="4C82A60C" w:rsidR="002912FB" w:rsidRPr="00797623" w:rsidRDefault="002912FB" w:rsidP="00DE3888">
      <w:pPr>
        <w:spacing w:before="80" w:after="80" w:line="276" w:lineRule="auto"/>
        <w:jc w:val="both"/>
        <w:rPr>
          <w:sz w:val="24"/>
          <w:szCs w:val="24"/>
        </w:rPr>
      </w:pPr>
      <w:r w:rsidRPr="00797623">
        <w:rPr>
          <w:noProof/>
          <w:sz w:val="24"/>
          <w:szCs w:val="24"/>
        </w:rPr>
        <w:drawing>
          <wp:inline distT="0" distB="0" distL="0" distR="0" wp14:anchorId="4B28F47F" wp14:editId="01336312">
            <wp:extent cx="2751455" cy="2751455"/>
            <wp:effectExtent l="0" t="0" r="4445" b="4445"/>
            <wp:docPr id="559651335"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9651335" name="Picture 559651335"/>
                    <pic:cNvPicPr/>
                  </pic:nvPicPr>
                  <pic:blipFill>
                    <a:blip r:embed="rId15" cstate="print">
                      <a:extLst>
                        <a:ext uri="{28A0092B-C50C-407E-A947-70E740481C1C}">
                          <a14:useLocalDpi xmlns:a14="http://schemas.microsoft.com/office/drawing/2010/main" val="0"/>
                        </a:ext>
                      </a:extLst>
                    </a:blip>
                    <a:stretch>
                      <a:fillRect/>
                    </a:stretch>
                  </pic:blipFill>
                  <pic:spPr>
                    <a:xfrm>
                      <a:off x="0" y="0"/>
                      <a:ext cx="2751455" cy="2751455"/>
                    </a:xfrm>
                    <a:prstGeom prst="rect">
                      <a:avLst/>
                    </a:prstGeom>
                  </pic:spPr>
                </pic:pic>
              </a:graphicData>
            </a:graphic>
          </wp:inline>
        </w:drawing>
      </w:r>
    </w:p>
    <w:p w14:paraId="49CED81E" w14:textId="1A360964" w:rsidR="00DE3888" w:rsidRPr="00797623" w:rsidRDefault="002912FB" w:rsidP="002912FB">
      <w:pPr>
        <w:pStyle w:val="Caption"/>
        <w:rPr>
          <w:sz w:val="24"/>
          <w:szCs w:val="24"/>
        </w:rPr>
      </w:pPr>
      <w:bookmarkStart w:id="15" w:name="_Toc235141128"/>
      <w:r w:rsidRPr="00797623">
        <w:t xml:space="preserve">Figure </w:t>
      </w:r>
      <w:r w:rsidRPr="00797623">
        <w:fldChar w:fldCharType="begin"/>
      </w:r>
      <w:r w:rsidRPr="00797623">
        <w:instrText xml:space="preserve"> SEQ Figure \* ARABIC </w:instrText>
      </w:r>
      <w:r w:rsidRPr="00797623">
        <w:fldChar w:fldCharType="separate"/>
      </w:r>
      <w:r w:rsidRPr="00797623">
        <w:rPr>
          <w:noProof/>
        </w:rPr>
        <w:t>2</w:t>
      </w:r>
      <w:r w:rsidRPr="00797623">
        <w:fldChar w:fldCharType="end"/>
      </w:r>
      <w:r w:rsidRPr="00797623">
        <w:t xml:space="preserve"> International Model: EULAR Treat-to-Target</w:t>
      </w:r>
      <w:bookmarkEnd w:id="15"/>
    </w:p>
    <w:p w14:paraId="5B61BCA2" w14:textId="77777777" w:rsidR="002752D8" w:rsidRPr="00797623" w:rsidRDefault="002752D8" w:rsidP="00DE3888">
      <w:pPr>
        <w:spacing w:before="80" w:after="80" w:line="276" w:lineRule="auto"/>
        <w:jc w:val="both"/>
        <w:rPr>
          <w:sz w:val="24"/>
          <w:szCs w:val="24"/>
        </w:rPr>
      </w:pPr>
    </w:p>
    <w:p w14:paraId="1F45D66F" w14:textId="74682BB5" w:rsidR="00DE3888" w:rsidRPr="00797623" w:rsidRDefault="00DE3888" w:rsidP="00DE3888">
      <w:pPr>
        <w:spacing w:before="80" w:after="80" w:line="276" w:lineRule="auto"/>
        <w:jc w:val="both"/>
        <w:rPr>
          <w:sz w:val="24"/>
          <w:szCs w:val="24"/>
        </w:rPr>
      </w:pPr>
      <w:r w:rsidRPr="00797623">
        <w:rPr>
          <w:sz w:val="24"/>
          <w:szCs w:val="24"/>
        </w:rPr>
        <w:t xml:space="preserve">In terms of key advice, T2T supports starting csDMARDs right away at diagnosis, and then moving up to a combination of bDMARD and/or tsDMARD therapy after an inadequate response to two csDMARDs (with at least one being methotrexate). It also calls for monitoring roughly every one to three months during active </w:t>
      </w:r>
      <w:r w:rsidR="00CA7549" w:rsidRPr="00797623">
        <w:rPr>
          <w:sz w:val="24"/>
          <w:szCs w:val="24"/>
        </w:rPr>
        <w:t>disease and</w:t>
      </w:r>
      <w:r w:rsidRPr="00797623">
        <w:rPr>
          <w:sz w:val="24"/>
          <w:szCs w:val="24"/>
        </w:rPr>
        <w:t xml:space="preserve"> then changing treatment within three months if improvement isn’t clearly showing. Once sustained remission is kept for twelve months, tapering becomes something to consider (Smolen et al., 2023). The 2022 revision also broadened the patient global assessment cutoff inside the Boolean remission criteria, which allows more people to be classified as in </w:t>
      </w:r>
      <w:r w:rsidR="00CA7549" w:rsidRPr="00797623">
        <w:rPr>
          <w:sz w:val="24"/>
          <w:szCs w:val="24"/>
        </w:rPr>
        <w:t>remission, without</w:t>
      </w:r>
      <w:r w:rsidRPr="00797623">
        <w:rPr>
          <w:sz w:val="24"/>
          <w:szCs w:val="24"/>
        </w:rPr>
        <w:t xml:space="preserve"> losing structural or functional benefits. That’s an important recognition that patients’ own understanding of their wellbeing counts (Studenic et al., 2023).</w:t>
      </w:r>
    </w:p>
    <w:p w14:paraId="4C08C5DF" w14:textId="77777777" w:rsidR="00797623" w:rsidRDefault="00797623" w:rsidP="00877010">
      <w:pPr>
        <w:pStyle w:val="Heading1"/>
        <w:spacing w:line="276" w:lineRule="auto"/>
      </w:pPr>
      <w:bookmarkStart w:id="16" w:name="_Toc235140615"/>
    </w:p>
    <w:p w14:paraId="4F01A9D2" w14:textId="2FEDACBE" w:rsidR="006730A7" w:rsidRPr="00797623" w:rsidRDefault="00000000" w:rsidP="00877010">
      <w:pPr>
        <w:pStyle w:val="Heading1"/>
        <w:spacing w:line="276" w:lineRule="auto"/>
      </w:pPr>
      <w:r w:rsidRPr="00797623">
        <w:lastRenderedPageBreak/>
        <w:t>5.  Health and Social Care Policy Agendas</w:t>
      </w:r>
      <w:bookmarkEnd w:id="16"/>
    </w:p>
    <w:p w14:paraId="63EEB67E" w14:textId="3DBBB178" w:rsidR="00DE3888" w:rsidRPr="00797623" w:rsidRDefault="00DE3888" w:rsidP="00DE3888">
      <w:pPr>
        <w:spacing w:before="80" w:after="80" w:line="276" w:lineRule="auto"/>
        <w:jc w:val="both"/>
        <w:rPr>
          <w:sz w:val="24"/>
          <w:szCs w:val="24"/>
        </w:rPr>
      </w:pPr>
      <w:r w:rsidRPr="00797623">
        <w:rPr>
          <w:sz w:val="24"/>
          <w:szCs w:val="24"/>
        </w:rPr>
        <w:t xml:space="preserve">The 2025 NHS </w:t>
      </w:r>
      <w:r w:rsidR="00CA7549" w:rsidRPr="00797623">
        <w:rPr>
          <w:sz w:val="24"/>
          <w:szCs w:val="24"/>
        </w:rPr>
        <w:t>Ten-Year</w:t>
      </w:r>
      <w:r w:rsidRPr="00797623">
        <w:rPr>
          <w:sz w:val="24"/>
          <w:szCs w:val="24"/>
        </w:rPr>
        <w:t xml:space="preserve"> Health Plan, ‘Fit for the Future,’ sets out three big shifts for the </w:t>
      </w:r>
      <w:r w:rsidR="00CA7549" w:rsidRPr="00797623">
        <w:rPr>
          <w:sz w:val="24"/>
          <w:szCs w:val="24"/>
        </w:rPr>
        <w:t>NHS:</w:t>
      </w:r>
      <w:r w:rsidRPr="00797623">
        <w:rPr>
          <w:sz w:val="24"/>
          <w:szCs w:val="24"/>
        </w:rPr>
        <w:t xml:space="preserve"> moving from hospital into community, from treatment into prevention, and from analogue toward digital (NHS England, 2025). For people living with RA, that means things like self-referral for musculoskeletal support through the NHS App, plus a digital shift designed to shave down diagnostic delay and the paperwork burden. Versus Arthritis (2025) said it welcomed the plan’s neighbourhood health emphasis but flagged, quite critically, that those musculoskeletal conditions have been “unacceptably low on the Government’s agenda for too long,” and not in a nice way </w:t>
      </w:r>
      <w:r w:rsidR="00CA7549" w:rsidRPr="00797623">
        <w:rPr>
          <w:sz w:val="24"/>
          <w:szCs w:val="24"/>
        </w:rPr>
        <w:t>either,</w:t>
      </w:r>
      <w:r w:rsidRPr="00797623">
        <w:rPr>
          <w:sz w:val="24"/>
          <w:szCs w:val="24"/>
        </w:rPr>
        <w:t xml:space="preserve"> alongside some of the worst waiting times across patient groups. </w:t>
      </w:r>
    </w:p>
    <w:p w14:paraId="57DBE321" w14:textId="77777777" w:rsidR="00DE3888" w:rsidRPr="00797623" w:rsidRDefault="00DE3888" w:rsidP="00DE3888">
      <w:pPr>
        <w:spacing w:before="80" w:after="80" w:line="276" w:lineRule="auto"/>
        <w:jc w:val="both"/>
        <w:rPr>
          <w:sz w:val="24"/>
          <w:szCs w:val="24"/>
        </w:rPr>
      </w:pPr>
    </w:p>
    <w:p w14:paraId="2ABDED6B" w14:textId="773ED884" w:rsidR="00DE3888" w:rsidRPr="00797623" w:rsidRDefault="00DE3888" w:rsidP="00DE3888">
      <w:pPr>
        <w:spacing w:before="80" w:after="80" w:line="276" w:lineRule="auto"/>
        <w:jc w:val="both"/>
        <w:rPr>
          <w:sz w:val="24"/>
          <w:szCs w:val="24"/>
        </w:rPr>
      </w:pPr>
      <w:r w:rsidRPr="00797623">
        <w:rPr>
          <w:sz w:val="24"/>
          <w:szCs w:val="24"/>
        </w:rPr>
        <w:t xml:space="preserve">NICE NG100 (2018, reviewed November 2024) still sits as the statutory clinical backbone, requiring T2T, prompt csDMARD start and annual MDT reviews. Yet, the 2018 evidence base may not fully grapple with new safety concerns emerging around JAK inhibitors, or with how quickly the evidence base is growing for psychological and lifestyle interventions in RA. The National Early Inflammatory Arthritis Audit (NEIAA), commissioned by HQIP, basically measures NHS services against three-week referral and six-week DMARD initiation expectations. Its 2022 findings suggested that COVID-19 cut primary care referrals by more than 50% during 2020–21, which raises real worries about a backlog of undiagnosed inflammatory </w:t>
      </w:r>
      <w:r w:rsidR="00CA7549" w:rsidRPr="00797623">
        <w:rPr>
          <w:sz w:val="24"/>
          <w:szCs w:val="24"/>
        </w:rPr>
        <w:t>arthritis,</w:t>
      </w:r>
      <w:r w:rsidRPr="00797623">
        <w:rPr>
          <w:sz w:val="24"/>
          <w:szCs w:val="24"/>
        </w:rPr>
        <w:t xml:space="preserve"> and what that may </w:t>
      </w:r>
      <w:r w:rsidRPr="00797623">
        <w:rPr>
          <w:sz w:val="24"/>
          <w:szCs w:val="24"/>
        </w:rPr>
        <w:t>do later in terms of long-term disability (England et al., 2022).</w:t>
      </w:r>
    </w:p>
    <w:p w14:paraId="424F8A99" w14:textId="42C9617E" w:rsidR="00DE3888" w:rsidRPr="00797623" w:rsidRDefault="00DF1CEF" w:rsidP="00797623">
      <w:pPr>
        <w:spacing w:line="276" w:lineRule="auto"/>
        <w:jc w:val="both"/>
        <w:rPr>
          <w:b/>
          <w:bCs/>
          <w:sz w:val="24"/>
          <w:szCs w:val="24"/>
        </w:rPr>
      </w:pPr>
      <w:r w:rsidRPr="00797623">
        <w:rPr>
          <w:sz w:val="24"/>
          <w:szCs w:val="24"/>
        </w:rPr>
        <w:t>So</w:t>
      </w:r>
      <w:r w:rsidR="00DE3888" w:rsidRPr="00797623">
        <w:rPr>
          <w:sz w:val="24"/>
          <w:szCs w:val="24"/>
        </w:rPr>
        <w:t xml:space="preserve">cial care support for people with RA can be wildly different depending on the local authority (Carers UK, 2023). Then the Health and Care Act 2022 creates Integrated Care Systems (ICSs), meant to pull together primary, secondary and social care commissioning, but because there are no ring-fenced musculoskeletal commissioning budgets, and because acute- sector priorities keep taking most of the attention, this “integration” promise often just </w:t>
      </w:r>
      <w:r w:rsidR="00CA7549" w:rsidRPr="00797623">
        <w:rPr>
          <w:sz w:val="24"/>
          <w:szCs w:val="24"/>
        </w:rPr>
        <w:t>doesn’t</w:t>
      </w:r>
      <w:r w:rsidR="00DE3888" w:rsidRPr="00797623">
        <w:rPr>
          <w:sz w:val="24"/>
          <w:szCs w:val="24"/>
        </w:rPr>
        <w:t xml:space="preserve"> land properly in practice (Arthritis UK, 2025).</w:t>
      </w:r>
    </w:p>
    <w:p w14:paraId="28532E24" w14:textId="2A31921F" w:rsidR="00DE3888" w:rsidRPr="00797623" w:rsidRDefault="00DE3888" w:rsidP="00797623">
      <w:pPr>
        <w:spacing w:line="276" w:lineRule="auto"/>
        <w:jc w:val="both"/>
        <w:rPr>
          <w:b/>
          <w:bCs/>
          <w:sz w:val="24"/>
          <w:szCs w:val="24"/>
        </w:rPr>
      </w:pPr>
      <w:r w:rsidRPr="00797623">
        <w:rPr>
          <w:sz w:val="24"/>
          <w:szCs w:val="24"/>
        </w:rPr>
        <w:t xml:space="preserve">First, diagnostic delay: even with NEIAA standards, lots of NHS services do not hit the three-week assessment, and the six-week DMARD-initiation targets, especially in deprived or under resourced places. This is </w:t>
      </w:r>
      <w:r w:rsidR="00CA7549" w:rsidRPr="00797623">
        <w:rPr>
          <w:sz w:val="24"/>
          <w:szCs w:val="24"/>
        </w:rPr>
        <w:t>even though</w:t>
      </w:r>
      <w:r w:rsidRPr="00797623">
        <w:rPr>
          <w:sz w:val="24"/>
          <w:szCs w:val="24"/>
        </w:rPr>
        <w:t xml:space="preserve"> early DMARD initiation is tied to much better long-term outcomes (England et al., 2022; CPRD, 2024). Second, inequality is not a side issue it is built in. Deprivation links with higher RA rates, later diagnosis, and weaker access to biologic therapies, yet neither NG100 nor the </w:t>
      </w:r>
      <w:r w:rsidR="00CA7549" w:rsidRPr="00797623">
        <w:rPr>
          <w:sz w:val="24"/>
          <w:szCs w:val="24"/>
        </w:rPr>
        <w:t>Ten-Year</w:t>
      </w:r>
      <w:r w:rsidRPr="00797623">
        <w:rPr>
          <w:sz w:val="24"/>
          <w:szCs w:val="24"/>
        </w:rPr>
        <w:t xml:space="preserve"> Health Plan really tackles musculoskeletal inequality through a Marmot-style framing (Marmot et al., 2020; Arthritis UK, 2025). Third, mental health integration still looks far too weak, despite depression in RA being reported around 13–47% (Matcham et al., 2019; NICE, 2018). </w:t>
      </w:r>
    </w:p>
    <w:p w14:paraId="26D289A1" w14:textId="77777777" w:rsidR="002752D8" w:rsidRPr="00797623" w:rsidRDefault="002752D8" w:rsidP="00DE3888">
      <w:pPr>
        <w:pStyle w:val="Heading1"/>
        <w:spacing w:line="276" w:lineRule="auto"/>
      </w:pPr>
    </w:p>
    <w:p w14:paraId="00597E85" w14:textId="77777777" w:rsidR="00797623" w:rsidRDefault="00797623" w:rsidP="00DE3888">
      <w:pPr>
        <w:pStyle w:val="Heading1"/>
        <w:spacing w:line="276" w:lineRule="auto"/>
      </w:pPr>
      <w:bookmarkStart w:id="17" w:name="_Toc235140616"/>
    </w:p>
    <w:p w14:paraId="5D59C360" w14:textId="079BD57B" w:rsidR="006730A7" w:rsidRPr="00797623" w:rsidRDefault="00000000" w:rsidP="00DE3888">
      <w:pPr>
        <w:pStyle w:val="Heading1"/>
        <w:spacing w:line="276" w:lineRule="auto"/>
      </w:pPr>
      <w:r w:rsidRPr="00797623">
        <w:lastRenderedPageBreak/>
        <w:t>6.  Recommendations for Improvement</w:t>
      </w:r>
      <w:bookmarkEnd w:id="17"/>
    </w:p>
    <w:p w14:paraId="57A91403" w14:textId="6704D1CA" w:rsidR="006730A7" w:rsidRPr="00797623" w:rsidRDefault="00877010" w:rsidP="00877010">
      <w:pPr>
        <w:pStyle w:val="Heading2"/>
        <w:spacing w:line="276" w:lineRule="auto"/>
        <w:rPr>
          <w:color w:val="002060"/>
          <w:sz w:val="28"/>
          <w:szCs w:val="28"/>
        </w:rPr>
      </w:pPr>
      <w:bookmarkStart w:id="18" w:name="_Toc235140617"/>
      <w:r w:rsidRPr="00797623">
        <w:rPr>
          <w:color w:val="002060"/>
          <w:sz w:val="28"/>
          <w:szCs w:val="28"/>
        </w:rPr>
        <w:t>6.1 Person-Centred Care</w:t>
      </w:r>
      <w:bookmarkEnd w:id="18"/>
    </w:p>
    <w:p w14:paraId="0598231B" w14:textId="77777777" w:rsidR="00DE3888" w:rsidRPr="00797623" w:rsidRDefault="00000000" w:rsidP="00877010">
      <w:pPr>
        <w:spacing w:before="80" w:after="80" w:line="276" w:lineRule="auto"/>
        <w:jc w:val="both"/>
        <w:rPr>
          <w:b/>
          <w:bCs/>
          <w:color w:val="002060"/>
          <w:sz w:val="24"/>
          <w:szCs w:val="24"/>
        </w:rPr>
      </w:pPr>
      <w:r w:rsidRPr="00797623">
        <w:rPr>
          <w:b/>
          <w:bCs/>
          <w:color w:val="002060"/>
          <w:sz w:val="28"/>
          <w:szCs w:val="28"/>
        </w:rPr>
        <w:t>Shared decision-making</w:t>
      </w:r>
      <w:r w:rsidRPr="00797623">
        <w:rPr>
          <w:b/>
          <w:bCs/>
          <w:color w:val="002060"/>
          <w:sz w:val="24"/>
          <w:szCs w:val="24"/>
        </w:rPr>
        <w:t xml:space="preserve">: </w:t>
      </w:r>
    </w:p>
    <w:p w14:paraId="65E83409" w14:textId="6263D010" w:rsidR="00DE3888" w:rsidRPr="00797623" w:rsidRDefault="00DE3888" w:rsidP="00DE3888">
      <w:pPr>
        <w:spacing w:before="80" w:after="80" w:line="276" w:lineRule="auto"/>
        <w:jc w:val="both"/>
        <w:rPr>
          <w:sz w:val="24"/>
          <w:szCs w:val="24"/>
        </w:rPr>
      </w:pPr>
      <w:r w:rsidRPr="00797623">
        <w:rPr>
          <w:sz w:val="24"/>
          <w:szCs w:val="24"/>
        </w:rPr>
        <w:t>Every treatment change should be based on a kind of structured, documented back-and-forth conversation between clinician and patient about goals, preferences, and the real concerns</w:t>
      </w:r>
      <w:r w:rsidR="00CA7549" w:rsidRPr="00797623">
        <w:rPr>
          <w:sz w:val="24"/>
          <w:szCs w:val="24"/>
        </w:rPr>
        <w:t>-</w:t>
      </w:r>
      <w:r w:rsidRPr="00797623">
        <w:rPr>
          <w:sz w:val="24"/>
          <w:szCs w:val="24"/>
        </w:rPr>
        <w:t>not only clinical scores, or what looks “good enough” on paper. The EULAR T2T principle of shared decision-making (Smolen et al., 2023) together with the House of Care collaborative care planning model (Coulter et al., 2016) gives the overall framework for how this should look in practice. already going badly.</w:t>
      </w:r>
    </w:p>
    <w:p w14:paraId="04E7D6FD" w14:textId="1F678B9D" w:rsidR="006730A7" w:rsidRPr="00797623" w:rsidRDefault="00DE3888" w:rsidP="00DE3888">
      <w:pPr>
        <w:spacing w:before="80" w:after="80" w:line="276" w:lineRule="auto"/>
        <w:jc w:val="both"/>
        <w:rPr>
          <w:sz w:val="24"/>
          <w:szCs w:val="24"/>
        </w:rPr>
      </w:pPr>
      <w:r w:rsidRPr="00797623">
        <w:rPr>
          <w:sz w:val="24"/>
          <w:szCs w:val="24"/>
        </w:rPr>
        <w:t xml:space="preserve">PROMs in every review: validated patient-reported measures, such as fatigue, pain, function, mood, and work participation should be used every time they’re seen in rheumatology, so the plan matches the person’s actual day to day experience of illness, rather than relying on clinical metrics by themselves (NICE NG100, 2018). </w:t>
      </w:r>
    </w:p>
    <w:p w14:paraId="4D2F6593" w14:textId="08706096" w:rsidR="006730A7" w:rsidRPr="00797623" w:rsidRDefault="00877010" w:rsidP="00877010">
      <w:pPr>
        <w:pStyle w:val="Heading2"/>
        <w:spacing w:line="276" w:lineRule="auto"/>
        <w:rPr>
          <w:color w:val="00838A"/>
          <w:sz w:val="28"/>
          <w:szCs w:val="28"/>
        </w:rPr>
      </w:pPr>
      <w:bookmarkStart w:id="19" w:name="_Toc235140618"/>
      <w:r w:rsidRPr="00797623">
        <w:rPr>
          <w:color w:val="00838A"/>
          <w:sz w:val="28"/>
          <w:szCs w:val="28"/>
        </w:rPr>
        <w:t>6.2 Self-Management Support</w:t>
      </w:r>
      <w:bookmarkEnd w:id="19"/>
    </w:p>
    <w:p w14:paraId="5BEE78B0" w14:textId="77777777" w:rsidR="0098326D" w:rsidRPr="00797623" w:rsidRDefault="0098326D" w:rsidP="00797623">
      <w:pPr>
        <w:spacing w:line="276" w:lineRule="auto"/>
        <w:jc w:val="both"/>
        <w:rPr>
          <w:b/>
          <w:bCs/>
          <w:sz w:val="24"/>
          <w:szCs w:val="24"/>
        </w:rPr>
      </w:pPr>
      <w:r w:rsidRPr="00797623">
        <w:rPr>
          <w:sz w:val="24"/>
          <w:szCs w:val="24"/>
        </w:rPr>
        <w:t>People with RA spend many of their lives outside the clinic, managing their condition every single day. Effective self-management support is therefore one of the most impactful and cost-effective investments the NHS can make. Recommendations include:</w:t>
      </w:r>
    </w:p>
    <w:p w14:paraId="0D445B6D" w14:textId="77777777" w:rsidR="00797623" w:rsidRPr="00797623" w:rsidRDefault="00797623" w:rsidP="00797623">
      <w:pPr>
        <w:spacing w:line="276" w:lineRule="auto"/>
        <w:jc w:val="both"/>
        <w:rPr>
          <w:sz w:val="24"/>
          <w:szCs w:val="24"/>
        </w:rPr>
      </w:pPr>
    </w:p>
    <w:p w14:paraId="6698D6DF" w14:textId="70D3ED52" w:rsidR="0098326D" w:rsidRPr="00797623" w:rsidRDefault="0098326D" w:rsidP="00797623">
      <w:pPr>
        <w:pStyle w:val="ListParagraph"/>
        <w:numPr>
          <w:ilvl w:val="0"/>
          <w:numId w:val="4"/>
        </w:numPr>
        <w:spacing w:line="276" w:lineRule="auto"/>
        <w:jc w:val="both"/>
        <w:rPr>
          <w:b/>
          <w:bCs/>
          <w:sz w:val="24"/>
          <w:szCs w:val="24"/>
        </w:rPr>
      </w:pPr>
      <w:r w:rsidRPr="00797623">
        <w:rPr>
          <w:sz w:val="24"/>
          <w:szCs w:val="24"/>
        </w:rPr>
        <w:t xml:space="preserve">Deliver structured self-management education at diagnosis, addressing the 'renegotiating the self' domains </w:t>
      </w:r>
      <w:r w:rsidRPr="00797623">
        <w:rPr>
          <w:sz w:val="24"/>
          <w:szCs w:val="24"/>
        </w:rPr>
        <w:t>identified by Matcham et al. (2020) -covering disease understanding, medication rationale, joint protection, fatigue management and flare recognition.</w:t>
      </w:r>
    </w:p>
    <w:p w14:paraId="1078082D" w14:textId="12F9C3E4" w:rsidR="0098326D" w:rsidRPr="00797623" w:rsidRDefault="0098326D" w:rsidP="00797623">
      <w:pPr>
        <w:pStyle w:val="ListParagraph"/>
        <w:numPr>
          <w:ilvl w:val="0"/>
          <w:numId w:val="4"/>
        </w:numPr>
        <w:spacing w:line="276" w:lineRule="auto"/>
        <w:jc w:val="both"/>
        <w:rPr>
          <w:b/>
          <w:bCs/>
          <w:sz w:val="24"/>
          <w:szCs w:val="24"/>
        </w:rPr>
      </w:pPr>
      <w:r w:rsidRPr="00797623">
        <w:rPr>
          <w:sz w:val="24"/>
          <w:szCs w:val="24"/>
        </w:rPr>
        <w:t xml:space="preserve">Expand access to the SARAH digital hand exercise app via the NHS App, in line with the </w:t>
      </w:r>
      <w:r w:rsidR="00CA7549" w:rsidRPr="00797623">
        <w:rPr>
          <w:sz w:val="24"/>
          <w:szCs w:val="24"/>
        </w:rPr>
        <w:t>Ten-year</w:t>
      </w:r>
      <w:r w:rsidRPr="00797623">
        <w:rPr>
          <w:sz w:val="24"/>
          <w:szCs w:val="24"/>
        </w:rPr>
        <w:t xml:space="preserve"> Health Plan's digital ambitions (NIHR, 2025).</w:t>
      </w:r>
    </w:p>
    <w:p w14:paraId="67DE4DAF" w14:textId="77777777" w:rsidR="0098326D" w:rsidRPr="00797623" w:rsidRDefault="0098326D" w:rsidP="00797623">
      <w:pPr>
        <w:pStyle w:val="ListParagraph"/>
        <w:numPr>
          <w:ilvl w:val="0"/>
          <w:numId w:val="4"/>
        </w:numPr>
        <w:spacing w:line="276" w:lineRule="auto"/>
        <w:jc w:val="both"/>
        <w:rPr>
          <w:b/>
          <w:bCs/>
          <w:sz w:val="24"/>
          <w:szCs w:val="24"/>
        </w:rPr>
      </w:pPr>
      <w:r w:rsidRPr="00797623">
        <w:rPr>
          <w:sz w:val="24"/>
          <w:szCs w:val="24"/>
        </w:rPr>
        <w:t>Actively fund and signpost NRAS and Versus Arthritis peer support programmes, which evidence demonstrates significantly improve psychological wellbeing in RA.</w:t>
      </w:r>
    </w:p>
    <w:p w14:paraId="56571A46" w14:textId="77777777" w:rsidR="0098326D" w:rsidRPr="00797623" w:rsidRDefault="0098326D" w:rsidP="00797623">
      <w:pPr>
        <w:pStyle w:val="ListParagraph"/>
        <w:numPr>
          <w:ilvl w:val="0"/>
          <w:numId w:val="4"/>
        </w:numPr>
        <w:spacing w:line="276" w:lineRule="auto"/>
        <w:jc w:val="both"/>
        <w:rPr>
          <w:b/>
          <w:bCs/>
          <w:sz w:val="24"/>
          <w:szCs w:val="24"/>
        </w:rPr>
      </w:pPr>
      <w:r w:rsidRPr="00797623">
        <w:rPr>
          <w:sz w:val="24"/>
          <w:szCs w:val="24"/>
        </w:rPr>
        <w:t>Embed routine PHQ-9 and GAD-7 screening at every rheumatology review, with low-threshold access to psychological therapies or IAPT referral (Matcham et al., 2019; Silverthorne et al., 2023).</w:t>
      </w:r>
    </w:p>
    <w:p w14:paraId="6697D841" w14:textId="77777777" w:rsidR="0098326D" w:rsidRPr="00797623" w:rsidRDefault="0098326D" w:rsidP="00797623">
      <w:pPr>
        <w:pStyle w:val="ListParagraph"/>
        <w:numPr>
          <w:ilvl w:val="0"/>
          <w:numId w:val="4"/>
        </w:numPr>
        <w:spacing w:line="276" w:lineRule="auto"/>
        <w:jc w:val="both"/>
        <w:rPr>
          <w:b/>
          <w:bCs/>
          <w:sz w:val="24"/>
          <w:szCs w:val="24"/>
        </w:rPr>
      </w:pPr>
      <w:r w:rsidRPr="00797623">
        <w:rPr>
          <w:sz w:val="24"/>
          <w:szCs w:val="24"/>
        </w:rPr>
        <w:t>Strengthen vocational rehabilitation pathways -including Access to Work signposting and employer guidance -to reduce avoidable work disability, which represents one of RA's greatest human and economic costs (Versus Arthritis, 2017; Wluka et al., 2022).</w:t>
      </w:r>
    </w:p>
    <w:p w14:paraId="6A5013DF" w14:textId="77777777" w:rsidR="0098326D" w:rsidRPr="00797623" w:rsidRDefault="0098326D" w:rsidP="00797623">
      <w:pPr>
        <w:pStyle w:val="ListParagraph"/>
        <w:numPr>
          <w:ilvl w:val="0"/>
          <w:numId w:val="4"/>
        </w:numPr>
        <w:spacing w:line="276" w:lineRule="auto"/>
        <w:jc w:val="both"/>
        <w:rPr>
          <w:b/>
          <w:bCs/>
          <w:sz w:val="24"/>
          <w:szCs w:val="24"/>
        </w:rPr>
      </w:pPr>
      <w:r w:rsidRPr="00797623">
        <w:rPr>
          <w:sz w:val="24"/>
          <w:szCs w:val="24"/>
        </w:rPr>
        <w:t>Make smoking cessation referral a standard clinical component of every RA review appointment (Maisha et al., 2023; NICE NG100, 2018).</w:t>
      </w:r>
    </w:p>
    <w:p w14:paraId="21B3DA31" w14:textId="09A896A1" w:rsidR="006730A7" w:rsidRPr="00797623" w:rsidRDefault="00A46292" w:rsidP="00877010">
      <w:pPr>
        <w:pStyle w:val="Heading2"/>
        <w:spacing w:line="276" w:lineRule="auto"/>
        <w:rPr>
          <w:color w:val="00838A"/>
          <w:sz w:val="28"/>
          <w:szCs w:val="28"/>
        </w:rPr>
      </w:pPr>
      <w:bookmarkStart w:id="20" w:name="_Toc235140619"/>
      <w:r w:rsidRPr="00797623">
        <w:rPr>
          <w:color w:val="00838A"/>
          <w:sz w:val="28"/>
          <w:szCs w:val="28"/>
        </w:rPr>
        <w:t>6.3 Addressing Health Inequalities</w:t>
      </w:r>
      <w:bookmarkEnd w:id="20"/>
    </w:p>
    <w:p w14:paraId="4DEA6875" w14:textId="3752A6B4" w:rsidR="0098326D" w:rsidRPr="00797623" w:rsidRDefault="0098326D" w:rsidP="00797623">
      <w:pPr>
        <w:spacing w:line="276" w:lineRule="auto"/>
        <w:jc w:val="both"/>
        <w:rPr>
          <w:b/>
          <w:bCs/>
          <w:sz w:val="24"/>
          <w:szCs w:val="24"/>
        </w:rPr>
      </w:pPr>
      <w:r w:rsidRPr="00797623">
        <w:rPr>
          <w:sz w:val="24"/>
          <w:szCs w:val="24"/>
        </w:rPr>
        <w:t xml:space="preserve">Applying Marmot's proportionate universalism principle (Marmot et al., 2020), RA services should be scaled in proportion to need, giving more support </w:t>
      </w:r>
      <w:r w:rsidRPr="00797623">
        <w:rPr>
          <w:sz w:val="24"/>
          <w:szCs w:val="24"/>
        </w:rPr>
        <w:lastRenderedPageBreak/>
        <w:t xml:space="preserve">to places with higher deprivation, later presentation, and more complex comorbidity. In practice it implies targeted outreach at community level for early symptom recognition, as well as culturally adapted self-management programmes in languages people </w:t>
      </w:r>
      <w:r w:rsidR="00CA7549" w:rsidRPr="00797623">
        <w:rPr>
          <w:sz w:val="24"/>
          <w:szCs w:val="24"/>
        </w:rPr>
        <w:t>use</w:t>
      </w:r>
      <w:r w:rsidRPr="00797623">
        <w:rPr>
          <w:sz w:val="24"/>
          <w:szCs w:val="24"/>
        </w:rPr>
        <w:t xml:space="preserve"> day to day. It also involves integrated social prescribing for welfare benefit advice, housing help, and social connection, not as separate add on. Finally, commissioners should fund community musculoskeletal services inside neighbourhood health teams as the NHS </w:t>
      </w:r>
      <w:r w:rsidR="00CA7549" w:rsidRPr="00797623">
        <w:rPr>
          <w:sz w:val="24"/>
          <w:szCs w:val="24"/>
        </w:rPr>
        <w:t>Ten-year</w:t>
      </w:r>
      <w:r w:rsidRPr="00797623">
        <w:rPr>
          <w:sz w:val="24"/>
          <w:szCs w:val="24"/>
        </w:rPr>
        <w:t xml:space="preserve"> Health Plan is suggesting (NHS England, </w:t>
      </w:r>
      <w:r w:rsidR="00CA7549" w:rsidRPr="00797623">
        <w:rPr>
          <w:sz w:val="24"/>
          <w:szCs w:val="24"/>
        </w:rPr>
        <w:t>2025;</w:t>
      </w:r>
      <w:r w:rsidRPr="00797623">
        <w:rPr>
          <w:sz w:val="24"/>
          <w:szCs w:val="24"/>
        </w:rPr>
        <w:t xml:space="preserve"> Arthritis UK, 2025).</w:t>
      </w:r>
    </w:p>
    <w:p w14:paraId="3959138B" w14:textId="07A48762" w:rsidR="006730A7" w:rsidRPr="00797623" w:rsidRDefault="00000000" w:rsidP="00877010">
      <w:pPr>
        <w:pStyle w:val="Heading1"/>
        <w:spacing w:line="276" w:lineRule="auto"/>
        <w:rPr>
          <w:sz w:val="28"/>
          <w:szCs w:val="28"/>
        </w:rPr>
      </w:pPr>
      <w:bookmarkStart w:id="21" w:name="_Toc235140620"/>
      <w:r w:rsidRPr="00797623">
        <w:rPr>
          <w:sz w:val="28"/>
          <w:szCs w:val="28"/>
        </w:rPr>
        <w:t>7.  Conclusion</w:t>
      </w:r>
      <w:bookmarkEnd w:id="21"/>
    </w:p>
    <w:p w14:paraId="66E27D36" w14:textId="77777777" w:rsidR="00720835" w:rsidRPr="00797623" w:rsidRDefault="00720835" w:rsidP="00797623">
      <w:pPr>
        <w:spacing w:line="276" w:lineRule="auto"/>
        <w:jc w:val="both"/>
        <w:rPr>
          <w:b/>
          <w:bCs/>
          <w:sz w:val="24"/>
          <w:szCs w:val="24"/>
        </w:rPr>
      </w:pPr>
      <w:r w:rsidRPr="00797623">
        <w:rPr>
          <w:sz w:val="24"/>
          <w:szCs w:val="24"/>
        </w:rPr>
        <w:t xml:space="preserve">Rheumatoid arthritis needs a broad public health approach, not only the physical stuff, but also the psychosocial fallout that comes with it. The proof backs early detection, a treat-to-target style of management, teams that work across disciplines, and supported self-management. This is usually steered by the House of Care model, and the EULAR Treat-to-Target framework. Still, there are hurdles, like diagnosis that comes late, too little psychological support, carers that often go unrecognised, and end-of-life planning that too rarely gets started early enough. In the UK, rheumatoid arthritis and musculoskeletal conditions are a major driver of disability, yet they seem to get relatively less attention in policy, and less funding too. </w:t>
      </w:r>
    </w:p>
    <w:p w14:paraId="518B4A6C" w14:textId="77777777" w:rsidR="00720835" w:rsidRPr="00797623" w:rsidRDefault="00720835" w:rsidP="00797623">
      <w:pPr>
        <w:spacing w:line="276" w:lineRule="auto"/>
        <w:jc w:val="both"/>
        <w:rPr>
          <w:b/>
          <w:bCs/>
          <w:sz w:val="24"/>
          <w:szCs w:val="24"/>
        </w:rPr>
      </w:pPr>
      <w:r w:rsidRPr="00797623">
        <w:rPr>
          <w:sz w:val="24"/>
          <w:szCs w:val="24"/>
        </w:rPr>
        <w:t xml:space="preserve">What </w:t>
      </w:r>
      <w:proofErr w:type="gramStart"/>
      <w:r w:rsidRPr="00797623">
        <w:rPr>
          <w:sz w:val="24"/>
          <w:szCs w:val="24"/>
        </w:rPr>
        <w:t>has to</w:t>
      </w:r>
      <w:proofErr w:type="gramEnd"/>
      <w:r w:rsidRPr="00797623">
        <w:rPr>
          <w:sz w:val="24"/>
          <w:szCs w:val="24"/>
        </w:rPr>
        <w:t xml:space="preserve"> happen is a person-centred way of working, one that really honours a person’s quality of life alongside clinical markers, not only the measurable clinical outcomes. Even so, gaps keep showing </w:t>
      </w:r>
      <w:r w:rsidRPr="00797623">
        <w:rPr>
          <w:sz w:val="24"/>
          <w:szCs w:val="24"/>
        </w:rPr>
        <w:t>up. People too often wait far too long for diagnosis. Psychological support still reaches too few. Many carers are basically invisible to services. End-of-life planning often only appears when time is nearly gone. And musculoskeletal conditions, despite being the leading cause of disability in the UK, keep drawing less policy attention, and less NHS investment, than the scale of the burden would suggest.</w:t>
      </w:r>
    </w:p>
    <w:p w14:paraId="24D59D5E" w14:textId="54701B59" w:rsidR="00720835" w:rsidRPr="00797623" w:rsidRDefault="00720835" w:rsidP="00797623">
      <w:pPr>
        <w:spacing w:line="276" w:lineRule="auto"/>
        <w:jc w:val="both"/>
        <w:rPr>
          <w:b/>
          <w:bCs/>
        </w:rPr>
      </w:pPr>
      <w:r w:rsidRPr="00797623">
        <w:rPr>
          <w:sz w:val="24"/>
          <w:szCs w:val="24"/>
        </w:rPr>
        <w:t xml:space="preserve">Closing this gap is not simply about upgrading systems, but about a real cultural change: seeing people with RA as whole human beings. Their relationships their work their emotions and their hopes count as much as, and maybe sometimes more than DAS28 scores. </w:t>
      </w:r>
    </w:p>
    <w:p w14:paraId="129BB348" w14:textId="77777777" w:rsidR="002752D8" w:rsidRPr="00797623" w:rsidRDefault="002752D8" w:rsidP="000F3DF1">
      <w:pPr>
        <w:pStyle w:val="Heading1"/>
        <w:spacing w:line="276" w:lineRule="auto"/>
      </w:pPr>
    </w:p>
    <w:p w14:paraId="0D4B7963" w14:textId="77777777" w:rsidR="002752D8" w:rsidRPr="00797623" w:rsidRDefault="002752D8" w:rsidP="000F3DF1">
      <w:pPr>
        <w:pStyle w:val="Heading1"/>
        <w:spacing w:line="276" w:lineRule="auto"/>
      </w:pPr>
    </w:p>
    <w:p w14:paraId="7A958083" w14:textId="77777777" w:rsidR="002752D8" w:rsidRPr="00797623" w:rsidRDefault="002752D8" w:rsidP="000F3DF1">
      <w:pPr>
        <w:pStyle w:val="Heading1"/>
        <w:spacing w:line="276" w:lineRule="auto"/>
      </w:pPr>
    </w:p>
    <w:p w14:paraId="0CA2418A" w14:textId="77777777" w:rsidR="002752D8" w:rsidRPr="00797623" w:rsidRDefault="002752D8" w:rsidP="000F3DF1">
      <w:pPr>
        <w:pStyle w:val="Heading1"/>
        <w:spacing w:line="276" w:lineRule="auto"/>
      </w:pPr>
    </w:p>
    <w:p w14:paraId="1D9C88E6" w14:textId="77777777" w:rsidR="002752D8" w:rsidRPr="00797623" w:rsidRDefault="002752D8" w:rsidP="000F3DF1">
      <w:pPr>
        <w:pStyle w:val="Heading1"/>
        <w:spacing w:line="276" w:lineRule="auto"/>
      </w:pPr>
    </w:p>
    <w:p w14:paraId="5A42CE3B" w14:textId="77777777" w:rsidR="00797623" w:rsidRDefault="00797623">
      <w:pPr>
        <w:rPr>
          <w:b/>
          <w:bCs/>
          <w:color w:val="00838A"/>
          <w:sz w:val="32"/>
          <w:szCs w:val="32"/>
        </w:rPr>
      </w:pPr>
      <w:bookmarkStart w:id="22" w:name="_Toc235140621"/>
      <w:r>
        <w:br w:type="page"/>
      </w:r>
    </w:p>
    <w:p w14:paraId="130610B3" w14:textId="0C7E0998" w:rsidR="006730A7" w:rsidRPr="00797623" w:rsidRDefault="00000000" w:rsidP="000F3DF1">
      <w:pPr>
        <w:pStyle w:val="Heading1"/>
        <w:spacing w:line="276" w:lineRule="auto"/>
      </w:pPr>
      <w:r w:rsidRPr="00797623">
        <w:lastRenderedPageBreak/>
        <w:t>References</w:t>
      </w:r>
      <w:bookmarkEnd w:id="22"/>
    </w:p>
    <w:p w14:paraId="47B55182" w14:textId="77777777" w:rsidR="00FF7CA0" w:rsidRPr="00797623" w:rsidRDefault="00FF7CA0" w:rsidP="00FF7CA0">
      <w:pPr>
        <w:pStyle w:val="pdq2pgselectionanchorcontainer"/>
        <w:rPr>
          <w:rFonts w:ascii="Arial" w:hAnsi="Arial" w:cs="Arial"/>
        </w:rPr>
      </w:pPr>
      <w:r w:rsidRPr="00797623">
        <w:rPr>
          <w:rFonts w:ascii="Arial" w:hAnsi="Arial" w:cs="Arial"/>
        </w:rPr>
        <w:t xml:space="preserve">Adas, M., Abhishek, A., Mallen, C. </w:t>
      </w:r>
      <w:r w:rsidRPr="00797623">
        <w:rPr>
          <w:rStyle w:val="Emphasis"/>
          <w:rFonts w:ascii="Arial" w:hAnsi="Arial" w:cs="Arial"/>
        </w:rPr>
        <w:t>et al.</w:t>
      </w:r>
      <w:r w:rsidRPr="00797623">
        <w:rPr>
          <w:rFonts w:ascii="Arial" w:hAnsi="Arial" w:cs="Arial"/>
        </w:rPr>
        <w:t xml:space="preserve"> (2022) 'Rheumatoid arthritis, psoriatic arthritis, and axial spondyloarthritis epidemiology in England 2004–2020: An observational study using primary care electronic health records', </w:t>
      </w:r>
      <w:r w:rsidRPr="00797623">
        <w:rPr>
          <w:rStyle w:val="Emphasis"/>
          <w:rFonts w:ascii="Arial" w:hAnsi="Arial" w:cs="Arial"/>
        </w:rPr>
        <w:t>The Lancet Regional Health – Europe</w:t>
      </w:r>
      <w:r w:rsidRPr="00797623">
        <w:rPr>
          <w:rFonts w:ascii="Arial" w:hAnsi="Arial" w:cs="Arial"/>
        </w:rPr>
        <w:t xml:space="preserve">, 23, p. 100556. Available at: </w:t>
      </w:r>
      <w:hyperlink r:id="rId16" w:tgtFrame="_new" w:history="1">
        <w:r w:rsidRPr="00797623">
          <w:rPr>
            <w:rStyle w:val="Hyperlink"/>
            <w:rFonts w:ascii="Arial" w:hAnsi="Arial" w:cs="Arial"/>
          </w:rPr>
          <w:t>https://doi.org/10.1016/j.lanepe.2022.100556</w:t>
        </w:r>
      </w:hyperlink>
      <w:r w:rsidRPr="00797623">
        <w:rPr>
          <w:rFonts w:ascii="Arial" w:hAnsi="Arial" w:cs="Arial"/>
        </w:rPr>
        <w:t>.</w:t>
      </w:r>
    </w:p>
    <w:p w14:paraId="1204CE22" w14:textId="77777777" w:rsidR="00FF7CA0" w:rsidRPr="00797623" w:rsidRDefault="00FF7CA0" w:rsidP="00FF7CA0">
      <w:pPr>
        <w:pStyle w:val="NormalWeb"/>
        <w:rPr>
          <w:rFonts w:ascii="Arial" w:hAnsi="Arial" w:cs="Arial"/>
        </w:rPr>
      </w:pPr>
      <w:r w:rsidRPr="00797623">
        <w:rPr>
          <w:rFonts w:ascii="Arial" w:hAnsi="Arial" w:cs="Arial"/>
        </w:rPr>
        <w:t xml:space="preserve">Aletaha, D., Neogi, T., Silman, A.J. </w:t>
      </w:r>
      <w:r w:rsidRPr="00797623">
        <w:rPr>
          <w:rStyle w:val="Emphasis"/>
          <w:rFonts w:ascii="Arial" w:hAnsi="Arial" w:cs="Arial"/>
        </w:rPr>
        <w:t>et al.</w:t>
      </w:r>
      <w:r w:rsidRPr="00797623">
        <w:rPr>
          <w:rFonts w:ascii="Arial" w:hAnsi="Arial" w:cs="Arial"/>
        </w:rPr>
        <w:t xml:space="preserve"> (2010) '2010 Rheumatoid arthritis classification criteria: An ACR/EULAR collaborative initiative', </w:t>
      </w:r>
      <w:r w:rsidRPr="00797623">
        <w:rPr>
          <w:rStyle w:val="Emphasis"/>
          <w:rFonts w:ascii="Arial" w:hAnsi="Arial" w:cs="Arial"/>
        </w:rPr>
        <w:t>Annals of the Rheumatic Diseases</w:t>
      </w:r>
      <w:r w:rsidRPr="00797623">
        <w:rPr>
          <w:rFonts w:ascii="Arial" w:hAnsi="Arial" w:cs="Arial"/>
        </w:rPr>
        <w:t>, 69(9), pp. 1580–1588.</w:t>
      </w:r>
    </w:p>
    <w:p w14:paraId="5D64A306" w14:textId="77777777" w:rsidR="00FF7CA0" w:rsidRPr="00797623" w:rsidRDefault="00FF7CA0" w:rsidP="00FF7CA0">
      <w:pPr>
        <w:pStyle w:val="NormalWeb"/>
        <w:rPr>
          <w:rFonts w:ascii="Arial" w:hAnsi="Arial" w:cs="Arial"/>
        </w:rPr>
      </w:pPr>
      <w:r w:rsidRPr="00797623">
        <w:rPr>
          <w:rFonts w:ascii="Arial" w:hAnsi="Arial" w:cs="Arial"/>
        </w:rPr>
        <w:t xml:space="preserve">Arthritis UK (2025a) </w:t>
      </w:r>
      <w:r w:rsidRPr="00797623">
        <w:rPr>
          <w:rStyle w:val="Emphasis"/>
          <w:rFonts w:ascii="Arial" w:hAnsi="Arial" w:cs="Arial"/>
        </w:rPr>
        <w:t>Our response to the 10-Year Health Plan for England</w:t>
      </w:r>
      <w:r w:rsidRPr="00797623">
        <w:rPr>
          <w:rFonts w:ascii="Arial" w:hAnsi="Arial" w:cs="Arial"/>
        </w:rPr>
        <w:t xml:space="preserve">. London: Arthritis UK. Available at: </w:t>
      </w:r>
      <w:hyperlink r:id="rId17" w:tgtFrame="_new" w:history="1">
        <w:r w:rsidRPr="00797623">
          <w:rPr>
            <w:rStyle w:val="Hyperlink"/>
            <w:rFonts w:ascii="Arial" w:hAnsi="Arial" w:cs="Arial"/>
          </w:rPr>
          <w:t>https://www.arthritis-uk.org/news/2025/july/our-response-to-the-10-year-health-plan-for-england/</w:t>
        </w:r>
      </w:hyperlink>
      <w:r w:rsidRPr="00797623">
        <w:rPr>
          <w:rFonts w:ascii="Arial" w:hAnsi="Arial" w:cs="Arial"/>
        </w:rPr>
        <w:t xml:space="preserve"> (Accessed: 16 July 2026).</w:t>
      </w:r>
    </w:p>
    <w:p w14:paraId="78CF119D" w14:textId="77777777" w:rsidR="00FF7CA0" w:rsidRPr="00797623" w:rsidRDefault="00FF7CA0" w:rsidP="00FF7CA0">
      <w:pPr>
        <w:pStyle w:val="NormalWeb"/>
        <w:rPr>
          <w:rFonts w:ascii="Arial" w:hAnsi="Arial" w:cs="Arial"/>
        </w:rPr>
      </w:pPr>
      <w:r w:rsidRPr="00797623">
        <w:rPr>
          <w:rFonts w:ascii="Arial" w:hAnsi="Arial" w:cs="Arial"/>
        </w:rPr>
        <w:t xml:space="preserve">Arthritis UK (2025b) </w:t>
      </w:r>
      <w:r w:rsidRPr="00797623">
        <w:rPr>
          <w:rStyle w:val="Emphasis"/>
          <w:rFonts w:ascii="Arial" w:hAnsi="Arial" w:cs="Arial"/>
        </w:rPr>
        <w:t>State of Musculoskeletal Health 2025</w:t>
      </w:r>
      <w:r w:rsidRPr="00797623">
        <w:rPr>
          <w:rFonts w:ascii="Arial" w:hAnsi="Arial" w:cs="Arial"/>
        </w:rPr>
        <w:t>. London: Arthritis UK.</w:t>
      </w:r>
    </w:p>
    <w:p w14:paraId="3AE3BE94" w14:textId="77777777" w:rsidR="00FF7CA0" w:rsidRPr="00797623" w:rsidRDefault="00FF7CA0" w:rsidP="00FF7CA0">
      <w:pPr>
        <w:pStyle w:val="NormalWeb"/>
        <w:rPr>
          <w:rFonts w:ascii="Arial" w:hAnsi="Arial" w:cs="Arial"/>
        </w:rPr>
      </w:pPr>
      <w:r w:rsidRPr="00797623">
        <w:rPr>
          <w:rFonts w:ascii="Arial" w:hAnsi="Arial" w:cs="Arial"/>
        </w:rPr>
        <w:t xml:space="preserve">Carers UK (2023) </w:t>
      </w:r>
      <w:r w:rsidRPr="00797623">
        <w:rPr>
          <w:rStyle w:val="Emphasis"/>
          <w:rFonts w:ascii="Arial" w:hAnsi="Arial" w:cs="Arial"/>
        </w:rPr>
        <w:t>State of Caring 2023</w:t>
      </w:r>
      <w:r w:rsidRPr="00797623">
        <w:rPr>
          <w:rFonts w:ascii="Arial" w:hAnsi="Arial" w:cs="Arial"/>
        </w:rPr>
        <w:t xml:space="preserve">. London: Carers UK. Available at: </w:t>
      </w:r>
      <w:hyperlink r:id="rId18" w:tgtFrame="_new" w:history="1">
        <w:r w:rsidRPr="00797623">
          <w:rPr>
            <w:rStyle w:val="Hyperlink"/>
            <w:rFonts w:ascii="Arial" w:hAnsi="Arial" w:cs="Arial"/>
          </w:rPr>
          <w:t>https://www.carersuk.org/reports-and-policy-research/state-of-caring/</w:t>
        </w:r>
      </w:hyperlink>
      <w:r w:rsidRPr="00797623">
        <w:rPr>
          <w:rFonts w:ascii="Arial" w:hAnsi="Arial" w:cs="Arial"/>
        </w:rPr>
        <w:t xml:space="preserve"> (Accessed: 16 July 2026).</w:t>
      </w:r>
    </w:p>
    <w:p w14:paraId="4E13080F" w14:textId="77777777" w:rsidR="00FF7CA0" w:rsidRPr="00797623" w:rsidRDefault="00FF7CA0" w:rsidP="00FF7CA0">
      <w:pPr>
        <w:pStyle w:val="NormalWeb"/>
        <w:rPr>
          <w:rFonts w:ascii="Arial" w:hAnsi="Arial" w:cs="Arial"/>
        </w:rPr>
      </w:pPr>
      <w:r w:rsidRPr="00797623">
        <w:rPr>
          <w:rFonts w:ascii="Arial" w:hAnsi="Arial" w:cs="Arial"/>
        </w:rPr>
        <w:t xml:space="preserve">Chen, Z., Zhao, Y., Shi, X. and Liu, Y. (2025) 'Association of social isolation and loneliness with incident rheumatoid arthritis', </w:t>
      </w:r>
      <w:r w:rsidRPr="00797623">
        <w:rPr>
          <w:rStyle w:val="Emphasis"/>
          <w:rFonts w:ascii="Arial" w:hAnsi="Arial" w:cs="Arial"/>
        </w:rPr>
        <w:t>Journal of Affective Disorders</w:t>
      </w:r>
      <w:r w:rsidRPr="00797623">
        <w:rPr>
          <w:rFonts w:ascii="Arial" w:hAnsi="Arial" w:cs="Arial"/>
        </w:rPr>
        <w:t>, 374, pp. 312–319.</w:t>
      </w:r>
    </w:p>
    <w:p w14:paraId="4B290E8D" w14:textId="77777777" w:rsidR="00FF7CA0" w:rsidRPr="00797623" w:rsidRDefault="00FF7CA0" w:rsidP="00FF7CA0">
      <w:pPr>
        <w:pStyle w:val="NormalWeb"/>
        <w:rPr>
          <w:rFonts w:ascii="Arial" w:hAnsi="Arial" w:cs="Arial"/>
        </w:rPr>
      </w:pPr>
      <w:r w:rsidRPr="00797623">
        <w:rPr>
          <w:rFonts w:ascii="Arial" w:hAnsi="Arial" w:cs="Arial"/>
        </w:rPr>
        <w:t xml:space="preserve">Cho, J., Cheville, A.L., Yoo, J.W. </w:t>
      </w:r>
      <w:r w:rsidRPr="00797623">
        <w:rPr>
          <w:rStyle w:val="Emphasis"/>
          <w:rFonts w:ascii="Arial" w:hAnsi="Arial" w:cs="Arial"/>
        </w:rPr>
        <w:t>et al.</w:t>
      </w:r>
      <w:r w:rsidRPr="00797623">
        <w:rPr>
          <w:rFonts w:ascii="Arial" w:hAnsi="Arial" w:cs="Arial"/>
        </w:rPr>
        <w:t xml:space="preserve"> (2019) 'Palliative and end-of-life care in rheumatology', </w:t>
      </w:r>
      <w:r w:rsidRPr="00797623">
        <w:rPr>
          <w:rStyle w:val="Emphasis"/>
          <w:rFonts w:ascii="Arial" w:hAnsi="Arial" w:cs="Arial"/>
        </w:rPr>
        <w:t>Seminars in Arthritis and Rheumatism</w:t>
      </w:r>
      <w:r w:rsidRPr="00797623">
        <w:rPr>
          <w:rFonts w:ascii="Arial" w:hAnsi="Arial" w:cs="Arial"/>
        </w:rPr>
        <w:t>, 48(5), pp. 883–890.</w:t>
      </w:r>
    </w:p>
    <w:p w14:paraId="240C570E" w14:textId="77777777" w:rsidR="00FF7CA0" w:rsidRPr="00797623" w:rsidRDefault="00FF7CA0" w:rsidP="00FF7CA0">
      <w:pPr>
        <w:pStyle w:val="NormalWeb"/>
        <w:rPr>
          <w:rFonts w:ascii="Arial" w:hAnsi="Arial" w:cs="Arial"/>
        </w:rPr>
      </w:pPr>
    </w:p>
    <w:p w14:paraId="34491298" w14:textId="77777777" w:rsidR="00FF7CA0" w:rsidRPr="00797623" w:rsidRDefault="00FF7CA0" w:rsidP="00FF7CA0">
      <w:pPr>
        <w:pStyle w:val="NormalWeb"/>
        <w:rPr>
          <w:rFonts w:ascii="Arial" w:hAnsi="Arial" w:cs="Arial"/>
        </w:rPr>
      </w:pPr>
    </w:p>
    <w:p w14:paraId="4A25BA9A" w14:textId="4C24A134" w:rsidR="00FF7CA0" w:rsidRPr="00797623" w:rsidRDefault="00FF7CA0" w:rsidP="00FF7CA0">
      <w:pPr>
        <w:pStyle w:val="NormalWeb"/>
        <w:rPr>
          <w:rFonts w:ascii="Arial" w:hAnsi="Arial" w:cs="Arial"/>
        </w:rPr>
      </w:pPr>
      <w:r w:rsidRPr="00797623">
        <w:rPr>
          <w:rFonts w:ascii="Arial" w:hAnsi="Arial" w:cs="Arial"/>
        </w:rPr>
        <w:t xml:space="preserve">Coulter, A., Entwistle, V.A., Eccles, A. </w:t>
      </w:r>
      <w:r w:rsidRPr="00797623">
        <w:rPr>
          <w:rStyle w:val="Emphasis"/>
          <w:rFonts w:ascii="Arial" w:hAnsi="Arial" w:cs="Arial"/>
        </w:rPr>
        <w:t>et al.</w:t>
      </w:r>
      <w:r w:rsidRPr="00797623">
        <w:rPr>
          <w:rFonts w:ascii="Arial" w:hAnsi="Arial" w:cs="Arial"/>
        </w:rPr>
        <w:t xml:space="preserve"> (2016) 'Personalised care planning for adults </w:t>
      </w:r>
    </w:p>
    <w:p w14:paraId="01200EAB" w14:textId="37D38F1A" w:rsidR="00FF7CA0" w:rsidRPr="00797623" w:rsidRDefault="00FF7CA0" w:rsidP="00FF7CA0">
      <w:pPr>
        <w:pStyle w:val="NormalWeb"/>
        <w:rPr>
          <w:rFonts w:ascii="Arial" w:hAnsi="Arial" w:cs="Arial"/>
        </w:rPr>
      </w:pPr>
      <w:r w:rsidRPr="00797623">
        <w:rPr>
          <w:rFonts w:ascii="Arial" w:hAnsi="Arial" w:cs="Arial"/>
        </w:rPr>
        <w:t xml:space="preserve">with chronic or long-term health conditions', </w:t>
      </w:r>
      <w:r w:rsidRPr="00797623">
        <w:rPr>
          <w:rStyle w:val="Emphasis"/>
          <w:rFonts w:ascii="Arial" w:hAnsi="Arial" w:cs="Arial"/>
        </w:rPr>
        <w:t>Cochrane Database of Systematic Reviews</w:t>
      </w:r>
      <w:r w:rsidRPr="00797623">
        <w:rPr>
          <w:rFonts w:ascii="Arial" w:hAnsi="Arial" w:cs="Arial"/>
        </w:rPr>
        <w:t>, 2016(3).</w:t>
      </w:r>
    </w:p>
    <w:p w14:paraId="45DF689F" w14:textId="77777777" w:rsidR="00FF7CA0" w:rsidRPr="00797623" w:rsidRDefault="00FF7CA0" w:rsidP="00FF7CA0">
      <w:pPr>
        <w:pStyle w:val="NormalWeb"/>
        <w:rPr>
          <w:rFonts w:ascii="Arial" w:hAnsi="Arial" w:cs="Arial"/>
        </w:rPr>
      </w:pPr>
      <w:r w:rsidRPr="00797623">
        <w:rPr>
          <w:rFonts w:ascii="Arial" w:hAnsi="Arial" w:cs="Arial"/>
        </w:rPr>
        <w:t xml:space="preserve">Coulter, A., Roberts, S. and Dixon, A. (2013) </w:t>
      </w:r>
      <w:r w:rsidRPr="00797623">
        <w:rPr>
          <w:rStyle w:val="Emphasis"/>
          <w:rFonts w:ascii="Arial" w:hAnsi="Arial" w:cs="Arial"/>
        </w:rPr>
        <w:t>Delivering Better Services for People with Long-Term Conditions: Building the House of Care</w:t>
      </w:r>
      <w:r w:rsidRPr="00797623">
        <w:rPr>
          <w:rFonts w:ascii="Arial" w:hAnsi="Arial" w:cs="Arial"/>
        </w:rPr>
        <w:t>. London: The King's Fund.</w:t>
      </w:r>
    </w:p>
    <w:p w14:paraId="26BD85F0" w14:textId="77777777" w:rsidR="00FF7CA0" w:rsidRPr="00797623" w:rsidRDefault="00FF7CA0" w:rsidP="00FF7CA0">
      <w:pPr>
        <w:pStyle w:val="NormalWeb"/>
        <w:rPr>
          <w:rFonts w:ascii="Arial" w:hAnsi="Arial" w:cs="Arial"/>
        </w:rPr>
      </w:pPr>
      <w:r w:rsidRPr="00797623">
        <w:rPr>
          <w:rFonts w:ascii="Arial" w:hAnsi="Arial" w:cs="Arial"/>
        </w:rPr>
        <w:t xml:space="preserve">Covic, T., Cumming, S.R., Pallant, J.F. </w:t>
      </w:r>
      <w:r w:rsidRPr="00797623">
        <w:rPr>
          <w:rStyle w:val="Emphasis"/>
          <w:rFonts w:ascii="Arial" w:hAnsi="Arial" w:cs="Arial"/>
        </w:rPr>
        <w:t>et al.</w:t>
      </w:r>
      <w:r w:rsidRPr="00797623">
        <w:rPr>
          <w:rFonts w:ascii="Arial" w:hAnsi="Arial" w:cs="Arial"/>
        </w:rPr>
        <w:t xml:space="preserve"> (2012) 'Depression and anxiety in patients with rheumatoid arthritis', </w:t>
      </w:r>
      <w:r w:rsidRPr="00797623">
        <w:rPr>
          <w:rStyle w:val="Emphasis"/>
          <w:rFonts w:ascii="Arial" w:hAnsi="Arial" w:cs="Arial"/>
        </w:rPr>
        <w:t>BMC Psychiatry</w:t>
      </w:r>
      <w:r w:rsidRPr="00797623">
        <w:rPr>
          <w:rFonts w:ascii="Arial" w:hAnsi="Arial" w:cs="Arial"/>
        </w:rPr>
        <w:t>, 12, p. 6.</w:t>
      </w:r>
    </w:p>
    <w:p w14:paraId="4FC815E3" w14:textId="77777777" w:rsidR="00FF7CA0" w:rsidRPr="00797623" w:rsidRDefault="00FF7CA0" w:rsidP="00FF7CA0">
      <w:pPr>
        <w:pStyle w:val="NormalWeb"/>
        <w:rPr>
          <w:rFonts w:ascii="Arial" w:hAnsi="Arial" w:cs="Arial"/>
        </w:rPr>
      </w:pPr>
      <w:r w:rsidRPr="00797623">
        <w:rPr>
          <w:rFonts w:ascii="Arial" w:hAnsi="Arial" w:cs="Arial"/>
        </w:rPr>
        <w:t xml:space="preserve">CPRD (2024) </w:t>
      </w:r>
      <w:r w:rsidRPr="00797623">
        <w:rPr>
          <w:rStyle w:val="Emphasis"/>
          <w:rFonts w:ascii="Arial" w:hAnsi="Arial" w:cs="Arial"/>
        </w:rPr>
        <w:t>Epidemiology of Rheumatoid Arthritis in the UK</w:t>
      </w:r>
      <w:r w:rsidRPr="00797623">
        <w:rPr>
          <w:rFonts w:ascii="Arial" w:hAnsi="Arial" w:cs="Arial"/>
        </w:rPr>
        <w:t xml:space="preserve">. Available at: </w:t>
      </w:r>
      <w:hyperlink r:id="rId19" w:tgtFrame="_new" w:history="1">
        <w:r w:rsidRPr="00797623">
          <w:rPr>
            <w:rStyle w:val="Hyperlink"/>
            <w:rFonts w:ascii="Arial" w:hAnsi="Arial" w:cs="Arial"/>
          </w:rPr>
          <w:t>https://www.cprd.com/approved-studies/epidemiology-rheumatoid-arthritis-uk</w:t>
        </w:r>
      </w:hyperlink>
      <w:r w:rsidRPr="00797623">
        <w:rPr>
          <w:rFonts w:ascii="Arial" w:hAnsi="Arial" w:cs="Arial"/>
        </w:rPr>
        <w:t xml:space="preserve"> (Accessed: 16 July 2026).</w:t>
      </w:r>
    </w:p>
    <w:p w14:paraId="49FC8D2A" w14:textId="77777777" w:rsidR="00FF7CA0" w:rsidRPr="00797623" w:rsidRDefault="00FF7CA0" w:rsidP="00FF7CA0">
      <w:pPr>
        <w:pStyle w:val="NormalWeb"/>
        <w:rPr>
          <w:rFonts w:ascii="Arial" w:hAnsi="Arial" w:cs="Arial"/>
        </w:rPr>
      </w:pPr>
      <w:r w:rsidRPr="00797623">
        <w:rPr>
          <w:rFonts w:ascii="Arial" w:hAnsi="Arial" w:cs="Arial"/>
        </w:rPr>
        <w:t xml:space="preserve">Deane, K.D., Holers, V.M. and Becker, E. (2024) 'Rheumatoid arthritis: The continuum of disease', </w:t>
      </w:r>
      <w:r w:rsidRPr="00797623">
        <w:rPr>
          <w:rStyle w:val="Emphasis"/>
          <w:rFonts w:ascii="Arial" w:hAnsi="Arial" w:cs="Arial"/>
        </w:rPr>
        <w:t>Journal of Rheumatology</w:t>
      </w:r>
      <w:r w:rsidRPr="00797623">
        <w:rPr>
          <w:rFonts w:ascii="Arial" w:hAnsi="Arial" w:cs="Arial"/>
        </w:rPr>
        <w:t>, 51(4), pp. 337–349.</w:t>
      </w:r>
    </w:p>
    <w:p w14:paraId="78C06D14" w14:textId="77777777" w:rsidR="00FF7CA0" w:rsidRPr="00797623" w:rsidRDefault="00FF7CA0" w:rsidP="00FF7CA0">
      <w:pPr>
        <w:pStyle w:val="NormalWeb"/>
        <w:rPr>
          <w:rFonts w:ascii="Arial" w:hAnsi="Arial" w:cs="Arial"/>
        </w:rPr>
      </w:pPr>
      <w:r w:rsidRPr="00797623">
        <w:rPr>
          <w:rFonts w:ascii="Arial" w:hAnsi="Arial" w:cs="Arial"/>
        </w:rPr>
        <w:t xml:space="preserve">England, B.R., Thiele, G.M., Anderson, D.R. and Mikuls, T.R. (2022) 'Incidence and management of inflammatory arthritis in England before and during COVID-19 using OpenSAFELY', </w:t>
      </w:r>
      <w:r w:rsidRPr="00797623">
        <w:rPr>
          <w:rStyle w:val="Emphasis"/>
          <w:rFonts w:ascii="Arial" w:hAnsi="Arial" w:cs="Arial"/>
        </w:rPr>
        <w:t>The Lancet Regional Health – Europe</w:t>
      </w:r>
      <w:r w:rsidRPr="00797623">
        <w:rPr>
          <w:rFonts w:ascii="Arial" w:hAnsi="Arial" w:cs="Arial"/>
        </w:rPr>
        <w:t>, 23, p. 100554.</w:t>
      </w:r>
    </w:p>
    <w:p w14:paraId="09259CE4" w14:textId="77777777" w:rsidR="00FF7CA0" w:rsidRPr="00797623" w:rsidRDefault="00FF7CA0" w:rsidP="00FF7CA0">
      <w:pPr>
        <w:pStyle w:val="NormalWeb"/>
        <w:rPr>
          <w:rFonts w:ascii="Arial" w:hAnsi="Arial" w:cs="Arial"/>
        </w:rPr>
      </w:pPr>
      <w:r w:rsidRPr="00797623">
        <w:rPr>
          <w:rFonts w:ascii="Arial" w:hAnsi="Arial" w:cs="Arial"/>
        </w:rPr>
        <w:t xml:space="preserve">Fraenkel, L., Bathon, J.M., England, B.R. </w:t>
      </w:r>
      <w:r w:rsidRPr="00797623">
        <w:rPr>
          <w:rStyle w:val="Emphasis"/>
          <w:rFonts w:ascii="Arial" w:hAnsi="Arial" w:cs="Arial"/>
        </w:rPr>
        <w:t>et al.</w:t>
      </w:r>
      <w:r w:rsidRPr="00797623">
        <w:rPr>
          <w:rFonts w:ascii="Arial" w:hAnsi="Arial" w:cs="Arial"/>
        </w:rPr>
        <w:t xml:space="preserve"> (2023) '2022 ACR guideline for exercise, rehabilitation, diet and integrative interventions for rheumatoid arthritis', </w:t>
      </w:r>
      <w:r w:rsidRPr="00797623">
        <w:rPr>
          <w:rStyle w:val="Emphasis"/>
          <w:rFonts w:ascii="Arial" w:hAnsi="Arial" w:cs="Arial"/>
        </w:rPr>
        <w:t>Arthritis Care &amp; Research</w:t>
      </w:r>
      <w:r w:rsidRPr="00797623">
        <w:rPr>
          <w:rFonts w:ascii="Arial" w:hAnsi="Arial" w:cs="Arial"/>
        </w:rPr>
        <w:t>, 75(8).</w:t>
      </w:r>
    </w:p>
    <w:p w14:paraId="03009DCA" w14:textId="77777777" w:rsidR="00FF7CA0" w:rsidRPr="00797623" w:rsidRDefault="00FF7CA0" w:rsidP="00FF7CA0">
      <w:pPr>
        <w:pStyle w:val="NormalWeb"/>
        <w:rPr>
          <w:rFonts w:ascii="Arial" w:hAnsi="Arial" w:cs="Arial"/>
        </w:rPr>
      </w:pPr>
      <w:r w:rsidRPr="00797623">
        <w:rPr>
          <w:rFonts w:ascii="Arial" w:hAnsi="Arial" w:cs="Arial"/>
        </w:rPr>
        <w:lastRenderedPageBreak/>
        <w:t xml:space="preserve">GBD 2021 Rheumatoid Arthritis Collaborators (2023) 'Global, regional and national burden of rheumatoid arthritis, 1990–2020, and projections to 2050', </w:t>
      </w:r>
      <w:r w:rsidRPr="00797623">
        <w:rPr>
          <w:rStyle w:val="Emphasis"/>
          <w:rFonts w:ascii="Arial" w:hAnsi="Arial" w:cs="Arial"/>
        </w:rPr>
        <w:t>The Lancet Rheumatology</w:t>
      </w:r>
      <w:r w:rsidRPr="00797623">
        <w:rPr>
          <w:rFonts w:ascii="Arial" w:hAnsi="Arial" w:cs="Arial"/>
        </w:rPr>
        <w:t>, 5(10), pp. e594–e610.</w:t>
      </w:r>
    </w:p>
    <w:p w14:paraId="49B20262" w14:textId="77777777" w:rsidR="00FF7CA0" w:rsidRPr="00797623" w:rsidRDefault="00FF7CA0" w:rsidP="00FF7CA0">
      <w:pPr>
        <w:pStyle w:val="NormalWeb"/>
        <w:rPr>
          <w:rFonts w:ascii="Arial" w:hAnsi="Arial" w:cs="Arial"/>
        </w:rPr>
      </w:pPr>
      <w:r w:rsidRPr="00797623">
        <w:rPr>
          <w:rFonts w:ascii="Arial" w:hAnsi="Arial" w:cs="Arial"/>
        </w:rPr>
        <w:t xml:space="preserve">Hewlett, S., Dures, E. and Almeida, C. (2011) 'Measures of fatigue in rheumatoid arthritis: BRAF MDQ', </w:t>
      </w:r>
      <w:r w:rsidRPr="00797623">
        <w:rPr>
          <w:rStyle w:val="Emphasis"/>
          <w:rFonts w:ascii="Arial" w:hAnsi="Arial" w:cs="Arial"/>
        </w:rPr>
        <w:t>Arthritis Care &amp; Research</w:t>
      </w:r>
      <w:r w:rsidRPr="00797623">
        <w:rPr>
          <w:rFonts w:ascii="Arial" w:hAnsi="Arial" w:cs="Arial"/>
        </w:rPr>
        <w:t>, 63(S11), pp. 263–271.</w:t>
      </w:r>
    </w:p>
    <w:p w14:paraId="4D1245B1" w14:textId="77777777" w:rsidR="00FF7CA0" w:rsidRPr="00797623" w:rsidRDefault="00FF7CA0" w:rsidP="00FF7CA0">
      <w:pPr>
        <w:pStyle w:val="NormalWeb"/>
        <w:rPr>
          <w:rFonts w:ascii="Arial" w:hAnsi="Arial" w:cs="Arial"/>
        </w:rPr>
      </w:pPr>
      <w:r w:rsidRPr="00797623">
        <w:rPr>
          <w:rFonts w:ascii="Arial" w:hAnsi="Arial" w:cs="Arial"/>
        </w:rPr>
        <w:t xml:space="preserve">Holroyd, C.R., Seth, R., Bukhari, M. </w:t>
      </w:r>
      <w:r w:rsidRPr="00797623">
        <w:rPr>
          <w:rStyle w:val="Emphasis"/>
          <w:rFonts w:ascii="Arial" w:hAnsi="Arial" w:cs="Arial"/>
        </w:rPr>
        <w:t>et al.</w:t>
      </w:r>
      <w:r w:rsidRPr="00797623">
        <w:rPr>
          <w:rFonts w:ascii="Arial" w:hAnsi="Arial" w:cs="Arial"/>
        </w:rPr>
        <w:t xml:space="preserve"> (2019) 'BSR biologic DMARD safety guidelines', </w:t>
      </w:r>
      <w:r w:rsidRPr="00797623">
        <w:rPr>
          <w:rStyle w:val="Emphasis"/>
          <w:rFonts w:ascii="Arial" w:hAnsi="Arial" w:cs="Arial"/>
        </w:rPr>
        <w:t>Rheumatology</w:t>
      </w:r>
      <w:r w:rsidRPr="00797623">
        <w:rPr>
          <w:rFonts w:ascii="Arial" w:hAnsi="Arial" w:cs="Arial"/>
        </w:rPr>
        <w:t>, 58(2), pp. e3–e42.</w:t>
      </w:r>
    </w:p>
    <w:p w14:paraId="51086AD8" w14:textId="77777777" w:rsidR="00FF7CA0" w:rsidRPr="00797623" w:rsidRDefault="00FF7CA0" w:rsidP="00FF7CA0">
      <w:pPr>
        <w:pStyle w:val="NormalWeb"/>
        <w:rPr>
          <w:rFonts w:ascii="Arial" w:hAnsi="Arial" w:cs="Arial"/>
        </w:rPr>
      </w:pPr>
      <w:r w:rsidRPr="00797623">
        <w:rPr>
          <w:rFonts w:ascii="Arial" w:hAnsi="Arial" w:cs="Arial"/>
        </w:rPr>
        <w:t xml:space="preserve">HQIP/NEIAA (2022) </w:t>
      </w:r>
      <w:r w:rsidRPr="00797623">
        <w:rPr>
          <w:rStyle w:val="Emphasis"/>
          <w:rFonts w:ascii="Arial" w:hAnsi="Arial" w:cs="Arial"/>
        </w:rPr>
        <w:t>National Early Inflammatory Arthritis Audit Annual Report 2022</w:t>
      </w:r>
      <w:r w:rsidRPr="00797623">
        <w:rPr>
          <w:rFonts w:ascii="Arial" w:hAnsi="Arial" w:cs="Arial"/>
        </w:rPr>
        <w:t>. London: HQIP.</w:t>
      </w:r>
    </w:p>
    <w:p w14:paraId="4AF7CE9D" w14:textId="77777777" w:rsidR="00FF7CA0" w:rsidRPr="00797623" w:rsidRDefault="00FF7CA0" w:rsidP="00FF7CA0">
      <w:pPr>
        <w:pStyle w:val="NormalWeb"/>
        <w:rPr>
          <w:rFonts w:ascii="Arial" w:hAnsi="Arial" w:cs="Arial"/>
        </w:rPr>
      </w:pPr>
      <w:r w:rsidRPr="00797623">
        <w:rPr>
          <w:rFonts w:ascii="Arial" w:hAnsi="Arial" w:cs="Arial"/>
        </w:rPr>
        <w:t xml:space="preserve">Kataria, N. and Weiss, J.E. (2024) 'Depression, anxiety, and HRQoL in adults with rheumatoid arthritis', </w:t>
      </w:r>
      <w:r w:rsidRPr="00797623">
        <w:rPr>
          <w:rStyle w:val="Emphasis"/>
          <w:rFonts w:ascii="Arial" w:hAnsi="Arial" w:cs="Arial"/>
        </w:rPr>
        <w:t>JMIR Rheumatology and Musculoskeletal Disease</w:t>
      </w:r>
      <w:r w:rsidRPr="00797623">
        <w:rPr>
          <w:rFonts w:ascii="Arial" w:hAnsi="Arial" w:cs="Arial"/>
        </w:rPr>
        <w:t>. PMC12653145.</w:t>
      </w:r>
    </w:p>
    <w:p w14:paraId="1FBE3753" w14:textId="77777777" w:rsidR="00FF7CA0" w:rsidRPr="00797623" w:rsidRDefault="00FF7CA0" w:rsidP="00FF7CA0">
      <w:pPr>
        <w:pStyle w:val="NormalWeb"/>
        <w:rPr>
          <w:rFonts w:ascii="Arial" w:hAnsi="Arial" w:cs="Arial"/>
        </w:rPr>
      </w:pPr>
      <w:r w:rsidRPr="00797623">
        <w:rPr>
          <w:rFonts w:ascii="Arial" w:hAnsi="Arial" w:cs="Arial"/>
        </w:rPr>
        <w:t xml:space="preserve">Ma, Y., Liu, Y., Tan, W. </w:t>
      </w:r>
      <w:r w:rsidRPr="00797623">
        <w:rPr>
          <w:rStyle w:val="Emphasis"/>
          <w:rFonts w:ascii="Arial" w:hAnsi="Arial" w:cs="Arial"/>
        </w:rPr>
        <w:t>et al.</w:t>
      </w:r>
      <w:r w:rsidRPr="00797623">
        <w:rPr>
          <w:rFonts w:ascii="Arial" w:hAnsi="Arial" w:cs="Arial"/>
        </w:rPr>
        <w:t xml:space="preserve"> (2025) 'Global, regional and national burden of rheumatoid arthritis 1990–2021 with projections to 2050', </w:t>
      </w:r>
      <w:r w:rsidRPr="00797623">
        <w:rPr>
          <w:rStyle w:val="Emphasis"/>
          <w:rFonts w:ascii="Arial" w:hAnsi="Arial" w:cs="Arial"/>
        </w:rPr>
        <w:t>Biomarker Research</w:t>
      </w:r>
      <w:r w:rsidRPr="00797623">
        <w:rPr>
          <w:rFonts w:ascii="Arial" w:hAnsi="Arial" w:cs="Arial"/>
        </w:rPr>
        <w:t>, 13(1), p. 44.</w:t>
      </w:r>
    </w:p>
    <w:p w14:paraId="5F5D4045" w14:textId="77777777" w:rsidR="00FF7CA0" w:rsidRPr="00797623" w:rsidRDefault="00FF7CA0" w:rsidP="00FF7CA0">
      <w:pPr>
        <w:pStyle w:val="NormalWeb"/>
        <w:rPr>
          <w:rFonts w:ascii="Arial" w:hAnsi="Arial" w:cs="Arial"/>
        </w:rPr>
      </w:pPr>
      <w:r w:rsidRPr="00797623">
        <w:rPr>
          <w:rFonts w:ascii="Arial" w:hAnsi="Arial" w:cs="Arial"/>
        </w:rPr>
        <w:t xml:space="preserve">Mahendru, K., Gupta, N., Soneja, M. </w:t>
      </w:r>
      <w:r w:rsidRPr="00797623">
        <w:rPr>
          <w:rStyle w:val="Emphasis"/>
          <w:rFonts w:ascii="Arial" w:hAnsi="Arial" w:cs="Arial"/>
        </w:rPr>
        <w:t>et al.</w:t>
      </w:r>
      <w:r w:rsidRPr="00797623">
        <w:rPr>
          <w:rFonts w:ascii="Arial" w:hAnsi="Arial" w:cs="Arial"/>
        </w:rPr>
        <w:t xml:space="preserve"> (2021) 'Need for palliative care in patients with rheumatoid arthritis', </w:t>
      </w:r>
      <w:r w:rsidRPr="00797623">
        <w:rPr>
          <w:rStyle w:val="Emphasis"/>
          <w:rFonts w:ascii="Arial" w:hAnsi="Arial" w:cs="Arial"/>
        </w:rPr>
        <w:t>Indian Journal of Palliative Care</w:t>
      </w:r>
      <w:r w:rsidRPr="00797623">
        <w:rPr>
          <w:rFonts w:ascii="Arial" w:hAnsi="Arial" w:cs="Arial"/>
        </w:rPr>
        <w:t>, 27(2), pp. 275–280.</w:t>
      </w:r>
    </w:p>
    <w:p w14:paraId="17777E18" w14:textId="77777777" w:rsidR="00FF7CA0" w:rsidRPr="00797623" w:rsidRDefault="00FF7CA0" w:rsidP="00FF7CA0">
      <w:pPr>
        <w:pStyle w:val="NormalWeb"/>
        <w:rPr>
          <w:rFonts w:ascii="Arial" w:hAnsi="Arial" w:cs="Arial"/>
        </w:rPr>
      </w:pPr>
      <w:r w:rsidRPr="00797623">
        <w:rPr>
          <w:rFonts w:ascii="Arial" w:hAnsi="Arial" w:cs="Arial"/>
        </w:rPr>
        <w:t xml:space="preserve">Maisha, F., El-Gabalawy, H. and O'Neil, L.J. (2023) 'Modifiable risk factors linked to the development of rheumatoid arthritis', </w:t>
      </w:r>
      <w:r w:rsidRPr="00797623">
        <w:rPr>
          <w:rStyle w:val="Emphasis"/>
          <w:rFonts w:ascii="Arial" w:hAnsi="Arial" w:cs="Arial"/>
        </w:rPr>
        <w:t>Frontiers in Immunology</w:t>
      </w:r>
      <w:r w:rsidRPr="00797623">
        <w:rPr>
          <w:rFonts w:ascii="Arial" w:hAnsi="Arial" w:cs="Arial"/>
        </w:rPr>
        <w:t>, 14, p. 1221125.</w:t>
      </w:r>
    </w:p>
    <w:p w14:paraId="5E2D2F31" w14:textId="77777777" w:rsidR="00FF7CA0" w:rsidRPr="00797623" w:rsidRDefault="00FF7CA0" w:rsidP="00FF7CA0">
      <w:pPr>
        <w:pStyle w:val="NormalWeb"/>
        <w:rPr>
          <w:rFonts w:ascii="Arial" w:hAnsi="Arial" w:cs="Arial"/>
        </w:rPr>
      </w:pPr>
      <w:r w:rsidRPr="00797623">
        <w:rPr>
          <w:rFonts w:ascii="Arial" w:hAnsi="Arial" w:cs="Arial"/>
        </w:rPr>
        <w:t xml:space="preserve">Marmot, M., Allen, J., Goldblatt, P. </w:t>
      </w:r>
      <w:r w:rsidRPr="00797623">
        <w:rPr>
          <w:rStyle w:val="Emphasis"/>
          <w:rFonts w:ascii="Arial" w:hAnsi="Arial" w:cs="Arial"/>
        </w:rPr>
        <w:t>et al.</w:t>
      </w:r>
      <w:r w:rsidRPr="00797623">
        <w:rPr>
          <w:rFonts w:ascii="Arial" w:hAnsi="Arial" w:cs="Arial"/>
        </w:rPr>
        <w:t xml:space="preserve"> (2020) </w:t>
      </w:r>
      <w:r w:rsidRPr="00797623">
        <w:rPr>
          <w:rStyle w:val="Emphasis"/>
          <w:rFonts w:ascii="Arial" w:hAnsi="Arial" w:cs="Arial"/>
        </w:rPr>
        <w:t>Build Back Fairer: The COVID-19 Marmot Review</w:t>
      </w:r>
      <w:r w:rsidRPr="00797623">
        <w:rPr>
          <w:rFonts w:ascii="Arial" w:hAnsi="Arial" w:cs="Arial"/>
        </w:rPr>
        <w:t>. London: Institute of Health Equity.</w:t>
      </w:r>
    </w:p>
    <w:p w14:paraId="067847CA" w14:textId="77777777" w:rsidR="00FF7CA0" w:rsidRPr="00797623" w:rsidRDefault="00FF7CA0" w:rsidP="00FF7CA0">
      <w:pPr>
        <w:pStyle w:val="NormalWeb"/>
        <w:rPr>
          <w:rFonts w:ascii="Arial" w:hAnsi="Arial" w:cs="Arial"/>
        </w:rPr>
      </w:pPr>
      <w:r w:rsidRPr="00797623">
        <w:rPr>
          <w:rFonts w:ascii="Arial" w:hAnsi="Arial" w:cs="Arial"/>
        </w:rPr>
        <w:t xml:space="preserve">Matcham, F., Ali, S., Hotopf, M. and Chalder, T. (2019) 'The multifaceted impact of anxiety and depression on rheumatoid arthritis', </w:t>
      </w:r>
      <w:r w:rsidRPr="00797623">
        <w:rPr>
          <w:rStyle w:val="Emphasis"/>
          <w:rFonts w:ascii="Arial" w:hAnsi="Arial" w:cs="Arial"/>
        </w:rPr>
        <w:t>Arthritis Research &amp; Therapy</w:t>
      </w:r>
      <w:r w:rsidRPr="00797623">
        <w:rPr>
          <w:rFonts w:ascii="Arial" w:hAnsi="Arial" w:cs="Arial"/>
        </w:rPr>
        <w:t>, 21(1).</w:t>
      </w:r>
    </w:p>
    <w:p w14:paraId="4F66D3D1" w14:textId="77777777" w:rsidR="00FF7CA0" w:rsidRPr="00797623" w:rsidRDefault="00FF7CA0" w:rsidP="00FF7CA0">
      <w:pPr>
        <w:pStyle w:val="NormalWeb"/>
        <w:rPr>
          <w:rFonts w:ascii="Arial" w:hAnsi="Arial" w:cs="Arial"/>
        </w:rPr>
      </w:pPr>
      <w:r w:rsidRPr="00797623">
        <w:rPr>
          <w:rFonts w:ascii="Arial" w:hAnsi="Arial" w:cs="Arial"/>
        </w:rPr>
        <w:t xml:space="preserve">Matcham, F., Rayner, L., Steer, S. and Hotopf, M. (2013) 'The prevalence of depression in rheumatoid arthritis: A systematic review and meta-analysis', </w:t>
      </w:r>
      <w:r w:rsidRPr="00797623">
        <w:rPr>
          <w:rStyle w:val="Emphasis"/>
          <w:rFonts w:ascii="Arial" w:hAnsi="Arial" w:cs="Arial"/>
        </w:rPr>
        <w:t>Rheumatology</w:t>
      </w:r>
      <w:r w:rsidRPr="00797623">
        <w:rPr>
          <w:rFonts w:ascii="Arial" w:hAnsi="Arial" w:cs="Arial"/>
        </w:rPr>
        <w:t>, 52(12), pp. 2136–2148.</w:t>
      </w:r>
    </w:p>
    <w:p w14:paraId="36D8E50C" w14:textId="77777777" w:rsidR="00FF7CA0" w:rsidRPr="00797623" w:rsidRDefault="00FF7CA0" w:rsidP="00FF7CA0">
      <w:pPr>
        <w:pStyle w:val="NormalWeb"/>
        <w:rPr>
          <w:rFonts w:ascii="Arial" w:hAnsi="Arial" w:cs="Arial"/>
        </w:rPr>
      </w:pPr>
      <w:r w:rsidRPr="00797623">
        <w:rPr>
          <w:rFonts w:ascii="Arial" w:hAnsi="Arial" w:cs="Arial"/>
        </w:rPr>
        <w:t xml:space="preserve">Matcham, F., Ryan, C., Kirkham, B. </w:t>
      </w:r>
      <w:r w:rsidRPr="00797623">
        <w:rPr>
          <w:rStyle w:val="Emphasis"/>
          <w:rFonts w:ascii="Arial" w:hAnsi="Arial" w:cs="Arial"/>
        </w:rPr>
        <w:t>et al.</w:t>
      </w:r>
      <w:r w:rsidRPr="00797623">
        <w:rPr>
          <w:rFonts w:ascii="Arial" w:hAnsi="Arial" w:cs="Arial"/>
        </w:rPr>
        <w:t xml:space="preserve"> (2020) 'Renegotiating dimensions of the self: Lived experience of self-managing rheumatoid arthritis', </w:t>
      </w:r>
      <w:r w:rsidRPr="00797623">
        <w:rPr>
          <w:rStyle w:val="Emphasis"/>
          <w:rFonts w:ascii="Arial" w:hAnsi="Arial" w:cs="Arial"/>
        </w:rPr>
        <w:t>Health Expectations</w:t>
      </w:r>
      <w:r w:rsidRPr="00797623">
        <w:rPr>
          <w:rFonts w:ascii="Arial" w:hAnsi="Arial" w:cs="Arial"/>
        </w:rPr>
        <w:t>, 23(6), pp. 1320–1333.</w:t>
      </w:r>
    </w:p>
    <w:p w14:paraId="39D7DB52" w14:textId="77777777" w:rsidR="00FF7CA0" w:rsidRPr="00797623" w:rsidRDefault="00FF7CA0" w:rsidP="00FF7CA0">
      <w:pPr>
        <w:pStyle w:val="NormalWeb"/>
        <w:rPr>
          <w:rFonts w:ascii="Arial" w:hAnsi="Arial" w:cs="Arial"/>
        </w:rPr>
      </w:pPr>
      <w:r w:rsidRPr="00797623">
        <w:rPr>
          <w:rFonts w:ascii="Arial" w:hAnsi="Arial" w:cs="Arial"/>
        </w:rPr>
        <w:t xml:space="preserve">McInnes, I.B. and Schett, G. (2011) 'The pathogenesis of rheumatoid arthritis', </w:t>
      </w:r>
      <w:r w:rsidRPr="00797623">
        <w:rPr>
          <w:rStyle w:val="Emphasis"/>
          <w:rFonts w:ascii="Arial" w:hAnsi="Arial" w:cs="Arial"/>
        </w:rPr>
        <w:t>New England Journal of Medicine</w:t>
      </w:r>
      <w:r w:rsidRPr="00797623">
        <w:rPr>
          <w:rFonts w:ascii="Arial" w:hAnsi="Arial" w:cs="Arial"/>
        </w:rPr>
        <w:t>, 365(23), pp. 2205–2219.</w:t>
      </w:r>
    </w:p>
    <w:p w14:paraId="2905AA17" w14:textId="77777777" w:rsidR="00FF7CA0" w:rsidRPr="00797623" w:rsidRDefault="00FF7CA0" w:rsidP="00FF7CA0">
      <w:pPr>
        <w:pStyle w:val="NormalWeb"/>
        <w:rPr>
          <w:rFonts w:ascii="Arial" w:hAnsi="Arial" w:cs="Arial"/>
        </w:rPr>
      </w:pPr>
      <w:r w:rsidRPr="00797623">
        <w:rPr>
          <w:rFonts w:ascii="Arial" w:hAnsi="Arial" w:cs="Arial"/>
        </w:rPr>
        <w:t xml:space="preserve">McQueenie, R., Nicholl, B.I., Jani, B.D. </w:t>
      </w:r>
      <w:r w:rsidRPr="00797623">
        <w:rPr>
          <w:rStyle w:val="Emphasis"/>
          <w:rFonts w:ascii="Arial" w:hAnsi="Arial" w:cs="Arial"/>
        </w:rPr>
        <w:t>et al.</w:t>
      </w:r>
      <w:r w:rsidRPr="00797623">
        <w:rPr>
          <w:rFonts w:ascii="Arial" w:hAnsi="Arial" w:cs="Arial"/>
        </w:rPr>
        <w:t xml:space="preserve"> (2020) 'Patterns of multimorbidity and adverse outcomes in rheumatoid arthritis: UK Biobank', </w:t>
      </w:r>
      <w:r w:rsidRPr="00797623">
        <w:rPr>
          <w:rStyle w:val="Emphasis"/>
          <w:rFonts w:ascii="Arial" w:hAnsi="Arial" w:cs="Arial"/>
        </w:rPr>
        <w:t>BMJ Open</w:t>
      </w:r>
      <w:r w:rsidRPr="00797623">
        <w:rPr>
          <w:rFonts w:ascii="Arial" w:hAnsi="Arial" w:cs="Arial"/>
        </w:rPr>
        <w:t>, 10, e038829.</w:t>
      </w:r>
    </w:p>
    <w:p w14:paraId="595AEAE7" w14:textId="77777777" w:rsidR="00FF7CA0" w:rsidRPr="00797623" w:rsidRDefault="00FF7CA0" w:rsidP="00FF7CA0">
      <w:pPr>
        <w:pStyle w:val="NormalWeb"/>
        <w:rPr>
          <w:rFonts w:ascii="Arial" w:hAnsi="Arial" w:cs="Arial"/>
        </w:rPr>
      </w:pPr>
      <w:r w:rsidRPr="00797623">
        <w:rPr>
          <w:rFonts w:ascii="Arial" w:hAnsi="Arial" w:cs="Arial"/>
        </w:rPr>
        <w:t xml:space="preserve">NHS England (2025) </w:t>
      </w:r>
      <w:r w:rsidRPr="00797623">
        <w:rPr>
          <w:rStyle w:val="Emphasis"/>
          <w:rFonts w:ascii="Arial" w:hAnsi="Arial" w:cs="Arial"/>
        </w:rPr>
        <w:t>Fit for the Future: 10 Year Health Plan for England</w:t>
      </w:r>
      <w:r w:rsidRPr="00797623">
        <w:rPr>
          <w:rFonts w:ascii="Arial" w:hAnsi="Arial" w:cs="Arial"/>
        </w:rPr>
        <w:t>. London: NHS England.</w:t>
      </w:r>
    </w:p>
    <w:p w14:paraId="0FF282C0" w14:textId="77777777" w:rsidR="00FF7CA0" w:rsidRPr="00797623" w:rsidRDefault="00FF7CA0" w:rsidP="00FF7CA0">
      <w:pPr>
        <w:pStyle w:val="NormalWeb"/>
        <w:rPr>
          <w:rFonts w:ascii="Arial" w:hAnsi="Arial" w:cs="Arial"/>
        </w:rPr>
      </w:pPr>
      <w:r w:rsidRPr="00797623">
        <w:rPr>
          <w:rFonts w:ascii="Arial" w:hAnsi="Arial" w:cs="Arial"/>
        </w:rPr>
        <w:t xml:space="preserve">NICE (2015) </w:t>
      </w:r>
      <w:r w:rsidRPr="00797623">
        <w:rPr>
          <w:rStyle w:val="Emphasis"/>
          <w:rFonts w:ascii="Arial" w:hAnsi="Arial" w:cs="Arial"/>
        </w:rPr>
        <w:t>TNF Inhibitors for Rheumatoid Arthritis</w:t>
      </w:r>
      <w:r w:rsidRPr="00797623">
        <w:rPr>
          <w:rFonts w:ascii="Arial" w:hAnsi="Arial" w:cs="Arial"/>
        </w:rPr>
        <w:t>. Technology Appraisal TA375. London: NICE.</w:t>
      </w:r>
    </w:p>
    <w:p w14:paraId="658EC9A1" w14:textId="77777777" w:rsidR="00FF7CA0" w:rsidRPr="00797623" w:rsidRDefault="00FF7CA0" w:rsidP="00FF7CA0">
      <w:pPr>
        <w:pStyle w:val="NormalWeb"/>
        <w:rPr>
          <w:rFonts w:ascii="Arial" w:hAnsi="Arial" w:cs="Arial"/>
        </w:rPr>
      </w:pPr>
      <w:r w:rsidRPr="00797623">
        <w:rPr>
          <w:rFonts w:ascii="Arial" w:hAnsi="Arial" w:cs="Arial"/>
        </w:rPr>
        <w:t xml:space="preserve">NICE (2018, reviewed 2024) </w:t>
      </w:r>
      <w:r w:rsidRPr="00797623">
        <w:rPr>
          <w:rStyle w:val="Emphasis"/>
          <w:rFonts w:ascii="Arial" w:hAnsi="Arial" w:cs="Arial"/>
        </w:rPr>
        <w:t>Rheumatoid Arthritis in Adults: Management</w:t>
      </w:r>
      <w:r w:rsidRPr="00797623">
        <w:rPr>
          <w:rFonts w:ascii="Arial" w:hAnsi="Arial" w:cs="Arial"/>
        </w:rPr>
        <w:t xml:space="preserve">. NICE Guideline NG100. London: NICE. Available at: </w:t>
      </w:r>
      <w:hyperlink r:id="rId20" w:tgtFrame="_new" w:history="1">
        <w:r w:rsidRPr="00797623">
          <w:rPr>
            <w:rStyle w:val="Hyperlink"/>
            <w:rFonts w:ascii="Arial" w:hAnsi="Arial" w:cs="Arial"/>
          </w:rPr>
          <w:t>https://www.nice.org.uk/guidance/ng100</w:t>
        </w:r>
      </w:hyperlink>
      <w:r w:rsidRPr="00797623">
        <w:rPr>
          <w:rFonts w:ascii="Arial" w:hAnsi="Arial" w:cs="Arial"/>
        </w:rPr>
        <w:t xml:space="preserve"> (Accessed: 16 July 2026).</w:t>
      </w:r>
    </w:p>
    <w:p w14:paraId="31DA0313" w14:textId="77777777" w:rsidR="00FF7CA0" w:rsidRPr="00797623" w:rsidRDefault="00FF7CA0" w:rsidP="00FF7CA0">
      <w:pPr>
        <w:pStyle w:val="NormalWeb"/>
        <w:rPr>
          <w:rFonts w:ascii="Arial" w:hAnsi="Arial" w:cs="Arial"/>
        </w:rPr>
      </w:pPr>
      <w:r w:rsidRPr="00797623">
        <w:rPr>
          <w:rFonts w:ascii="Arial" w:hAnsi="Arial" w:cs="Arial"/>
        </w:rPr>
        <w:t xml:space="preserve">NICE (2021) </w:t>
      </w:r>
      <w:r w:rsidRPr="00797623">
        <w:rPr>
          <w:rStyle w:val="Emphasis"/>
          <w:rFonts w:ascii="Arial" w:hAnsi="Arial" w:cs="Arial"/>
        </w:rPr>
        <w:t>Adalimumab, Etanercept, Infliximab and Abatacept for Moderate Rheumatoid Arthritis</w:t>
      </w:r>
      <w:r w:rsidRPr="00797623">
        <w:rPr>
          <w:rFonts w:ascii="Arial" w:hAnsi="Arial" w:cs="Arial"/>
        </w:rPr>
        <w:t>. Technology Appraisal TA715. London: NICE.</w:t>
      </w:r>
    </w:p>
    <w:p w14:paraId="13B4C4B9" w14:textId="77777777" w:rsidR="00FF7CA0" w:rsidRPr="00797623" w:rsidRDefault="00FF7CA0" w:rsidP="00FF7CA0">
      <w:pPr>
        <w:pStyle w:val="NormalWeb"/>
        <w:rPr>
          <w:rFonts w:ascii="Arial" w:hAnsi="Arial" w:cs="Arial"/>
        </w:rPr>
      </w:pPr>
      <w:r w:rsidRPr="00797623">
        <w:rPr>
          <w:rFonts w:ascii="Arial" w:hAnsi="Arial" w:cs="Arial"/>
        </w:rPr>
        <w:lastRenderedPageBreak/>
        <w:t xml:space="preserve">NIHR (2025) </w:t>
      </w:r>
      <w:r w:rsidRPr="00797623">
        <w:rPr>
          <w:rStyle w:val="Emphasis"/>
          <w:rFonts w:ascii="Arial" w:hAnsi="Arial" w:cs="Arial"/>
        </w:rPr>
        <w:t xml:space="preserve">Empowering 1.3 </w:t>
      </w:r>
      <w:proofErr w:type="gramStart"/>
      <w:r w:rsidRPr="00797623">
        <w:rPr>
          <w:rStyle w:val="Emphasis"/>
          <w:rFonts w:ascii="Arial" w:hAnsi="Arial" w:cs="Arial"/>
        </w:rPr>
        <w:t>Million</w:t>
      </w:r>
      <w:proofErr w:type="gramEnd"/>
      <w:r w:rsidRPr="00797623">
        <w:rPr>
          <w:rStyle w:val="Emphasis"/>
          <w:rFonts w:ascii="Arial" w:hAnsi="Arial" w:cs="Arial"/>
        </w:rPr>
        <w:t xml:space="preserve"> UK Citizens with Rheumatoid Arthritis</w:t>
      </w:r>
      <w:r w:rsidRPr="00797623">
        <w:rPr>
          <w:rFonts w:ascii="Arial" w:hAnsi="Arial" w:cs="Arial"/>
        </w:rPr>
        <w:t xml:space="preserve">. Available at: </w:t>
      </w:r>
      <w:hyperlink r:id="rId21" w:tgtFrame="_new" w:history="1">
        <w:r w:rsidRPr="00797623">
          <w:rPr>
            <w:rStyle w:val="Hyperlink"/>
            <w:rFonts w:ascii="Arial" w:hAnsi="Arial" w:cs="Arial"/>
          </w:rPr>
          <w:t>https://www.nihr.ac.uk/story/empowering-13-million-uk-citizens-rheumatoid-arthritis</w:t>
        </w:r>
      </w:hyperlink>
      <w:r w:rsidRPr="00797623">
        <w:rPr>
          <w:rFonts w:ascii="Arial" w:hAnsi="Arial" w:cs="Arial"/>
        </w:rPr>
        <w:t xml:space="preserve"> (Accessed: 16 July 2026).</w:t>
      </w:r>
    </w:p>
    <w:p w14:paraId="18EBB85D" w14:textId="77777777" w:rsidR="00FF7CA0" w:rsidRPr="00797623" w:rsidRDefault="00FF7CA0" w:rsidP="00FF7CA0">
      <w:pPr>
        <w:pStyle w:val="NormalWeb"/>
        <w:rPr>
          <w:rFonts w:ascii="Arial" w:hAnsi="Arial" w:cs="Arial"/>
        </w:rPr>
      </w:pPr>
      <w:r w:rsidRPr="00797623">
        <w:rPr>
          <w:rFonts w:ascii="Arial" w:hAnsi="Arial" w:cs="Arial"/>
        </w:rPr>
        <w:t xml:space="preserve">Nishimura, K., Sugiyama, D., Kogata, Y. </w:t>
      </w:r>
      <w:r w:rsidRPr="00797623">
        <w:rPr>
          <w:rStyle w:val="Emphasis"/>
          <w:rFonts w:ascii="Arial" w:hAnsi="Arial" w:cs="Arial"/>
        </w:rPr>
        <w:t>et al.</w:t>
      </w:r>
      <w:r w:rsidRPr="00797623">
        <w:rPr>
          <w:rFonts w:ascii="Arial" w:hAnsi="Arial" w:cs="Arial"/>
        </w:rPr>
        <w:t xml:space="preserve"> (2007) 'Meta-analysis: Diagnostic accuracy of anti-CCP antibody and rheumatoid factor for rheumatoid arthritis', </w:t>
      </w:r>
      <w:r w:rsidRPr="00797623">
        <w:rPr>
          <w:rStyle w:val="Emphasis"/>
          <w:rFonts w:ascii="Arial" w:hAnsi="Arial" w:cs="Arial"/>
        </w:rPr>
        <w:t>Annals of Internal Medicine</w:t>
      </w:r>
      <w:r w:rsidRPr="00797623">
        <w:rPr>
          <w:rFonts w:ascii="Arial" w:hAnsi="Arial" w:cs="Arial"/>
        </w:rPr>
        <w:t>, 146(11), pp. 797–808.</w:t>
      </w:r>
    </w:p>
    <w:p w14:paraId="260C8262" w14:textId="77777777" w:rsidR="00FF7CA0" w:rsidRPr="00797623" w:rsidRDefault="00FF7CA0" w:rsidP="00FF7CA0">
      <w:pPr>
        <w:pStyle w:val="NormalWeb"/>
        <w:rPr>
          <w:rFonts w:ascii="Arial" w:hAnsi="Arial" w:cs="Arial"/>
        </w:rPr>
      </w:pPr>
      <w:r w:rsidRPr="00797623">
        <w:rPr>
          <w:rFonts w:ascii="Arial" w:hAnsi="Arial" w:cs="Arial"/>
        </w:rPr>
        <w:t xml:space="preserve">NRAS (2017) </w:t>
      </w:r>
      <w:r w:rsidRPr="00797623">
        <w:rPr>
          <w:rStyle w:val="Emphasis"/>
          <w:rFonts w:ascii="Arial" w:hAnsi="Arial" w:cs="Arial"/>
        </w:rPr>
        <w:t>Work Matters: A UK-Wide Survey of Adults with Rheumatoid Arthritis</w:t>
      </w:r>
      <w:r w:rsidRPr="00797623">
        <w:rPr>
          <w:rFonts w:ascii="Arial" w:hAnsi="Arial" w:cs="Arial"/>
        </w:rPr>
        <w:t>. Maidenhead: NRAS.</w:t>
      </w:r>
    </w:p>
    <w:p w14:paraId="48F29EBA" w14:textId="77777777" w:rsidR="00FF7CA0" w:rsidRPr="00797623" w:rsidRDefault="00FF7CA0" w:rsidP="00FF7CA0">
      <w:pPr>
        <w:pStyle w:val="NormalWeb"/>
        <w:rPr>
          <w:rFonts w:ascii="Arial" w:hAnsi="Arial" w:cs="Arial"/>
        </w:rPr>
      </w:pPr>
      <w:r w:rsidRPr="00797623">
        <w:rPr>
          <w:rFonts w:ascii="Arial" w:hAnsi="Arial" w:cs="Arial"/>
        </w:rPr>
        <w:t xml:space="preserve">NWICB (2023) </w:t>
      </w:r>
      <w:r w:rsidRPr="00797623">
        <w:rPr>
          <w:rStyle w:val="Emphasis"/>
          <w:rFonts w:ascii="Arial" w:hAnsi="Arial" w:cs="Arial"/>
        </w:rPr>
        <w:t>Rheumatoid Arthritis High-Cost Drug Treatment Pathway</w:t>
      </w:r>
      <w:r w:rsidRPr="00797623">
        <w:rPr>
          <w:rFonts w:ascii="Arial" w:hAnsi="Arial" w:cs="Arial"/>
        </w:rPr>
        <w:t xml:space="preserve">. </w:t>
      </w:r>
      <w:proofErr w:type="gramStart"/>
      <w:r w:rsidRPr="00797623">
        <w:rPr>
          <w:rFonts w:ascii="Arial" w:hAnsi="Arial" w:cs="Arial"/>
        </w:rPr>
        <w:t>North West</w:t>
      </w:r>
      <w:proofErr w:type="gramEnd"/>
      <w:r w:rsidRPr="00797623">
        <w:rPr>
          <w:rFonts w:ascii="Arial" w:hAnsi="Arial" w:cs="Arial"/>
        </w:rPr>
        <w:t xml:space="preserve"> Integrated Care Board.</w:t>
      </w:r>
    </w:p>
    <w:p w14:paraId="1EC01718" w14:textId="77777777" w:rsidR="00FF7CA0" w:rsidRPr="00797623" w:rsidRDefault="00FF7CA0" w:rsidP="00FF7CA0">
      <w:pPr>
        <w:pStyle w:val="NormalWeb"/>
        <w:rPr>
          <w:rFonts w:ascii="Arial" w:hAnsi="Arial" w:cs="Arial"/>
        </w:rPr>
      </w:pPr>
      <w:r w:rsidRPr="00797623">
        <w:rPr>
          <w:rFonts w:ascii="Arial" w:hAnsi="Arial" w:cs="Arial"/>
        </w:rPr>
        <w:t xml:space="preserve">Silverthorne, J., Dures, E. and Walker, J. (2023) 'Health professionals' perspectives on psychological distress in rheumatology care', </w:t>
      </w:r>
      <w:r w:rsidRPr="00797623">
        <w:rPr>
          <w:rStyle w:val="Emphasis"/>
          <w:rFonts w:ascii="Arial" w:hAnsi="Arial" w:cs="Arial"/>
        </w:rPr>
        <w:t>Musculoskeletal Care</w:t>
      </w:r>
      <w:r w:rsidRPr="00797623">
        <w:rPr>
          <w:rFonts w:ascii="Arial" w:hAnsi="Arial" w:cs="Arial"/>
        </w:rPr>
        <w:t>, 21(3), pp. 712–721.</w:t>
      </w:r>
    </w:p>
    <w:p w14:paraId="4A42BF2C" w14:textId="77777777" w:rsidR="00FF7CA0" w:rsidRPr="00797623" w:rsidRDefault="00FF7CA0" w:rsidP="00FF7CA0">
      <w:pPr>
        <w:pStyle w:val="NormalWeb"/>
        <w:rPr>
          <w:rFonts w:ascii="Arial" w:hAnsi="Arial" w:cs="Arial"/>
        </w:rPr>
      </w:pPr>
      <w:r w:rsidRPr="00797623">
        <w:rPr>
          <w:rFonts w:ascii="Arial" w:hAnsi="Arial" w:cs="Arial"/>
        </w:rPr>
        <w:t xml:space="preserve">Smolen, J.S., </w:t>
      </w:r>
      <w:proofErr w:type="spellStart"/>
      <w:r w:rsidRPr="00797623">
        <w:rPr>
          <w:rFonts w:ascii="Arial" w:hAnsi="Arial" w:cs="Arial"/>
        </w:rPr>
        <w:t>Landewe</w:t>
      </w:r>
      <w:proofErr w:type="spellEnd"/>
      <w:r w:rsidRPr="00797623">
        <w:rPr>
          <w:rFonts w:ascii="Arial" w:hAnsi="Arial" w:cs="Arial"/>
        </w:rPr>
        <w:t xml:space="preserve">, R.B.M., Bergstra, S.A. </w:t>
      </w:r>
      <w:r w:rsidRPr="00797623">
        <w:rPr>
          <w:rStyle w:val="Emphasis"/>
          <w:rFonts w:ascii="Arial" w:hAnsi="Arial" w:cs="Arial"/>
        </w:rPr>
        <w:t>et al.</w:t>
      </w:r>
      <w:r w:rsidRPr="00797623">
        <w:rPr>
          <w:rFonts w:ascii="Arial" w:hAnsi="Arial" w:cs="Arial"/>
        </w:rPr>
        <w:t xml:space="preserve"> (2023) 'EULAR recommendations for the management of rheumatoid arthritis with synthetic and biological DMARDs: 2022 update', </w:t>
      </w:r>
      <w:r w:rsidRPr="00797623">
        <w:rPr>
          <w:rStyle w:val="Emphasis"/>
          <w:rFonts w:ascii="Arial" w:hAnsi="Arial" w:cs="Arial"/>
        </w:rPr>
        <w:t>Annals of the Rheumatic Diseases</w:t>
      </w:r>
      <w:r w:rsidRPr="00797623">
        <w:rPr>
          <w:rFonts w:ascii="Arial" w:hAnsi="Arial" w:cs="Arial"/>
        </w:rPr>
        <w:t>, 82, pp. 3–18.</w:t>
      </w:r>
    </w:p>
    <w:p w14:paraId="7DACD173" w14:textId="77777777" w:rsidR="00FF7CA0" w:rsidRPr="00797623" w:rsidRDefault="00FF7CA0" w:rsidP="00FF7CA0">
      <w:pPr>
        <w:pStyle w:val="NormalWeb"/>
        <w:rPr>
          <w:rFonts w:ascii="Arial" w:hAnsi="Arial" w:cs="Arial"/>
        </w:rPr>
      </w:pPr>
      <w:r w:rsidRPr="00797623">
        <w:rPr>
          <w:rFonts w:ascii="Arial" w:hAnsi="Arial" w:cs="Arial"/>
        </w:rPr>
        <w:t xml:space="preserve">Smolen, J.S. </w:t>
      </w:r>
      <w:r w:rsidRPr="00797623">
        <w:rPr>
          <w:rStyle w:val="Emphasis"/>
          <w:rFonts w:ascii="Arial" w:hAnsi="Arial" w:cs="Arial"/>
        </w:rPr>
        <w:t>et al.</w:t>
      </w:r>
      <w:r w:rsidRPr="00797623">
        <w:rPr>
          <w:rFonts w:ascii="Arial" w:hAnsi="Arial" w:cs="Arial"/>
        </w:rPr>
        <w:t xml:space="preserve"> (2026) 'EULAR recommendations for rheumatoid arthritis management: 2025 update', </w:t>
      </w:r>
      <w:r w:rsidRPr="00797623">
        <w:rPr>
          <w:rStyle w:val="Emphasis"/>
          <w:rFonts w:ascii="Arial" w:hAnsi="Arial" w:cs="Arial"/>
        </w:rPr>
        <w:t>Annals of the Rheumatic Diseases</w:t>
      </w:r>
      <w:r w:rsidRPr="00797623">
        <w:rPr>
          <w:rFonts w:ascii="Arial" w:hAnsi="Arial" w:cs="Arial"/>
        </w:rPr>
        <w:t xml:space="preserve">. Available at: </w:t>
      </w:r>
      <w:hyperlink r:id="rId22" w:tgtFrame="_new" w:history="1">
        <w:r w:rsidRPr="00797623">
          <w:rPr>
            <w:rStyle w:val="Hyperlink"/>
            <w:rFonts w:ascii="Arial" w:hAnsi="Arial" w:cs="Arial"/>
          </w:rPr>
          <w:t>https://doi.org/10.1136/ard-2026-00075-0</w:t>
        </w:r>
      </w:hyperlink>
      <w:r w:rsidRPr="00797623">
        <w:rPr>
          <w:rFonts w:ascii="Arial" w:hAnsi="Arial" w:cs="Arial"/>
        </w:rPr>
        <w:t>.</w:t>
      </w:r>
    </w:p>
    <w:p w14:paraId="69EC1A24" w14:textId="77777777" w:rsidR="00FF7CA0" w:rsidRPr="00797623" w:rsidRDefault="00FF7CA0" w:rsidP="00FF7CA0">
      <w:pPr>
        <w:pStyle w:val="NormalWeb"/>
        <w:rPr>
          <w:rFonts w:ascii="Arial" w:hAnsi="Arial" w:cs="Arial"/>
        </w:rPr>
      </w:pPr>
      <w:r w:rsidRPr="00797623">
        <w:rPr>
          <w:rFonts w:ascii="Arial" w:hAnsi="Arial" w:cs="Arial"/>
        </w:rPr>
        <w:t xml:space="preserve">Strand, V., Wright, G.C., Bergman, M.J. </w:t>
      </w:r>
      <w:r w:rsidRPr="00797623">
        <w:rPr>
          <w:rStyle w:val="Emphasis"/>
          <w:rFonts w:ascii="Arial" w:hAnsi="Arial" w:cs="Arial"/>
        </w:rPr>
        <w:t>et al.</w:t>
      </w:r>
      <w:r w:rsidRPr="00797623">
        <w:rPr>
          <w:rFonts w:ascii="Arial" w:hAnsi="Arial" w:cs="Arial"/>
        </w:rPr>
        <w:t xml:space="preserve"> (2021) 'Healthcare resource utilisation, health-related quality of life and work productivity in moderate rheumatoid arthritis', </w:t>
      </w:r>
      <w:r w:rsidRPr="00797623">
        <w:rPr>
          <w:rStyle w:val="Emphasis"/>
          <w:rFonts w:ascii="Arial" w:hAnsi="Arial" w:cs="Arial"/>
        </w:rPr>
        <w:t>Annals of the Rheumatic Diseases</w:t>
      </w:r>
      <w:r w:rsidRPr="00797623">
        <w:rPr>
          <w:rFonts w:ascii="Arial" w:hAnsi="Arial" w:cs="Arial"/>
        </w:rPr>
        <w:t>, 80, e18.</w:t>
      </w:r>
    </w:p>
    <w:p w14:paraId="21B3D08A" w14:textId="77777777" w:rsidR="00FF7CA0" w:rsidRPr="00797623" w:rsidRDefault="00FF7CA0" w:rsidP="00FF7CA0">
      <w:pPr>
        <w:pStyle w:val="NormalWeb"/>
        <w:rPr>
          <w:rFonts w:ascii="Arial" w:hAnsi="Arial" w:cs="Arial"/>
        </w:rPr>
      </w:pPr>
      <w:r w:rsidRPr="00797623">
        <w:rPr>
          <w:rFonts w:ascii="Arial" w:hAnsi="Arial" w:cs="Arial"/>
        </w:rPr>
        <w:t xml:space="preserve">Studenic, P., Felson, D., de Wit, M. </w:t>
      </w:r>
      <w:r w:rsidRPr="00797623">
        <w:rPr>
          <w:rStyle w:val="Emphasis"/>
          <w:rFonts w:ascii="Arial" w:hAnsi="Arial" w:cs="Arial"/>
        </w:rPr>
        <w:t>et al.</w:t>
      </w:r>
      <w:r w:rsidRPr="00797623">
        <w:rPr>
          <w:rFonts w:ascii="Arial" w:hAnsi="Arial" w:cs="Arial"/>
        </w:rPr>
        <w:t xml:space="preserve"> (2023) 'ACR/EULAR remission criteria for rheumatoid arthritis: 2022 revision', </w:t>
      </w:r>
      <w:r w:rsidRPr="00797623">
        <w:rPr>
          <w:rStyle w:val="Emphasis"/>
          <w:rFonts w:ascii="Arial" w:hAnsi="Arial" w:cs="Arial"/>
        </w:rPr>
        <w:t>Annals of the Rheumatic Diseases</w:t>
      </w:r>
      <w:r w:rsidRPr="00797623">
        <w:rPr>
          <w:rFonts w:ascii="Arial" w:hAnsi="Arial" w:cs="Arial"/>
        </w:rPr>
        <w:t>, 82(1), pp. 74–80.</w:t>
      </w:r>
    </w:p>
    <w:p w14:paraId="0A540279" w14:textId="77777777" w:rsidR="00FF7CA0" w:rsidRPr="00797623" w:rsidRDefault="00FF7CA0" w:rsidP="00FF7CA0">
      <w:pPr>
        <w:pStyle w:val="NormalWeb"/>
        <w:rPr>
          <w:rFonts w:ascii="Arial" w:hAnsi="Arial" w:cs="Arial"/>
        </w:rPr>
      </w:pPr>
      <w:r w:rsidRPr="00797623">
        <w:rPr>
          <w:rFonts w:ascii="Arial" w:hAnsi="Arial" w:cs="Arial"/>
        </w:rPr>
        <w:t xml:space="preserve">Van Wesemael, T.J., Morton, F.R., Heutz, J.W. </w:t>
      </w:r>
      <w:r w:rsidRPr="00797623">
        <w:rPr>
          <w:rStyle w:val="Emphasis"/>
          <w:rFonts w:ascii="Arial" w:hAnsi="Arial" w:cs="Arial"/>
        </w:rPr>
        <w:t>et al.</w:t>
      </w:r>
      <w:r w:rsidRPr="00797623">
        <w:rPr>
          <w:rFonts w:ascii="Arial" w:hAnsi="Arial" w:cs="Arial"/>
        </w:rPr>
        <w:t xml:space="preserve"> (2025) 'Smoking as a risk factor for rheumatoid arthritis', </w:t>
      </w:r>
      <w:r w:rsidRPr="00797623">
        <w:rPr>
          <w:rStyle w:val="Emphasis"/>
          <w:rFonts w:ascii="Arial" w:hAnsi="Arial" w:cs="Arial"/>
        </w:rPr>
        <w:t>Arthritis Research &amp; Therapy</w:t>
      </w:r>
      <w:r w:rsidRPr="00797623">
        <w:rPr>
          <w:rFonts w:ascii="Arial" w:hAnsi="Arial" w:cs="Arial"/>
        </w:rPr>
        <w:t>, 27, p. 97.</w:t>
      </w:r>
    </w:p>
    <w:p w14:paraId="53EF823F" w14:textId="77777777" w:rsidR="00FF7CA0" w:rsidRPr="00797623" w:rsidRDefault="00FF7CA0" w:rsidP="00FF7CA0">
      <w:pPr>
        <w:pStyle w:val="NormalWeb"/>
        <w:rPr>
          <w:rFonts w:ascii="Arial" w:hAnsi="Arial" w:cs="Arial"/>
        </w:rPr>
      </w:pPr>
      <w:r w:rsidRPr="00797623">
        <w:rPr>
          <w:rFonts w:ascii="Arial" w:hAnsi="Arial" w:cs="Arial"/>
        </w:rPr>
        <w:t xml:space="preserve">Venetsanopoulou, A.I., Voulgari, P.V. and Drosos, A.A. (2023) 'Epidemiology and risk factors for rheumatoid arthritis development', </w:t>
      </w:r>
      <w:r w:rsidRPr="00797623">
        <w:rPr>
          <w:rStyle w:val="Emphasis"/>
          <w:rFonts w:ascii="Arial" w:hAnsi="Arial" w:cs="Arial"/>
        </w:rPr>
        <w:t>Mediterranean Journal of Rheumatology</w:t>
      </w:r>
      <w:r w:rsidRPr="00797623">
        <w:rPr>
          <w:rFonts w:ascii="Arial" w:hAnsi="Arial" w:cs="Arial"/>
        </w:rPr>
        <w:t>, 34(4), pp. 381–390.</w:t>
      </w:r>
    </w:p>
    <w:p w14:paraId="26647DC2" w14:textId="77777777" w:rsidR="00FF7CA0" w:rsidRPr="00797623" w:rsidRDefault="00FF7CA0" w:rsidP="00FF7CA0">
      <w:pPr>
        <w:pStyle w:val="NormalWeb"/>
        <w:rPr>
          <w:rFonts w:ascii="Arial" w:hAnsi="Arial" w:cs="Arial"/>
        </w:rPr>
      </w:pPr>
      <w:r w:rsidRPr="00797623">
        <w:rPr>
          <w:rFonts w:ascii="Arial" w:hAnsi="Arial" w:cs="Arial"/>
        </w:rPr>
        <w:t xml:space="preserve">Versus Arthritis (2017) </w:t>
      </w:r>
      <w:r w:rsidRPr="00797623">
        <w:rPr>
          <w:rStyle w:val="Emphasis"/>
          <w:rFonts w:ascii="Arial" w:hAnsi="Arial" w:cs="Arial"/>
        </w:rPr>
        <w:t>Work Matters Policy Report</w:t>
      </w:r>
      <w:r w:rsidRPr="00797623">
        <w:rPr>
          <w:rFonts w:ascii="Arial" w:hAnsi="Arial" w:cs="Arial"/>
        </w:rPr>
        <w:t>. London: Versus Arthritis.</w:t>
      </w:r>
    </w:p>
    <w:p w14:paraId="78395144" w14:textId="77777777" w:rsidR="00FF7CA0" w:rsidRPr="00797623" w:rsidRDefault="00FF7CA0" w:rsidP="00FF7CA0">
      <w:pPr>
        <w:pStyle w:val="NormalWeb"/>
        <w:rPr>
          <w:rFonts w:ascii="Arial" w:hAnsi="Arial" w:cs="Arial"/>
        </w:rPr>
      </w:pPr>
      <w:r w:rsidRPr="00797623">
        <w:rPr>
          <w:rFonts w:ascii="Arial" w:hAnsi="Arial" w:cs="Arial"/>
        </w:rPr>
        <w:t xml:space="preserve">Versus Arthritis (2019) </w:t>
      </w:r>
      <w:r w:rsidRPr="00797623">
        <w:rPr>
          <w:rStyle w:val="Emphasis"/>
          <w:rFonts w:ascii="Arial" w:hAnsi="Arial" w:cs="Arial"/>
        </w:rPr>
        <w:t>Working with Arthritis Policy Report</w:t>
      </w:r>
      <w:r w:rsidRPr="00797623">
        <w:rPr>
          <w:rFonts w:ascii="Arial" w:hAnsi="Arial" w:cs="Arial"/>
        </w:rPr>
        <w:t>. London: Versus Arthritis.</w:t>
      </w:r>
    </w:p>
    <w:p w14:paraId="49EF9D15" w14:textId="77777777" w:rsidR="00FF7CA0" w:rsidRPr="00797623" w:rsidRDefault="00FF7CA0" w:rsidP="00FF7CA0">
      <w:pPr>
        <w:pStyle w:val="NormalWeb"/>
        <w:rPr>
          <w:rFonts w:ascii="Arial" w:hAnsi="Arial" w:cs="Arial"/>
        </w:rPr>
      </w:pPr>
      <w:r w:rsidRPr="00797623">
        <w:rPr>
          <w:rFonts w:ascii="Arial" w:hAnsi="Arial" w:cs="Arial"/>
        </w:rPr>
        <w:t xml:space="preserve">Versus Arthritis (2025) </w:t>
      </w:r>
      <w:r w:rsidRPr="00797623">
        <w:rPr>
          <w:rStyle w:val="Emphasis"/>
          <w:rFonts w:ascii="Arial" w:hAnsi="Arial" w:cs="Arial"/>
        </w:rPr>
        <w:t xml:space="preserve">Our Response to the NHS </w:t>
      </w:r>
      <w:proofErr w:type="gramStart"/>
      <w:r w:rsidRPr="00797623">
        <w:rPr>
          <w:rStyle w:val="Emphasis"/>
          <w:rFonts w:ascii="Arial" w:hAnsi="Arial" w:cs="Arial"/>
        </w:rPr>
        <w:t>Ten Year</w:t>
      </w:r>
      <w:proofErr w:type="gramEnd"/>
      <w:r w:rsidRPr="00797623">
        <w:rPr>
          <w:rStyle w:val="Emphasis"/>
          <w:rFonts w:ascii="Arial" w:hAnsi="Arial" w:cs="Arial"/>
        </w:rPr>
        <w:t xml:space="preserve"> Health Plan</w:t>
      </w:r>
      <w:r w:rsidRPr="00797623">
        <w:rPr>
          <w:rFonts w:ascii="Arial" w:hAnsi="Arial" w:cs="Arial"/>
        </w:rPr>
        <w:t xml:space="preserve">. Available at: </w:t>
      </w:r>
      <w:hyperlink r:id="rId23" w:tgtFrame="_new" w:history="1">
        <w:r w:rsidRPr="00797623">
          <w:rPr>
            <w:rStyle w:val="Hyperlink"/>
            <w:rFonts w:ascii="Arial" w:hAnsi="Arial" w:cs="Arial"/>
          </w:rPr>
          <w:t>https://www.arthritis-uk.org/news/2025/july/the-nhs-ten-year-health-plan-for-england/</w:t>
        </w:r>
      </w:hyperlink>
      <w:r w:rsidRPr="00797623">
        <w:rPr>
          <w:rFonts w:ascii="Arial" w:hAnsi="Arial" w:cs="Arial"/>
        </w:rPr>
        <w:t xml:space="preserve"> (Accessed: 16 July 2026).</w:t>
      </w:r>
    </w:p>
    <w:p w14:paraId="086A0061" w14:textId="77777777" w:rsidR="00FF7CA0" w:rsidRPr="00797623" w:rsidRDefault="00FF7CA0" w:rsidP="00FF7CA0">
      <w:pPr>
        <w:pStyle w:val="NormalWeb"/>
        <w:rPr>
          <w:rFonts w:ascii="Arial" w:hAnsi="Arial" w:cs="Arial"/>
        </w:rPr>
      </w:pPr>
      <w:r w:rsidRPr="00797623">
        <w:rPr>
          <w:rFonts w:ascii="Arial" w:hAnsi="Arial" w:cs="Arial"/>
        </w:rPr>
        <w:t xml:space="preserve">Vriezekolk, J.E., van Lankveld, W.G.J.M. and van den Hoogen, F.H.J. (2022) 'Psychological stress in rheumatoid arthritis: A systematic scoping review', </w:t>
      </w:r>
      <w:r w:rsidRPr="00797623">
        <w:rPr>
          <w:rStyle w:val="Emphasis"/>
          <w:rFonts w:ascii="Arial" w:hAnsi="Arial" w:cs="Arial"/>
        </w:rPr>
        <w:t>Seminars in Arthritis and Rheumatism</w:t>
      </w:r>
      <w:r w:rsidRPr="00797623">
        <w:rPr>
          <w:rFonts w:ascii="Arial" w:hAnsi="Arial" w:cs="Arial"/>
        </w:rPr>
        <w:t>, 54, p. 151994.</w:t>
      </w:r>
    </w:p>
    <w:p w14:paraId="659D433B" w14:textId="77777777" w:rsidR="00FF7CA0" w:rsidRPr="00797623" w:rsidRDefault="00FF7CA0" w:rsidP="00FF7CA0">
      <w:pPr>
        <w:pStyle w:val="NormalWeb"/>
        <w:rPr>
          <w:rFonts w:ascii="Arial" w:hAnsi="Arial" w:cs="Arial"/>
        </w:rPr>
      </w:pPr>
      <w:r w:rsidRPr="00797623">
        <w:rPr>
          <w:rFonts w:ascii="Arial" w:hAnsi="Arial" w:cs="Arial"/>
        </w:rPr>
        <w:t xml:space="preserve">Wluka, A.E., Bhatt, D.L. and March, L. (2022) 'Work ability and quality of life in rheumatoid arthritis', </w:t>
      </w:r>
      <w:r w:rsidRPr="00797623">
        <w:rPr>
          <w:rStyle w:val="Emphasis"/>
          <w:rFonts w:ascii="Arial" w:hAnsi="Arial" w:cs="Arial"/>
        </w:rPr>
        <w:t>Nutrients</w:t>
      </w:r>
      <w:r w:rsidRPr="00797623">
        <w:rPr>
          <w:rFonts w:ascii="Arial" w:hAnsi="Arial" w:cs="Arial"/>
        </w:rPr>
        <w:t>, 14(19), p. 3905.</w:t>
      </w:r>
    </w:p>
    <w:p w14:paraId="5D291EE6" w14:textId="77777777" w:rsidR="00FF7CA0" w:rsidRPr="00797623" w:rsidRDefault="00FF7CA0" w:rsidP="00FF7CA0">
      <w:pPr>
        <w:pStyle w:val="NormalWeb"/>
        <w:rPr>
          <w:rFonts w:ascii="Arial" w:hAnsi="Arial" w:cs="Arial"/>
        </w:rPr>
      </w:pPr>
      <w:r w:rsidRPr="00797623">
        <w:rPr>
          <w:rFonts w:ascii="Arial" w:hAnsi="Arial" w:cs="Arial"/>
        </w:rPr>
        <w:t xml:space="preserve">Zhang, J., Huang, X. and Zhao, L. (2025) 'Global burden of rheumatoid arthritis among elderly populations: GBD 2021 analysis', </w:t>
      </w:r>
      <w:r w:rsidRPr="00797623">
        <w:rPr>
          <w:rStyle w:val="Emphasis"/>
          <w:rFonts w:ascii="Arial" w:hAnsi="Arial" w:cs="Arial"/>
        </w:rPr>
        <w:t>Frontiers in Immunology</w:t>
      </w:r>
      <w:r w:rsidRPr="00797623">
        <w:rPr>
          <w:rFonts w:ascii="Arial" w:hAnsi="Arial" w:cs="Arial"/>
        </w:rPr>
        <w:t>, 16, p. 1547763.</w:t>
      </w:r>
    </w:p>
    <w:p w14:paraId="54C14DFD" w14:textId="77777777" w:rsidR="00FF7CA0" w:rsidRPr="00797623" w:rsidRDefault="00FF7CA0" w:rsidP="00FF7CA0">
      <w:pPr>
        <w:spacing w:before="55" w:after="55" w:line="276" w:lineRule="auto"/>
        <w:ind w:left="720" w:hanging="720"/>
        <w:rPr>
          <w:sz w:val="24"/>
          <w:szCs w:val="24"/>
        </w:rPr>
      </w:pPr>
    </w:p>
    <w:sectPr w:rsidR="00FF7CA0" w:rsidRPr="00797623" w:rsidSect="007D3BA8">
      <w:type w:val="continuous"/>
      <w:pgSz w:w="11906" w:h="16838"/>
      <w:pgMar w:top="1440" w:right="1260" w:bottom="1440" w:left="1260" w:header="708" w:footer="708" w:gutter="0"/>
      <w:pgBorders w:offsetFrom="page">
        <w:top w:val="single" w:sz="4" w:space="24" w:color="auto"/>
        <w:left w:val="single" w:sz="4" w:space="24" w:color="auto"/>
        <w:bottom w:val="single" w:sz="4" w:space="24" w:color="auto"/>
        <w:right w:val="single" w:sz="4" w:space="24" w:color="auto"/>
      </w:pgBorders>
      <w:cols w:num="2"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endnote w:type="separator" w:id="-1">
    <w:p w14:paraId="721E490F" w14:textId="77777777" w:rsidR="00052DC0" w:rsidRDefault="00052DC0">
      <w:r>
        <w:separator/>
      </w:r>
    </w:p>
  </w:endnote>
  <w:endnote w:type="continuationSeparator" w:id="0">
    <w:p w14:paraId="1C15961D" w14:textId="77777777" w:rsidR="00052DC0" w:rsidRDefault="00052DC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rial">
    <w:panose1 w:val="020B0604020202020204"/>
    <w:charset w:val="00"/>
    <w:family w:val="swiss"/>
    <w:pitch w:val="variable"/>
    <w:sig w:usb0="E0002AFF" w:usb1="C0007843" w:usb2="00000009" w:usb3="00000000" w:csb0="000001FF"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14:paraId="5DCDA331" w14:textId="77777777" w:rsidR="006730A7" w:rsidRDefault="00000000">
    <w:pPr>
      <w:pBdr>
        <w:top w:val="single" w:sz="4" w:space="1" w:color="CCCCCC"/>
      </w:pBdr>
      <w:jc w:val="center"/>
    </w:pPr>
    <w:r>
      <w:rPr>
        <w:color w:val="888888"/>
        <w:sz w:val="18"/>
        <w:szCs w:val="18"/>
      </w:rPr>
      <w:t xml:space="preserve">Page </w:t>
    </w:r>
    <w:r>
      <w:rPr>
        <w:color w:val="888888"/>
        <w:sz w:val="18"/>
        <w:szCs w:val="18"/>
      </w:rPr>
      <w:fldChar w:fldCharType="begin"/>
    </w:r>
    <w:r>
      <w:rPr>
        <w:color w:val="888888"/>
        <w:sz w:val="18"/>
        <w:szCs w:val="18"/>
      </w:rPr>
      <w:instrText>PAGE</w:instrText>
    </w:r>
    <w:r>
      <w:rPr>
        <w:color w:val="888888"/>
        <w:sz w:val="18"/>
        <w:szCs w:val="18"/>
      </w:rPr>
      <w:fldChar w:fldCharType="separate"/>
    </w:r>
    <w:r w:rsidR="000D7A2F">
      <w:rPr>
        <w:noProof/>
        <w:color w:val="888888"/>
        <w:sz w:val="18"/>
        <w:szCs w:val="18"/>
      </w:rPr>
      <w:t>1</w:t>
    </w:r>
    <w:r>
      <w:rPr>
        <w:color w:val="888888"/>
        <w:sz w:val="18"/>
        <w:szCs w:val="18"/>
      </w:rPr>
      <w:fldChar w:fldCharType="end"/>
    </w:r>
    <w:r>
      <w:rPr>
        <w:color w:val="888888"/>
        <w:sz w:val="18"/>
        <w:szCs w:val="18"/>
      </w:rPr>
      <w:t xml:space="preserve"> of </w:t>
    </w:r>
    <w:r>
      <w:rPr>
        <w:color w:val="888888"/>
        <w:sz w:val="18"/>
        <w:szCs w:val="18"/>
      </w:rPr>
      <w:fldChar w:fldCharType="begin"/>
    </w:r>
    <w:r>
      <w:rPr>
        <w:color w:val="888888"/>
        <w:sz w:val="18"/>
        <w:szCs w:val="18"/>
      </w:rPr>
      <w:instrText>NUMPAGES</w:instrText>
    </w:r>
    <w:r>
      <w:rPr>
        <w:color w:val="888888"/>
        <w:sz w:val="18"/>
        <w:szCs w:val="18"/>
      </w:rPr>
      <w:fldChar w:fldCharType="separate"/>
    </w:r>
    <w:r w:rsidR="000D7A2F">
      <w:rPr>
        <w:noProof/>
        <w:color w:val="888888"/>
        <w:sz w:val="18"/>
        <w:szCs w:val="18"/>
      </w:rPr>
      <w:t>2</w:t>
    </w:r>
    <w:r>
      <w:rPr>
        <w:color w:val="888888"/>
        <w:sz w:val="18"/>
        <w:szCs w:val="18"/>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footnote w:type="separator" w:id="-1">
    <w:p w14:paraId="5EB173EA" w14:textId="77777777" w:rsidR="00052DC0" w:rsidRDefault="00052DC0">
      <w:r>
        <w:separator/>
      </w:r>
    </w:p>
  </w:footnote>
  <w:footnote w:type="continuationSeparator" w:id="0">
    <w:p w14:paraId="43E15D18" w14:textId="77777777" w:rsidR="00052DC0" w:rsidRDefault="00052DC0">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14:paraId="29EA8AF5" w14:textId="77777777" w:rsidR="006730A7" w:rsidRDefault="00000000">
    <w:pPr>
      <w:pBdr>
        <w:bottom w:val="single" w:sz="4" w:space="1" w:color="CCCCCC"/>
      </w:pBdr>
      <w:spacing w:after="60"/>
      <w:jc w:val="right"/>
    </w:pPr>
    <w:r>
      <w:rPr>
        <w:i/>
        <w:iCs/>
        <w:color w:val="999999"/>
        <w:sz w:val="18"/>
        <w:szCs w:val="18"/>
      </w:rPr>
      <w:t>MSc Public Health | Rheumatoid Arthritis as a Long-Term Condition</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w:abstractNumId="0" w15:restartNumberingAfterBreak="0">
    <w:nsid w:val="003E7A66"/>
    <w:multiLevelType w:val="hybridMultilevel"/>
    <w:tmpl w:val="D3944E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7655C01"/>
    <w:multiLevelType w:val="hybridMultilevel"/>
    <w:tmpl w:val="3EB631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78C3F84"/>
    <w:multiLevelType w:val="hybridMultilevel"/>
    <w:tmpl w:val="CFEE68B2"/>
    <w:lvl w:ilvl="0" w:tplc="EF60E0D8">
      <w:start w:val="1"/>
      <w:numFmt w:val="bullet"/>
      <w:lvlText w:val="•"/>
      <w:lvlJc w:val="left"/>
      <w:pPr>
        <w:ind w:left="720" w:hanging="360"/>
      </w:pPr>
    </w:lvl>
    <w:lvl w:ilvl="1" w:tplc="4494666E">
      <w:numFmt w:val="decimal"/>
      <w:lvlText w:val=""/>
      <w:lvlJc w:val="left"/>
    </w:lvl>
    <w:lvl w:ilvl="2" w:tplc="E0E08894">
      <w:numFmt w:val="decimal"/>
      <w:lvlText w:val=""/>
      <w:lvlJc w:val="left"/>
    </w:lvl>
    <w:lvl w:ilvl="3" w:tplc="0EDA1AA0">
      <w:numFmt w:val="decimal"/>
      <w:lvlText w:val=""/>
      <w:lvlJc w:val="left"/>
    </w:lvl>
    <w:lvl w:ilvl="4" w:tplc="BFB4D588">
      <w:numFmt w:val="decimal"/>
      <w:lvlText w:val=""/>
      <w:lvlJc w:val="left"/>
    </w:lvl>
    <w:lvl w:ilvl="5" w:tplc="3F6C8B98">
      <w:numFmt w:val="decimal"/>
      <w:lvlText w:val=""/>
      <w:lvlJc w:val="left"/>
    </w:lvl>
    <w:lvl w:ilvl="6" w:tplc="C8502C74">
      <w:numFmt w:val="decimal"/>
      <w:lvlText w:val=""/>
      <w:lvlJc w:val="left"/>
    </w:lvl>
    <w:lvl w:ilvl="7" w:tplc="D97E3F3E">
      <w:numFmt w:val="decimal"/>
      <w:lvlText w:val=""/>
      <w:lvlJc w:val="left"/>
    </w:lvl>
    <w:lvl w:ilvl="8" w:tplc="BCCC6F62">
      <w:numFmt w:val="decimal"/>
      <w:lvlText w:val=""/>
      <w:lvlJc w:val="left"/>
    </w:lvl>
  </w:abstractNum>
  <w:abstractNum w:abstractNumId="3" w15:restartNumberingAfterBreak="0">
    <w:nsid w:val="7D171C4B"/>
    <w:multiLevelType w:val="hybridMultilevel"/>
    <w:tmpl w:val="5F5001A2"/>
    <w:lvl w:ilvl="0" w:tplc="094CF656">
      <w:start w:val="1"/>
      <w:numFmt w:val="bullet"/>
      <w:lvlText w:val="●"/>
      <w:lvlJc w:val="left"/>
      <w:pPr>
        <w:ind w:left="720" w:hanging="360"/>
      </w:pPr>
    </w:lvl>
    <w:lvl w:ilvl="1" w:tplc="EE3AB91E">
      <w:start w:val="1"/>
      <w:numFmt w:val="bullet"/>
      <w:lvlText w:val="○"/>
      <w:lvlJc w:val="left"/>
      <w:pPr>
        <w:ind w:left="1440" w:hanging="360"/>
      </w:pPr>
    </w:lvl>
    <w:lvl w:ilvl="2" w:tplc="336AB0B2">
      <w:start w:val="1"/>
      <w:numFmt w:val="bullet"/>
      <w:lvlText w:val="■"/>
      <w:lvlJc w:val="left"/>
      <w:pPr>
        <w:ind w:left="2160" w:hanging="360"/>
      </w:pPr>
    </w:lvl>
    <w:lvl w:ilvl="3" w:tplc="235A9D70">
      <w:start w:val="1"/>
      <w:numFmt w:val="bullet"/>
      <w:lvlText w:val="●"/>
      <w:lvlJc w:val="left"/>
      <w:pPr>
        <w:ind w:left="2880" w:hanging="360"/>
      </w:pPr>
    </w:lvl>
    <w:lvl w:ilvl="4" w:tplc="7F6AAC34">
      <w:start w:val="1"/>
      <w:numFmt w:val="bullet"/>
      <w:lvlText w:val="○"/>
      <w:lvlJc w:val="left"/>
      <w:pPr>
        <w:ind w:left="3600" w:hanging="360"/>
      </w:pPr>
    </w:lvl>
    <w:lvl w:ilvl="5" w:tplc="D46AA112">
      <w:start w:val="1"/>
      <w:numFmt w:val="bullet"/>
      <w:lvlText w:val="■"/>
      <w:lvlJc w:val="left"/>
      <w:pPr>
        <w:ind w:left="4320" w:hanging="360"/>
      </w:pPr>
    </w:lvl>
    <w:lvl w:ilvl="6" w:tplc="B20054AA">
      <w:start w:val="1"/>
      <w:numFmt w:val="bullet"/>
      <w:lvlText w:val="●"/>
      <w:lvlJc w:val="left"/>
      <w:pPr>
        <w:ind w:left="5040" w:hanging="360"/>
      </w:pPr>
    </w:lvl>
    <w:lvl w:ilvl="7" w:tplc="8932E9E0">
      <w:start w:val="1"/>
      <w:numFmt w:val="bullet"/>
      <w:lvlText w:val="●"/>
      <w:lvlJc w:val="left"/>
      <w:pPr>
        <w:ind w:left="5760" w:hanging="360"/>
      </w:pPr>
    </w:lvl>
    <w:lvl w:ilvl="8" w:tplc="F53CA170">
      <w:start w:val="1"/>
      <w:numFmt w:val="bullet"/>
      <w:lvlText w:val="●"/>
      <w:lvlJc w:val="left"/>
      <w:pPr>
        <w:ind w:left="6480" w:hanging="360"/>
      </w:pPr>
    </w:lvl>
  </w:abstractNum>
  <w:num w:numId="1" w16cid:durableId="1421559152">
    <w:abstractNumId w:val="3"/>
    <w:lvlOverride w:ilvl="0">
      <w:startOverride w:val="1"/>
    </w:lvlOverride>
  </w:num>
  <w:num w:numId="2" w16cid:durableId="1134786754">
    <w:abstractNumId w:val="2"/>
    <w:lvlOverride w:ilvl="0">
      <w:startOverride w:val="1"/>
    </w:lvlOverride>
  </w:num>
  <w:num w:numId="3" w16cid:durableId="1783376478">
    <w:abstractNumId w:val="1"/>
  </w:num>
  <w:num w:numId="4" w16cid:durableId="1313364620">
    <w:abstractNumId w:val="0"/>
  </w:num>
</w:numbering>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zoom w:percent="153"/>
  <w:displayBackgroundShap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730A7"/>
    <w:rsid w:val="00022143"/>
    <w:rsid w:val="00052DC0"/>
    <w:rsid w:val="000D7A2F"/>
    <w:rsid w:val="000E1C40"/>
    <w:rsid w:val="000F3DF1"/>
    <w:rsid w:val="002752D8"/>
    <w:rsid w:val="002912FB"/>
    <w:rsid w:val="002B26A2"/>
    <w:rsid w:val="00645310"/>
    <w:rsid w:val="006730A7"/>
    <w:rsid w:val="00720835"/>
    <w:rsid w:val="0073129F"/>
    <w:rsid w:val="00787B93"/>
    <w:rsid w:val="00797623"/>
    <w:rsid w:val="007D3BA8"/>
    <w:rsid w:val="00877010"/>
    <w:rsid w:val="0098326D"/>
    <w:rsid w:val="00A36B85"/>
    <w:rsid w:val="00A46292"/>
    <w:rsid w:val="00AF3243"/>
    <w:rsid w:val="00B931DF"/>
    <w:rsid w:val="00CA7549"/>
    <w:rsid w:val="00DE3888"/>
    <w:rsid w:val="00DE38F4"/>
    <w:rsid w:val="00DF1CEF"/>
    <w:rsid w:val="00ED4EE5"/>
    <w:rsid w:val="00ED595A"/>
    <w:rsid w:val="00F124D7"/>
    <w:rsid w:val="00FF7CA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97EDB86"/>
  <w15:docId w15:val="{2E5ED87D-77AF-0241-B971-296F156D978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Arial" w:eastAsia="Arial" w:hAnsi="Arial" w:cs="Arial"/>
        <w:sz w:val="22"/>
        <w:szCs w:val="22"/>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uiPriority w:val="9"/>
    <w:qFormat/>
    <w:pPr>
      <w:spacing w:before="360" w:after="120"/>
      <w:outlineLvl w:val="0"/>
    </w:pPr>
    <w:rPr>
      <w:b/>
      <w:bCs/>
      <w:color w:val="00838A"/>
      <w:sz w:val="32"/>
      <w:szCs w:val="32"/>
    </w:rPr>
  </w:style>
  <w:style w:type="paragraph" w:styleId="Heading2">
    <w:name w:val="heading 2"/>
    <w:uiPriority w:val="9"/>
    <w:unhideWhenUsed/>
    <w:qFormat/>
    <w:pPr>
      <w:spacing w:before="240" w:after="80"/>
      <w:outlineLvl w:val="1"/>
    </w:pPr>
    <w:rPr>
      <w:b/>
      <w:bCs/>
      <w:color w:val="1A2E4A"/>
      <w:sz w:val="26"/>
      <w:szCs w:val="26"/>
    </w:rPr>
  </w:style>
  <w:style w:type="paragraph" w:styleId="Heading3">
    <w:name w:val="heading 3"/>
    <w:uiPriority w:val="9"/>
    <w:unhideWhenUsed/>
    <w:qFormat/>
    <w:pPr>
      <w:spacing w:before="180" w:after="60"/>
      <w:outlineLvl w:val="2"/>
    </w:pPr>
    <w:rPr>
      <w:b/>
      <w:bCs/>
      <w:color w:val="E8650A"/>
      <w:sz w:val="23"/>
      <w:szCs w:val="23"/>
    </w:rPr>
  </w:style>
  <w:style w:type="paragraph" w:styleId="Heading4">
    <w:name w:val="heading 4"/>
    <w:uiPriority w:val="9"/>
    <w:semiHidden/>
    <w:unhideWhenUsed/>
    <w:qFormat/>
    <w:pPr>
      <w:outlineLvl w:val="3"/>
    </w:pPr>
    <w:rPr>
      <w:i/>
      <w:iCs/>
      <w:color w:val="2E74B5"/>
    </w:rPr>
  </w:style>
  <w:style w:type="paragraph" w:styleId="Heading5">
    <w:name w:val="heading 5"/>
    <w:uiPriority w:val="9"/>
    <w:semiHidden/>
    <w:unhideWhenUsed/>
    <w:qFormat/>
    <w:pPr>
      <w:outlineLvl w:val="4"/>
    </w:pPr>
    <w:rPr>
      <w:color w:val="2E74B5"/>
    </w:rPr>
  </w:style>
  <w:style w:type="paragraph" w:styleId="Heading6">
    <w:name w:val="heading 6"/>
    <w:uiPriority w:val="9"/>
    <w:semiHidden/>
    <w:unhideWhenUsed/>
    <w:qFormat/>
    <w:pPr>
      <w:outlineLvl w:val="5"/>
    </w:pPr>
    <w:rPr>
      <w:color w:val="1F4D7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uiPriority w:val="10"/>
    <w:qFormat/>
    <w:rPr>
      <w:sz w:val="56"/>
      <w:szCs w:val="56"/>
    </w:rPr>
  </w:style>
  <w:style w:type="paragraph" w:customStyle="1" w:styleId="Strong1">
    <w:name w:val="Strong1"/>
    <w:qFormat/>
    <w:rPr>
      <w:b/>
      <w:bCs/>
    </w:rPr>
  </w:style>
  <w:style w:type="paragraph" w:styleId="ListParagraph">
    <w:name w:val="List Paragraph"/>
    <w:qFormat/>
  </w:style>
  <w:style w:type="character" w:styleId="Hyperlink">
    <w:name w:val="Hyperlink"/>
    <w:uiPriority w:val="99"/>
    <w:unhideWhenUsed/>
    <w:rPr>
      <w:color w:val="0563C1"/>
      <w:u w:val="single"/>
    </w:rPr>
  </w:style>
  <w:style w:type="character" w:styleId="FootnoteReference">
    <w:name w:val="footnote reference"/>
    <w:uiPriority w:val="99"/>
    <w:semiHidden/>
    <w:unhideWhenUsed/>
    <w:rPr>
      <w:vertAlign w:val="superscript"/>
    </w:rPr>
  </w:style>
  <w:style w:type="paragraph" w:styleId="FootnoteText">
    <w:name w:val="footnote text"/>
    <w:link w:val="FootnoteTextChar"/>
    <w:uiPriority w:val="99"/>
    <w:semiHidden/>
    <w:unhideWhenUsed/>
    <w:rPr>
      <w:sz w:val="20"/>
      <w:szCs w:val="20"/>
    </w:rPr>
  </w:style>
  <w:style w:type="character" w:customStyle="1" w:styleId="FootnoteTextChar">
    <w:name w:val="Footnote Text Char"/>
    <w:link w:val="FootnoteText"/>
    <w:uiPriority w:val="99"/>
    <w:semiHidden/>
    <w:unhideWhenUsed/>
    <w:rPr>
      <w:sz w:val="20"/>
      <w:szCs w:val="20"/>
    </w:rPr>
  </w:style>
  <w:style w:type="character" w:styleId="EndnoteReference">
    <w:name w:val="endnote reference"/>
    <w:uiPriority w:val="99"/>
    <w:semiHidden/>
    <w:unhideWhenUsed/>
    <w:rPr>
      <w:vertAlign w:val="superscript"/>
    </w:rPr>
  </w:style>
  <w:style w:type="paragraph" w:styleId="EndnoteText">
    <w:name w:val="endnote text"/>
    <w:link w:val="EndnoteTextChar"/>
    <w:uiPriority w:val="99"/>
    <w:semiHidden/>
    <w:unhideWhenUsed/>
    <w:rPr>
      <w:sz w:val="20"/>
      <w:szCs w:val="20"/>
    </w:rPr>
  </w:style>
  <w:style w:type="character" w:customStyle="1" w:styleId="EndnoteTextChar">
    <w:name w:val="Endnote Text Char"/>
    <w:link w:val="EndnoteText"/>
    <w:uiPriority w:val="99"/>
    <w:semiHidden/>
    <w:unhideWhenUsed/>
    <w:rPr>
      <w:sz w:val="20"/>
      <w:szCs w:val="20"/>
    </w:rPr>
  </w:style>
  <w:style w:type="paragraph" w:styleId="NoSpacing">
    <w:name w:val="No Spacing"/>
    <w:link w:val="NoSpacingChar"/>
    <w:uiPriority w:val="1"/>
    <w:qFormat/>
    <w:rsid w:val="007D3BA8"/>
    <w:rPr>
      <w:rFonts w:asciiTheme="minorHAnsi" w:eastAsiaTheme="minorEastAsia" w:hAnsiTheme="minorHAnsi" w:cstheme="minorBidi"/>
      <w:lang w:val="en-US" w:eastAsia="zh-CN"/>
    </w:rPr>
  </w:style>
  <w:style w:type="character" w:customStyle="1" w:styleId="NoSpacingChar">
    <w:name w:val="No Spacing Char"/>
    <w:basedOn w:val="DefaultParagraphFont"/>
    <w:link w:val="NoSpacing"/>
    <w:uiPriority w:val="1"/>
    <w:rsid w:val="007D3BA8"/>
    <w:rPr>
      <w:rFonts w:asciiTheme="minorHAnsi" w:eastAsiaTheme="minorEastAsia" w:hAnsiTheme="minorHAnsi" w:cstheme="minorBidi"/>
      <w:lang w:val="en-US" w:eastAsia="zh-CN"/>
    </w:rPr>
  </w:style>
  <w:style w:type="paragraph" w:styleId="Header">
    <w:name w:val="header"/>
    <w:basedOn w:val="Normal"/>
    <w:link w:val="HeaderChar"/>
    <w:uiPriority w:val="99"/>
    <w:unhideWhenUsed/>
    <w:rsid w:val="00AF3243"/>
    <w:pPr>
      <w:tabs>
        <w:tab w:val="center" w:pos="4513"/>
        <w:tab w:val="right" w:pos="9026"/>
      </w:tabs>
    </w:pPr>
  </w:style>
  <w:style w:type="character" w:customStyle="1" w:styleId="HeaderChar">
    <w:name w:val="Header Char"/>
    <w:basedOn w:val="DefaultParagraphFont"/>
    <w:link w:val="Header"/>
    <w:uiPriority w:val="99"/>
    <w:rsid w:val="00AF3243"/>
  </w:style>
  <w:style w:type="paragraph" w:styleId="Footer">
    <w:name w:val="footer"/>
    <w:basedOn w:val="Normal"/>
    <w:link w:val="FooterChar"/>
    <w:uiPriority w:val="99"/>
    <w:unhideWhenUsed/>
    <w:rsid w:val="00AF3243"/>
    <w:pPr>
      <w:tabs>
        <w:tab w:val="center" w:pos="4513"/>
        <w:tab w:val="right" w:pos="9026"/>
      </w:tabs>
    </w:pPr>
  </w:style>
  <w:style w:type="character" w:customStyle="1" w:styleId="FooterChar">
    <w:name w:val="Footer Char"/>
    <w:basedOn w:val="DefaultParagraphFont"/>
    <w:link w:val="Footer"/>
    <w:uiPriority w:val="99"/>
    <w:rsid w:val="00AF3243"/>
  </w:style>
  <w:style w:type="table" w:styleId="TableGrid">
    <w:name w:val="Table Grid"/>
    <w:basedOn w:val="TableNormal"/>
    <w:uiPriority w:val="39"/>
    <w:rsid w:val="000F3DF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GridLight">
    <w:name w:val="Grid Table Light"/>
    <w:basedOn w:val="TableNormal"/>
    <w:uiPriority w:val="40"/>
    <w:rsid w:val="000F3DF1"/>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table" w:styleId="PlainTable5">
    <w:name w:val="Plain Table 5"/>
    <w:basedOn w:val="TableNormal"/>
    <w:uiPriority w:val="45"/>
    <w:rsid w:val="000F3DF1"/>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7F7F7F" w:themeColor="text1" w:themeTint="80"/>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7F7F7F" w:themeColor="text1" w:themeTint="80"/>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7F7F7F" w:themeColor="text1" w:themeTint="80"/>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7F7F7F" w:themeColor="text1" w:themeTint="80"/>
        </w:tcBorders>
        <w:shd w:val="clear" w:color="auto" w:fill="FFFFFF" w:themeFill="background1"/>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paragraph" w:customStyle="1" w:styleId="pdq2pgselectionanchorcontainer">
    <w:name w:val="pdq2pg_selectionanchorcontainer"/>
    <w:basedOn w:val="Normal"/>
    <w:rsid w:val="00FF7CA0"/>
    <w:pPr>
      <w:spacing w:before="100" w:beforeAutospacing="1" w:after="100" w:afterAutospacing="1"/>
    </w:pPr>
    <w:rPr>
      <w:rFonts w:ascii="Times New Roman" w:eastAsia="Times New Roman" w:hAnsi="Times New Roman" w:cs="Times New Roman"/>
      <w:sz w:val="24"/>
      <w:szCs w:val="24"/>
    </w:rPr>
  </w:style>
  <w:style w:type="character" w:styleId="Emphasis">
    <w:name w:val="Emphasis"/>
    <w:basedOn w:val="DefaultParagraphFont"/>
    <w:uiPriority w:val="20"/>
    <w:qFormat/>
    <w:rsid w:val="00FF7CA0"/>
    <w:rPr>
      <w:i/>
      <w:iCs/>
    </w:rPr>
  </w:style>
  <w:style w:type="paragraph" w:styleId="NormalWeb">
    <w:name w:val="Normal (Web)"/>
    <w:basedOn w:val="Normal"/>
    <w:uiPriority w:val="99"/>
    <w:semiHidden/>
    <w:unhideWhenUsed/>
    <w:rsid w:val="00FF7CA0"/>
    <w:pPr>
      <w:spacing w:before="100" w:beforeAutospacing="1" w:after="100" w:afterAutospacing="1"/>
    </w:pPr>
    <w:rPr>
      <w:rFonts w:ascii="Times New Roman" w:eastAsia="Times New Roman" w:hAnsi="Times New Roman" w:cs="Times New Roman"/>
      <w:sz w:val="24"/>
      <w:szCs w:val="24"/>
    </w:rPr>
  </w:style>
  <w:style w:type="paragraph" w:styleId="Caption">
    <w:name w:val="caption"/>
    <w:basedOn w:val="Normal"/>
    <w:next w:val="Normal"/>
    <w:uiPriority w:val="35"/>
    <w:unhideWhenUsed/>
    <w:qFormat/>
    <w:rsid w:val="00DE38F4"/>
    <w:pPr>
      <w:spacing w:after="200"/>
    </w:pPr>
    <w:rPr>
      <w:i/>
      <w:iCs/>
      <w:color w:val="0E2841" w:themeColor="text2"/>
      <w:sz w:val="18"/>
      <w:szCs w:val="18"/>
    </w:rPr>
  </w:style>
  <w:style w:type="paragraph" w:styleId="TOCHeading">
    <w:name w:val="TOC Heading"/>
    <w:basedOn w:val="Heading1"/>
    <w:next w:val="Normal"/>
    <w:uiPriority w:val="39"/>
    <w:unhideWhenUsed/>
    <w:qFormat/>
    <w:rsid w:val="002752D8"/>
    <w:pPr>
      <w:keepNext/>
      <w:keepLines/>
      <w:spacing w:before="480" w:after="0" w:line="276" w:lineRule="auto"/>
      <w:outlineLvl w:val="9"/>
    </w:pPr>
    <w:rPr>
      <w:rFonts w:asciiTheme="majorHAnsi" w:eastAsiaTheme="majorEastAsia" w:hAnsiTheme="majorHAnsi" w:cstheme="majorBidi"/>
      <w:color w:val="0F4761" w:themeColor="accent1" w:themeShade="BF"/>
      <w:sz w:val="28"/>
      <w:szCs w:val="28"/>
      <w:lang w:val="en-US" w:eastAsia="en-US"/>
    </w:rPr>
  </w:style>
  <w:style w:type="paragraph" w:styleId="TOC1">
    <w:name w:val="toc 1"/>
    <w:basedOn w:val="Normal"/>
    <w:next w:val="Normal"/>
    <w:autoRedefine/>
    <w:uiPriority w:val="39"/>
    <w:unhideWhenUsed/>
    <w:rsid w:val="00ED4EE5"/>
    <w:pPr>
      <w:tabs>
        <w:tab w:val="right" w:leader="dot" w:pos="9376"/>
      </w:tabs>
      <w:spacing w:before="120" w:line="360" w:lineRule="auto"/>
    </w:pPr>
    <w:rPr>
      <w:b/>
      <w:bCs/>
      <w:i/>
      <w:iCs/>
      <w:noProof/>
      <w:sz w:val="24"/>
      <w:szCs w:val="24"/>
    </w:rPr>
  </w:style>
  <w:style w:type="paragraph" w:styleId="TOC2">
    <w:name w:val="toc 2"/>
    <w:basedOn w:val="Normal"/>
    <w:next w:val="Normal"/>
    <w:autoRedefine/>
    <w:uiPriority w:val="39"/>
    <w:unhideWhenUsed/>
    <w:rsid w:val="002752D8"/>
    <w:pPr>
      <w:spacing w:before="120"/>
      <w:ind w:left="220"/>
    </w:pPr>
    <w:rPr>
      <w:rFonts w:asciiTheme="minorHAnsi" w:hAnsiTheme="minorHAnsi"/>
      <w:b/>
      <w:bCs/>
    </w:rPr>
  </w:style>
  <w:style w:type="paragraph" w:styleId="TOC3">
    <w:name w:val="toc 3"/>
    <w:basedOn w:val="Normal"/>
    <w:next w:val="Normal"/>
    <w:autoRedefine/>
    <w:uiPriority w:val="39"/>
    <w:unhideWhenUsed/>
    <w:rsid w:val="002752D8"/>
    <w:pPr>
      <w:ind w:left="440"/>
    </w:pPr>
    <w:rPr>
      <w:rFonts w:asciiTheme="minorHAnsi" w:hAnsiTheme="minorHAnsi"/>
      <w:sz w:val="20"/>
      <w:szCs w:val="20"/>
    </w:rPr>
  </w:style>
  <w:style w:type="paragraph" w:styleId="TOC4">
    <w:name w:val="toc 4"/>
    <w:basedOn w:val="Normal"/>
    <w:next w:val="Normal"/>
    <w:autoRedefine/>
    <w:uiPriority w:val="39"/>
    <w:semiHidden/>
    <w:unhideWhenUsed/>
    <w:rsid w:val="002752D8"/>
    <w:pPr>
      <w:ind w:left="660"/>
    </w:pPr>
    <w:rPr>
      <w:rFonts w:asciiTheme="minorHAnsi" w:hAnsiTheme="minorHAnsi"/>
      <w:sz w:val="20"/>
      <w:szCs w:val="20"/>
    </w:rPr>
  </w:style>
  <w:style w:type="paragraph" w:styleId="TOC5">
    <w:name w:val="toc 5"/>
    <w:basedOn w:val="Normal"/>
    <w:next w:val="Normal"/>
    <w:autoRedefine/>
    <w:uiPriority w:val="39"/>
    <w:semiHidden/>
    <w:unhideWhenUsed/>
    <w:rsid w:val="002752D8"/>
    <w:pPr>
      <w:ind w:left="880"/>
    </w:pPr>
    <w:rPr>
      <w:rFonts w:asciiTheme="minorHAnsi" w:hAnsiTheme="minorHAnsi"/>
      <w:sz w:val="20"/>
      <w:szCs w:val="20"/>
    </w:rPr>
  </w:style>
  <w:style w:type="paragraph" w:styleId="TOC6">
    <w:name w:val="toc 6"/>
    <w:basedOn w:val="Normal"/>
    <w:next w:val="Normal"/>
    <w:autoRedefine/>
    <w:uiPriority w:val="39"/>
    <w:semiHidden/>
    <w:unhideWhenUsed/>
    <w:rsid w:val="002752D8"/>
    <w:pPr>
      <w:ind w:left="1100"/>
    </w:pPr>
    <w:rPr>
      <w:rFonts w:asciiTheme="minorHAnsi" w:hAnsiTheme="minorHAnsi"/>
      <w:sz w:val="20"/>
      <w:szCs w:val="20"/>
    </w:rPr>
  </w:style>
  <w:style w:type="paragraph" w:styleId="TOC7">
    <w:name w:val="toc 7"/>
    <w:basedOn w:val="Normal"/>
    <w:next w:val="Normal"/>
    <w:autoRedefine/>
    <w:uiPriority w:val="39"/>
    <w:semiHidden/>
    <w:unhideWhenUsed/>
    <w:rsid w:val="002752D8"/>
    <w:pPr>
      <w:ind w:left="1320"/>
    </w:pPr>
    <w:rPr>
      <w:rFonts w:asciiTheme="minorHAnsi" w:hAnsiTheme="minorHAnsi"/>
      <w:sz w:val="20"/>
      <w:szCs w:val="20"/>
    </w:rPr>
  </w:style>
  <w:style w:type="paragraph" w:styleId="TOC8">
    <w:name w:val="toc 8"/>
    <w:basedOn w:val="Normal"/>
    <w:next w:val="Normal"/>
    <w:autoRedefine/>
    <w:uiPriority w:val="39"/>
    <w:semiHidden/>
    <w:unhideWhenUsed/>
    <w:rsid w:val="002752D8"/>
    <w:pPr>
      <w:ind w:left="1540"/>
    </w:pPr>
    <w:rPr>
      <w:rFonts w:asciiTheme="minorHAnsi" w:hAnsiTheme="minorHAnsi"/>
      <w:sz w:val="20"/>
      <w:szCs w:val="20"/>
    </w:rPr>
  </w:style>
  <w:style w:type="paragraph" w:styleId="TOC9">
    <w:name w:val="toc 9"/>
    <w:basedOn w:val="Normal"/>
    <w:next w:val="Normal"/>
    <w:autoRedefine/>
    <w:uiPriority w:val="39"/>
    <w:semiHidden/>
    <w:unhideWhenUsed/>
    <w:rsid w:val="002752D8"/>
    <w:pPr>
      <w:ind w:left="1760"/>
    </w:pPr>
    <w:rPr>
      <w:rFonts w:asciiTheme="minorHAnsi" w:hAnsiTheme="minorHAnsi"/>
      <w:sz w:val="20"/>
      <w:szCs w:val="20"/>
    </w:rPr>
  </w:style>
  <w:style w:type="paragraph" w:styleId="TableofFigures">
    <w:name w:val="table of figures"/>
    <w:basedOn w:val="Normal"/>
    <w:next w:val="Normal"/>
    <w:uiPriority w:val="99"/>
    <w:unhideWhenUsed/>
    <w:rsid w:val="00ED4EE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footer" Target="footer1.xml"/><Relationship Id="rId18" Type="http://schemas.openxmlformats.org/officeDocument/2006/relationships/hyperlink" Target="https://www.carersuk.org/reports-and-policy-research/state-of-caring/" TargetMode="External"/><Relationship Id="rId3" Type="http://schemas.openxmlformats.org/officeDocument/2006/relationships/styles" Target="styles.xml"/><Relationship Id="rId21" Type="http://schemas.openxmlformats.org/officeDocument/2006/relationships/hyperlink" Target="https://www.nihr.ac.uk/story/empowering-13-million-uk-citizens-rheumatoid-arthritis" TargetMode="External"/><Relationship Id="rId7" Type="http://schemas.openxmlformats.org/officeDocument/2006/relationships/endnotes" Target="endnotes.xml"/><Relationship Id="rId12" Type="http://schemas.openxmlformats.org/officeDocument/2006/relationships/header" Target="header1.xml"/><Relationship Id="rId17" Type="http://schemas.openxmlformats.org/officeDocument/2006/relationships/hyperlink" Target="https://www.arthritis-uk.org/news/2025/july/our-response-to-the-10-year-health-plan-for-england/" TargetMode="External"/><Relationship Id="rId25"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https://doi.org/10.1016/j.lanepe.2022.100556" TargetMode="External"/><Relationship Id="rId20" Type="http://schemas.openxmlformats.org/officeDocument/2006/relationships/hyperlink" Target="https://www.nice.org.uk/guidance/ng100"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image" Target="media/image5.png"/><Relationship Id="rId23" Type="http://schemas.openxmlformats.org/officeDocument/2006/relationships/hyperlink" Target="https://www.arthritis-uk.org/news/2025/july/the-nhs-ten-year-health-plan-for-england/" TargetMode="External"/><Relationship Id="rId10" Type="http://schemas.openxmlformats.org/officeDocument/2006/relationships/image" Target="media/image3.png"/><Relationship Id="rId19" Type="http://schemas.openxmlformats.org/officeDocument/2006/relationships/hyperlink" Target="https://www.cprd.com/approved-studies/epidemiology-rheumatoid-arthritis-uk"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4.jpg"/><Relationship Id="rId22" Type="http://schemas.openxmlformats.org/officeDocument/2006/relationships/hyperlink" Target="https://doi.org/10.1136/ard-2026-00075-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85C77869-A6F5-3D40-A955-430AFA7DFF9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8</TotalTime>
  <Pages>13</Pages>
  <Words>4856</Words>
  <Characters>27682</Characters>
  <Application>Microsoft Office Word</Application>
  <DocSecurity>0</DocSecurity>
  <Lines>230</Lines>
  <Paragraphs>64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32474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Un-named</dc:creator>
  <cp:lastModifiedBy>Harsh Shetty</cp:lastModifiedBy>
  <cp:revision>3</cp:revision>
  <dcterms:created xsi:type="dcterms:W3CDTF">2026-07-16T23:36:00Z</dcterms:created>
  <dcterms:modified xsi:type="dcterms:W3CDTF">2026-07-16T23:43:00Z</dcterms:modified>
</cp:coreProperties>
</file>