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9F15D" w14:textId="77777777" w:rsidR="00F33F08" w:rsidRPr="00390054" w:rsidRDefault="00F33F08" w:rsidP="00390054">
      <w:pPr>
        <w:spacing w:after="120" w:line="360" w:lineRule="auto"/>
        <w:jc w:val="both"/>
        <w:rPr>
          <w:rFonts w:ascii="Times New Roman" w:hAnsi="Times New Roman" w:cs="Times New Roman"/>
        </w:rPr>
      </w:pPr>
    </w:p>
    <w:p w14:paraId="79483D9E" w14:textId="77777777" w:rsidR="007A1DB3" w:rsidRDefault="007A1DB3" w:rsidP="007A1DB3">
      <w:pPr>
        <w:jc w:val="center"/>
        <w:rPr>
          <w:b/>
          <w:bCs/>
        </w:rPr>
      </w:pPr>
      <w:r>
        <w:rPr>
          <w:rFonts w:eastAsia="Aptos"/>
          <w:noProof/>
          <w:sz w:val="22"/>
        </w:rPr>
        <w:drawing>
          <wp:inline distT="0" distB="0" distL="0" distR="0" wp14:anchorId="027E8B90" wp14:editId="4BBCB9C0">
            <wp:extent cx="2485390" cy="935355"/>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537772" cy="954997"/>
                    </a:xfrm>
                    <a:prstGeom prst="rect">
                      <a:avLst/>
                    </a:prstGeom>
                    <a:noFill/>
                    <a:ln>
                      <a:noFill/>
                    </a:ln>
                  </pic:spPr>
                </pic:pic>
              </a:graphicData>
            </a:graphic>
          </wp:inline>
        </w:drawing>
      </w:r>
    </w:p>
    <w:p w14:paraId="6370D45A" w14:textId="77777777" w:rsidR="007A1DB3" w:rsidRDefault="007A1DB3" w:rsidP="007A1DB3">
      <w:pPr>
        <w:rPr>
          <w:b/>
          <w:bCs/>
        </w:rPr>
      </w:pPr>
    </w:p>
    <w:p w14:paraId="7A8F6792" w14:textId="77777777" w:rsidR="007A1DB3" w:rsidRDefault="007A1DB3" w:rsidP="007A1DB3">
      <w:pPr>
        <w:rPr>
          <w:b/>
          <w:bCs/>
        </w:rPr>
      </w:pPr>
    </w:p>
    <w:p w14:paraId="6A8534F0" w14:textId="77777777" w:rsidR="007A1DB3" w:rsidRDefault="007A1DB3" w:rsidP="007A1DB3">
      <w:pPr>
        <w:rPr>
          <w:b/>
          <w:bCs/>
        </w:rPr>
      </w:pPr>
    </w:p>
    <w:p w14:paraId="134CC06B" w14:textId="77777777" w:rsidR="007A1DB3" w:rsidRPr="007A1DB3" w:rsidRDefault="007A1DB3" w:rsidP="007A1DB3">
      <w:pPr>
        <w:spacing w:before="120" w:after="120"/>
        <w:jc w:val="center"/>
        <w:rPr>
          <w:rFonts w:cs="Times New Roman"/>
          <w:b/>
          <w:color w:val="000000" w:themeColor="text1"/>
          <w:sz w:val="44"/>
          <w:szCs w:val="44"/>
        </w:rPr>
      </w:pPr>
      <w:r w:rsidRPr="007A1DB3">
        <w:rPr>
          <w:rFonts w:cs="Times New Roman"/>
          <w:b/>
          <w:color w:val="000000" w:themeColor="text1"/>
          <w:sz w:val="44"/>
          <w:szCs w:val="44"/>
        </w:rPr>
        <w:t>Research Proposal Report</w:t>
      </w:r>
    </w:p>
    <w:p w14:paraId="09CAD68B" w14:textId="77777777" w:rsidR="007A1DB3" w:rsidRPr="007A1DB3" w:rsidRDefault="007A1DB3" w:rsidP="007A1DB3">
      <w:pPr>
        <w:spacing w:after="120" w:line="360" w:lineRule="auto"/>
        <w:jc w:val="center"/>
        <w:rPr>
          <w:rFonts w:ascii="Times New Roman" w:hAnsi="Times New Roman" w:cs="Times New Roman"/>
          <w:color w:val="000000" w:themeColor="text1"/>
        </w:rPr>
      </w:pPr>
      <w:r w:rsidRPr="007A1DB3">
        <w:rPr>
          <w:rFonts w:ascii="Times New Roman" w:hAnsi="Times New Roman" w:cs="Times New Roman"/>
          <w:color w:val="000000" w:themeColor="text1"/>
          <w:sz w:val="22"/>
          <w:szCs w:val="22"/>
        </w:rPr>
        <w:t>Module: BMMB7028 Business Research</w:t>
      </w:r>
    </w:p>
    <w:p w14:paraId="6A4F749B" w14:textId="77777777" w:rsidR="007A1DB3" w:rsidRPr="007A1DB3" w:rsidRDefault="007A1DB3" w:rsidP="00912C5F">
      <w:pPr>
        <w:spacing w:after="120" w:line="360" w:lineRule="auto"/>
        <w:jc w:val="center"/>
        <w:rPr>
          <w:rFonts w:ascii="Times New Roman" w:hAnsi="Times New Roman" w:cs="Times New Roman"/>
          <w:color w:val="000000" w:themeColor="text1"/>
        </w:rPr>
      </w:pPr>
    </w:p>
    <w:p w14:paraId="1EFE995B" w14:textId="77777777" w:rsidR="00F33F08" w:rsidRPr="007A1DB3" w:rsidRDefault="00000000" w:rsidP="00912C5F">
      <w:pPr>
        <w:spacing w:after="120" w:line="360" w:lineRule="auto"/>
        <w:jc w:val="center"/>
        <w:rPr>
          <w:rFonts w:ascii="Times New Roman" w:hAnsi="Times New Roman" w:cs="Times New Roman"/>
          <w:color w:val="000000" w:themeColor="text1"/>
        </w:rPr>
      </w:pPr>
      <w:r w:rsidRPr="007A1DB3">
        <w:rPr>
          <w:rFonts w:ascii="Times New Roman" w:hAnsi="Times New Roman" w:cs="Times New Roman"/>
          <w:b/>
          <w:bCs/>
          <w:color w:val="000000" w:themeColor="text1"/>
          <w:sz w:val="28"/>
          <w:szCs w:val="28"/>
        </w:rPr>
        <w:t>Exploring the Impact of Remote Working Arrangements on Employee Wellbeing and Organisational Belonging:</w:t>
      </w:r>
    </w:p>
    <w:p w14:paraId="284DF2A7" w14:textId="77777777" w:rsidR="00F33F08" w:rsidRDefault="00000000" w:rsidP="00912C5F">
      <w:pPr>
        <w:spacing w:after="120" w:line="360" w:lineRule="auto"/>
        <w:jc w:val="center"/>
        <w:rPr>
          <w:rFonts w:ascii="Times New Roman" w:hAnsi="Times New Roman" w:cs="Times New Roman"/>
          <w:b/>
          <w:bCs/>
          <w:color w:val="000000" w:themeColor="text1"/>
          <w:sz w:val="28"/>
          <w:szCs w:val="28"/>
        </w:rPr>
      </w:pPr>
      <w:r w:rsidRPr="007A1DB3">
        <w:rPr>
          <w:rFonts w:ascii="Times New Roman" w:hAnsi="Times New Roman" w:cs="Times New Roman"/>
          <w:b/>
          <w:bCs/>
          <w:color w:val="000000" w:themeColor="text1"/>
          <w:sz w:val="28"/>
          <w:szCs w:val="28"/>
        </w:rPr>
        <w:t>A Qualitative Investigation of Technology Sector Professionals in the UK</w:t>
      </w:r>
    </w:p>
    <w:p w14:paraId="25D8B92E" w14:textId="77777777" w:rsidR="007A1DB3" w:rsidRDefault="007A1DB3" w:rsidP="00912C5F">
      <w:pPr>
        <w:spacing w:after="120" w:line="360" w:lineRule="auto"/>
        <w:jc w:val="center"/>
        <w:rPr>
          <w:rFonts w:ascii="Times New Roman" w:hAnsi="Times New Roman" w:cs="Times New Roman"/>
          <w:b/>
          <w:bCs/>
          <w:color w:val="000000" w:themeColor="text1"/>
          <w:sz w:val="28"/>
          <w:szCs w:val="28"/>
        </w:rPr>
      </w:pPr>
    </w:p>
    <w:p w14:paraId="7B3CE403" w14:textId="1E9728F9" w:rsidR="007A1DB3" w:rsidRPr="007A1DB3" w:rsidRDefault="007A1DB3" w:rsidP="007A1DB3">
      <w:pPr>
        <w:pStyle w:val="ListParagraph"/>
        <w:numPr>
          <w:ilvl w:val="0"/>
          <w:numId w:val="12"/>
        </w:numPr>
        <w:spacing w:line="480" w:lineRule="auto"/>
        <w:contextualSpacing/>
        <w:rPr>
          <w:rFonts w:ascii="Times New Roman" w:hAnsi="Times New Roman" w:cs="Times New Roman"/>
          <w:b/>
          <w:bCs/>
          <w:color w:val="000000" w:themeColor="text1"/>
          <w:sz w:val="28"/>
          <w:szCs w:val="28"/>
        </w:rPr>
      </w:pPr>
      <w:r w:rsidRPr="007A1DB3">
        <w:rPr>
          <w:rFonts w:ascii="Times New Roman" w:hAnsi="Times New Roman" w:cs="Times New Roman"/>
          <w:b/>
          <w:bCs/>
          <w:color w:val="000000" w:themeColor="text1"/>
          <w:sz w:val="28"/>
          <w:szCs w:val="28"/>
        </w:rPr>
        <w:t xml:space="preserve">Student Name: </w:t>
      </w:r>
      <w:r w:rsidR="00BE1F51" w:rsidRPr="00BE1F51">
        <w:rPr>
          <w:rFonts w:ascii="Times New Roman" w:hAnsi="Times New Roman" w:cs="Times New Roman"/>
          <w:b/>
          <w:bCs/>
          <w:color w:val="000000" w:themeColor="text1"/>
          <w:sz w:val="28"/>
          <w:szCs w:val="28"/>
        </w:rPr>
        <w:t>Md Mujibur Rahman</w:t>
      </w:r>
    </w:p>
    <w:p w14:paraId="208E470B" w14:textId="07635CA8" w:rsidR="007A1DB3" w:rsidRPr="007A1DB3" w:rsidRDefault="007A1DB3" w:rsidP="007A1DB3">
      <w:pPr>
        <w:pStyle w:val="ListParagraph"/>
        <w:numPr>
          <w:ilvl w:val="0"/>
          <w:numId w:val="12"/>
        </w:numPr>
        <w:spacing w:line="480" w:lineRule="auto"/>
        <w:contextualSpacing/>
        <w:rPr>
          <w:rFonts w:ascii="Times New Roman" w:hAnsi="Times New Roman" w:cs="Times New Roman"/>
          <w:b/>
          <w:bCs/>
          <w:color w:val="000000" w:themeColor="text1"/>
          <w:sz w:val="28"/>
          <w:szCs w:val="28"/>
        </w:rPr>
      </w:pPr>
      <w:r w:rsidRPr="007A1DB3">
        <w:rPr>
          <w:rFonts w:ascii="Times New Roman" w:hAnsi="Times New Roman" w:cs="Times New Roman"/>
          <w:b/>
          <w:bCs/>
          <w:color w:val="000000" w:themeColor="text1"/>
          <w:sz w:val="28"/>
          <w:szCs w:val="28"/>
        </w:rPr>
        <w:t xml:space="preserve">Student Number: </w:t>
      </w:r>
      <w:r w:rsidR="00BE1F51">
        <w:rPr>
          <w:rFonts w:ascii="Times New Roman" w:hAnsi="Times New Roman" w:cs="Times New Roman"/>
          <w:b/>
          <w:bCs/>
          <w:color w:val="000000" w:themeColor="text1"/>
          <w:sz w:val="28"/>
          <w:szCs w:val="28"/>
        </w:rPr>
        <w:t xml:space="preserve"> </w:t>
      </w:r>
      <w:r w:rsidR="00BE1F51" w:rsidRPr="00BE1F51">
        <w:rPr>
          <w:rFonts w:ascii="Times New Roman" w:hAnsi="Times New Roman" w:cs="Times New Roman"/>
          <w:b/>
          <w:bCs/>
          <w:color w:val="000000" w:themeColor="text1"/>
          <w:sz w:val="28"/>
          <w:szCs w:val="28"/>
        </w:rPr>
        <w:t>2504300</w:t>
      </w:r>
    </w:p>
    <w:p w14:paraId="431AEE83" w14:textId="77777777" w:rsidR="007A1DB3" w:rsidRPr="007A1DB3" w:rsidRDefault="007A1DB3" w:rsidP="00BE1F51">
      <w:pPr>
        <w:spacing w:after="120" w:line="360" w:lineRule="auto"/>
        <w:rPr>
          <w:rFonts w:ascii="Times New Roman" w:hAnsi="Times New Roman" w:cs="Times New Roman"/>
          <w:color w:val="000000" w:themeColor="text1"/>
        </w:rPr>
      </w:pPr>
    </w:p>
    <w:p w14:paraId="248872F3" w14:textId="0B34A924"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rPr>
        <w:br w:type="page"/>
      </w:r>
    </w:p>
    <w:sdt>
      <w:sdtPr>
        <w:rPr>
          <w:rFonts w:ascii="Times New Roman" w:eastAsia="Arial" w:hAnsi="Times New Roman" w:cs="Times New Roman"/>
          <w:i w:val="0"/>
          <w:iCs w:val="0"/>
          <w:color w:val="auto"/>
          <w:sz w:val="24"/>
          <w:szCs w:val="24"/>
        </w:rPr>
        <w:id w:val="1832632822"/>
        <w:docPartObj>
          <w:docPartGallery w:val="Table of Contents"/>
          <w:docPartUnique/>
        </w:docPartObj>
      </w:sdtPr>
      <w:sdtEndPr>
        <w:rPr>
          <w:b/>
          <w:bCs/>
          <w:noProof/>
        </w:rPr>
      </w:sdtEndPr>
      <w:sdtContent>
        <w:p w14:paraId="651E2DB8" w14:textId="6E0E7C4E" w:rsidR="00C917EC" w:rsidRPr="00024500" w:rsidRDefault="00C917EC" w:rsidP="00024500">
          <w:pPr>
            <w:pStyle w:val="TOCHeading"/>
            <w:spacing w:line="360" w:lineRule="auto"/>
            <w:rPr>
              <w:rFonts w:ascii="Times New Roman" w:hAnsi="Times New Roman" w:cs="Times New Roman"/>
              <w:sz w:val="24"/>
              <w:szCs w:val="24"/>
            </w:rPr>
          </w:pPr>
          <w:r w:rsidRPr="00024500">
            <w:rPr>
              <w:rFonts w:ascii="Times New Roman" w:hAnsi="Times New Roman" w:cs="Times New Roman"/>
              <w:sz w:val="24"/>
              <w:szCs w:val="24"/>
            </w:rPr>
            <w:t>Table of Contents</w:t>
          </w:r>
        </w:p>
        <w:p w14:paraId="6AB55E68" w14:textId="5337670D" w:rsidR="00024500" w:rsidRPr="00024500" w:rsidRDefault="00C917EC"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r w:rsidRPr="00024500">
            <w:rPr>
              <w:rFonts w:ascii="Times New Roman" w:hAnsi="Times New Roman" w:cs="Times New Roman"/>
            </w:rPr>
            <w:fldChar w:fldCharType="begin"/>
          </w:r>
          <w:r w:rsidRPr="00024500">
            <w:rPr>
              <w:rFonts w:ascii="Times New Roman" w:hAnsi="Times New Roman" w:cs="Times New Roman"/>
            </w:rPr>
            <w:instrText xml:space="preserve"> TOC \o "1-3" \h \z \u </w:instrText>
          </w:r>
          <w:r w:rsidRPr="00024500">
            <w:rPr>
              <w:rFonts w:ascii="Times New Roman" w:hAnsi="Times New Roman" w:cs="Times New Roman"/>
            </w:rPr>
            <w:fldChar w:fldCharType="separate"/>
          </w:r>
          <w:hyperlink w:anchor="_Toc225770379" w:history="1">
            <w:r w:rsidR="00024500" w:rsidRPr="00024500">
              <w:rPr>
                <w:rStyle w:val="Hyperlink"/>
                <w:rFonts w:ascii="Times New Roman" w:hAnsi="Times New Roman" w:cs="Times New Roman"/>
                <w:noProof/>
              </w:rPr>
              <w:t>1. Introduction and Research Rationale</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_Toc225770379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4</w:t>
            </w:r>
            <w:r w:rsidR="00024500" w:rsidRPr="00024500">
              <w:rPr>
                <w:rFonts w:ascii="Times New Roman" w:hAnsi="Times New Roman" w:cs="Times New Roman"/>
                <w:noProof/>
                <w:webHidden/>
              </w:rPr>
              <w:fldChar w:fldCharType="end"/>
            </w:r>
          </w:hyperlink>
        </w:p>
        <w:p w14:paraId="4AF3B863" w14:textId="7F12336B"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380" w:history="1">
            <w:r w:rsidR="00024500" w:rsidRPr="00024500">
              <w:rPr>
                <w:rStyle w:val="Hyperlink"/>
                <w:rFonts w:ascii="Times New Roman" w:hAnsi="Times New Roman" w:cs="Times New Roman"/>
                <w:noProof/>
              </w:rPr>
              <w:t>2. Research Aims, Objectives, and Research Questions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_Toc225770380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5</w:t>
            </w:r>
            <w:r w:rsidR="00024500" w:rsidRPr="00024500">
              <w:rPr>
                <w:rFonts w:ascii="Times New Roman" w:hAnsi="Times New Roman" w:cs="Times New Roman"/>
                <w:noProof/>
                <w:webHidden/>
              </w:rPr>
              <w:fldChar w:fldCharType="end"/>
            </w:r>
          </w:hyperlink>
        </w:p>
        <w:p w14:paraId="02F58A6E" w14:textId="005D442E"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81"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2.1 Research Aim</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_Toc225770381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5</w:t>
            </w:r>
            <w:r w:rsidR="00024500" w:rsidRPr="00024500">
              <w:rPr>
                <w:rFonts w:ascii="Times New Roman" w:hAnsi="Times New Roman" w:cs="Times New Roman"/>
                <w:noProof/>
                <w:webHidden/>
              </w:rPr>
              <w:fldChar w:fldCharType="end"/>
            </w:r>
          </w:hyperlink>
        </w:p>
        <w:p w14:paraId="20CC56FC" w14:textId="62C552B5"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82"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2.2 Research Objectives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_Toc225770382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5</w:t>
            </w:r>
            <w:r w:rsidR="00024500" w:rsidRPr="00024500">
              <w:rPr>
                <w:rFonts w:ascii="Times New Roman" w:hAnsi="Times New Roman" w:cs="Times New Roman"/>
                <w:noProof/>
                <w:webHidden/>
              </w:rPr>
              <w:fldChar w:fldCharType="end"/>
            </w:r>
          </w:hyperlink>
        </w:p>
        <w:p w14:paraId="5A31BDCA" w14:textId="08198A59"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83"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2.3 Research Questions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_Toc225770383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5</w:t>
            </w:r>
            <w:r w:rsidR="00024500" w:rsidRPr="00024500">
              <w:rPr>
                <w:rFonts w:ascii="Times New Roman" w:hAnsi="Times New Roman" w:cs="Times New Roman"/>
                <w:noProof/>
                <w:webHidden/>
              </w:rPr>
              <w:fldChar w:fldCharType="end"/>
            </w:r>
          </w:hyperlink>
        </w:p>
        <w:p w14:paraId="414AE0B9" w14:textId="2461AF08"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384" w:history="1">
            <w:r w:rsidR="00024500" w:rsidRPr="00024500">
              <w:rPr>
                <w:rStyle w:val="Hyperlink"/>
                <w:rFonts w:ascii="Times New Roman" w:hAnsi="Times New Roman" w:cs="Times New Roman"/>
                <w:noProof/>
              </w:rPr>
              <w:t>3. Literature Review</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_Toc225770384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6</w:t>
            </w:r>
            <w:r w:rsidR="00024500" w:rsidRPr="00024500">
              <w:rPr>
                <w:rFonts w:ascii="Times New Roman" w:hAnsi="Times New Roman" w:cs="Times New Roman"/>
                <w:noProof/>
                <w:webHidden/>
              </w:rPr>
              <w:fldChar w:fldCharType="end"/>
            </w:r>
          </w:hyperlink>
        </w:p>
        <w:p w14:paraId="709BFA16" w14:textId="3562A34F"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85"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3.1 Remote Working in the UK Technology Sector</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_Toc225770385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6</w:t>
            </w:r>
            <w:r w:rsidR="00024500" w:rsidRPr="00024500">
              <w:rPr>
                <w:rFonts w:ascii="Times New Roman" w:hAnsi="Times New Roman" w:cs="Times New Roman"/>
                <w:noProof/>
                <w:webHidden/>
              </w:rPr>
              <w:fldChar w:fldCharType="end"/>
            </w:r>
          </w:hyperlink>
        </w:p>
        <w:p w14:paraId="2AD618E0" w14:textId="263EDFD7"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86"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3.2 Employee Wellbeing and Remote Work</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_Toc225770386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6</w:t>
            </w:r>
            <w:r w:rsidR="00024500" w:rsidRPr="00024500">
              <w:rPr>
                <w:rFonts w:ascii="Times New Roman" w:hAnsi="Times New Roman" w:cs="Times New Roman"/>
                <w:noProof/>
                <w:webHidden/>
              </w:rPr>
              <w:fldChar w:fldCharType="end"/>
            </w:r>
          </w:hyperlink>
        </w:p>
        <w:p w14:paraId="72851F04" w14:textId="26E74D6A"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87"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3.3 Organisational Belonging, Social Identity, and Remote Work</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_Toc225770387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7</w:t>
            </w:r>
            <w:r w:rsidR="00024500" w:rsidRPr="00024500">
              <w:rPr>
                <w:rFonts w:ascii="Times New Roman" w:hAnsi="Times New Roman" w:cs="Times New Roman"/>
                <w:noProof/>
                <w:webHidden/>
              </w:rPr>
              <w:fldChar w:fldCharType="end"/>
            </w:r>
          </w:hyperlink>
        </w:p>
        <w:p w14:paraId="7803CDE4" w14:textId="36F33EF3"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88"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3.4 Theoretical Frameworks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_Toc225770388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8</w:t>
            </w:r>
            <w:r w:rsidR="00024500" w:rsidRPr="00024500">
              <w:rPr>
                <w:rFonts w:ascii="Times New Roman" w:hAnsi="Times New Roman" w:cs="Times New Roman"/>
                <w:noProof/>
                <w:webHidden/>
              </w:rPr>
              <w:fldChar w:fldCharType="end"/>
            </w:r>
          </w:hyperlink>
        </w:p>
        <w:p w14:paraId="44FEA455" w14:textId="25898B7A"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89"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3.5 Research Gap</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_Toc225770389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10</w:t>
            </w:r>
            <w:r w:rsidR="00024500" w:rsidRPr="00024500">
              <w:rPr>
                <w:rFonts w:ascii="Times New Roman" w:hAnsi="Times New Roman" w:cs="Times New Roman"/>
                <w:noProof/>
                <w:webHidden/>
              </w:rPr>
              <w:fldChar w:fldCharType="end"/>
            </w:r>
          </w:hyperlink>
        </w:p>
        <w:p w14:paraId="77F31822" w14:textId="0B71185F"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390" w:history="1">
            <w:r w:rsidR="00024500" w:rsidRPr="00024500">
              <w:rPr>
                <w:rStyle w:val="Hyperlink"/>
                <w:rFonts w:ascii="Times New Roman" w:hAnsi="Times New Roman" w:cs="Times New Roman"/>
                <w:noProof/>
              </w:rPr>
              <w:t>4. Research Philosophy and Methodology</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_Toc225770390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11</w:t>
            </w:r>
            <w:r w:rsidR="00024500" w:rsidRPr="00024500">
              <w:rPr>
                <w:rFonts w:ascii="Times New Roman" w:hAnsi="Times New Roman" w:cs="Times New Roman"/>
                <w:noProof/>
                <w:webHidden/>
              </w:rPr>
              <w:fldChar w:fldCharType="end"/>
            </w:r>
          </w:hyperlink>
        </w:p>
        <w:p w14:paraId="43F1C697" w14:textId="2F2C4F3B"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91"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4.1 Research Philosophy: Interpretivism</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_Toc225770391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11</w:t>
            </w:r>
            <w:r w:rsidR="00024500" w:rsidRPr="00024500">
              <w:rPr>
                <w:rFonts w:ascii="Times New Roman" w:hAnsi="Times New Roman" w:cs="Times New Roman"/>
                <w:noProof/>
                <w:webHidden/>
              </w:rPr>
              <w:fldChar w:fldCharType="end"/>
            </w:r>
          </w:hyperlink>
        </w:p>
        <w:p w14:paraId="2D5C5A9C" w14:textId="77DBEA9F"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92"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4.2 Research Approach: Inductive Reasoning</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_Toc225770392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12</w:t>
            </w:r>
            <w:r w:rsidR="00024500" w:rsidRPr="00024500">
              <w:rPr>
                <w:rFonts w:ascii="Times New Roman" w:hAnsi="Times New Roman" w:cs="Times New Roman"/>
                <w:noProof/>
                <w:webHidden/>
              </w:rPr>
              <w:fldChar w:fldCharType="end"/>
            </w:r>
          </w:hyperlink>
        </w:p>
        <w:p w14:paraId="4B0CDEA6" w14:textId="7BCF63CB"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93"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4.3 Research Strategy: Qualitative Design</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_Toc225770393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12</w:t>
            </w:r>
            <w:r w:rsidR="00024500" w:rsidRPr="00024500">
              <w:rPr>
                <w:rFonts w:ascii="Times New Roman" w:hAnsi="Times New Roman" w:cs="Times New Roman"/>
                <w:noProof/>
                <w:webHidden/>
              </w:rPr>
              <w:fldChar w:fldCharType="end"/>
            </w:r>
          </w:hyperlink>
        </w:p>
        <w:p w14:paraId="47C66730" w14:textId="58D9451D"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394" w:history="1">
            <w:r w:rsidR="00024500" w:rsidRPr="00024500">
              <w:rPr>
                <w:rStyle w:val="Hyperlink"/>
                <w:rFonts w:ascii="Times New Roman" w:hAnsi="Times New Roman" w:cs="Times New Roman"/>
                <w:noProof/>
              </w:rPr>
              <w:t>5. Data Collection: Semi-Structured Interviews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_Toc225770394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13</w:t>
            </w:r>
            <w:r w:rsidR="00024500" w:rsidRPr="00024500">
              <w:rPr>
                <w:rFonts w:ascii="Times New Roman" w:hAnsi="Times New Roman" w:cs="Times New Roman"/>
                <w:noProof/>
                <w:webHidden/>
              </w:rPr>
              <w:fldChar w:fldCharType="end"/>
            </w:r>
          </w:hyperlink>
        </w:p>
        <w:p w14:paraId="217170F5" w14:textId="22206809"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95"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5.1 Sampling Strategy</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_Toc225770395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13</w:t>
            </w:r>
            <w:r w:rsidR="00024500" w:rsidRPr="00024500">
              <w:rPr>
                <w:rFonts w:ascii="Times New Roman" w:hAnsi="Times New Roman" w:cs="Times New Roman"/>
                <w:noProof/>
                <w:webHidden/>
              </w:rPr>
              <w:fldChar w:fldCharType="end"/>
            </w:r>
          </w:hyperlink>
        </w:p>
        <w:p w14:paraId="18073CA6" w14:textId="573ED4E6"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396"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5.2 Interview Design</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_Toc225770396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13</w:t>
            </w:r>
            <w:r w:rsidR="00024500" w:rsidRPr="00024500">
              <w:rPr>
                <w:rFonts w:ascii="Times New Roman" w:hAnsi="Times New Roman" w:cs="Times New Roman"/>
                <w:noProof/>
                <w:webHidden/>
              </w:rPr>
              <w:fldChar w:fldCharType="end"/>
            </w:r>
          </w:hyperlink>
        </w:p>
        <w:p w14:paraId="68AE7761" w14:textId="70350B4F"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397" w:history="1">
            <w:r w:rsidR="00024500" w:rsidRPr="00024500">
              <w:rPr>
                <w:rStyle w:val="Hyperlink"/>
                <w:rFonts w:ascii="Times New Roman" w:hAnsi="Times New Roman" w:cs="Times New Roman"/>
                <w:noProof/>
              </w:rPr>
              <w:t>6. Data Analysis: Thematic Analysis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_Toc225770397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15</w:t>
            </w:r>
            <w:r w:rsidR="00024500" w:rsidRPr="00024500">
              <w:rPr>
                <w:rFonts w:ascii="Times New Roman" w:hAnsi="Times New Roman" w:cs="Times New Roman"/>
                <w:noProof/>
                <w:webHidden/>
              </w:rPr>
              <w:fldChar w:fldCharType="end"/>
            </w:r>
          </w:hyperlink>
        </w:p>
        <w:p w14:paraId="0826C498" w14:textId="49022DFF"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398" w:history="1">
            <w:r w:rsidR="00024500" w:rsidRPr="00024500">
              <w:rPr>
                <w:rStyle w:val="Hyperlink"/>
                <w:rFonts w:ascii="Times New Roman" w:hAnsi="Times New Roman" w:cs="Times New Roman"/>
                <w:noProof/>
              </w:rPr>
              <w:t>7. Ethical Considerations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_Toc225770398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16</w:t>
            </w:r>
            <w:r w:rsidR="00024500" w:rsidRPr="00024500">
              <w:rPr>
                <w:rFonts w:ascii="Times New Roman" w:hAnsi="Times New Roman" w:cs="Times New Roman"/>
                <w:noProof/>
                <w:webHidden/>
              </w:rPr>
              <w:fldChar w:fldCharType="end"/>
            </w:r>
          </w:hyperlink>
        </w:p>
        <w:p w14:paraId="5250B477" w14:textId="482D4CAE"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399" w:history="1">
            <w:r w:rsidR="00024500" w:rsidRPr="00024500">
              <w:rPr>
                <w:rStyle w:val="Hyperlink"/>
                <w:rFonts w:ascii="Times New Roman" w:hAnsi="Times New Roman" w:cs="Times New Roman"/>
                <w:noProof/>
              </w:rPr>
              <w:t>8. Research Limitations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_Toc225770399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17</w:t>
            </w:r>
            <w:r w:rsidR="00024500" w:rsidRPr="00024500">
              <w:rPr>
                <w:rFonts w:ascii="Times New Roman" w:hAnsi="Times New Roman" w:cs="Times New Roman"/>
                <w:noProof/>
                <w:webHidden/>
              </w:rPr>
              <w:fldChar w:fldCharType="end"/>
            </w:r>
          </w:hyperlink>
        </w:p>
        <w:p w14:paraId="7D280A60" w14:textId="6F7FD1A0"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400" w:history="1">
            <w:r w:rsidR="00024500" w:rsidRPr="00024500">
              <w:rPr>
                <w:rStyle w:val="Hyperlink"/>
                <w:rFonts w:ascii="Times New Roman" w:hAnsi="Times New Roman" w:cs="Times New Roman"/>
                <w:noProof/>
              </w:rPr>
              <w:t>9. Expected Outcomes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_Toc225770400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18</w:t>
            </w:r>
            <w:r w:rsidR="00024500" w:rsidRPr="00024500">
              <w:rPr>
                <w:rFonts w:ascii="Times New Roman" w:hAnsi="Times New Roman" w:cs="Times New Roman"/>
                <w:noProof/>
                <w:webHidden/>
              </w:rPr>
              <w:fldChar w:fldCharType="end"/>
            </w:r>
          </w:hyperlink>
        </w:p>
        <w:p w14:paraId="0422FA37" w14:textId="023DD236"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401" w:history="1">
            <w:r w:rsidR="00024500" w:rsidRPr="00024500">
              <w:rPr>
                <w:rStyle w:val="Hyperlink"/>
                <w:rFonts w:ascii="Times New Roman" w:hAnsi="Times New Roman" w:cs="Times New Roman"/>
                <w:noProof/>
              </w:rPr>
              <w:t>10. Research Timeline</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_Toc225770401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19</w:t>
            </w:r>
            <w:r w:rsidR="00024500" w:rsidRPr="00024500">
              <w:rPr>
                <w:rFonts w:ascii="Times New Roman" w:hAnsi="Times New Roman" w:cs="Times New Roman"/>
                <w:noProof/>
                <w:webHidden/>
              </w:rPr>
              <w:fldChar w:fldCharType="end"/>
            </w:r>
          </w:hyperlink>
        </w:p>
        <w:p w14:paraId="4CE5D4D7" w14:textId="214096D3"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402" w:history="1">
            <w:r w:rsidR="00024500" w:rsidRPr="00024500">
              <w:rPr>
                <w:rStyle w:val="Hyperlink"/>
                <w:rFonts w:ascii="Times New Roman" w:hAnsi="Times New Roman" w:cs="Times New Roman"/>
                <w:noProof/>
              </w:rPr>
              <w:t>11. Resources and Cost Considerations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_Toc225770402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20</w:t>
            </w:r>
            <w:r w:rsidR="00024500" w:rsidRPr="00024500">
              <w:rPr>
                <w:rFonts w:ascii="Times New Roman" w:hAnsi="Times New Roman" w:cs="Times New Roman"/>
                <w:noProof/>
                <w:webHidden/>
              </w:rPr>
              <w:fldChar w:fldCharType="end"/>
            </w:r>
          </w:hyperlink>
        </w:p>
        <w:p w14:paraId="2823132D" w14:textId="6F2478BD"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403" w:history="1">
            <w:r w:rsidR="00024500" w:rsidRPr="00024500">
              <w:rPr>
                <w:rStyle w:val="Hyperlink"/>
                <w:rFonts w:ascii="Times New Roman" w:hAnsi="Times New Roman" w:cs="Times New Roman"/>
                <w:noProof/>
              </w:rPr>
              <w:t>References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_Toc225770403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21</w:t>
            </w:r>
            <w:r w:rsidR="00024500" w:rsidRPr="00024500">
              <w:rPr>
                <w:rFonts w:ascii="Times New Roman" w:hAnsi="Times New Roman" w:cs="Times New Roman"/>
                <w:noProof/>
                <w:webHidden/>
              </w:rPr>
              <w:fldChar w:fldCharType="end"/>
            </w:r>
          </w:hyperlink>
        </w:p>
        <w:p w14:paraId="64A35B5E" w14:textId="5EE56F29" w:rsidR="00024500" w:rsidRPr="00024500" w:rsidRDefault="00000000" w:rsidP="00024500">
          <w:pPr>
            <w:pStyle w:val="TOC1"/>
            <w:tabs>
              <w:tab w:val="right" w:leader="dot" w:pos="9060"/>
            </w:tabs>
            <w:spacing w:line="360" w:lineRule="auto"/>
            <w:rPr>
              <w:rFonts w:ascii="Times New Roman" w:eastAsiaTheme="minorEastAsia" w:hAnsi="Times New Roman" w:cs="Times New Roman"/>
              <w:noProof/>
              <w:kern w:val="2"/>
              <w14:ligatures w14:val="standardContextual"/>
            </w:rPr>
          </w:pPr>
          <w:hyperlink w:anchor="_Toc225770404" w:history="1">
            <w:r w:rsidR="00024500" w:rsidRPr="00024500">
              <w:rPr>
                <w:rStyle w:val="Hyperlink"/>
                <w:rFonts w:ascii="Times New Roman" w:hAnsi="Times New Roman" w:cs="Times New Roman"/>
                <w:noProof/>
              </w:rPr>
              <w:t>Appendices</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_Toc225770404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28</w:t>
            </w:r>
            <w:r w:rsidR="00024500" w:rsidRPr="00024500">
              <w:rPr>
                <w:rFonts w:ascii="Times New Roman" w:hAnsi="Times New Roman" w:cs="Times New Roman"/>
                <w:noProof/>
                <w:webHidden/>
              </w:rPr>
              <w:fldChar w:fldCharType="end"/>
            </w:r>
          </w:hyperlink>
        </w:p>
        <w:p w14:paraId="69F523ED" w14:textId="26E7A38B" w:rsidR="00024500" w:rsidRPr="00024500" w:rsidRDefault="00000000" w:rsidP="00024500">
          <w:pPr>
            <w:pStyle w:val="TOC2"/>
            <w:tabs>
              <w:tab w:val="left" w:pos="720"/>
              <w:tab w:val="right" w:leader="dot" w:pos="9060"/>
            </w:tabs>
            <w:spacing w:line="360" w:lineRule="auto"/>
            <w:rPr>
              <w:rFonts w:ascii="Times New Roman" w:eastAsiaTheme="minorEastAsia" w:hAnsi="Times New Roman" w:cs="Times New Roman"/>
              <w:noProof/>
              <w:kern w:val="2"/>
              <w14:ligatures w14:val="standardContextual"/>
            </w:rPr>
          </w:pPr>
          <w:hyperlink w:anchor="_Toc225770405" w:history="1">
            <w:r w:rsidR="00024500" w:rsidRPr="00024500">
              <w:rPr>
                <w:rStyle w:val="Hyperlink"/>
                <w:rFonts w:ascii="Times New Roman" w:hAnsi="Times New Roman" w:cs="Times New Roman"/>
                <w:noProof/>
              </w:rPr>
              <w:t></w:t>
            </w:r>
            <w:r w:rsidR="00024500" w:rsidRPr="00024500">
              <w:rPr>
                <w:rFonts w:ascii="Times New Roman" w:eastAsiaTheme="minorEastAsia" w:hAnsi="Times New Roman" w:cs="Times New Roman"/>
                <w:noProof/>
                <w:kern w:val="2"/>
                <w14:ligatures w14:val="standardContextual"/>
              </w:rPr>
              <w:tab/>
            </w:r>
            <w:r w:rsidR="00024500" w:rsidRPr="00024500">
              <w:rPr>
                <w:rStyle w:val="Hyperlink"/>
                <w:rFonts w:ascii="Times New Roman" w:hAnsi="Times New Roman" w:cs="Times New Roman"/>
                <w:noProof/>
              </w:rPr>
              <w:t>Appendix A: Participant Information Sheet (Template)</w:t>
            </w:r>
            <w:r w:rsidR="00024500" w:rsidRPr="00024500">
              <w:rPr>
                <w:rFonts w:ascii="Times New Roman" w:hAnsi="Times New Roman" w:cs="Times New Roman"/>
                <w:noProof/>
                <w:webHidden/>
              </w:rPr>
              <w:tab/>
            </w:r>
            <w:r w:rsidR="00024500" w:rsidRPr="00024500">
              <w:rPr>
                <w:rFonts w:ascii="Times New Roman" w:hAnsi="Times New Roman" w:cs="Times New Roman"/>
                <w:noProof/>
                <w:webHidden/>
              </w:rPr>
              <w:fldChar w:fldCharType="begin"/>
            </w:r>
            <w:r w:rsidR="00024500" w:rsidRPr="00024500">
              <w:rPr>
                <w:rFonts w:ascii="Times New Roman" w:hAnsi="Times New Roman" w:cs="Times New Roman"/>
                <w:noProof/>
                <w:webHidden/>
              </w:rPr>
              <w:instrText xml:space="preserve"> PAGEREF _Toc225770405 \h </w:instrText>
            </w:r>
            <w:r w:rsidR="00024500" w:rsidRPr="00024500">
              <w:rPr>
                <w:rFonts w:ascii="Times New Roman" w:hAnsi="Times New Roman" w:cs="Times New Roman"/>
                <w:noProof/>
                <w:webHidden/>
              </w:rPr>
            </w:r>
            <w:r w:rsidR="00024500" w:rsidRPr="00024500">
              <w:rPr>
                <w:rFonts w:ascii="Times New Roman" w:hAnsi="Times New Roman" w:cs="Times New Roman"/>
                <w:noProof/>
                <w:webHidden/>
              </w:rPr>
              <w:fldChar w:fldCharType="separate"/>
            </w:r>
            <w:r w:rsidR="00EC3E4C">
              <w:rPr>
                <w:rFonts w:ascii="Times New Roman" w:hAnsi="Times New Roman" w:cs="Times New Roman"/>
                <w:noProof/>
                <w:webHidden/>
              </w:rPr>
              <w:t>28</w:t>
            </w:r>
            <w:r w:rsidR="00024500" w:rsidRPr="00024500">
              <w:rPr>
                <w:rFonts w:ascii="Times New Roman" w:hAnsi="Times New Roman" w:cs="Times New Roman"/>
                <w:noProof/>
                <w:webHidden/>
              </w:rPr>
              <w:fldChar w:fldCharType="end"/>
            </w:r>
          </w:hyperlink>
        </w:p>
        <w:p w14:paraId="51CCC9BA" w14:textId="7C7021D2" w:rsidR="00C917EC" w:rsidRPr="00024500" w:rsidRDefault="00C917EC" w:rsidP="00024500">
          <w:pPr>
            <w:spacing w:after="120" w:line="360" w:lineRule="auto"/>
            <w:jc w:val="both"/>
            <w:rPr>
              <w:rFonts w:ascii="Times New Roman" w:hAnsi="Times New Roman" w:cs="Times New Roman"/>
            </w:rPr>
          </w:pPr>
          <w:r w:rsidRPr="00024500">
            <w:rPr>
              <w:rFonts w:ascii="Times New Roman" w:hAnsi="Times New Roman" w:cs="Times New Roman"/>
              <w:b/>
              <w:bCs/>
              <w:noProof/>
            </w:rPr>
            <w:fldChar w:fldCharType="end"/>
          </w:r>
        </w:p>
      </w:sdtContent>
    </w:sdt>
    <w:p w14:paraId="7D477489" w14:textId="77777777" w:rsidR="00F33F08" w:rsidRPr="00024500" w:rsidRDefault="00000000" w:rsidP="00024500">
      <w:pPr>
        <w:spacing w:after="120" w:line="360" w:lineRule="auto"/>
        <w:jc w:val="both"/>
        <w:rPr>
          <w:rFonts w:ascii="Times New Roman" w:hAnsi="Times New Roman" w:cs="Times New Roman"/>
        </w:rPr>
      </w:pPr>
      <w:r w:rsidRPr="00024500">
        <w:rPr>
          <w:rFonts w:ascii="Times New Roman" w:hAnsi="Times New Roman" w:cs="Times New Roman"/>
        </w:rPr>
        <w:br w:type="page"/>
      </w:r>
    </w:p>
    <w:p w14:paraId="394EA77A" w14:textId="77777777" w:rsidR="00F33F08" w:rsidRPr="007A1DB3" w:rsidRDefault="00000000" w:rsidP="007A1DB3">
      <w:pPr>
        <w:pStyle w:val="Heading1"/>
      </w:pPr>
      <w:bookmarkStart w:id="0" w:name="_Toc225770379"/>
      <w:r w:rsidRPr="007A1DB3">
        <w:lastRenderedPageBreak/>
        <w:t>1. Introduction and Research Rationale</w:t>
      </w:r>
      <w:bookmarkEnd w:id="0"/>
    </w:p>
    <w:p w14:paraId="21FBEE27" w14:textId="29FAC175" w:rsidR="00390054" w:rsidRDefault="0046604F" w:rsidP="00390054">
      <w:pPr>
        <w:spacing w:after="120" w:line="360" w:lineRule="auto"/>
        <w:jc w:val="both"/>
        <w:rPr>
          <w:rFonts w:ascii="Times New Roman" w:hAnsi="Times New Roman" w:cs="Times New Roman"/>
        </w:rPr>
      </w:pPr>
      <w:r w:rsidRPr="00390054">
        <w:rPr>
          <w:rFonts w:ascii="Times New Roman" w:hAnsi="Times New Roman" w:cs="Times New Roman"/>
        </w:rPr>
        <w:t>The COVID-19 pandemic has increased remote working at a staggering rate and has radically changed the UK employment situation. In a matter of days</w:t>
      </w:r>
      <w:r w:rsidR="00390054" w:rsidRPr="00390054">
        <w:rPr>
          <w:rFonts w:ascii="Times New Roman" w:hAnsi="Times New Roman" w:cs="Times New Roman"/>
        </w:rPr>
        <w:t>,</w:t>
      </w:r>
      <w:r w:rsidRPr="00390054">
        <w:rPr>
          <w:rFonts w:ascii="Times New Roman" w:hAnsi="Times New Roman" w:cs="Times New Roman"/>
        </w:rPr>
        <w:t xml:space="preserve"> what used to be considered a niche </w:t>
      </w:r>
      <w:r w:rsidR="00390054" w:rsidRPr="00390054">
        <w:rPr>
          <w:rFonts w:ascii="Times New Roman" w:hAnsi="Times New Roman" w:cs="Times New Roman"/>
        </w:rPr>
        <w:t>setup</w:t>
      </w:r>
      <w:r w:rsidRPr="00390054">
        <w:rPr>
          <w:rFonts w:ascii="Times New Roman" w:hAnsi="Times New Roman" w:cs="Times New Roman"/>
        </w:rPr>
        <w:t xml:space="preserve"> became the default of millions. A major </w:t>
      </w:r>
      <w:r w:rsidR="00390054" w:rsidRPr="00390054">
        <w:rPr>
          <w:rFonts w:ascii="Times New Roman" w:hAnsi="Times New Roman" w:cs="Times New Roman"/>
        </w:rPr>
        <w:t>breakthrough in this was seen in the technology sphere, where more than two-thirds of UK IT and technology employees worked entirely remotely at the height of the pandemic, a figure</w:t>
      </w:r>
      <w:r w:rsidRPr="00390054">
        <w:rPr>
          <w:rFonts w:ascii="Times New Roman" w:hAnsi="Times New Roman" w:cs="Times New Roman"/>
        </w:rPr>
        <w:t xml:space="preserve"> significantly higher than the national average (Hooson, 2024). Firms like Sage Group plc, Kainos Group, and Bromcom Computers shifted relatively fast to distributed models, and those early business continuity anxieties were slowly overtaken by more fundamental strategic issues of the human implications of remote and hybrid work.</w:t>
      </w:r>
    </w:p>
    <w:p w14:paraId="6699CEED" w14:textId="18642E03" w:rsidR="00390054" w:rsidRDefault="0046604F"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available data on the topic </w:t>
      </w:r>
      <w:r w:rsidR="00390054" w:rsidRPr="00390054">
        <w:rPr>
          <w:rFonts w:ascii="Times New Roman" w:hAnsi="Times New Roman" w:cs="Times New Roman"/>
        </w:rPr>
        <w:t>is</w:t>
      </w:r>
      <w:r w:rsidRPr="00390054">
        <w:rPr>
          <w:rFonts w:ascii="Times New Roman" w:hAnsi="Times New Roman" w:cs="Times New Roman"/>
        </w:rPr>
        <w:t xml:space="preserve"> still disputable. </w:t>
      </w:r>
      <w:r w:rsidR="00390054" w:rsidRPr="00390054">
        <w:rPr>
          <w:rFonts w:ascii="Times New Roman" w:hAnsi="Times New Roman" w:cs="Times New Roman"/>
        </w:rPr>
        <w:t>Some studies point</w:t>
      </w:r>
      <w:r w:rsidRPr="00390054">
        <w:rPr>
          <w:rFonts w:ascii="Times New Roman" w:hAnsi="Times New Roman" w:cs="Times New Roman"/>
        </w:rPr>
        <w:t xml:space="preserve"> to obvious advantages, such as increased individual autonomy, a better work-life balance, and an increase in job satisfaction (Gajendran and Harrison, 2007; Niebuhr et al., 2022), whereas other studies indicate that it still has long-standing issues, such as psychological isolation, weakened organisational identity, and deteriorating mental health (Crawford, 2022; Platts, Breckon and Marshall, 2022</w:t>
      </w:r>
      <w:r w:rsidR="007919D8">
        <w:rPr>
          <w:rFonts w:ascii="Times New Roman" w:hAnsi="Times New Roman" w:cs="Times New Roman"/>
        </w:rPr>
        <w:t xml:space="preserve">; </w:t>
      </w:r>
      <w:r w:rsidR="007919D8" w:rsidRPr="007919D8">
        <w:rPr>
          <w:rFonts w:ascii="Times New Roman" w:hAnsi="Times New Roman" w:cs="Times New Roman"/>
        </w:rPr>
        <w:t>Ipsen et al., 2021</w:t>
      </w:r>
      <w:r w:rsidRPr="00390054">
        <w:rPr>
          <w:rFonts w:ascii="Times New Roman" w:hAnsi="Times New Roman" w:cs="Times New Roman"/>
        </w:rPr>
        <w:t>). This uncertainty becomes most apparent in the UK technology industry, where organisations are under competing demands: how to retain talent that has been used to remote flexibility and reconstruct the collaborative cultures and structures of belonging that will support the long-term performance (CIPD, 2025).</w:t>
      </w:r>
    </w:p>
    <w:p w14:paraId="7C1DB9AB" w14:textId="2C4E5E3F" w:rsidR="00390054" w:rsidRDefault="0046604F" w:rsidP="00390054">
      <w:pPr>
        <w:spacing w:after="120" w:line="360" w:lineRule="auto"/>
        <w:jc w:val="both"/>
        <w:rPr>
          <w:rFonts w:ascii="Times New Roman" w:hAnsi="Times New Roman" w:cs="Times New Roman"/>
        </w:rPr>
      </w:pPr>
      <w:r w:rsidRPr="00390054">
        <w:rPr>
          <w:rFonts w:ascii="Times New Roman" w:hAnsi="Times New Roman" w:cs="Times New Roman"/>
        </w:rPr>
        <w:t>The concept of organisational belonging has become the subject of increasing academic interest in the field of remote work, but has not been theorised as it applies to the professionals of technology-focused sectors, in particular (Urrila et al., 2025; Turnbull, 2024). The conflict between flexibility and social connectedness is particularly intense in knowledge-intensive companies, in which informal relational capital affects the well-being and output of the company</w:t>
      </w:r>
      <w:r w:rsidR="00912C5F">
        <w:rPr>
          <w:rFonts w:ascii="Times New Roman" w:hAnsi="Times New Roman" w:cs="Times New Roman"/>
        </w:rPr>
        <w:t xml:space="preserve"> </w:t>
      </w:r>
      <w:r w:rsidR="00912C5F" w:rsidRPr="00912C5F">
        <w:rPr>
          <w:rFonts w:ascii="Times New Roman" w:hAnsi="Times New Roman" w:cs="Times New Roman"/>
        </w:rPr>
        <w:t>(Tarafdar, Cooper and Stich, 2019)</w:t>
      </w:r>
      <w:r w:rsidRPr="00390054">
        <w:rPr>
          <w:rFonts w:ascii="Times New Roman" w:hAnsi="Times New Roman" w:cs="Times New Roman"/>
        </w:rPr>
        <w:t>.</w:t>
      </w:r>
    </w:p>
    <w:p w14:paraId="5C632F81" w14:textId="35A45355" w:rsidR="00F33F08" w:rsidRPr="00390054" w:rsidRDefault="0046604F" w:rsidP="00390054">
      <w:pPr>
        <w:spacing w:after="120" w:line="360" w:lineRule="auto"/>
        <w:jc w:val="both"/>
        <w:rPr>
          <w:rFonts w:ascii="Times New Roman" w:hAnsi="Times New Roman" w:cs="Times New Roman"/>
        </w:rPr>
      </w:pPr>
      <w:r w:rsidRPr="00390054">
        <w:rPr>
          <w:rFonts w:ascii="Times New Roman" w:hAnsi="Times New Roman" w:cs="Times New Roman"/>
        </w:rPr>
        <w:t>The proposed research fills that gap with the help of a qualitative study that employs an interpretivist paradigm, semi-structured interviews, and reflexive thematic analysis, explored through a philosophical, methodological, and ethical perspective in a dialogue with the existing literature.</w:t>
      </w:r>
    </w:p>
    <w:p w14:paraId="7DD0E47E" w14:textId="77777777" w:rsidR="00390054" w:rsidRDefault="00390054">
      <w:pPr>
        <w:rPr>
          <w:rFonts w:ascii="Times New Roman" w:hAnsi="Times New Roman" w:cs="Times New Roman"/>
          <w:b/>
          <w:bCs/>
          <w:color w:val="1F3864"/>
          <w:sz w:val="32"/>
          <w:szCs w:val="32"/>
        </w:rPr>
      </w:pPr>
      <w:r>
        <w:rPr>
          <w:rFonts w:ascii="Times New Roman" w:hAnsi="Times New Roman" w:cs="Times New Roman"/>
        </w:rPr>
        <w:br w:type="page"/>
      </w:r>
    </w:p>
    <w:p w14:paraId="64225D33" w14:textId="70C983C4" w:rsidR="00F33F08" w:rsidRPr="007A1DB3" w:rsidRDefault="00000000" w:rsidP="007A1DB3">
      <w:pPr>
        <w:pStyle w:val="Heading1"/>
      </w:pPr>
      <w:bookmarkStart w:id="1" w:name="_Toc225770380"/>
      <w:r w:rsidRPr="007A1DB3">
        <w:lastRenderedPageBreak/>
        <w:t>2. Research Aims, Objectives, and Research Questions</w:t>
      </w:r>
      <w:bookmarkEnd w:id="1"/>
    </w:p>
    <w:p w14:paraId="155E589A" w14:textId="77777777" w:rsidR="00F33F08" w:rsidRPr="00390054" w:rsidRDefault="00000000" w:rsidP="007A1DB3">
      <w:pPr>
        <w:pStyle w:val="Heading2"/>
      </w:pPr>
      <w:bookmarkStart w:id="2" w:name="_Toc225770381"/>
      <w:r w:rsidRPr="00390054">
        <w:t>2.1 Research Aim</w:t>
      </w:r>
      <w:bookmarkEnd w:id="2"/>
    </w:p>
    <w:p w14:paraId="5F79D513" w14:textId="5031E79E" w:rsidR="00F33F08" w:rsidRPr="00390054" w:rsidRDefault="003032AE" w:rsidP="00390054">
      <w:pPr>
        <w:spacing w:after="120" w:line="360" w:lineRule="auto"/>
        <w:jc w:val="both"/>
        <w:rPr>
          <w:rFonts w:ascii="Times New Roman" w:hAnsi="Times New Roman" w:cs="Times New Roman"/>
        </w:rPr>
      </w:pPr>
      <w:r w:rsidRPr="00390054">
        <w:rPr>
          <w:rFonts w:ascii="Times New Roman" w:hAnsi="Times New Roman" w:cs="Times New Roman"/>
        </w:rPr>
        <w:t>The general objective of this study is to investigate</w:t>
      </w:r>
      <w:r w:rsidR="00982872" w:rsidRPr="00390054">
        <w:rPr>
          <w:rFonts w:ascii="Times New Roman" w:hAnsi="Times New Roman" w:cs="Times New Roman"/>
        </w:rPr>
        <w:t xml:space="preserve">, through the lens of employees themselves, how remote and hybrid work practices impact their psychological well-being and how they feel they belong to the </w:t>
      </w:r>
      <w:r w:rsidRPr="00390054">
        <w:rPr>
          <w:rFonts w:ascii="Times New Roman" w:hAnsi="Times New Roman" w:cs="Times New Roman"/>
        </w:rPr>
        <w:t xml:space="preserve">organisations that employ them, with reference to the UK technology sector. </w:t>
      </w:r>
    </w:p>
    <w:p w14:paraId="5FF01E88" w14:textId="77777777" w:rsidR="00F33F08" w:rsidRPr="00390054" w:rsidRDefault="00000000" w:rsidP="007A1DB3">
      <w:pPr>
        <w:pStyle w:val="Heading2"/>
      </w:pPr>
      <w:bookmarkStart w:id="3" w:name="_Toc225770382"/>
      <w:r w:rsidRPr="00390054">
        <w:t>2.2 Research Objectives</w:t>
      </w:r>
      <w:bookmarkEnd w:id="3"/>
    </w:p>
    <w:p w14:paraId="493FE6E1" w14:textId="3FB03EB9" w:rsidR="003032AE" w:rsidRPr="00E30A8D" w:rsidRDefault="003032AE" w:rsidP="00E30A8D">
      <w:pPr>
        <w:pStyle w:val="ListParagraph"/>
        <w:numPr>
          <w:ilvl w:val="0"/>
          <w:numId w:val="8"/>
        </w:numPr>
        <w:spacing w:after="120" w:line="360" w:lineRule="auto"/>
        <w:jc w:val="both"/>
        <w:rPr>
          <w:rFonts w:ascii="Times New Roman" w:hAnsi="Times New Roman" w:cs="Times New Roman"/>
        </w:rPr>
      </w:pPr>
      <w:r w:rsidRPr="00E30A8D">
        <w:rPr>
          <w:rFonts w:ascii="Times New Roman" w:hAnsi="Times New Roman" w:cs="Times New Roman"/>
        </w:rPr>
        <w:t>Objective 1: To critically examine existing empirical and theoretical evidence on remote work, employee well-being, and organisational belonging to uncover gaps and guide the analytical framework.</w:t>
      </w:r>
    </w:p>
    <w:p w14:paraId="3389304A" w14:textId="3BA82038" w:rsidR="003032AE" w:rsidRPr="00E30A8D" w:rsidRDefault="003032AE" w:rsidP="00E30A8D">
      <w:pPr>
        <w:pStyle w:val="ListParagraph"/>
        <w:numPr>
          <w:ilvl w:val="0"/>
          <w:numId w:val="8"/>
        </w:numPr>
        <w:spacing w:after="120" w:line="360" w:lineRule="auto"/>
        <w:jc w:val="both"/>
        <w:rPr>
          <w:rFonts w:ascii="Times New Roman" w:hAnsi="Times New Roman" w:cs="Times New Roman"/>
        </w:rPr>
      </w:pPr>
      <w:r w:rsidRPr="00E30A8D">
        <w:rPr>
          <w:rFonts w:ascii="Times New Roman" w:hAnsi="Times New Roman" w:cs="Times New Roman"/>
        </w:rPr>
        <w:t xml:space="preserve">Objective 2: To investigate the subjective experiences of full remote technology sector and hybrid technology sector workers in terms of psychological </w:t>
      </w:r>
      <w:r w:rsidR="00E9163E" w:rsidRPr="00E30A8D">
        <w:rPr>
          <w:rFonts w:ascii="Times New Roman" w:hAnsi="Times New Roman" w:cs="Times New Roman"/>
        </w:rPr>
        <w:t xml:space="preserve">well-being, such as stress, autonomy, and </w:t>
      </w:r>
      <w:r w:rsidRPr="00E30A8D">
        <w:rPr>
          <w:rFonts w:ascii="Times New Roman" w:hAnsi="Times New Roman" w:cs="Times New Roman"/>
        </w:rPr>
        <w:t>work-life balance.</w:t>
      </w:r>
    </w:p>
    <w:p w14:paraId="310E4599" w14:textId="4C3DEC56" w:rsidR="003032AE" w:rsidRPr="00E30A8D" w:rsidRDefault="003032AE" w:rsidP="00E30A8D">
      <w:pPr>
        <w:pStyle w:val="ListParagraph"/>
        <w:numPr>
          <w:ilvl w:val="0"/>
          <w:numId w:val="8"/>
        </w:numPr>
        <w:spacing w:after="120" w:line="360" w:lineRule="auto"/>
        <w:jc w:val="both"/>
        <w:rPr>
          <w:rFonts w:ascii="Times New Roman" w:hAnsi="Times New Roman" w:cs="Times New Roman"/>
        </w:rPr>
      </w:pPr>
      <w:r w:rsidRPr="00E30A8D">
        <w:rPr>
          <w:rFonts w:ascii="Times New Roman" w:hAnsi="Times New Roman" w:cs="Times New Roman"/>
        </w:rPr>
        <w:t>Purpose: To understand the influence of various remote working arrangements on employees and their sense of organisational belonging, team identity, and social connection.</w:t>
      </w:r>
    </w:p>
    <w:p w14:paraId="46A3AAD0" w14:textId="2D543BB1" w:rsidR="003032AE" w:rsidRPr="00E30A8D" w:rsidRDefault="003032AE" w:rsidP="00E30A8D">
      <w:pPr>
        <w:pStyle w:val="ListParagraph"/>
        <w:numPr>
          <w:ilvl w:val="0"/>
          <w:numId w:val="8"/>
        </w:numPr>
        <w:spacing w:after="120" w:line="360" w:lineRule="auto"/>
        <w:jc w:val="both"/>
        <w:rPr>
          <w:rFonts w:ascii="Times New Roman" w:hAnsi="Times New Roman" w:cs="Times New Roman"/>
        </w:rPr>
      </w:pPr>
      <w:r w:rsidRPr="00E30A8D">
        <w:rPr>
          <w:rFonts w:ascii="Times New Roman" w:hAnsi="Times New Roman" w:cs="Times New Roman"/>
        </w:rPr>
        <w:t>Objective 4: To determine organisational practises (formal or informal) that employees believe address the negative well-being and belonging impacts of remote work.</w:t>
      </w:r>
    </w:p>
    <w:p w14:paraId="5FC7666E" w14:textId="77777777" w:rsidR="00F33F08" w:rsidRPr="00390054" w:rsidRDefault="00000000" w:rsidP="007A1DB3">
      <w:pPr>
        <w:pStyle w:val="Heading2"/>
      </w:pPr>
      <w:bookmarkStart w:id="4" w:name="_Toc225770383"/>
      <w:r w:rsidRPr="00390054">
        <w:t>2.3 Research Questions</w:t>
      </w:r>
      <w:bookmarkEnd w:id="4"/>
    </w:p>
    <w:p w14:paraId="790DF4AB" w14:textId="65D333FF" w:rsidR="00192670" w:rsidRPr="00390054" w:rsidRDefault="00192670" w:rsidP="00390054">
      <w:pPr>
        <w:pStyle w:val="ListParagraph"/>
        <w:numPr>
          <w:ilvl w:val="0"/>
          <w:numId w:val="6"/>
        </w:numPr>
        <w:spacing w:after="120" w:line="360" w:lineRule="auto"/>
        <w:jc w:val="both"/>
        <w:rPr>
          <w:rFonts w:ascii="Times New Roman" w:hAnsi="Times New Roman" w:cs="Times New Roman"/>
        </w:rPr>
      </w:pPr>
      <w:r w:rsidRPr="00390054">
        <w:rPr>
          <w:rFonts w:ascii="Times New Roman" w:hAnsi="Times New Roman" w:cs="Times New Roman"/>
        </w:rPr>
        <w:t xml:space="preserve">Main Research Question (RQ): What are the effects of remote and hybrid work arrangements on the </w:t>
      </w:r>
      <w:r w:rsidR="00E9163E" w:rsidRPr="00390054">
        <w:rPr>
          <w:rFonts w:ascii="Times New Roman" w:hAnsi="Times New Roman" w:cs="Times New Roman"/>
        </w:rPr>
        <w:t>well-being and organisational</w:t>
      </w:r>
      <w:r w:rsidRPr="00390054">
        <w:rPr>
          <w:rFonts w:ascii="Times New Roman" w:hAnsi="Times New Roman" w:cs="Times New Roman"/>
        </w:rPr>
        <w:t xml:space="preserve"> belonging of professionals in the technology sector, in the UK?</w:t>
      </w:r>
    </w:p>
    <w:p w14:paraId="2770473F" w14:textId="47F5BEE0" w:rsidR="00192670" w:rsidRPr="00390054" w:rsidRDefault="00192670" w:rsidP="00390054">
      <w:pPr>
        <w:pStyle w:val="ListParagraph"/>
        <w:numPr>
          <w:ilvl w:val="0"/>
          <w:numId w:val="6"/>
        </w:numPr>
        <w:spacing w:after="120" w:line="360" w:lineRule="auto"/>
        <w:jc w:val="both"/>
        <w:rPr>
          <w:rFonts w:ascii="Times New Roman" w:hAnsi="Times New Roman" w:cs="Times New Roman"/>
        </w:rPr>
      </w:pPr>
      <w:r w:rsidRPr="00390054">
        <w:rPr>
          <w:rFonts w:ascii="Times New Roman" w:hAnsi="Times New Roman" w:cs="Times New Roman"/>
        </w:rPr>
        <w:t xml:space="preserve">Subsidiary Research Question 1 (SRQ1): How do fully remote and hybrid working practises have a dissimilar impact on the psychological </w:t>
      </w:r>
      <w:r w:rsidR="00E9163E" w:rsidRPr="00390054">
        <w:rPr>
          <w:rFonts w:ascii="Times New Roman" w:hAnsi="Times New Roman" w:cs="Times New Roman"/>
        </w:rPr>
        <w:t>well-being</w:t>
      </w:r>
      <w:r w:rsidRPr="00390054">
        <w:rPr>
          <w:rFonts w:ascii="Times New Roman" w:hAnsi="Times New Roman" w:cs="Times New Roman"/>
        </w:rPr>
        <w:t xml:space="preserve"> of employees in the UK technology sector?</w:t>
      </w:r>
      <w:r w:rsidR="00E30A8D">
        <w:rPr>
          <w:rFonts w:ascii="Times New Roman" w:hAnsi="Times New Roman" w:cs="Times New Roman"/>
        </w:rPr>
        <w:t xml:space="preserve"> </w:t>
      </w:r>
    </w:p>
    <w:p w14:paraId="196A10EF" w14:textId="1CB598F7" w:rsidR="00192670" w:rsidRPr="00390054" w:rsidRDefault="00192670" w:rsidP="00390054">
      <w:pPr>
        <w:pStyle w:val="ListParagraph"/>
        <w:numPr>
          <w:ilvl w:val="0"/>
          <w:numId w:val="6"/>
        </w:numPr>
        <w:spacing w:after="120" w:line="360" w:lineRule="auto"/>
        <w:jc w:val="both"/>
        <w:rPr>
          <w:rFonts w:ascii="Times New Roman" w:hAnsi="Times New Roman" w:cs="Times New Roman"/>
        </w:rPr>
      </w:pPr>
      <w:r w:rsidRPr="00390054">
        <w:rPr>
          <w:rFonts w:ascii="Times New Roman" w:hAnsi="Times New Roman" w:cs="Times New Roman"/>
        </w:rPr>
        <w:t xml:space="preserve">Subsidiary Research Question 2 (SRQ2): What are the experiences of remote and hybrid workers within technology companies in the United Kingdom </w:t>
      </w:r>
      <w:r w:rsidR="00982872" w:rsidRPr="00390054">
        <w:rPr>
          <w:rFonts w:ascii="Times New Roman" w:hAnsi="Times New Roman" w:cs="Times New Roman"/>
        </w:rPr>
        <w:t>about</w:t>
      </w:r>
      <w:r w:rsidR="00E9163E" w:rsidRPr="00390054">
        <w:rPr>
          <w:rFonts w:ascii="Times New Roman" w:hAnsi="Times New Roman" w:cs="Times New Roman"/>
        </w:rPr>
        <w:t xml:space="preserve"> organisational belonging, team identity, and social connection</w:t>
      </w:r>
      <w:r w:rsidRPr="00390054">
        <w:rPr>
          <w:rFonts w:ascii="Times New Roman" w:hAnsi="Times New Roman" w:cs="Times New Roman"/>
        </w:rPr>
        <w:t>?</w:t>
      </w:r>
    </w:p>
    <w:p w14:paraId="1A59512C" w14:textId="787D1A61" w:rsidR="00F33F08" w:rsidRPr="00390054" w:rsidRDefault="00192670" w:rsidP="00390054">
      <w:pPr>
        <w:pStyle w:val="ListParagraph"/>
        <w:numPr>
          <w:ilvl w:val="0"/>
          <w:numId w:val="6"/>
        </w:numPr>
        <w:spacing w:after="120" w:line="360" w:lineRule="auto"/>
        <w:jc w:val="both"/>
        <w:rPr>
          <w:rFonts w:ascii="Times New Roman" w:hAnsi="Times New Roman" w:cs="Times New Roman"/>
        </w:rPr>
      </w:pPr>
      <w:r w:rsidRPr="00390054">
        <w:rPr>
          <w:rFonts w:ascii="Times New Roman" w:hAnsi="Times New Roman" w:cs="Times New Roman"/>
        </w:rPr>
        <w:t>Subsidiary Research Question 3 (SRQ3): Which organisational strategies or managerial practises do employees feel are effective in maintaining wellbeing and belonging in distributed work contexts?</w:t>
      </w:r>
    </w:p>
    <w:p w14:paraId="6F8BCBB7" w14:textId="77777777" w:rsidR="00F33F08" w:rsidRPr="007A1DB3" w:rsidRDefault="00000000" w:rsidP="007A1DB3">
      <w:pPr>
        <w:pStyle w:val="Heading1"/>
      </w:pPr>
      <w:bookmarkStart w:id="5" w:name="_Toc225770384"/>
      <w:r w:rsidRPr="007A1DB3">
        <w:lastRenderedPageBreak/>
        <w:t>3. Literature Review</w:t>
      </w:r>
      <w:bookmarkEnd w:id="5"/>
    </w:p>
    <w:p w14:paraId="6113174D" w14:textId="77777777" w:rsidR="00F33F08" w:rsidRPr="00390054" w:rsidRDefault="00000000" w:rsidP="007A1DB3">
      <w:pPr>
        <w:pStyle w:val="Heading2"/>
      </w:pPr>
      <w:bookmarkStart w:id="6" w:name="_Toc225770385"/>
      <w:r w:rsidRPr="00390054">
        <w:t>3.1 Remote Working in the UK Technology Sector</w:t>
      </w:r>
      <w:bookmarkEnd w:id="6"/>
    </w:p>
    <w:p w14:paraId="6A822E66" w14:textId="19E5167C" w:rsidR="00192670" w:rsidRPr="00390054" w:rsidRDefault="00390054" w:rsidP="00390054">
      <w:pPr>
        <w:spacing w:after="120" w:line="360" w:lineRule="auto"/>
        <w:jc w:val="both"/>
        <w:rPr>
          <w:rFonts w:ascii="Times New Roman" w:hAnsi="Times New Roman" w:cs="Times New Roman"/>
        </w:rPr>
      </w:pPr>
      <w:r w:rsidRPr="00390054">
        <w:rPr>
          <w:rFonts w:ascii="Times New Roman" w:hAnsi="Times New Roman" w:cs="Times New Roman"/>
        </w:rPr>
        <w:t>Before</w:t>
      </w:r>
      <w:r w:rsidR="0046604F" w:rsidRPr="00390054">
        <w:rPr>
          <w:rFonts w:ascii="Times New Roman" w:hAnsi="Times New Roman" w:cs="Times New Roman"/>
        </w:rPr>
        <w:t xml:space="preserve"> the pandemic, remote working remained a marginal practice in the UK, and Felstead and Reuschke (2020) found that only 5% of UK employees worked predominantly at home before 2020. The pandemic facilitated adoption to a large extent and, most importantly, brought it to the highest levels of concentration, especially in knowledge-based sectors such as technology and IT services. The UK Office for National Statistics (ONS, 2021) found that over 85</w:t>
      </w:r>
      <w:r w:rsidRPr="00390054">
        <w:rPr>
          <w:rFonts w:ascii="Times New Roman" w:hAnsi="Times New Roman" w:cs="Times New Roman"/>
        </w:rPr>
        <w:t xml:space="preserve">% </w:t>
      </w:r>
      <w:r w:rsidR="0046604F" w:rsidRPr="00390054">
        <w:rPr>
          <w:rFonts w:ascii="Times New Roman" w:hAnsi="Times New Roman" w:cs="Times New Roman"/>
        </w:rPr>
        <w:t>of current technology industry workers reported working from home at some point during the pandemic, whereas the national average was approximately 37</w:t>
      </w:r>
      <w:r w:rsidRPr="00390054">
        <w:rPr>
          <w:rFonts w:ascii="Times New Roman" w:hAnsi="Times New Roman" w:cs="Times New Roman"/>
        </w:rPr>
        <w:t>%</w:t>
      </w:r>
      <w:r w:rsidR="0046604F" w:rsidRPr="00390054">
        <w:rPr>
          <w:rFonts w:ascii="Times New Roman" w:hAnsi="Times New Roman" w:cs="Times New Roman"/>
        </w:rPr>
        <w:t xml:space="preserve">. The technology sector is a particularly appealing, data-rich environment where one can study the persistent human effect of the distributed work with a particular interest. </w:t>
      </w:r>
    </w:p>
    <w:p w14:paraId="0CE569E4" w14:textId="3773BAC2" w:rsidR="00F33F08" w:rsidRPr="00390054" w:rsidRDefault="00192670"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A mixed migration towards hybrid patterns, </w:t>
      </w:r>
      <w:r w:rsidR="00982872" w:rsidRPr="00390054">
        <w:rPr>
          <w:rFonts w:ascii="Times New Roman" w:hAnsi="Times New Roman" w:cs="Times New Roman"/>
        </w:rPr>
        <w:t>in which workers spend part of the time at the office and the rest at home, has been identified as the post-pandemic settlement for UK technology companies</w:t>
      </w:r>
      <w:r w:rsidR="00E30A8D">
        <w:rPr>
          <w:rFonts w:ascii="Times New Roman" w:hAnsi="Times New Roman" w:cs="Times New Roman"/>
        </w:rPr>
        <w:t xml:space="preserve"> (</w:t>
      </w:r>
      <w:r w:rsidR="00E30A8D" w:rsidRPr="00E30A8D">
        <w:rPr>
          <w:rFonts w:ascii="Times New Roman" w:hAnsi="Times New Roman" w:cs="Times New Roman"/>
        </w:rPr>
        <w:t>Correa, 2022)</w:t>
      </w:r>
      <w:r w:rsidRPr="00390054">
        <w:rPr>
          <w:rFonts w:ascii="Times New Roman" w:hAnsi="Times New Roman" w:cs="Times New Roman"/>
        </w:rPr>
        <w:t xml:space="preserve">. According to </w:t>
      </w:r>
      <w:r w:rsidR="005701E4" w:rsidRPr="00390054">
        <w:rPr>
          <w:rFonts w:ascii="Times New Roman" w:hAnsi="Times New Roman" w:cs="Times New Roman"/>
        </w:rPr>
        <w:t>CIPD research</w:t>
      </w:r>
      <w:r w:rsidRPr="00390054">
        <w:rPr>
          <w:rFonts w:ascii="Times New Roman" w:hAnsi="Times New Roman" w:cs="Times New Roman"/>
        </w:rPr>
        <w:t xml:space="preserve"> (2025), </w:t>
      </w:r>
      <w:r w:rsidR="00982872" w:rsidRPr="00390054">
        <w:rPr>
          <w:rFonts w:ascii="Times New Roman" w:hAnsi="Times New Roman" w:cs="Times New Roman"/>
        </w:rPr>
        <w:t>hybrid arrangements are the most common model of</w:t>
      </w:r>
      <w:r w:rsidRPr="00390054">
        <w:rPr>
          <w:rFonts w:ascii="Times New Roman" w:hAnsi="Times New Roman" w:cs="Times New Roman"/>
        </w:rPr>
        <w:t xml:space="preserve"> working across UK professional services and technology firms</w:t>
      </w:r>
      <w:r w:rsidR="00982872" w:rsidRPr="00390054">
        <w:rPr>
          <w:rFonts w:ascii="Times New Roman" w:hAnsi="Times New Roman" w:cs="Times New Roman"/>
        </w:rPr>
        <w:t>. Still, the</w:t>
      </w:r>
      <w:r w:rsidRPr="00390054">
        <w:rPr>
          <w:rFonts w:ascii="Times New Roman" w:hAnsi="Times New Roman" w:cs="Times New Roman"/>
        </w:rPr>
        <w:t xml:space="preserve"> exact proportion will differ significantly across organisations. Companies like Kainos Group and Sage have </w:t>
      </w:r>
      <w:r w:rsidR="00982872" w:rsidRPr="00390054">
        <w:rPr>
          <w:rFonts w:ascii="Times New Roman" w:hAnsi="Times New Roman" w:cs="Times New Roman"/>
        </w:rPr>
        <w:t xml:space="preserve">publicly adopted a hybrid-first approach, and the industry as a whole understands that full-time office return requirements can threaten talent retention </w:t>
      </w:r>
      <w:r w:rsidRPr="00390054">
        <w:rPr>
          <w:rFonts w:ascii="Times New Roman" w:hAnsi="Times New Roman" w:cs="Times New Roman"/>
        </w:rPr>
        <w:t>in a competitive labour market (Summerfield, 2022). Nevertheless, the variety of hybrid structures</w:t>
      </w:r>
      <w:r w:rsidR="00982872" w:rsidRPr="00390054">
        <w:rPr>
          <w:rFonts w:ascii="Times New Roman" w:hAnsi="Times New Roman" w:cs="Times New Roman"/>
        </w:rPr>
        <w:t>, from organised two-day office weeks</w:t>
      </w:r>
      <w:r w:rsidRPr="00390054">
        <w:rPr>
          <w:rFonts w:ascii="Times New Roman" w:hAnsi="Times New Roman" w:cs="Times New Roman"/>
        </w:rPr>
        <w:t xml:space="preserve"> to completely employee-managed schedules, makes managing an organisation and studying the results more complicated. </w:t>
      </w:r>
    </w:p>
    <w:p w14:paraId="581C00C1" w14:textId="77777777" w:rsidR="00F33F08" w:rsidRPr="00390054" w:rsidRDefault="00000000" w:rsidP="007A1DB3">
      <w:pPr>
        <w:pStyle w:val="Heading2"/>
      </w:pPr>
      <w:bookmarkStart w:id="7" w:name="_Toc225770386"/>
      <w:r w:rsidRPr="00390054">
        <w:t>3.2 Employee Wellbeing and Remote Work</w:t>
      </w:r>
      <w:bookmarkEnd w:id="7"/>
    </w:p>
    <w:p w14:paraId="4B8EF1B1" w14:textId="26DD18B6" w:rsidR="00192670" w:rsidRPr="00390054" w:rsidRDefault="00192670"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Remote work and employee </w:t>
      </w:r>
      <w:r w:rsidR="00982872" w:rsidRPr="00390054">
        <w:rPr>
          <w:rFonts w:ascii="Times New Roman" w:hAnsi="Times New Roman" w:cs="Times New Roman"/>
        </w:rPr>
        <w:t>well-being</w:t>
      </w:r>
      <w:r w:rsidRPr="00390054">
        <w:rPr>
          <w:rFonts w:ascii="Times New Roman" w:hAnsi="Times New Roman" w:cs="Times New Roman"/>
        </w:rPr>
        <w:t xml:space="preserve"> are well-established in the literature, but the direction and magnitude of effects are disputed. Preliminary meta-analytic studies by Gajendran and Harrison (2007)</w:t>
      </w:r>
      <w:r w:rsidR="00E80F7E">
        <w:rPr>
          <w:rFonts w:ascii="Times New Roman" w:hAnsi="Times New Roman" w:cs="Times New Roman"/>
        </w:rPr>
        <w:t xml:space="preserve"> and </w:t>
      </w:r>
      <w:r w:rsidR="00E80F7E" w:rsidRPr="00E80F7E">
        <w:rPr>
          <w:rFonts w:ascii="Times New Roman" w:hAnsi="Times New Roman" w:cs="Times New Roman"/>
        </w:rPr>
        <w:t>Allen, Golden and Shockley (2015)</w:t>
      </w:r>
      <w:r w:rsidRPr="00390054">
        <w:rPr>
          <w:rFonts w:ascii="Times New Roman" w:hAnsi="Times New Roman" w:cs="Times New Roman"/>
        </w:rPr>
        <w:t xml:space="preserve"> found weak positive links between teleworking and job satisfaction</w:t>
      </w:r>
      <w:r w:rsidR="00982872" w:rsidRPr="00390054">
        <w:rPr>
          <w:rFonts w:ascii="Times New Roman" w:hAnsi="Times New Roman" w:cs="Times New Roman"/>
        </w:rPr>
        <w:t>. Also, they identified</w:t>
      </w:r>
      <w:r w:rsidRPr="00390054">
        <w:rPr>
          <w:rFonts w:ascii="Times New Roman" w:hAnsi="Times New Roman" w:cs="Times New Roman"/>
        </w:rPr>
        <w:t xml:space="preserve"> negative implications </w:t>
      </w:r>
      <w:r w:rsidR="00982872" w:rsidRPr="00390054">
        <w:rPr>
          <w:rFonts w:ascii="Times New Roman" w:hAnsi="Times New Roman" w:cs="Times New Roman"/>
        </w:rPr>
        <w:t xml:space="preserve">for relationships among co-workers </w:t>
      </w:r>
      <w:r w:rsidR="005701E4" w:rsidRPr="00390054">
        <w:rPr>
          <w:rFonts w:ascii="Times New Roman" w:hAnsi="Times New Roman" w:cs="Times New Roman"/>
        </w:rPr>
        <w:t>as remote work increased</w:t>
      </w:r>
      <w:r w:rsidRPr="00390054">
        <w:rPr>
          <w:rFonts w:ascii="Times New Roman" w:hAnsi="Times New Roman" w:cs="Times New Roman"/>
        </w:rPr>
        <w:t xml:space="preserve">. This result </w:t>
      </w:r>
      <w:r w:rsidR="00982872" w:rsidRPr="00390054">
        <w:rPr>
          <w:rFonts w:ascii="Times New Roman" w:hAnsi="Times New Roman" w:cs="Times New Roman"/>
        </w:rPr>
        <w:t>predates what more recent studies have consistently reported</w:t>
      </w:r>
      <w:r w:rsidR="001B35E3" w:rsidRPr="00390054">
        <w:rPr>
          <w:rFonts w:ascii="Times New Roman" w:hAnsi="Times New Roman" w:cs="Times New Roman"/>
        </w:rPr>
        <w:t>: that the correlation between remote working and wellbeing is non-linear, with a variety of individual, job, and organisational factors mediating</w:t>
      </w:r>
      <w:r w:rsidR="005701E4" w:rsidRPr="00390054">
        <w:rPr>
          <w:rFonts w:ascii="Times New Roman" w:hAnsi="Times New Roman" w:cs="Times New Roman"/>
        </w:rPr>
        <w:t xml:space="preserve"> it</w:t>
      </w:r>
      <w:r w:rsidR="007919D8">
        <w:rPr>
          <w:rFonts w:ascii="Times New Roman" w:hAnsi="Times New Roman" w:cs="Times New Roman"/>
        </w:rPr>
        <w:t xml:space="preserve"> </w:t>
      </w:r>
      <w:r w:rsidR="007919D8" w:rsidRPr="007919D8">
        <w:rPr>
          <w:rFonts w:ascii="Times New Roman" w:hAnsi="Times New Roman" w:cs="Times New Roman"/>
        </w:rPr>
        <w:t>(Kazekami, 2020</w:t>
      </w:r>
      <w:r w:rsidR="00D05352">
        <w:rPr>
          <w:rFonts w:ascii="Times New Roman" w:hAnsi="Times New Roman" w:cs="Times New Roman"/>
        </w:rPr>
        <w:t>; L</w:t>
      </w:r>
      <w:r w:rsidR="00D05352" w:rsidRPr="00D05352">
        <w:rPr>
          <w:rFonts w:ascii="Times New Roman" w:hAnsi="Times New Roman" w:cs="Times New Roman"/>
        </w:rPr>
        <w:t>arson, Vroman and Makarius, 2020</w:t>
      </w:r>
      <w:r w:rsidR="007919D8" w:rsidRPr="007919D8">
        <w:rPr>
          <w:rFonts w:ascii="Times New Roman" w:hAnsi="Times New Roman" w:cs="Times New Roman"/>
        </w:rPr>
        <w:t>)</w:t>
      </w:r>
      <w:r w:rsidRPr="00390054">
        <w:rPr>
          <w:rFonts w:ascii="Times New Roman" w:hAnsi="Times New Roman" w:cs="Times New Roman"/>
        </w:rPr>
        <w:t>.</w:t>
      </w:r>
    </w:p>
    <w:p w14:paraId="45DAF5FB" w14:textId="03B2BE5D" w:rsidR="00192670" w:rsidRPr="00390054" w:rsidRDefault="001B35E3" w:rsidP="00390054">
      <w:pPr>
        <w:spacing w:after="120" w:line="360" w:lineRule="auto"/>
        <w:jc w:val="both"/>
        <w:rPr>
          <w:rFonts w:ascii="Times New Roman" w:hAnsi="Times New Roman" w:cs="Times New Roman"/>
        </w:rPr>
      </w:pPr>
      <w:r w:rsidRPr="00390054">
        <w:rPr>
          <w:rFonts w:ascii="Times New Roman" w:hAnsi="Times New Roman" w:cs="Times New Roman"/>
        </w:rPr>
        <w:lastRenderedPageBreak/>
        <w:t>The literature during the pandemic has added significant</w:t>
      </w:r>
      <w:r w:rsidR="00192670" w:rsidRPr="00390054">
        <w:rPr>
          <w:rFonts w:ascii="Times New Roman" w:hAnsi="Times New Roman" w:cs="Times New Roman"/>
        </w:rPr>
        <w:t xml:space="preserve"> complexity to this image. A systematic review of psychological </w:t>
      </w:r>
      <w:r w:rsidR="00982872" w:rsidRPr="00390054">
        <w:rPr>
          <w:rFonts w:ascii="Times New Roman" w:hAnsi="Times New Roman" w:cs="Times New Roman"/>
        </w:rPr>
        <w:t xml:space="preserve">well-being outcomes in remote work settings by Crawford (2022) </w:t>
      </w:r>
      <w:r w:rsidR="005701E4" w:rsidRPr="00390054">
        <w:rPr>
          <w:rFonts w:ascii="Times New Roman" w:hAnsi="Times New Roman" w:cs="Times New Roman"/>
        </w:rPr>
        <w:t xml:space="preserve">found </w:t>
      </w:r>
      <w:r w:rsidRPr="00390054">
        <w:rPr>
          <w:rFonts w:ascii="Times New Roman" w:hAnsi="Times New Roman" w:cs="Times New Roman"/>
        </w:rPr>
        <w:t>substantial variation across</w:t>
      </w:r>
      <w:r w:rsidR="005701E4" w:rsidRPr="00390054">
        <w:rPr>
          <w:rFonts w:ascii="Times New Roman" w:hAnsi="Times New Roman" w:cs="Times New Roman"/>
        </w:rPr>
        <w:t xml:space="preserve"> domestic conditions, role type, and the availability of an isolated workspace</w:t>
      </w:r>
      <w:r w:rsidR="00192670" w:rsidRPr="00390054">
        <w:rPr>
          <w:rFonts w:ascii="Times New Roman" w:hAnsi="Times New Roman" w:cs="Times New Roman"/>
        </w:rPr>
        <w:t xml:space="preserve">. Workers </w:t>
      </w:r>
      <w:r w:rsidR="00982872" w:rsidRPr="00390054">
        <w:rPr>
          <w:rFonts w:ascii="Times New Roman" w:hAnsi="Times New Roman" w:cs="Times New Roman"/>
        </w:rPr>
        <w:t>in poor working environments at home reported significantly higher levels of stress and fatigue when work-life boundary management was deficient (Keightley, Duncan,</w:t>
      </w:r>
      <w:r w:rsidR="00192670" w:rsidRPr="00390054">
        <w:rPr>
          <w:rFonts w:ascii="Times New Roman" w:hAnsi="Times New Roman" w:cs="Times New Roman"/>
        </w:rPr>
        <w:t xml:space="preserve"> and Gardner, 2022). It is also found that the phenomenon of so-called technostress the psychological pressure of prolonged and intensive application of communication technologies in digital technologies also constitutes an independent risk in remote working conditions (</w:t>
      </w:r>
      <w:r w:rsidR="000252D7" w:rsidRPr="000252D7">
        <w:rPr>
          <w:rFonts w:ascii="Times New Roman" w:hAnsi="Times New Roman" w:cs="Times New Roman"/>
        </w:rPr>
        <w:t>Giorgi et al., 2020</w:t>
      </w:r>
      <w:r w:rsidR="000252D7">
        <w:rPr>
          <w:rFonts w:ascii="Times New Roman" w:hAnsi="Times New Roman" w:cs="Times New Roman"/>
        </w:rPr>
        <w:t xml:space="preserve">; </w:t>
      </w:r>
      <w:r w:rsidR="00192670" w:rsidRPr="00390054">
        <w:rPr>
          <w:rFonts w:ascii="Times New Roman" w:hAnsi="Times New Roman" w:cs="Times New Roman"/>
        </w:rPr>
        <w:t>Ragu-Nathan et al., 2008;</w:t>
      </w:r>
      <w:r w:rsidR="00E80F7E">
        <w:rPr>
          <w:rFonts w:ascii="Times New Roman" w:hAnsi="Times New Roman" w:cs="Times New Roman"/>
        </w:rPr>
        <w:t xml:space="preserve"> </w:t>
      </w:r>
      <w:r w:rsidR="00E80F7E" w:rsidRPr="00E80F7E">
        <w:rPr>
          <w:rFonts w:ascii="Times New Roman" w:hAnsi="Times New Roman" w:cs="Times New Roman"/>
        </w:rPr>
        <w:t>Chandana, 2023</w:t>
      </w:r>
      <w:r w:rsidR="00E80F7E">
        <w:rPr>
          <w:rFonts w:ascii="Times New Roman" w:hAnsi="Times New Roman" w:cs="Times New Roman"/>
        </w:rPr>
        <w:t>;</w:t>
      </w:r>
      <w:r w:rsidR="00192670" w:rsidRPr="00390054">
        <w:rPr>
          <w:rFonts w:ascii="Times New Roman" w:hAnsi="Times New Roman" w:cs="Times New Roman"/>
        </w:rPr>
        <w:t xml:space="preserve"> Khedhaouria et al., 2024), and arguably, this risk increases in professions working in the technology sector, where there is a high level of digital saturation</w:t>
      </w:r>
      <w:r w:rsidR="00D05352">
        <w:rPr>
          <w:rFonts w:ascii="Times New Roman" w:hAnsi="Times New Roman" w:cs="Times New Roman"/>
        </w:rPr>
        <w:t xml:space="preserve"> </w:t>
      </w:r>
      <w:r w:rsidR="00D05352" w:rsidRPr="00D05352">
        <w:rPr>
          <w:rFonts w:ascii="Times New Roman" w:hAnsi="Times New Roman" w:cs="Times New Roman"/>
        </w:rPr>
        <w:t>(Kniffin, 2021</w:t>
      </w:r>
      <w:r w:rsidR="00185F5F">
        <w:rPr>
          <w:rFonts w:ascii="Times New Roman" w:hAnsi="Times New Roman" w:cs="Times New Roman"/>
        </w:rPr>
        <w:t xml:space="preserve">; </w:t>
      </w:r>
      <w:r w:rsidR="00185F5F" w:rsidRPr="00185F5F">
        <w:rPr>
          <w:rFonts w:ascii="Times New Roman" w:hAnsi="Times New Roman" w:cs="Times New Roman"/>
        </w:rPr>
        <w:t>Tarafdar, Cooper and Stich, 2019</w:t>
      </w:r>
      <w:r w:rsidR="00D05352" w:rsidRPr="00D05352">
        <w:rPr>
          <w:rFonts w:ascii="Times New Roman" w:hAnsi="Times New Roman" w:cs="Times New Roman"/>
        </w:rPr>
        <w:t>)</w:t>
      </w:r>
      <w:r w:rsidR="00192670" w:rsidRPr="00390054">
        <w:rPr>
          <w:rFonts w:ascii="Times New Roman" w:hAnsi="Times New Roman" w:cs="Times New Roman"/>
        </w:rPr>
        <w:t>.</w:t>
      </w:r>
    </w:p>
    <w:p w14:paraId="39FFEF92" w14:textId="77777777" w:rsidR="0046604F" w:rsidRPr="00390054" w:rsidRDefault="00192670" w:rsidP="00390054">
      <w:pPr>
        <w:spacing w:after="120" w:line="360" w:lineRule="auto"/>
        <w:jc w:val="both"/>
        <w:rPr>
          <w:rFonts w:ascii="Times New Roman" w:hAnsi="Times New Roman" w:cs="Times New Roman"/>
        </w:rPr>
      </w:pPr>
      <w:r w:rsidRPr="00390054">
        <w:rPr>
          <w:rFonts w:ascii="Times New Roman" w:hAnsi="Times New Roman" w:cs="Times New Roman"/>
        </w:rPr>
        <w:t>The phenomenon of video conferencing fatigue</w:t>
      </w:r>
      <w:r w:rsidR="00982872" w:rsidRPr="00390054">
        <w:rPr>
          <w:rFonts w:ascii="Times New Roman" w:hAnsi="Times New Roman" w:cs="Times New Roman"/>
        </w:rPr>
        <w:t>, or Zoom fatigue, has become a particular and highly relevant issue for</w:t>
      </w:r>
      <w:r w:rsidRPr="00390054">
        <w:rPr>
          <w:rFonts w:ascii="Times New Roman" w:hAnsi="Times New Roman" w:cs="Times New Roman"/>
        </w:rPr>
        <w:t xml:space="preserve"> wellbeing. The cognitive and emotional </w:t>
      </w:r>
      <w:r w:rsidR="00982872" w:rsidRPr="00390054">
        <w:rPr>
          <w:rFonts w:ascii="Times New Roman" w:hAnsi="Times New Roman" w:cs="Times New Roman"/>
        </w:rPr>
        <w:t xml:space="preserve">costs of long-lasting video-mediated communication have been documented by Riedl (2021) and Queiroz et al. (2023) as reduced social connection despite </w:t>
      </w:r>
      <w:r w:rsidRPr="00390054">
        <w:rPr>
          <w:rFonts w:ascii="Times New Roman" w:hAnsi="Times New Roman" w:cs="Times New Roman"/>
        </w:rPr>
        <w:t xml:space="preserve">seemingly high communication frequency. This is especially noteworthy </w:t>
      </w:r>
      <w:r w:rsidR="00982872" w:rsidRPr="00390054">
        <w:rPr>
          <w:rFonts w:ascii="Times New Roman" w:hAnsi="Times New Roman" w:cs="Times New Roman"/>
        </w:rPr>
        <w:t xml:space="preserve">among employees in the technology industry, where workers </w:t>
      </w:r>
      <w:r w:rsidR="005701E4" w:rsidRPr="00390054">
        <w:rPr>
          <w:rFonts w:ascii="Times New Roman" w:hAnsi="Times New Roman" w:cs="Times New Roman"/>
        </w:rPr>
        <w:t>must hold several virtual meetings daily and may</w:t>
      </w:r>
      <w:r w:rsidR="00982872" w:rsidRPr="00390054">
        <w:rPr>
          <w:rFonts w:ascii="Times New Roman" w:hAnsi="Times New Roman" w:cs="Times New Roman"/>
        </w:rPr>
        <w:t xml:space="preserve"> also be creating or maintaining the digital devices that</w:t>
      </w:r>
      <w:r w:rsidRPr="00390054">
        <w:rPr>
          <w:rFonts w:ascii="Times New Roman" w:hAnsi="Times New Roman" w:cs="Times New Roman"/>
        </w:rPr>
        <w:t xml:space="preserve"> cause this fatigue</w:t>
      </w:r>
      <w:r w:rsidR="0046604F" w:rsidRPr="00390054">
        <w:rPr>
          <w:rFonts w:ascii="Times New Roman" w:hAnsi="Times New Roman" w:cs="Times New Roman"/>
        </w:rPr>
        <w:t>. Shoshan and Wehrt (2021) also concluded that video conferencing fatigue is associated with the absence of social encounter and a decline of subjective well-being, which are directly related to the current study.</w:t>
      </w:r>
    </w:p>
    <w:p w14:paraId="53EAC8D5" w14:textId="4BBAE49B" w:rsidR="00F33F08" w:rsidRPr="00390054" w:rsidRDefault="0046604F" w:rsidP="00390054">
      <w:pPr>
        <w:spacing w:after="120" w:line="360" w:lineRule="auto"/>
        <w:jc w:val="both"/>
        <w:rPr>
          <w:rFonts w:ascii="Times New Roman" w:hAnsi="Times New Roman" w:cs="Times New Roman"/>
        </w:rPr>
      </w:pPr>
      <w:r w:rsidRPr="00390054">
        <w:rPr>
          <w:rFonts w:ascii="Times New Roman" w:hAnsi="Times New Roman" w:cs="Times New Roman"/>
        </w:rPr>
        <w:t>A more recent and comprehensive review by Wishart (2025) makes clear that a literature gap has existed since at least the well-being implications of short-term remote work are well established, but the well-being implications of long-term, multi-year remote or hybrid work arrangements are poorly studied, particularly with regard to their long-term effect on psychological health and professional identity</w:t>
      </w:r>
      <w:r w:rsidR="00D05352">
        <w:rPr>
          <w:rFonts w:ascii="Times New Roman" w:hAnsi="Times New Roman" w:cs="Times New Roman"/>
        </w:rPr>
        <w:t xml:space="preserve"> </w:t>
      </w:r>
      <w:r w:rsidR="00D05352" w:rsidRPr="00D05352">
        <w:rPr>
          <w:rFonts w:ascii="Times New Roman" w:hAnsi="Times New Roman" w:cs="Times New Roman"/>
        </w:rPr>
        <w:t>(Koczerga, 2023)</w:t>
      </w:r>
      <w:r w:rsidRPr="00390054">
        <w:rPr>
          <w:rFonts w:ascii="Times New Roman" w:hAnsi="Times New Roman" w:cs="Times New Roman"/>
        </w:rPr>
        <w:t>. This vacuum is directly applicable to the suggested study, which is being placed in the post-pandemic setting of established, continuous remote and hybrid work.</w:t>
      </w:r>
    </w:p>
    <w:p w14:paraId="71276965" w14:textId="77777777" w:rsidR="00F33F08" w:rsidRPr="00390054" w:rsidRDefault="00000000" w:rsidP="007A1DB3">
      <w:pPr>
        <w:pStyle w:val="Heading2"/>
      </w:pPr>
      <w:bookmarkStart w:id="8" w:name="_Toc225770387"/>
      <w:r w:rsidRPr="00390054">
        <w:t>3.3 Organisational Belonging, Social Identity, and Remote Work</w:t>
      </w:r>
      <w:bookmarkEnd w:id="8"/>
    </w:p>
    <w:p w14:paraId="22A8E35C" w14:textId="34246A86" w:rsidR="00192670" w:rsidRPr="00390054" w:rsidRDefault="00192670"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sense of belonging to an organisation, a subjective feeling of being important, liked, and </w:t>
      </w:r>
      <w:r w:rsidR="00982872" w:rsidRPr="00390054">
        <w:rPr>
          <w:rFonts w:ascii="Times New Roman" w:hAnsi="Times New Roman" w:cs="Times New Roman"/>
        </w:rPr>
        <w:t>part of the workplace community, is a fundamental psychological need that has strong connections</w:t>
      </w:r>
      <w:r w:rsidRPr="00390054">
        <w:rPr>
          <w:rFonts w:ascii="Times New Roman" w:hAnsi="Times New Roman" w:cs="Times New Roman"/>
        </w:rPr>
        <w:t xml:space="preserve"> with engagement, commitment, and wellbeing (Baumeister and Leary, 1995). Its </w:t>
      </w:r>
      <w:r w:rsidRPr="00390054">
        <w:rPr>
          <w:rFonts w:ascii="Times New Roman" w:hAnsi="Times New Roman" w:cs="Times New Roman"/>
        </w:rPr>
        <w:lastRenderedPageBreak/>
        <w:t xml:space="preserve">applicability to remote working situations is gaining </w:t>
      </w:r>
      <w:r w:rsidR="00982872" w:rsidRPr="00390054">
        <w:rPr>
          <w:rFonts w:ascii="Times New Roman" w:hAnsi="Times New Roman" w:cs="Times New Roman"/>
        </w:rPr>
        <w:t>increasing recognition</w:t>
      </w:r>
      <w:r w:rsidRPr="00390054">
        <w:rPr>
          <w:rFonts w:ascii="Times New Roman" w:hAnsi="Times New Roman" w:cs="Times New Roman"/>
        </w:rPr>
        <w:t xml:space="preserve"> in the literature, though few studies have been conducted in practise (especially in sector-specific contexts) (Urrila et al., 2025</w:t>
      </w:r>
      <w:r w:rsidR="00E30A8D">
        <w:rPr>
          <w:rFonts w:ascii="Times New Roman" w:hAnsi="Times New Roman" w:cs="Times New Roman"/>
        </w:rPr>
        <w:t xml:space="preserve">; </w:t>
      </w:r>
      <w:r w:rsidR="00E30A8D" w:rsidRPr="00E30A8D">
        <w:rPr>
          <w:rFonts w:ascii="Times New Roman" w:hAnsi="Times New Roman" w:cs="Times New Roman"/>
        </w:rPr>
        <w:t>Contreras, Baykal and Abid, 2020</w:t>
      </w:r>
      <w:r w:rsidRPr="00390054">
        <w:rPr>
          <w:rFonts w:ascii="Times New Roman" w:hAnsi="Times New Roman" w:cs="Times New Roman"/>
        </w:rPr>
        <w:t>).</w:t>
      </w:r>
    </w:p>
    <w:p w14:paraId="4427026F" w14:textId="6B1AF9A8" w:rsidR="00192670" w:rsidRPr="00390054" w:rsidRDefault="00192670"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Social Identity Theory, </w:t>
      </w:r>
      <w:r w:rsidR="00982872" w:rsidRPr="00390054">
        <w:rPr>
          <w:rFonts w:ascii="Times New Roman" w:hAnsi="Times New Roman" w:cs="Times New Roman"/>
        </w:rPr>
        <w:t xml:space="preserve">formulated by Tajfel and Turner and later expanded by Hogg and Terry (2000), postulates that an individual derives a large part of his or her self-concept through membership in social groups, including the organisation in </w:t>
      </w:r>
      <w:r w:rsidRPr="00390054">
        <w:rPr>
          <w:rFonts w:ascii="Times New Roman" w:hAnsi="Times New Roman" w:cs="Times New Roman"/>
        </w:rPr>
        <w:t xml:space="preserve">which they work. The arrangements </w:t>
      </w:r>
      <w:r w:rsidR="00982872" w:rsidRPr="00390054">
        <w:rPr>
          <w:rFonts w:ascii="Times New Roman" w:hAnsi="Times New Roman" w:cs="Times New Roman"/>
        </w:rPr>
        <w:t xml:space="preserve">for remote working may lead to the breakdown of processes by which organisational social identity is established and sustained: </w:t>
      </w:r>
      <w:r w:rsidRPr="00390054">
        <w:rPr>
          <w:rFonts w:ascii="Times New Roman" w:hAnsi="Times New Roman" w:cs="Times New Roman"/>
        </w:rPr>
        <w:t>informal interactions, common physical space, and unplanned interpersonal interactions, which often help people identify with a team or an organisation (Bornewasser and Bober, 1987). According to Pronk (2024), the loss of these informal processes of relationships is one of the most serious and least valued effects of long-term remote work</w:t>
      </w:r>
      <w:r w:rsidR="00982872" w:rsidRPr="00390054">
        <w:rPr>
          <w:rFonts w:ascii="Times New Roman" w:hAnsi="Times New Roman" w:cs="Times New Roman"/>
        </w:rPr>
        <w:t>, and it outlines a progressive process of social thinning in</w:t>
      </w:r>
      <w:r w:rsidRPr="00390054">
        <w:rPr>
          <w:rFonts w:ascii="Times New Roman" w:hAnsi="Times New Roman" w:cs="Times New Roman"/>
        </w:rPr>
        <w:t xml:space="preserve"> organisational life.</w:t>
      </w:r>
    </w:p>
    <w:p w14:paraId="27953724" w14:textId="3CCD01B3" w:rsidR="00192670" w:rsidRPr="00390054" w:rsidRDefault="005701E4"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Empirical evidence shows that </w:t>
      </w:r>
      <w:r w:rsidR="00982872" w:rsidRPr="00390054">
        <w:rPr>
          <w:rFonts w:ascii="Times New Roman" w:hAnsi="Times New Roman" w:cs="Times New Roman"/>
        </w:rPr>
        <w:t>fear of remote work undermines</w:t>
      </w:r>
      <w:r w:rsidR="00192670" w:rsidRPr="00390054">
        <w:rPr>
          <w:rFonts w:ascii="Times New Roman" w:hAnsi="Times New Roman" w:cs="Times New Roman"/>
        </w:rPr>
        <w:t xml:space="preserve"> belonging. A study conducted by Charalampous, Grant</w:t>
      </w:r>
      <w:r w:rsidR="00982872" w:rsidRPr="00390054">
        <w:rPr>
          <w:rFonts w:ascii="Times New Roman" w:hAnsi="Times New Roman" w:cs="Times New Roman"/>
        </w:rPr>
        <w:t xml:space="preserve">, and Tramontano (2021) revealed that remote workers often felt they were not part of the organisational culture and </w:t>
      </w:r>
      <w:r w:rsidRPr="00390054">
        <w:rPr>
          <w:rFonts w:ascii="Times New Roman" w:hAnsi="Times New Roman" w:cs="Times New Roman"/>
        </w:rPr>
        <w:t xml:space="preserve">experienced difficulties </w:t>
      </w:r>
      <w:r w:rsidR="00982872" w:rsidRPr="00390054">
        <w:rPr>
          <w:rFonts w:ascii="Times New Roman" w:hAnsi="Times New Roman" w:cs="Times New Roman"/>
        </w:rPr>
        <w:t>establishing</w:t>
      </w:r>
      <w:r w:rsidR="00192670" w:rsidRPr="00390054">
        <w:rPr>
          <w:rFonts w:ascii="Times New Roman" w:hAnsi="Times New Roman" w:cs="Times New Roman"/>
        </w:rPr>
        <w:t xml:space="preserve"> purposeful collegial relationships. On the same note, Turnbull (2024) has presented two key organisational variables </w:t>
      </w:r>
      <w:r w:rsidR="00982872" w:rsidRPr="00390054">
        <w:rPr>
          <w:rFonts w:ascii="Times New Roman" w:hAnsi="Times New Roman" w:cs="Times New Roman"/>
        </w:rPr>
        <w:t>essential to sustaining remote belonging: deliberate leadership communication and the development of formalised avenues for</w:t>
      </w:r>
      <w:r w:rsidR="00192670" w:rsidRPr="00390054">
        <w:rPr>
          <w:rFonts w:ascii="Times New Roman" w:hAnsi="Times New Roman" w:cs="Times New Roman"/>
        </w:rPr>
        <w:t xml:space="preserve"> informal social exchange within virtual settings. Interestingly, but not to be overlooked, also in the literature, there are opposing results, namely that Chafi, Hultberg and Bozic Yams (2021) discovered that there are employees who, despite the presence of hybrid working, experienced an increased autonomy and personally meaningful involvement with organisational identity, especially those who have already built pre-pandemic social networks in their organisation.</w:t>
      </w:r>
    </w:p>
    <w:p w14:paraId="7DB1837C" w14:textId="1051B10D" w:rsidR="00F33F08" w:rsidRPr="00390054" w:rsidRDefault="00192670"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inclusion model </w:t>
      </w:r>
      <w:r w:rsidR="005701E4" w:rsidRPr="00390054">
        <w:rPr>
          <w:rFonts w:ascii="Times New Roman" w:hAnsi="Times New Roman" w:cs="Times New Roman"/>
        </w:rPr>
        <w:t>developed by Shore et al. (2011) and further elaborated by Randel et al. (2018) is a useful way to explain the phenomenon of belonging in</w:t>
      </w:r>
      <w:r w:rsidRPr="00390054">
        <w:rPr>
          <w:rFonts w:ascii="Times New Roman" w:hAnsi="Times New Roman" w:cs="Times New Roman"/>
        </w:rPr>
        <w:t xml:space="preserve"> an organisational setting</w:t>
      </w:r>
      <w:r w:rsidR="00982872" w:rsidRPr="00390054">
        <w:rPr>
          <w:rFonts w:ascii="Times New Roman" w:hAnsi="Times New Roman" w:cs="Times New Roman"/>
        </w:rPr>
        <w:t>. According</w:t>
      </w:r>
      <w:r w:rsidRPr="00390054">
        <w:rPr>
          <w:rFonts w:ascii="Times New Roman" w:hAnsi="Times New Roman" w:cs="Times New Roman"/>
        </w:rPr>
        <w:t xml:space="preserve"> to the model, there is a distinction between belonging (the notion of being a full member of the work group) and uniqueness (the notion of being valued due to the distinct contribution he/she makes to the work group). The two dimensions are both at risk</w:t>
      </w:r>
      <w:r w:rsidR="00982872" w:rsidRPr="00390054">
        <w:rPr>
          <w:rFonts w:ascii="Times New Roman" w:hAnsi="Times New Roman" w:cs="Times New Roman"/>
        </w:rPr>
        <w:t>, as working remotely can diminish visibility and informal recognition</w:t>
      </w:r>
      <w:r w:rsidRPr="00390054">
        <w:rPr>
          <w:rFonts w:ascii="Times New Roman" w:hAnsi="Times New Roman" w:cs="Times New Roman"/>
        </w:rPr>
        <w:t xml:space="preserve"> and restrict spontaneous social interactions, where such valuation is usually conveyed. </w:t>
      </w:r>
    </w:p>
    <w:p w14:paraId="1E0E2DD3" w14:textId="77777777" w:rsidR="00F33F08" w:rsidRPr="00390054" w:rsidRDefault="00000000" w:rsidP="007A1DB3">
      <w:pPr>
        <w:pStyle w:val="Heading2"/>
      </w:pPr>
      <w:bookmarkStart w:id="9" w:name="_Toc225770388"/>
      <w:r w:rsidRPr="00390054">
        <w:t>3.4 Theoretical Frameworks</w:t>
      </w:r>
      <w:bookmarkEnd w:id="9"/>
    </w:p>
    <w:p w14:paraId="382C397B" w14:textId="111B3756" w:rsidR="00192670" w:rsidRPr="00390054" w:rsidRDefault="00192670" w:rsidP="00390054">
      <w:pPr>
        <w:spacing w:after="120" w:line="360" w:lineRule="auto"/>
        <w:jc w:val="both"/>
        <w:rPr>
          <w:rFonts w:ascii="Times New Roman" w:hAnsi="Times New Roman" w:cs="Times New Roman"/>
        </w:rPr>
      </w:pPr>
      <w:r w:rsidRPr="00390054">
        <w:rPr>
          <w:rFonts w:ascii="Times New Roman" w:hAnsi="Times New Roman" w:cs="Times New Roman"/>
        </w:rPr>
        <w:lastRenderedPageBreak/>
        <w:t xml:space="preserve">This paper </w:t>
      </w:r>
      <w:r w:rsidR="00982872" w:rsidRPr="00390054">
        <w:rPr>
          <w:rFonts w:ascii="Times New Roman" w:hAnsi="Times New Roman" w:cs="Times New Roman"/>
        </w:rPr>
        <w:t xml:space="preserve">draws on three complementary theoretical frameworks to inform the research design </w:t>
      </w:r>
      <w:r w:rsidRPr="00390054">
        <w:rPr>
          <w:rFonts w:ascii="Times New Roman" w:hAnsi="Times New Roman" w:cs="Times New Roman"/>
        </w:rPr>
        <w:t xml:space="preserve">and the interpretation of the findings. They are combined to create a multi-layered lens through which </w:t>
      </w:r>
      <w:r w:rsidR="00982872" w:rsidRPr="00390054">
        <w:rPr>
          <w:rFonts w:ascii="Times New Roman" w:hAnsi="Times New Roman" w:cs="Times New Roman"/>
        </w:rPr>
        <w:t xml:space="preserve">remote workers' multi-level and even conflicting experiences </w:t>
      </w:r>
      <w:r w:rsidRPr="00390054">
        <w:rPr>
          <w:rFonts w:ascii="Times New Roman" w:hAnsi="Times New Roman" w:cs="Times New Roman"/>
        </w:rPr>
        <w:t>can be interpreted.</w:t>
      </w:r>
    </w:p>
    <w:p w14:paraId="13A6011F" w14:textId="5941DADB" w:rsidR="00192670" w:rsidRPr="00390054" w:rsidRDefault="00192670" w:rsidP="00390054">
      <w:pPr>
        <w:pStyle w:val="ListParagraph"/>
        <w:numPr>
          <w:ilvl w:val="0"/>
          <w:numId w:val="2"/>
        </w:numPr>
        <w:spacing w:after="120" w:line="360" w:lineRule="auto"/>
        <w:jc w:val="both"/>
        <w:rPr>
          <w:rFonts w:ascii="Times New Roman" w:hAnsi="Times New Roman" w:cs="Times New Roman"/>
        </w:rPr>
      </w:pPr>
      <w:r w:rsidRPr="00390054">
        <w:rPr>
          <w:rFonts w:ascii="Times New Roman" w:hAnsi="Times New Roman" w:cs="Times New Roman"/>
          <w:b/>
          <w:bCs/>
        </w:rPr>
        <w:t>Self-Determination Theory (SDT):</w:t>
      </w:r>
      <w:r w:rsidRPr="00390054">
        <w:rPr>
          <w:rFonts w:ascii="Times New Roman" w:hAnsi="Times New Roman" w:cs="Times New Roman"/>
        </w:rPr>
        <w:t xml:space="preserve"> SDT is a theory that was developed by Deci and Ryan (2000) and it argues that human psychological wellbeing is reliant on the fulfilment of three fundamental needs; autonomy (the experience of volition and self-control), competence (the experience of effectiveness and mastery), and relatedness (the experience of meaningful connexion with others). Remote working practises can be both helpful and harmful </w:t>
      </w:r>
      <w:r w:rsidR="00982872" w:rsidRPr="00390054">
        <w:rPr>
          <w:rFonts w:ascii="Times New Roman" w:hAnsi="Times New Roman" w:cs="Times New Roman"/>
        </w:rPr>
        <w:t>to these requirements: they can liberate some people and alienate others, affecting the social relationships on which wellbeing and belonging rely</w:t>
      </w:r>
      <w:r w:rsidRPr="00390054">
        <w:rPr>
          <w:rFonts w:ascii="Times New Roman" w:hAnsi="Times New Roman" w:cs="Times New Roman"/>
        </w:rPr>
        <w:t xml:space="preserve">. Ross and Barnes (2018) </w:t>
      </w:r>
      <w:r w:rsidR="00982872" w:rsidRPr="00390054">
        <w:rPr>
          <w:rFonts w:ascii="Times New Roman" w:hAnsi="Times New Roman" w:cs="Times New Roman"/>
        </w:rPr>
        <w:t>and Tiffin et al. (2024) have already applied SDT to the workplace health setting, providing empirical support for its use in</w:t>
      </w:r>
      <w:r w:rsidRPr="00390054">
        <w:rPr>
          <w:rFonts w:ascii="Times New Roman" w:hAnsi="Times New Roman" w:cs="Times New Roman"/>
        </w:rPr>
        <w:t xml:space="preserve"> this context.</w:t>
      </w:r>
    </w:p>
    <w:p w14:paraId="6285C924" w14:textId="5EF11149" w:rsidR="00192670" w:rsidRPr="00390054" w:rsidRDefault="00192670" w:rsidP="00390054">
      <w:pPr>
        <w:pStyle w:val="ListParagraph"/>
        <w:numPr>
          <w:ilvl w:val="0"/>
          <w:numId w:val="2"/>
        </w:numPr>
        <w:spacing w:after="120" w:line="360" w:lineRule="auto"/>
        <w:jc w:val="both"/>
        <w:rPr>
          <w:rFonts w:ascii="Times New Roman" w:hAnsi="Times New Roman" w:cs="Times New Roman"/>
        </w:rPr>
      </w:pPr>
      <w:r w:rsidRPr="00390054">
        <w:rPr>
          <w:rFonts w:ascii="Times New Roman" w:hAnsi="Times New Roman" w:cs="Times New Roman"/>
          <w:b/>
          <w:bCs/>
        </w:rPr>
        <w:t>Social Identity Theory (SIT):</w:t>
      </w:r>
      <w:r w:rsidRPr="00390054">
        <w:rPr>
          <w:rFonts w:ascii="Times New Roman" w:hAnsi="Times New Roman" w:cs="Times New Roman"/>
        </w:rPr>
        <w:t xml:space="preserve"> In the above section, it has been noted that SIT (Hogg and Terry, 2000) is the theory that offers the theoretical framework of studying belonging and team identity in distributed environments. The fact that its focus lies in in-group identification and </w:t>
      </w:r>
      <w:r w:rsidR="00982872" w:rsidRPr="00390054">
        <w:rPr>
          <w:rFonts w:ascii="Times New Roman" w:hAnsi="Times New Roman" w:cs="Times New Roman"/>
        </w:rPr>
        <w:t xml:space="preserve">the psychological salience of being a member of a group provides a conceptual vocabulary that can be used to explain why employees might develop </w:t>
      </w:r>
      <w:r w:rsidRPr="00390054">
        <w:rPr>
          <w:rFonts w:ascii="Times New Roman" w:hAnsi="Times New Roman" w:cs="Times New Roman"/>
        </w:rPr>
        <w:t>diminished organisational identification in the absence or diminished presence of the physical and social indicators that normally support group identity</w:t>
      </w:r>
      <w:r w:rsidR="000252D7">
        <w:rPr>
          <w:rFonts w:ascii="Times New Roman" w:hAnsi="Times New Roman" w:cs="Times New Roman"/>
        </w:rPr>
        <w:t xml:space="preserve"> </w:t>
      </w:r>
      <w:r w:rsidR="000252D7" w:rsidRPr="000252D7">
        <w:rPr>
          <w:rFonts w:ascii="Times New Roman" w:hAnsi="Times New Roman" w:cs="Times New Roman"/>
        </w:rPr>
        <w:t>(Gkinko and Elbanna, 2022)</w:t>
      </w:r>
      <w:r w:rsidRPr="00390054">
        <w:rPr>
          <w:rFonts w:ascii="Times New Roman" w:hAnsi="Times New Roman" w:cs="Times New Roman"/>
        </w:rPr>
        <w:t>.</w:t>
      </w:r>
    </w:p>
    <w:p w14:paraId="418263D6" w14:textId="3813027D" w:rsidR="00192670" w:rsidRPr="00390054" w:rsidRDefault="00192670" w:rsidP="00390054">
      <w:pPr>
        <w:pStyle w:val="ListParagraph"/>
        <w:numPr>
          <w:ilvl w:val="0"/>
          <w:numId w:val="2"/>
        </w:numPr>
        <w:spacing w:after="120" w:line="360" w:lineRule="auto"/>
        <w:jc w:val="both"/>
        <w:rPr>
          <w:rFonts w:ascii="Times New Roman" w:hAnsi="Times New Roman" w:cs="Times New Roman"/>
        </w:rPr>
      </w:pPr>
      <w:r w:rsidRPr="00390054">
        <w:rPr>
          <w:rFonts w:ascii="Times New Roman" w:hAnsi="Times New Roman" w:cs="Times New Roman"/>
          <w:b/>
          <w:bCs/>
        </w:rPr>
        <w:t>Job Demands- Resources (JD-R) Model:</w:t>
      </w:r>
      <w:r w:rsidRPr="00390054">
        <w:rPr>
          <w:rFonts w:ascii="Times New Roman" w:hAnsi="Times New Roman" w:cs="Times New Roman"/>
        </w:rPr>
        <w:t xml:space="preserve"> The JD-R model (Karatuna, Jonsson and Muhonen, 2022; Wang et al., 2021) conceptualises wellbeing as a consequence of the relationship between job demands (stressors that drain resources in terms of psychological and physical resources), or job resources (factors that enable goal attainment and alleviate the strain). This framework </w:t>
      </w:r>
      <w:r w:rsidR="00982872" w:rsidRPr="00390054">
        <w:rPr>
          <w:rFonts w:ascii="Times New Roman" w:hAnsi="Times New Roman" w:cs="Times New Roman"/>
        </w:rPr>
        <w:t>clarifies how the lack of commuting and increased flexibility in work schedules can be viewed as a resource in remote work situations, and how digital overload, blurred boundaries, and social isolation can be regarded as demands in such situations</w:t>
      </w:r>
      <w:r w:rsidRPr="00390054">
        <w:rPr>
          <w:rFonts w:ascii="Times New Roman" w:hAnsi="Times New Roman" w:cs="Times New Roman"/>
        </w:rPr>
        <w:t xml:space="preserve">. The model offers a structural framework that explains why </w:t>
      </w:r>
      <w:r w:rsidR="005701E4" w:rsidRPr="00390054">
        <w:rPr>
          <w:rFonts w:ascii="Times New Roman" w:hAnsi="Times New Roman" w:cs="Times New Roman"/>
        </w:rPr>
        <w:t>well-being outcomes under remote work are not homogeneous across</w:t>
      </w:r>
      <w:r w:rsidRPr="00390054">
        <w:rPr>
          <w:rFonts w:ascii="Times New Roman" w:hAnsi="Times New Roman" w:cs="Times New Roman"/>
        </w:rPr>
        <w:t xml:space="preserve"> people and positions.</w:t>
      </w:r>
    </w:p>
    <w:p w14:paraId="5CDD694A" w14:textId="1E816F77" w:rsidR="00F33F08" w:rsidRPr="00390054" w:rsidRDefault="00192670"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combination of these three frameworks is a form of rationalised theoretical pluralism: it does not give preference to one of the three perspectives, but instead uses them as </w:t>
      </w:r>
      <w:r w:rsidRPr="00390054">
        <w:rPr>
          <w:rFonts w:ascii="Times New Roman" w:hAnsi="Times New Roman" w:cs="Times New Roman"/>
        </w:rPr>
        <w:lastRenderedPageBreak/>
        <w:t xml:space="preserve">complementary lenses, each </w:t>
      </w:r>
      <w:r w:rsidR="00982872" w:rsidRPr="00390054">
        <w:rPr>
          <w:rFonts w:ascii="Times New Roman" w:hAnsi="Times New Roman" w:cs="Times New Roman"/>
        </w:rPr>
        <w:t>with varying dimensions that complement</w:t>
      </w:r>
      <w:r w:rsidRPr="00390054">
        <w:rPr>
          <w:rFonts w:ascii="Times New Roman" w:hAnsi="Times New Roman" w:cs="Times New Roman"/>
        </w:rPr>
        <w:t xml:space="preserve"> one another, of the remote work experience. This method is appropriate because it is consistent with the interpretivist epistemological position used in the research</w:t>
      </w:r>
      <w:r w:rsidR="005701E4" w:rsidRPr="00390054">
        <w:rPr>
          <w:rFonts w:ascii="Times New Roman" w:hAnsi="Times New Roman" w:cs="Times New Roman"/>
        </w:rPr>
        <w:t xml:space="preserve"> and because of</w:t>
      </w:r>
      <w:r w:rsidRPr="00390054">
        <w:rPr>
          <w:rFonts w:ascii="Times New Roman" w:hAnsi="Times New Roman" w:cs="Times New Roman"/>
        </w:rPr>
        <w:t xml:space="preserve"> the complexity of the phenomenon being studied. Rich qualitative inquiry, as Creswell and Poth (2018) suggest, usually allows a variety of theoretical sensitising devices to inform the interpretive process, but not to restrict it. </w:t>
      </w:r>
    </w:p>
    <w:p w14:paraId="06A6FC51" w14:textId="54A201DF" w:rsidR="00C917EC" w:rsidRPr="00390054" w:rsidRDefault="004D31A3" w:rsidP="00390054">
      <w:pPr>
        <w:spacing w:after="120" w:line="360" w:lineRule="auto"/>
        <w:jc w:val="both"/>
        <w:rPr>
          <w:rFonts w:ascii="Times New Roman" w:hAnsi="Times New Roman" w:cs="Times New Roman"/>
        </w:rPr>
      </w:pPr>
      <w:r w:rsidRPr="00390054">
        <w:rPr>
          <w:rFonts w:ascii="Times New Roman" w:hAnsi="Times New Roman" w:cs="Times New Roman"/>
          <w:noProof/>
        </w:rPr>
        <w:drawing>
          <wp:inline distT="0" distB="0" distL="0" distR="0" wp14:anchorId="55E2B193" wp14:editId="01403937">
            <wp:extent cx="5484856" cy="1969038"/>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486400" cy="1969592"/>
                    </a:xfrm>
                    <a:prstGeom prst="rect">
                      <a:avLst/>
                    </a:prstGeom>
                    <a:noFill/>
                    <a:ln>
                      <a:noFill/>
                    </a:ln>
                    <a:extLst>
                      <a:ext uri="{53640926-AAD7-44D8-BBD7-CCE9431645EC}">
                        <a14:shadowObscured xmlns:a14="http://schemas.microsoft.com/office/drawing/2010/main"/>
                      </a:ext>
                    </a:extLst>
                  </pic:spPr>
                </pic:pic>
              </a:graphicData>
            </a:graphic>
          </wp:inline>
        </w:drawing>
      </w:r>
    </w:p>
    <w:p w14:paraId="64BBC422"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i/>
          <w:iCs/>
          <w:color w:val="555555"/>
          <w:sz w:val="20"/>
          <w:szCs w:val="20"/>
        </w:rPr>
        <w:t>Figure 1: Conceptual Framework Linking Remote Working, Wellbeing, and Belonging</w:t>
      </w:r>
    </w:p>
    <w:p w14:paraId="126031BC" w14:textId="77777777" w:rsidR="00F33F08" w:rsidRPr="00390054" w:rsidRDefault="00000000" w:rsidP="007A1DB3">
      <w:pPr>
        <w:pStyle w:val="Heading2"/>
      </w:pPr>
      <w:bookmarkStart w:id="10" w:name="_Toc225770389"/>
      <w:r w:rsidRPr="00390054">
        <w:t>3.5 Research Gap</w:t>
      </w:r>
      <w:bookmarkEnd w:id="10"/>
    </w:p>
    <w:p w14:paraId="096F6983" w14:textId="1386AB91" w:rsidR="00F33F08" w:rsidRPr="00390054" w:rsidRDefault="00D678BB"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Although the literature on remote work has </w:t>
      </w:r>
      <w:r w:rsidR="005701E4" w:rsidRPr="00390054">
        <w:rPr>
          <w:rFonts w:ascii="Times New Roman" w:hAnsi="Times New Roman" w:cs="Times New Roman"/>
        </w:rPr>
        <w:t>expanded significantly since 2020, certain gaps remain</w:t>
      </w:r>
      <w:r w:rsidRPr="00390054">
        <w:rPr>
          <w:rFonts w:ascii="Times New Roman" w:hAnsi="Times New Roman" w:cs="Times New Roman"/>
        </w:rPr>
        <w:t xml:space="preserve"> significant. First, most quantitative studies operationalise wellbeing </w:t>
      </w:r>
      <w:r w:rsidR="005701E4" w:rsidRPr="00390054">
        <w:rPr>
          <w:rFonts w:ascii="Times New Roman" w:hAnsi="Times New Roman" w:cs="Times New Roman"/>
        </w:rPr>
        <w:t xml:space="preserve">using standardised psychological scales, which, despite methodological consistency, cannot capture the subtle, contextually implicated meanings </w:t>
      </w:r>
      <w:r w:rsidRPr="00390054">
        <w:rPr>
          <w:rFonts w:ascii="Times New Roman" w:hAnsi="Times New Roman" w:cs="Times New Roman"/>
        </w:rPr>
        <w:t xml:space="preserve">individuals apply to their experiences </w:t>
      </w:r>
      <w:r w:rsidR="000D5FB7" w:rsidRPr="000D5FB7">
        <w:rPr>
          <w:rFonts w:ascii="Times New Roman" w:hAnsi="Times New Roman" w:cs="Times New Roman"/>
        </w:rPr>
        <w:t>(Grant et al., 2019)</w:t>
      </w:r>
      <w:r w:rsidRPr="00390054">
        <w:rPr>
          <w:rFonts w:ascii="Times New Roman" w:hAnsi="Times New Roman" w:cs="Times New Roman"/>
        </w:rPr>
        <w:t xml:space="preserve">. Second, </w:t>
      </w:r>
      <w:r w:rsidR="005701E4" w:rsidRPr="00390054">
        <w:rPr>
          <w:rFonts w:ascii="Times New Roman" w:hAnsi="Times New Roman" w:cs="Times New Roman"/>
        </w:rPr>
        <w:t xml:space="preserve">qualitative research on the UK technology sector is limited given the sector's size and economic importance </w:t>
      </w:r>
      <w:r w:rsidRPr="00390054">
        <w:rPr>
          <w:rFonts w:ascii="Times New Roman" w:hAnsi="Times New Roman" w:cs="Times New Roman"/>
        </w:rPr>
        <w:t xml:space="preserve">(Wishart, 2025). Third, a comparative analysis of the belonging experiences of fully remote and hybrid workers in the same industry environment is </w:t>
      </w:r>
      <w:r w:rsidR="005701E4" w:rsidRPr="00390054">
        <w:rPr>
          <w:rFonts w:ascii="Times New Roman" w:hAnsi="Times New Roman" w:cs="Times New Roman"/>
        </w:rPr>
        <w:t>largely absent from</w:t>
      </w:r>
      <w:r w:rsidRPr="00390054">
        <w:rPr>
          <w:rFonts w:ascii="Times New Roman" w:hAnsi="Times New Roman" w:cs="Times New Roman"/>
        </w:rPr>
        <w:t xml:space="preserve"> the current literature</w:t>
      </w:r>
      <w:r w:rsidR="000D5FB7">
        <w:rPr>
          <w:rFonts w:ascii="Times New Roman" w:hAnsi="Times New Roman" w:cs="Times New Roman"/>
        </w:rPr>
        <w:t xml:space="preserve"> </w:t>
      </w:r>
      <w:r w:rsidR="000D5FB7" w:rsidRPr="000D5FB7">
        <w:rPr>
          <w:rFonts w:ascii="Times New Roman" w:hAnsi="Times New Roman" w:cs="Times New Roman"/>
        </w:rPr>
        <w:t>(Gratton, 2021</w:t>
      </w:r>
      <w:r w:rsidR="00185F5F">
        <w:rPr>
          <w:rFonts w:ascii="Times New Roman" w:hAnsi="Times New Roman" w:cs="Times New Roman"/>
        </w:rPr>
        <w:t xml:space="preserve">; </w:t>
      </w:r>
      <w:r w:rsidR="00185F5F" w:rsidRPr="00185F5F">
        <w:rPr>
          <w:rFonts w:ascii="Times New Roman" w:hAnsi="Times New Roman" w:cs="Times New Roman"/>
        </w:rPr>
        <w:t>Surányi, 202</w:t>
      </w:r>
      <w:r w:rsidR="000D5FB7" w:rsidRPr="000D5FB7">
        <w:rPr>
          <w:rFonts w:ascii="Times New Roman" w:hAnsi="Times New Roman" w:cs="Times New Roman"/>
        </w:rPr>
        <w:t>)</w:t>
      </w:r>
      <w:r w:rsidRPr="00390054">
        <w:rPr>
          <w:rFonts w:ascii="Times New Roman" w:hAnsi="Times New Roman" w:cs="Times New Roman"/>
        </w:rPr>
        <w:t xml:space="preserve">. This paper effectively answers all three gaps and makes its qualitative, comparative, sector-oriented design original and important. </w:t>
      </w:r>
    </w:p>
    <w:p w14:paraId="50ABF0BC" w14:textId="77777777" w:rsidR="00390054" w:rsidRDefault="00390054">
      <w:pPr>
        <w:rPr>
          <w:rFonts w:ascii="Times New Roman" w:hAnsi="Times New Roman" w:cs="Times New Roman"/>
          <w:b/>
          <w:bCs/>
          <w:color w:val="1F3864"/>
          <w:sz w:val="32"/>
          <w:szCs w:val="32"/>
        </w:rPr>
      </w:pPr>
      <w:r>
        <w:rPr>
          <w:rFonts w:ascii="Times New Roman" w:hAnsi="Times New Roman" w:cs="Times New Roman"/>
        </w:rPr>
        <w:br w:type="page"/>
      </w:r>
    </w:p>
    <w:p w14:paraId="122F81C9" w14:textId="51DAC45C" w:rsidR="00F33F08" w:rsidRPr="007A1DB3" w:rsidRDefault="00000000" w:rsidP="007A1DB3">
      <w:pPr>
        <w:pStyle w:val="Heading1"/>
      </w:pPr>
      <w:bookmarkStart w:id="11" w:name="_Toc225770390"/>
      <w:r w:rsidRPr="007A1DB3">
        <w:lastRenderedPageBreak/>
        <w:t>4. Research Philosophy and Methodology</w:t>
      </w:r>
      <w:bookmarkEnd w:id="11"/>
    </w:p>
    <w:p w14:paraId="703D8BF5" w14:textId="0392A36C" w:rsidR="00F33F08" w:rsidRPr="00390054" w:rsidRDefault="004D31A3" w:rsidP="00390054">
      <w:pPr>
        <w:spacing w:after="120" w:line="360" w:lineRule="auto"/>
        <w:jc w:val="both"/>
        <w:rPr>
          <w:rFonts w:ascii="Times New Roman" w:hAnsi="Times New Roman" w:cs="Times New Roman"/>
        </w:rPr>
      </w:pPr>
      <w:r w:rsidRPr="00390054">
        <w:rPr>
          <w:rFonts w:ascii="Times New Roman" w:hAnsi="Times New Roman" w:cs="Times New Roman"/>
          <w:noProof/>
        </w:rPr>
        <w:drawing>
          <wp:inline distT="0" distB="0" distL="0" distR="0" wp14:anchorId="3FEC927F" wp14:editId="05A40AD5">
            <wp:extent cx="5682328" cy="2890911"/>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689207" cy="2894411"/>
                    </a:xfrm>
                    <a:prstGeom prst="rect">
                      <a:avLst/>
                    </a:prstGeom>
                    <a:noFill/>
                    <a:ln>
                      <a:noFill/>
                    </a:ln>
                    <a:extLst>
                      <a:ext uri="{53640926-AAD7-44D8-BBD7-CCE9431645EC}">
                        <a14:shadowObscured xmlns:a14="http://schemas.microsoft.com/office/drawing/2010/main"/>
                      </a:ext>
                    </a:extLst>
                  </pic:spPr>
                </pic:pic>
              </a:graphicData>
            </a:graphic>
          </wp:inline>
        </w:drawing>
      </w:r>
    </w:p>
    <w:p w14:paraId="769B5328"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i/>
          <w:iCs/>
          <w:color w:val="555555"/>
          <w:sz w:val="20"/>
          <w:szCs w:val="20"/>
        </w:rPr>
        <w:t>Figure 2: Research Onion (adapted from Saunders, Lewis and Thornhill, 2023)</w:t>
      </w:r>
    </w:p>
    <w:p w14:paraId="3FD20D9B" w14:textId="77777777" w:rsidR="00F33F08" w:rsidRPr="00390054" w:rsidRDefault="00000000" w:rsidP="007A1DB3">
      <w:pPr>
        <w:pStyle w:val="Heading2"/>
      </w:pPr>
      <w:bookmarkStart w:id="12" w:name="_Toc225770391"/>
      <w:r w:rsidRPr="00390054">
        <w:t>4.1 Research Philosophy: Interpretivism</w:t>
      </w:r>
      <w:bookmarkEnd w:id="12"/>
    </w:p>
    <w:p w14:paraId="7E441356" w14:textId="319D1770" w:rsidR="00D678BB" w:rsidRPr="00390054" w:rsidRDefault="00D678BB"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w:t>
      </w:r>
      <w:r w:rsidR="005701E4" w:rsidRPr="00390054">
        <w:rPr>
          <w:rFonts w:ascii="Times New Roman" w:hAnsi="Times New Roman" w:cs="Times New Roman"/>
        </w:rPr>
        <w:t>study assumes an interpretivist philosophical stance, grounded in a</w:t>
      </w:r>
      <w:r w:rsidRPr="00390054">
        <w:rPr>
          <w:rFonts w:ascii="Times New Roman" w:hAnsi="Times New Roman" w:cs="Times New Roman"/>
        </w:rPr>
        <w:t xml:space="preserve"> constructivist ontology. Interpretivism </w:t>
      </w:r>
      <w:r w:rsidR="005701E4" w:rsidRPr="00390054">
        <w:rPr>
          <w:rFonts w:ascii="Times New Roman" w:hAnsi="Times New Roman" w:cs="Times New Roman"/>
        </w:rPr>
        <w:t>holds that social reality is not a fixed, objective object to be measured and quantified, but an array of meanings created by individuals through</w:t>
      </w:r>
      <w:r w:rsidRPr="00390054">
        <w:rPr>
          <w:rFonts w:ascii="Times New Roman" w:hAnsi="Times New Roman" w:cs="Times New Roman"/>
        </w:rPr>
        <w:t xml:space="preserve"> their lived experiences and social interactions (Creswell and Poth, 2018). This standpoint directly relates to the current study</w:t>
      </w:r>
      <w:r w:rsidR="00982872" w:rsidRPr="00390054">
        <w:rPr>
          <w:rFonts w:ascii="Times New Roman" w:hAnsi="Times New Roman" w:cs="Times New Roman"/>
        </w:rPr>
        <w:t xml:space="preserve">, which is </w:t>
      </w:r>
      <w:r w:rsidR="005701E4" w:rsidRPr="00390054">
        <w:rPr>
          <w:rFonts w:ascii="Times New Roman" w:hAnsi="Times New Roman" w:cs="Times New Roman"/>
        </w:rPr>
        <w:t xml:space="preserve">specifically interested in </w:t>
      </w:r>
      <w:r w:rsidR="001B35E3" w:rsidRPr="00390054">
        <w:rPr>
          <w:rFonts w:ascii="Times New Roman" w:hAnsi="Times New Roman" w:cs="Times New Roman"/>
        </w:rPr>
        <w:t>employees' subjective interpretations of</w:t>
      </w:r>
      <w:r w:rsidR="005701E4" w:rsidRPr="00390054">
        <w:rPr>
          <w:rFonts w:ascii="Times New Roman" w:hAnsi="Times New Roman" w:cs="Times New Roman"/>
        </w:rPr>
        <w:t xml:space="preserve"> their remote or hybrid working experiences and how these interpretations correlate with their well-being and </w:t>
      </w:r>
      <w:r w:rsidRPr="00390054">
        <w:rPr>
          <w:rFonts w:ascii="Times New Roman" w:hAnsi="Times New Roman" w:cs="Times New Roman"/>
        </w:rPr>
        <w:t xml:space="preserve">sense of belonging. The research goal is not to set forth general causal laws to regulate the consequences of remote work, but to build </w:t>
      </w:r>
      <w:r w:rsidR="001B35E3" w:rsidRPr="00390054">
        <w:rPr>
          <w:rFonts w:ascii="Times New Roman" w:hAnsi="Times New Roman" w:cs="Times New Roman"/>
        </w:rPr>
        <w:t xml:space="preserve">a nuanced, highly contextualised sense of the variety </w:t>
      </w:r>
      <w:r w:rsidRPr="00390054">
        <w:rPr>
          <w:rFonts w:ascii="Times New Roman" w:hAnsi="Times New Roman" w:cs="Times New Roman"/>
        </w:rPr>
        <w:t>and often conflicting experiences of such arrangements.</w:t>
      </w:r>
    </w:p>
    <w:p w14:paraId="14A6D370" w14:textId="12EA63EE" w:rsidR="00D678BB" w:rsidRPr="00390054" w:rsidRDefault="00D678BB"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Epistemological reasons justify </w:t>
      </w:r>
      <w:r w:rsidR="001B35E3" w:rsidRPr="00390054">
        <w:rPr>
          <w:rFonts w:ascii="Times New Roman" w:hAnsi="Times New Roman" w:cs="Times New Roman"/>
        </w:rPr>
        <w:t xml:space="preserve">adopting interpretivism, but practical reasons for addressing the </w:t>
      </w:r>
      <w:r w:rsidRPr="00390054">
        <w:rPr>
          <w:rFonts w:ascii="Times New Roman" w:hAnsi="Times New Roman" w:cs="Times New Roman"/>
        </w:rPr>
        <w:t xml:space="preserve">research questions are also acceptable. Since the questions used in this research start with the phrase </w:t>
      </w:r>
      <w:r w:rsidR="001B35E3" w:rsidRPr="00390054">
        <w:rPr>
          <w:rFonts w:ascii="Times New Roman" w:hAnsi="Times New Roman" w:cs="Times New Roman"/>
        </w:rPr>
        <w:t>'how' and 'in what ways,' as do all four questions of this study</w:t>
      </w:r>
      <w:r w:rsidR="00982872" w:rsidRPr="00390054">
        <w:rPr>
          <w:rFonts w:ascii="Times New Roman" w:hAnsi="Times New Roman" w:cs="Times New Roman"/>
        </w:rPr>
        <w:t>, they are structurally predisposed to the type of contextual, experiential, and relational meanings that interpretivist inquiry is set to discover</w:t>
      </w:r>
      <w:r w:rsidRPr="00390054">
        <w:rPr>
          <w:rFonts w:ascii="Times New Roman" w:hAnsi="Times New Roman" w:cs="Times New Roman"/>
        </w:rPr>
        <w:t xml:space="preserve">. With a positivist approach, in </w:t>
      </w:r>
      <w:r w:rsidR="001B35E3" w:rsidRPr="00390054">
        <w:rPr>
          <w:rFonts w:ascii="Times New Roman" w:hAnsi="Times New Roman" w:cs="Times New Roman"/>
        </w:rPr>
        <w:t>turn, the operationalisation of wellbeing and belonging as quantifiable variables and the testing of predetermined hypotheses would be required, a design that would preclude precisely the sort of open-ended exploration that the research gap in</w:t>
      </w:r>
      <w:r w:rsidRPr="00390054">
        <w:rPr>
          <w:rFonts w:ascii="Times New Roman" w:hAnsi="Times New Roman" w:cs="Times New Roman"/>
        </w:rPr>
        <w:t xml:space="preserve"> Section 3.5 requires.</w:t>
      </w:r>
    </w:p>
    <w:p w14:paraId="750060DE" w14:textId="782A6900" w:rsidR="00F33F08" w:rsidRPr="00390054" w:rsidRDefault="00D678BB" w:rsidP="00390054">
      <w:pPr>
        <w:spacing w:after="120" w:line="360" w:lineRule="auto"/>
        <w:jc w:val="both"/>
        <w:rPr>
          <w:rFonts w:ascii="Times New Roman" w:hAnsi="Times New Roman" w:cs="Times New Roman"/>
        </w:rPr>
      </w:pPr>
      <w:r w:rsidRPr="00390054">
        <w:rPr>
          <w:rFonts w:ascii="Times New Roman" w:hAnsi="Times New Roman" w:cs="Times New Roman"/>
        </w:rPr>
        <w:lastRenderedPageBreak/>
        <w:t xml:space="preserve">It should be noted that interpretivism </w:t>
      </w:r>
      <w:r w:rsidR="001B35E3" w:rsidRPr="00390054">
        <w:rPr>
          <w:rFonts w:ascii="Times New Roman" w:hAnsi="Times New Roman" w:cs="Times New Roman"/>
        </w:rPr>
        <w:t>also entails</w:t>
      </w:r>
      <w:r w:rsidRPr="00390054">
        <w:rPr>
          <w:rFonts w:ascii="Times New Roman" w:hAnsi="Times New Roman" w:cs="Times New Roman"/>
        </w:rPr>
        <w:t xml:space="preserve"> epistemological drawbacks. The resulting knowledge will be contextual</w:t>
      </w:r>
      <w:r w:rsidR="001B35E3" w:rsidRPr="00390054">
        <w:rPr>
          <w:rFonts w:ascii="Times New Roman" w:hAnsi="Times New Roman" w:cs="Times New Roman"/>
        </w:rPr>
        <w:t xml:space="preserve">; the researcher's viewpoint and positionality will influence knowledge creation, and it </w:t>
      </w:r>
      <w:r w:rsidRPr="00390054">
        <w:rPr>
          <w:rFonts w:ascii="Times New Roman" w:hAnsi="Times New Roman" w:cs="Times New Roman"/>
        </w:rPr>
        <w:t xml:space="preserve">will not be statistically generalisable. Nevertheless, as Smith, Flowers and Larkin (2022) remark, statistical generalisability is not the proper measure of </w:t>
      </w:r>
      <w:r w:rsidR="00982872" w:rsidRPr="00390054">
        <w:rPr>
          <w:rFonts w:ascii="Times New Roman" w:hAnsi="Times New Roman" w:cs="Times New Roman"/>
        </w:rPr>
        <w:t>qualitative research but the so-called transferability, or the extent to which</w:t>
      </w:r>
      <w:r w:rsidRPr="00390054">
        <w:rPr>
          <w:rFonts w:ascii="Times New Roman" w:hAnsi="Times New Roman" w:cs="Times New Roman"/>
        </w:rPr>
        <w:t xml:space="preserve"> the results can be extended and applied to similar situations. Because the UK technology sector </w:t>
      </w:r>
      <w:r w:rsidR="001B35E3" w:rsidRPr="00390054">
        <w:rPr>
          <w:rFonts w:ascii="Times New Roman" w:hAnsi="Times New Roman" w:cs="Times New Roman"/>
        </w:rPr>
        <w:t>has common structural features, the results of the proposed study can plausibly be expected to transfer</w:t>
      </w:r>
      <w:r w:rsidRPr="00390054">
        <w:rPr>
          <w:rFonts w:ascii="Times New Roman" w:hAnsi="Times New Roman" w:cs="Times New Roman"/>
        </w:rPr>
        <w:t xml:space="preserve"> to similar organisational contexts. </w:t>
      </w:r>
    </w:p>
    <w:p w14:paraId="2A912C92" w14:textId="77777777" w:rsidR="00F33F08" w:rsidRPr="00390054" w:rsidRDefault="00000000" w:rsidP="007A1DB3">
      <w:pPr>
        <w:pStyle w:val="Heading2"/>
      </w:pPr>
      <w:bookmarkStart w:id="13" w:name="_Toc225770392"/>
      <w:r w:rsidRPr="00390054">
        <w:t>4.2 Research Approach: Inductive Reasoning</w:t>
      </w:r>
      <w:bookmarkEnd w:id="13"/>
    </w:p>
    <w:p w14:paraId="1E67A3B3" w14:textId="1A85D96F" w:rsidR="00F33F08" w:rsidRPr="00390054" w:rsidRDefault="00D678BB" w:rsidP="00390054">
      <w:pPr>
        <w:spacing w:after="120" w:line="360" w:lineRule="auto"/>
        <w:jc w:val="both"/>
        <w:rPr>
          <w:rFonts w:ascii="Times New Roman" w:hAnsi="Times New Roman" w:cs="Times New Roman"/>
        </w:rPr>
      </w:pPr>
      <w:r w:rsidRPr="00390054">
        <w:rPr>
          <w:rFonts w:ascii="Times New Roman" w:hAnsi="Times New Roman" w:cs="Times New Roman"/>
        </w:rPr>
        <w:t>In line with the interpretivist philosophy, this research project will use an inductive research method</w:t>
      </w:r>
      <w:r w:rsidR="001B35E3" w:rsidRPr="00390054">
        <w:rPr>
          <w:rFonts w:ascii="Times New Roman" w:hAnsi="Times New Roman" w:cs="Times New Roman"/>
        </w:rPr>
        <w:t>, in which theoretical understanding emerges from the data rather than being imposed on</w:t>
      </w:r>
      <w:r w:rsidRPr="00390054">
        <w:rPr>
          <w:rFonts w:ascii="Times New Roman" w:hAnsi="Times New Roman" w:cs="Times New Roman"/>
        </w:rPr>
        <w:t xml:space="preserve"> it. Instead of testing pre-specified hypotheses based on existing theory, </w:t>
      </w:r>
      <w:r w:rsidR="00982872" w:rsidRPr="00390054">
        <w:rPr>
          <w:rFonts w:ascii="Times New Roman" w:hAnsi="Times New Roman" w:cs="Times New Roman"/>
        </w:rPr>
        <w:t xml:space="preserve">the </w:t>
      </w:r>
      <w:r w:rsidRPr="00390054">
        <w:rPr>
          <w:rFonts w:ascii="Times New Roman" w:hAnsi="Times New Roman" w:cs="Times New Roman"/>
        </w:rPr>
        <w:t>inductive approach permits patterns, themes</w:t>
      </w:r>
      <w:r w:rsidR="00982872" w:rsidRPr="00390054">
        <w:rPr>
          <w:rFonts w:ascii="Times New Roman" w:hAnsi="Times New Roman" w:cs="Times New Roman"/>
        </w:rPr>
        <w:t xml:space="preserve">, and conceptual understandings to emerge naturally from </w:t>
      </w:r>
      <w:r w:rsidR="001B35E3" w:rsidRPr="00390054">
        <w:rPr>
          <w:rFonts w:ascii="Times New Roman" w:hAnsi="Times New Roman" w:cs="Times New Roman"/>
        </w:rPr>
        <w:t>participants' actions</w:t>
      </w:r>
      <w:r w:rsidR="00982872" w:rsidRPr="00390054">
        <w:rPr>
          <w:rFonts w:ascii="Times New Roman" w:hAnsi="Times New Roman" w:cs="Times New Roman"/>
        </w:rPr>
        <w:t xml:space="preserve"> (Saunders, Lewis,</w:t>
      </w:r>
      <w:r w:rsidRPr="00390054">
        <w:rPr>
          <w:rFonts w:ascii="Times New Roman" w:hAnsi="Times New Roman" w:cs="Times New Roman"/>
        </w:rPr>
        <w:t xml:space="preserve"> and Thornhill, 2023). The three theoretical frameworks discussed in Section 3.4</w:t>
      </w:r>
      <w:r w:rsidR="005701E4" w:rsidRPr="00390054">
        <w:rPr>
          <w:rFonts w:ascii="Times New Roman" w:hAnsi="Times New Roman" w:cs="Times New Roman"/>
        </w:rPr>
        <w:t>, SDT, SIT and JD-R, do not serve as analytical templates but serve as sensitising concepts: they guide the construction of the interview guide and offer a vocabulary to interpret the data, but do</w:t>
      </w:r>
      <w:r w:rsidRPr="00390054">
        <w:rPr>
          <w:rFonts w:ascii="Times New Roman" w:hAnsi="Times New Roman" w:cs="Times New Roman"/>
        </w:rPr>
        <w:t xml:space="preserve"> not dictate the type of analysis to use a priori. </w:t>
      </w:r>
    </w:p>
    <w:p w14:paraId="08FFC885" w14:textId="77777777" w:rsidR="00F33F08" w:rsidRPr="00390054" w:rsidRDefault="00000000" w:rsidP="007A1DB3">
      <w:pPr>
        <w:pStyle w:val="Heading2"/>
      </w:pPr>
      <w:bookmarkStart w:id="14" w:name="_Toc225770393"/>
      <w:r w:rsidRPr="00390054">
        <w:t>4.3 Research Strategy: Qualitative Design</w:t>
      </w:r>
      <w:bookmarkEnd w:id="14"/>
    </w:p>
    <w:p w14:paraId="57BC5C86" w14:textId="2E0B8CEB" w:rsidR="00F33F08" w:rsidRPr="00390054" w:rsidRDefault="00D13551" w:rsidP="00390054">
      <w:pPr>
        <w:spacing w:after="120" w:line="360" w:lineRule="auto"/>
        <w:jc w:val="both"/>
        <w:rPr>
          <w:rFonts w:ascii="Times New Roman" w:hAnsi="Times New Roman" w:cs="Times New Roman"/>
        </w:rPr>
      </w:pPr>
      <w:r w:rsidRPr="00390054">
        <w:rPr>
          <w:rFonts w:ascii="Times New Roman" w:hAnsi="Times New Roman" w:cs="Times New Roman"/>
        </w:rPr>
        <w:t>The study will adopt a qualitative research design, as it is considered the most appropriate approach for exploring the meaning, experience, and social dynamics underlying observable phenomena (Creswell and Poth, 2018; Kane and Kahwati, 2020). A qualitative approach will allow this research to follow the unexpected directions in data collection and hear the particular rather than premature generalisation. This study is not a one-location case study but draws on respondents from various mid-size technology firms in the UK, which introduces a measure of context variance but retains the degree of detailed, situated understanding that can only be achieved by qualitative research.</w:t>
      </w:r>
    </w:p>
    <w:p w14:paraId="6A2EAA4D" w14:textId="77777777" w:rsidR="00390054" w:rsidRDefault="00390054">
      <w:pPr>
        <w:rPr>
          <w:rFonts w:ascii="Times New Roman" w:hAnsi="Times New Roman" w:cs="Times New Roman"/>
          <w:b/>
          <w:bCs/>
          <w:color w:val="1F3864"/>
          <w:sz w:val="32"/>
          <w:szCs w:val="32"/>
        </w:rPr>
      </w:pPr>
      <w:r>
        <w:rPr>
          <w:rFonts w:ascii="Times New Roman" w:hAnsi="Times New Roman" w:cs="Times New Roman"/>
        </w:rPr>
        <w:br w:type="page"/>
      </w:r>
    </w:p>
    <w:p w14:paraId="6901B735" w14:textId="6F3F4B0A" w:rsidR="008F69D3" w:rsidRPr="007A1DB3" w:rsidRDefault="008F69D3" w:rsidP="007A1DB3">
      <w:pPr>
        <w:pStyle w:val="Heading1"/>
      </w:pPr>
      <w:bookmarkStart w:id="15" w:name="_Toc225770394"/>
      <w:r w:rsidRPr="007A1DB3">
        <w:lastRenderedPageBreak/>
        <w:t>5. Data Collection: Semi-Structured Interviews</w:t>
      </w:r>
      <w:bookmarkEnd w:id="15"/>
    </w:p>
    <w:p w14:paraId="4129E676" w14:textId="602301F5" w:rsidR="00231B26" w:rsidRPr="00390054" w:rsidRDefault="00D13551" w:rsidP="00390054">
      <w:pPr>
        <w:spacing w:after="120" w:line="360" w:lineRule="auto"/>
        <w:jc w:val="both"/>
        <w:rPr>
          <w:rFonts w:ascii="Times New Roman" w:hAnsi="Times New Roman" w:cs="Times New Roman"/>
        </w:rPr>
      </w:pPr>
      <w:r w:rsidRPr="00390054">
        <w:rPr>
          <w:rFonts w:ascii="Times New Roman" w:hAnsi="Times New Roman" w:cs="Times New Roman"/>
        </w:rPr>
        <w:t>The main method of data collection will be semi-structured interviews. This format follows an open-ended thematic guide, allowing the interviewer to dig and explore a line of interrogation (King, Horrocks, and Brooks, 2018). It strikes a balance between the standardisation of structured interviews and the exploratory power of unstructured ones, providing systematic coverage of research questions across 12 interviews while preserving the diversity of experiences of remote and hybrid workers, individual contributors, and managers.</w:t>
      </w:r>
    </w:p>
    <w:p w14:paraId="7F7B01A6" w14:textId="77777777" w:rsidR="00231B26" w:rsidRPr="00390054" w:rsidRDefault="00231B26" w:rsidP="007A1DB3">
      <w:pPr>
        <w:pStyle w:val="Heading2"/>
      </w:pPr>
      <w:bookmarkStart w:id="16" w:name="_Toc225770395"/>
      <w:r w:rsidRPr="00390054">
        <w:t>5.1 Sampling Strategy</w:t>
      </w:r>
      <w:bookmarkEnd w:id="16"/>
    </w:p>
    <w:p w14:paraId="3E6C8F50" w14:textId="074C92AC" w:rsidR="00D13551" w:rsidRPr="00390054" w:rsidRDefault="00D13551"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It will be conducted through purposive sampling, choosing respondents according to the directness of their answers to research questions instead of random sampling (Creswell and Poth, 2018). The </w:t>
      </w:r>
      <w:r w:rsidR="00390054">
        <w:rPr>
          <w:rFonts w:ascii="Times New Roman" w:hAnsi="Times New Roman" w:cs="Times New Roman"/>
        </w:rPr>
        <w:t>inclusion</w:t>
      </w:r>
      <w:r w:rsidRPr="00390054">
        <w:rPr>
          <w:rFonts w:ascii="Times New Roman" w:hAnsi="Times New Roman" w:cs="Times New Roman"/>
        </w:rPr>
        <w:t xml:space="preserve"> criteria include: (1) currently working in one of the companies operating in the UK in the field of technology or IT services; (2) working mainly in knowledge work or software development; (3) working fully at home or in a hybrid model; (4) at least six months in their current position.</w:t>
      </w:r>
    </w:p>
    <w:p w14:paraId="00EE8972" w14:textId="44F361BA" w:rsidR="008F69D3" w:rsidRPr="00390054" w:rsidRDefault="00D13551"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12 participants will be divided into two groups (six each) of fully remote and hybrid teams consisting of individual contributors and team leads or managers. The target organisations will be Kainos Group, Codeweavers, Bromcom Computers and Sage Group plc. The rationale behind sample size is the fact that </w:t>
      </w:r>
      <w:r w:rsidR="00390054">
        <w:rPr>
          <w:rFonts w:ascii="Times New Roman" w:hAnsi="Times New Roman" w:cs="Times New Roman"/>
        </w:rPr>
        <w:t>Guest, Bunce and Johnson (2006) have determined that in homogeneous samples, thematic saturation is generally realised</w:t>
      </w:r>
      <w:r w:rsidRPr="00390054">
        <w:rPr>
          <w:rFonts w:ascii="Times New Roman" w:hAnsi="Times New Roman" w:cs="Times New Roman"/>
        </w:rPr>
        <w:t xml:space="preserve"> between 6 and 12 interviews, and this forms a stringent and feasible analytical base.</w:t>
      </w:r>
    </w:p>
    <w:p w14:paraId="5A1B893E" w14:textId="77777777" w:rsidR="008F69D3" w:rsidRPr="00390054" w:rsidRDefault="008F69D3" w:rsidP="007A1DB3">
      <w:pPr>
        <w:pStyle w:val="Heading2"/>
      </w:pPr>
      <w:bookmarkStart w:id="17" w:name="_Toc225770396"/>
      <w:r w:rsidRPr="00390054">
        <w:t>5.2 Interview Design</w:t>
      </w:r>
      <w:bookmarkEnd w:id="17"/>
    </w:p>
    <w:p w14:paraId="6D6CFD84" w14:textId="2E34E84B" w:rsidR="008F69D3" w:rsidRDefault="00F96406" w:rsidP="00390054">
      <w:pPr>
        <w:spacing w:after="120" w:line="360" w:lineRule="auto"/>
        <w:jc w:val="both"/>
        <w:rPr>
          <w:rFonts w:ascii="Times New Roman" w:hAnsi="Times New Roman" w:cs="Times New Roman"/>
        </w:rPr>
      </w:pPr>
      <w:r w:rsidRPr="00390054">
        <w:rPr>
          <w:rFonts w:ascii="Times New Roman" w:hAnsi="Times New Roman" w:cs="Times New Roman"/>
        </w:rPr>
        <w:t>Interviews will take an average of 25-40 minutes</w:t>
      </w:r>
      <w:r w:rsidR="00982872" w:rsidRPr="00390054">
        <w:rPr>
          <w:rFonts w:ascii="Times New Roman" w:hAnsi="Times New Roman" w:cs="Times New Roman"/>
        </w:rPr>
        <w:t xml:space="preserve"> and will be conducted via Microsoft Teams or Zoom, in line with the study's distributed working logistics</w:t>
      </w:r>
      <w:r w:rsidRPr="00390054">
        <w:rPr>
          <w:rFonts w:ascii="Times New Roman" w:hAnsi="Times New Roman" w:cs="Times New Roman"/>
        </w:rPr>
        <w:t xml:space="preserve">. Audio-taped interviews will be transcribed word-for-word and anonymised during </w:t>
      </w:r>
      <w:r w:rsidR="00982872" w:rsidRPr="00390054">
        <w:rPr>
          <w:rFonts w:ascii="Times New Roman" w:hAnsi="Times New Roman" w:cs="Times New Roman"/>
        </w:rPr>
        <w:t>transcription</w:t>
      </w:r>
      <w:r w:rsidRPr="00390054">
        <w:rPr>
          <w:rFonts w:ascii="Times New Roman" w:hAnsi="Times New Roman" w:cs="Times New Roman"/>
        </w:rPr>
        <w:t xml:space="preserve">. All </w:t>
      </w:r>
      <w:r w:rsidR="00982872" w:rsidRPr="00390054">
        <w:rPr>
          <w:rFonts w:ascii="Times New Roman" w:hAnsi="Times New Roman" w:cs="Times New Roman"/>
        </w:rPr>
        <w:t>participants will receive pseudonyms, and organisational references will be replaced</w:t>
      </w:r>
      <w:r w:rsidRPr="00390054">
        <w:rPr>
          <w:rFonts w:ascii="Times New Roman" w:hAnsi="Times New Roman" w:cs="Times New Roman"/>
        </w:rPr>
        <w:t xml:space="preserve"> with generic descriptions. The guide will receive a pilot of two participants before the actual data collection as per best practise (King, Horrocks and Brooks, 2018), and amendments will be made to the wording or order as needed. </w:t>
      </w:r>
    </w:p>
    <w:p w14:paraId="29E28DF2" w14:textId="77777777" w:rsidR="00714960" w:rsidRPr="00390054" w:rsidRDefault="00714960" w:rsidP="00390054">
      <w:pPr>
        <w:spacing w:after="120" w:line="360" w:lineRule="auto"/>
        <w:jc w:val="both"/>
        <w:rPr>
          <w:rFonts w:ascii="Times New Roman" w:hAnsi="Times New Roman" w:cs="Times New Roman"/>
        </w:rPr>
      </w:pPr>
    </w:p>
    <w:tbl>
      <w:tblPr>
        <w:tblStyle w:val="PlainTable1"/>
        <w:tblW w:w="0" w:type="auto"/>
        <w:tblLook w:val="04A0" w:firstRow="1" w:lastRow="0" w:firstColumn="1" w:lastColumn="0" w:noHBand="0" w:noVBand="1"/>
      </w:tblPr>
      <w:tblGrid>
        <w:gridCol w:w="2710"/>
        <w:gridCol w:w="5181"/>
        <w:gridCol w:w="1169"/>
      </w:tblGrid>
      <w:tr w:rsidR="008F69D3" w:rsidRPr="00390054" w14:paraId="49E17C0E" w14:textId="77777777" w:rsidTr="001B35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46AF23" w14:textId="77777777" w:rsidR="008F69D3" w:rsidRPr="00390054" w:rsidRDefault="008F69D3" w:rsidP="00390054">
            <w:pPr>
              <w:spacing w:after="120" w:line="360" w:lineRule="auto"/>
              <w:rPr>
                <w:rFonts w:ascii="Times New Roman" w:hAnsi="Times New Roman" w:cs="Times New Roman"/>
              </w:rPr>
            </w:pPr>
            <w:r w:rsidRPr="00390054">
              <w:rPr>
                <w:rFonts w:ascii="Times New Roman" w:hAnsi="Times New Roman" w:cs="Times New Roman"/>
              </w:rPr>
              <w:lastRenderedPageBreak/>
              <w:t>Theme Area</w:t>
            </w:r>
          </w:p>
        </w:tc>
        <w:tc>
          <w:tcPr>
            <w:tcW w:w="0" w:type="auto"/>
            <w:hideMark/>
          </w:tcPr>
          <w:p w14:paraId="77B980B1" w14:textId="77777777" w:rsidR="008F69D3" w:rsidRPr="00390054" w:rsidRDefault="008F69D3" w:rsidP="00390054">
            <w:pPr>
              <w:spacing w:after="12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Sample Interview Question</w:t>
            </w:r>
          </w:p>
        </w:tc>
        <w:tc>
          <w:tcPr>
            <w:tcW w:w="0" w:type="auto"/>
            <w:hideMark/>
          </w:tcPr>
          <w:p w14:paraId="228B023C" w14:textId="77777777" w:rsidR="008F69D3" w:rsidRPr="00390054" w:rsidRDefault="008F69D3" w:rsidP="00390054">
            <w:pPr>
              <w:spacing w:after="12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Linked RQ</w:t>
            </w:r>
          </w:p>
        </w:tc>
      </w:tr>
      <w:tr w:rsidR="008F69D3" w:rsidRPr="00390054" w14:paraId="0C027F81" w14:textId="77777777" w:rsidTr="001B35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611121" w14:textId="77777777" w:rsidR="008F69D3" w:rsidRPr="00390054" w:rsidRDefault="008F69D3" w:rsidP="00390054">
            <w:pPr>
              <w:spacing w:after="120" w:line="360" w:lineRule="auto"/>
              <w:rPr>
                <w:rFonts w:ascii="Times New Roman" w:hAnsi="Times New Roman" w:cs="Times New Roman"/>
              </w:rPr>
            </w:pPr>
            <w:r w:rsidRPr="00390054">
              <w:rPr>
                <w:rFonts w:ascii="Times New Roman" w:hAnsi="Times New Roman" w:cs="Times New Roman"/>
              </w:rPr>
              <w:t>Current Working Arrangement</w:t>
            </w:r>
          </w:p>
        </w:tc>
        <w:tc>
          <w:tcPr>
            <w:tcW w:w="0" w:type="auto"/>
            <w:hideMark/>
          </w:tcPr>
          <w:p w14:paraId="28DB1C58" w14:textId="77777777" w:rsidR="008F69D3" w:rsidRPr="00390054" w:rsidRDefault="008F69D3" w:rsidP="00390054">
            <w:pPr>
              <w:spacing w:after="12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Can you describe your current working arrangement and how it has evolved over the past two to three years?</w:t>
            </w:r>
          </w:p>
        </w:tc>
        <w:tc>
          <w:tcPr>
            <w:tcW w:w="0" w:type="auto"/>
            <w:hideMark/>
          </w:tcPr>
          <w:p w14:paraId="78DB3162" w14:textId="77777777" w:rsidR="008F69D3" w:rsidRPr="00390054" w:rsidRDefault="008F69D3" w:rsidP="00390054">
            <w:pPr>
              <w:spacing w:after="12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Context</w:t>
            </w:r>
          </w:p>
        </w:tc>
      </w:tr>
      <w:tr w:rsidR="008F69D3" w:rsidRPr="00390054" w14:paraId="313DAE5E" w14:textId="77777777" w:rsidTr="001B35E3">
        <w:tc>
          <w:tcPr>
            <w:cnfStyle w:val="001000000000" w:firstRow="0" w:lastRow="0" w:firstColumn="1" w:lastColumn="0" w:oddVBand="0" w:evenVBand="0" w:oddHBand="0" w:evenHBand="0" w:firstRowFirstColumn="0" w:firstRowLastColumn="0" w:lastRowFirstColumn="0" w:lastRowLastColumn="0"/>
            <w:tcW w:w="0" w:type="auto"/>
            <w:hideMark/>
          </w:tcPr>
          <w:p w14:paraId="56E237ED" w14:textId="77777777" w:rsidR="008F69D3" w:rsidRPr="00390054" w:rsidRDefault="008F69D3" w:rsidP="00390054">
            <w:pPr>
              <w:spacing w:after="120" w:line="360" w:lineRule="auto"/>
              <w:rPr>
                <w:rFonts w:ascii="Times New Roman" w:hAnsi="Times New Roman" w:cs="Times New Roman"/>
              </w:rPr>
            </w:pPr>
            <w:r w:rsidRPr="00390054">
              <w:rPr>
                <w:rFonts w:ascii="Times New Roman" w:hAnsi="Times New Roman" w:cs="Times New Roman"/>
              </w:rPr>
              <w:t>Wellbeing and Stress</w:t>
            </w:r>
          </w:p>
        </w:tc>
        <w:tc>
          <w:tcPr>
            <w:tcW w:w="0" w:type="auto"/>
            <w:hideMark/>
          </w:tcPr>
          <w:p w14:paraId="3F88648D" w14:textId="785211BE" w:rsidR="008F69D3" w:rsidRPr="00390054" w:rsidRDefault="008F69D3" w:rsidP="00390054">
            <w:pPr>
              <w:spacing w:after="12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 xml:space="preserve">How has working remotely or in a hybrid way affected your day-to-day sense of </w:t>
            </w:r>
            <w:r w:rsidR="005701E4" w:rsidRPr="00390054">
              <w:rPr>
                <w:rFonts w:ascii="Times New Roman" w:hAnsi="Times New Roman" w:cs="Times New Roman"/>
              </w:rPr>
              <w:t>well-being</w:t>
            </w:r>
            <w:r w:rsidRPr="00390054">
              <w:rPr>
                <w:rFonts w:ascii="Times New Roman" w:hAnsi="Times New Roman" w:cs="Times New Roman"/>
              </w:rPr>
              <w:t>?</w:t>
            </w:r>
          </w:p>
        </w:tc>
        <w:tc>
          <w:tcPr>
            <w:tcW w:w="0" w:type="auto"/>
            <w:hideMark/>
          </w:tcPr>
          <w:p w14:paraId="6E864CD0" w14:textId="77777777" w:rsidR="008F69D3" w:rsidRPr="00390054" w:rsidRDefault="008F69D3" w:rsidP="00390054">
            <w:pPr>
              <w:spacing w:after="12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SRQ1</w:t>
            </w:r>
          </w:p>
        </w:tc>
      </w:tr>
      <w:tr w:rsidR="008F69D3" w:rsidRPr="00390054" w14:paraId="22A70FB3" w14:textId="77777777" w:rsidTr="001B35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5707B8" w14:textId="77777777" w:rsidR="008F69D3" w:rsidRPr="00390054" w:rsidRDefault="008F69D3" w:rsidP="00390054">
            <w:pPr>
              <w:spacing w:after="120" w:line="360" w:lineRule="auto"/>
              <w:rPr>
                <w:rFonts w:ascii="Times New Roman" w:hAnsi="Times New Roman" w:cs="Times New Roman"/>
              </w:rPr>
            </w:pPr>
            <w:r w:rsidRPr="00390054">
              <w:rPr>
                <w:rFonts w:ascii="Times New Roman" w:hAnsi="Times New Roman" w:cs="Times New Roman"/>
              </w:rPr>
              <w:t>Autonomy and Work-Life Balance</w:t>
            </w:r>
          </w:p>
        </w:tc>
        <w:tc>
          <w:tcPr>
            <w:tcW w:w="0" w:type="auto"/>
            <w:hideMark/>
          </w:tcPr>
          <w:p w14:paraId="73CFE0D4" w14:textId="77777777" w:rsidR="008F69D3" w:rsidRPr="00390054" w:rsidRDefault="008F69D3" w:rsidP="00390054">
            <w:pPr>
              <w:spacing w:after="12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To what extent do you feel in control of your working time and environment under your current arrangement?</w:t>
            </w:r>
          </w:p>
        </w:tc>
        <w:tc>
          <w:tcPr>
            <w:tcW w:w="0" w:type="auto"/>
            <w:hideMark/>
          </w:tcPr>
          <w:p w14:paraId="08F10DB2" w14:textId="77777777" w:rsidR="008F69D3" w:rsidRPr="00390054" w:rsidRDefault="008F69D3" w:rsidP="00390054">
            <w:pPr>
              <w:spacing w:after="12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SRQ1 / SDT</w:t>
            </w:r>
          </w:p>
        </w:tc>
      </w:tr>
      <w:tr w:rsidR="008F69D3" w:rsidRPr="00390054" w14:paraId="79363076" w14:textId="77777777" w:rsidTr="001B35E3">
        <w:tc>
          <w:tcPr>
            <w:cnfStyle w:val="001000000000" w:firstRow="0" w:lastRow="0" w:firstColumn="1" w:lastColumn="0" w:oddVBand="0" w:evenVBand="0" w:oddHBand="0" w:evenHBand="0" w:firstRowFirstColumn="0" w:firstRowLastColumn="0" w:lastRowFirstColumn="0" w:lastRowLastColumn="0"/>
            <w:tcW w:w="0" w:type="auto"/>
            <w:hideMark/>
          </w:tcPr>
          <w:p w14:paraId="7E121C0B" w14:textId="77777777" w:rsidR="008F69D3" w:rsidRPr="00390054" w:rsidRDefault="008F69D3" w:rsidP="00390054">
            <w:pPr>
              <w:spacing w:after="120" w:line="360" w:lineRule="auto"/>
              <w:rPr>
                <w:rFonts w:ascii="Times New Roman" w:hAnsi="Times New Roman" w:cs="Times New Roman"/>
              </w:rPr>
            </w:pPr>
            <w:r w:rsidRPr="00390054">
              <w:rPr>
                <w:rFonts w:ascii="Times New Roman" w:hAnsi="Times New Roman" w:cs="Times New Roman"/>
              </w:rPr>
              <w:t>Belonging and Team Connection</w:t>
            </w:r>
          </w:p>
        </w:tc>
        <w:tc>
          <w:tcPr>
            <w:tcW w:w="0" w:type="auto"/>
            <w:hideMark/>
          </w:tcPr>
          <w:p w14:paraId="17CABFEB" w14:textId="77777777" w:rsidR="008F69D3" w:rsidRPr="00390054" w:rsidRDefault="008F69D3" w:rsidP="00390054">
            <w:pPr>
              <w:spacing w:after="12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How connected do you feel to your team and organisation under your current working arrangement?</w:t>
            </w:r>
          </w:p>
        </w:tc>
        <w:tc>
          <w:tcPr>
            <w:tcW w:w="0" w:type="auto"/>
            <w:hideMark/>
          </w:tcPr>
          <w:p w14:paraId="58315FD4" w14:textId="77777777" w:rsidR="008F69D3" w:rsidRPr="00390054" w:rsidRDefault="008F69D3" w:rsidP="00390054">
            <w:pPr>
              <w:spacing w:after="12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SRQ2</w:t>
            </w:r>
          </w:p>
        </w:tc>
      </w:tr>
      <w:tr w:rsidR="008F69D3" w:rsidRPr="00390054" w14:paraId="08CF8657" w14:textId="77777777" w:rsidTr="001B35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EE2703" w14:textId="77777777" w:rsidR="008F69D3" w:rsidRPr="00390054" w:rsidRDefault="008F69D3" w:rsidP="00390054">
            <w:pPr>
              <w:spacing w:after="120" w:line="360" w:lineRule="auto"/>
              <w:rPr>
                <w:rFonts w:ascii="Times New Roman" w:hAnsi="Times New Roman" w:cs="Times New Roman"/>
              </w:rPr>
            </w:pPr>
            <w:r w:rsidRPr="00390054">
              <w:rPr>
                <w:rFonts w:ascii="Times New Roman" w:hAnsi="Times New Roman" w:cs="Times New Roman"/>
              </w:rPr>
              <w:t>Organisational Identity</w:t>
            </w:r>
          </w:p>
        </w:tc>
        <w:tc>
          <w:tcPr>
            <w:tcW w:w="0" w:type="auto"/>
            <w:hideMark/>
          </w:tcPr>
          <w:p w14:paraId="015B7995" w14:textId="77777777" w:rsidR="008F69D3" w:rsidRPr="00390054" w:rsidRDefault="008F69D3" w:rsidP="00390054">
            <w:pPr>
              <w:spacing w:after="12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How important is your organisation to your sense of professional identity?</w:t>
            </w:r>
          </w:p>
        </w:tc>
        <w:tc>
          <w:tcPr>
            <w:tcW w:w="0" w:type="auto"/>
            <w:hideMark/>
          </w:tcPr>
          <w:p w14:paraId="2D53F44A" w14:textId="77777777" w:rsidR="008F69D3" w:rsidRPr="00390054" w:rsidRDefault="008F69D3" w:rsidP="00390054">
            <w:pPr>
              <w:spacing w:after="12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SRQ2 / SIT</w:t>
            </w:r>
          </w:p>
        </w:tc>
      </w:tr>
      <w:tr w:rsidR="008F69D3" w:rsidRPr="00390054" w14:paraId="63E3B8F9" w14:textId="77777777" w:rsidTr="001B35E3">
        <w:tc>
          <w:tcPr>
            <w:cnfStyle w:val="001000000000" w:firstRow="0" w:lastRow="0" w:firstColumn="1" w:lastColumn="0" w:oddVBand="0" w:evenVBand="0" w:oddHBand="0" w:evenHBand="0" w:firstRowFirstColumn="0" w:firstRowLastColumn="0" w:lastRowFirstColumn="0" w:lastRowLastColumn="0"/>
            <w:tcW w:w="0" w:type="auto"/>
            <w:hideMark/>
          </w:tcPr>
          <w:p w14:paraId="1C617337" w14:textId="77777777" w:rsidR="008F69D3" w:rsidRPr="00390054" w:rsidRDefault="008F69D3" w:rsidP="00390054">
            <w:pPr>
              <w:spacing w:after="120" w:line="360" w:lineRule="auto"/>
              <w:rPr>
                <w:rFonts w:ascii="Times New Roman" w:hAnsi="Times New Roman" w:cs="Times New Roman"/>
              </w:rPr>
            </w:pPr>
            <w:r w:rsidRPr="00390054">
              <w:rPr>
                <w:rFonts w:ascii="Times New Roman" w:hAnsi="Times New Roman" w:cs="Times New Roman"/>
              </w:rPr>
              <w:t>Managerial and Organisational Support</w:t>
            </w:r>
          </w:p>
        </w:tc>
        <w:tc>
          <w:tcPr>
            <w:tcW w:w="0" w:type="auto"/>
            <w:hideMark/>
          </w:tcPr>
          <w:p w14:paraId="618DB844" w14:textId="77777777" w:rsidR="008F69D3" w:rsidRPr="00390054" w:rsidRDefault="008F69D3" w:rsidP="00390054">
            <w:pPr>
              <w:spacing w:after="12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Can you describe practices from your manager or organisation that have helped you feel connected or supported?</w:t>
            </w:r>
          </w:p>
        </w:tc>
        <w:tc>
          <w:tcPr>
            <w:tcW w:w="0" w:type="auto"/>
            <w:hideMark/>
          </w:tcPr>
          <w:p w14:paraId="14E30281" w14:textId="77777777" w:rsidR="008F69D3" w:rsidRPr="00390054" w:rsidRDefault="008F69D3" w:rsidP="00390054">
            <w:pPr>
              <w:spacing w:after="12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SRQ3</w:t>
            </w:r>
          </w:p>
        </w:tc>
      </w:tr>
      <w:tr w:rsidR="008F69D3" w:rsidRPr="00390054" w14:paraId="324DCF9A" w14:textId="77777777" w:rsidTr="001B35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3C0572" w14:textId="77777777" w:rsidR="008F69D3" w:rsidRPr="00390054" w:rsidRDefault="008F69D3" w:rsidP="00390054">
            <w:pPr>
              <w:spacing w:after="120" w:line="360" w:lineRule="auto"/>
              <w:rPr>
                <w:rFonts w:ascii="Times New Roman" w:hAnsi="Times New Roman" w:cs="Times New Roman"/>
              </w:rPr>
            </w:pPr>
            <w:r w:rsidRPr="00390054">
              <w:rPr>
                <w:rFonts w:ascii="Times New Roman" w:hAnsi="Times New Roman" w:cs="Times New Roman"/>
              </w:rPr>
              <w:t>Digital Tools and Fatigue</w:t>
            </w:r>
          </w:p>
        </w:tc>
        <w:tc>
          <w:tcPr>
            <w:tcW w:w="0" w:type="auto"/>
            <w:hideMark/>
          </w:tcPr>
          <w:p w14:paraId="43A9A9DA" w14:textId="77777777" w:rsidR="008F69D3" w:rsidRPr="00390054" w:rsidRDefault="008F69D3" w:rsidP="00390054">
            <w:pPr>
              <w:spacing w:after="12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How do you feel about the volume of video calling and digital communication in your current role?</w:t>
            </w:r>
          </w:p>
        </w:tc>
        <w:tc>
          <w:tcPr>
            <w:tcW w:w="0" w:type="auto"/>
            <w:hideMark/>
          </w:tcPr>
          <w:p w14:paraId="5EE5D5F4" w14:textId="77777777" w:rsidR="008F69D3" w:rsidRPr="00390054" w:rsidRDefault="008F69D3" w:rsidP="00390054">
            <w:pPr>
              <w:spacing w:after="12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SRQ1 / JD-R</w:t>
            </w:r>
          </w:p>
        </w:tc>
      </w:tr>
      <w:tr w:rsidR="008F69D3" w:rsidRPr="00390054" w14:paraId="2024306A" w14:textId="77777777" w:rsidTr="001B35E3">
        <w:tc>
          <w:tcPr>
            <w:cnfStyle w:val="001000000000" w:firstRow="0" w:lastRow="0" w:firstColumn="1" w:lastColumn="0" w:oddVBand="0" w:evenVBand="0" w:oddHBand="0" w:evenHBand="0" w:firstRowFirstColumn="0" w:firstRowLastColumn="0" w:lastRowFirstColumn="0" w:lastRowLastColumn="0"/>
            <w:tcW w:w="0" w:type="auto"/>
            <w:hideMark/>
          </w:tcPr>
          <w:p w14:paraId="6E22183D" w14:textId="77777777" w:rsidR="008F69D3" w:rsidRPr="00390054" w:rsidRDefault="008F69D3" w:rsidP="00390054">
            <w:pPr>
              <w:spacing w:after="120" w:line="360" w:lineRule="auto"/>
              <w:rPr>
                <w:rFonts w:ascii="Times New Roman" w:hAnsi="Times New Roman" w:cs="Times New Roman"/>
              </w:rPr>
            </w:pPr>
            <w:r w:rsidRPr="00390054">
              <w:rPr>
                <w:rFonts w:ascii="Times New Roman" w:hAnsi="Times New Roman" w:cs="Times New Roman"/>
              </w:rPr>
              <w:t>Comparative Reflection</w:t>
            </w:r>
          </w:p>
        </w:tc>
        <w:tc>
          <w:tcPr>
            <w:tcW w:w="0" w:type="auto"/>
            <w:hideMark/>
          </w:tcPr>
          <w:p w14:paraId="2D08DF70" w14:textId="77777777" w:rsidR="008F69D3" w:rsidRPr="00390054" w:rsidRDefault="008F69D3" w:rsidP="00390054">
            <w:pPr>
              <w:spacing w:after="12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How would you compare office-based and remote or hybrid working in terms of your wellbeing and belonging?</w:t>
            </w:r>
          </w:p>
        </w:tc>
        <w:tc>
          <w:tcPr>
            <w:tcW w:w="0" w:type="auto"/>
            <w:hideMark/>
          </w:tcPr>
          <w:p w14:paraId="48708828" w14:textId="77777777" w:rsidR="008F69D3" w:rsidRPr="00390054" w:rsidRDefault="008F69D3" w:rsidP="00390054">
            <w:pPr>
              <w:spacing w:after="12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rPr>
              <w:t>Main RQ</w:t>
            </w:r>
          </w:p>
        </w:tc>
      </w:tr>
    </w:tbl>
    <w:p w14:paraId="276209BB" w14:textId="034F1D58" w:rsidR="008F69D3" w:rsidRPr="00390054" w:rsidRDefault="008F69D3" w:rsidP="00390054">
      <w:pPr>
        <w:spacing w:after="120" w:line="360" w:lineRule="auto"/>
        <w:jc w:val="both"/>
        <w:rPr>
          <w:rFonts w:ascii="Times New Roman" w:hAnsi="Times New Roman" w:cs="Times New Roman"/>
        </w:rPr>
      </w:pPr>
      <w:r w:rsidRPr="00390054">
        <w:rPr>
          <w:rFonts w:ascii="Times New Roman" w:hAnsi="Times New Roman" w:cs="Times New Roman"/>
          <w:i/>
          <w:iCs/>
        </w:rPr>
        <w:t xml:space="preserve">Table 1: Semi-Structured Interview </w:t>
      </w:r>
      <w:r w:rsidR="007A1DB3">
        <w:rPr>
          <w:rFonts w:ascii="Times New Roman" w:hAnsi="Times New Roman" w:cs="Times New Roman"/>
          <w:i/>
          <w:iCs/>
        </w:rPr>
        <w:t>Plan (</w:t>
      </w:r>
      <w:r w:rsidRPr="00390054">
        <w:rPr>
          <w:rFonts w:ascii="Times New Roman" w:hAnsi="Times New Roman" w:cs="Times New Roman"/>
          <w:i/>
          <w:iCs/>
        </w:rPr>
        <w:t>Thematic Areas, Sample Questions, and Linked Research Questions</w:t>
      </w:r>
      <w:r w:rsidR="007A1DB3">
        <w:rPr>
          <w:rFonts w:ascii="Times New Roman" w:hAnsi="Times New Roman" w:cs="Times New Roman"/>
          <w:i/>
          <w:iCs/>
        </w:rPr>
        <w:t xml:space="preserve">) </w:t>
      </w:r>
    </w:p>
    <w:p w14:paraId="1C3253D8" w14:textId="77777777" w:rsidR="00714960" w:rsidRDefault="00714960">
      <w:pPr>
        <w:rPr>
          <w:rFonts w:ascii="Times New Roman" w:hAnsi="Times New Roman" w:cs="Times New Roman"/>
          <w:b/>
          <w:bCs/>
          <w:i/>
          <w:iCs/>
          <w:color w:val="1F3864"/>
          <w:sz w:val="32"/>
          <w:szCs w:val="32"/>
        </w:rPr>
      </w:pPr>
      <w:r>
        <w:br w:type="page"/>
      </w:r>
    </w:p>
    <w:p w14:paraId="0CFAFA45" w14:textId="736C48D0" w:rsidR="008F69D3" w:rsidRPr="007A1DB3" w:rsidRDefault="008F69D3" w:rsidP="007A1DB3">
      <w:pPr>
        <w:pStyle w:val="Heading1"/>
      </w:pPr>
      <w:bookmarkStart w:id="18" w:name="_Toc225770397"/>
      <w:r w:rsidRPr="007A1DB3">
        <w:lastRenderedPageBreak/>
        <w:t>6. Data Analysis: Thematic Analysis</w:t>
      </w:r>
      <w:bookmarkEnd w:id="18"/>
    </w:p>
    <w:p w14:paraId="3E5AD4E2" w14:textId="5B6EDA5D" w:rsidR="00F96406" w:rsidRPr="00390054" w:rsidRDefault="00F96406"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proposed analytical framework is reflexive thematic analysis, developed by Braun and Clarke (2019). Thematic analysis entails the methodical identification, </w:t>
      </w:r>
      <w:r w:rsidR="00E80F7E">
        <w:rPr>
          <w:rFonts w:ascii="Times New Roman" w:hAnsi="Times New Roman" w:cs="Times New Roman"/>
        </w:rPr>
        <w:t xml:space="preserve">organisation, and elucidation of </w:t>
      </w:r>
      <w:r w:rsidRPr="00390054">
        <w:rPr>
          <w:rFonts w:ascii="Times New Roman" w:hAnsi="Times New Roman" w:cs="Times New Roman"/>
        </w:rPr>
        <w:t>themes in the data set (Braun and Clarke, 20</w:t>
      </w:r>
      <w:r w:rsidR="00E80F7E">
        <w:rPr>
          <w:rFonts w:ascii="Times New Roman" w:hAnsi="Times New Roman" w:cs="Times New Roman"/>
        </w:rPr>
        <w:t>19</w:t>
      </w:r>
      <w:r w:rsidRPr="00390054">
        <w:rPr>
          <w:rFonts w:ascii="Times New Roman" w:hAnsi="Times New Roman" w:cs="Times New Roman"/>
        </w:rPr>
        <w:t xml:space="preserve">). In </w:t>
      </w:r>
      <w:r w:rsidR="001B35E3" w:rsidRPr="00390054">
        <w:rPr>
          <w:rFonts w:ascii="Times New Roman" w:hAnsi="Times New Roman" w:cs="Times New Roman"/>
        </w:rPr>
        <w:t xml:space="preserve">the reflexive version, it directly recognises the active interpretive role of the researcher in building themes, which is epistemologically aligned with the </w:t>
      </w:r>
      <w:r w:rsidRPr="00390054">
        <w:rPr>
          <w:rFonts w:ascii="Times New Roman" w:hAnsi="Times New Roman" w:cs="Times New Roman"/>
        </w:rPr>
        <w:t xml:space="preserve">interpretivist paradigm of this research. Contrary to </w:t>
      </w:r>
      <w:r w:rsidR="00982872" w:rsidRPr="00390054">
        <w:rPr>
          <w:rFonts w:ascii="Times New Roman" w:hAnsi="Times New Roman" w:cs="Times New Roman"/>
        </w:rPr>
        <w:t>grounded theory, which imposes particular procedural demands on theoretical sampling and constant comparison, thematic analysis provides the analytical leeway that suffices for</w:t>
      </w:r>
      <w:r w:rsidRPr="00390054">
        <w:rPr>
          <w:rFonts w:ascii="Times New Roman" w:hAnsi="Times New Roman" w:cs="Times New Roman"/>
        </w:rPr>
        <w:t xml:space="preserve"> a study that seeks to answer multiple related research questions using a moderate-sized interview data set (Braun and Clarke, 2019).</w:t>
      </w:r>
    </w:p>
    <w:p w14:paraId="3DA5C72E" w14:textId="77777777" w:rsidR="00F96406" w:rsidRPr="00390054" w:rsidRDefault="00F96406" w:rsidP="00390054">
      <w:pPr>
        <w:spacing w:after="120" w:line="360" w:lineRule="auto"/>
        <w:jc w:val="both"/>
        <w:rPr>
          <w:rFonts w:ascii="Times New Roman" w:hAnsi="Times New Roman" w:cs="Times New Roman"/>
        </w:rPr>
      </w:pPr>
      <w:r w:rsidRPr="00390054">
        <w:rPr>
          <w:rFonts w:ascii="Times New Roman" w:hAnsi="Times New Roman" w:cs="Times New Roman"/>
        </w:rPr>
        <w:t>This will be analysed using the six phases that Braun and Clarke (2006) provided:</w:t>
      </w:r>
    </w:p>
    <w:p w14:paraId="1BD70AD4" w14:textId="2A342E44" w:rsidR="00F96406" w:rsidRPr="00390054" w:rsidRDefault="00F96406" w:rsidP="00390054">
      <w:pPr>
        <w:pStyle w:val="ListParagraph"/>
        <w:numPr>
          <w:ilvl w:val="0"/>
          <w:numId w:val="3"/>
        </w:numPr>
        <w:spacing w:after="120" w:line="360" w:lineRule="auto"/>
        <w:jc w:val="both"/>
        <w:rPr>
          <w:rFonts w:ascii="Times New Roman" w:hAnsi="Times New Roman" w:cs="Times New Roman"/>
        </w:rPr>
      </w:pPr>
      <w:r w:rsidRPr="00390054">
        <w:rPr>
          <w:rFonts w:ascii="Times New Roman" w:hAnsi="Times New Roman" w:cs="Times New Roman"/>
        </w:rPr>
        <w:t>Phase 1 Familiarisation: The twelve transcripts will be read and read again (wholesomely) and the first impressions and patterns noted.</w:t>
      </w:r>
    </w:p>
    <w:p w14:paraId="23C715B3" w14:textId="7E243373" w:rsidR="00F96406" w:rsidRPr="00390054" w:rsidRDefault="00F96406" w:rsidP="00390054">
      <w:pPr>
        <w:pStyle w:val="ListParagraph"/>
        <w:numPr>
          <w:ilvl w:val="0"/>
          <w:numId w:val="3"/>
        </w:numPr>
        <w:spacing w:after="120" w:line="360" w:lineRule="auto"/>
        <w:jc w:val="both"/>
        <w:rPr>
          <w:rFonts w:ascii="Times New Roman" w:hAnsi="Times New Roman" w:cs="Times New Roman"/>
        </w:rPr>
      </w:pPr>
      <w:r w:rsidRPr="00390054">
        <w:rPr>
          <w:rFonts w:ascii="Times New Roman" w:hAnsi="Times New Roman" w:cs="Times New Roman"/>
        </w:rPr>
        <w:t>Phase 2</w:t>
      </w:r>
      <w:r w:rsidR="00982872" w:rsidRPr="00390054">
        <w:rPr>
          <w:rFonts w:ascii="Times New Roman" w:hAnsi="Times New Roman" w:cs="Times New Roman"/>
        </w:rPr>
        <w:t xml:space="preserve"> </w:t>
      </w:r>
      <w:r w:rsidRPr="00390054">
        <w:rPr>
          <w:rFonts w:ascii="Times New Roman" w:hAnsi="Times New Roman" w:cs="Times New Roman"/>
        </w:rPr>
        <w:t xml:space="preserve">Generating First Codes: NVivo qualitative analysis software will be used to code the data </w:t>
      </w:r>
      <w:r w:rsidR="00982872" w:rsidRPr="00390054">
        <w:rPr>
          <w:rFonts w:ascii="Times New Roman" w:hAnsi="Times New Roman" w:cs="Times New Roman"/>
        </w:rPr>
        <w:t>systematically</w:t>
      </w:r>
      <w:r w:rsidRPr="00390054">
        <w:rPr>
          <w:rFonts w:ascii="Times New Roman" w:hAnsi="Times New Roman" w:cs="Times New Roman"/>
        </w:rPr>
        <w:t xml:space="preserve"> and to give codes to each unit of meaning that addresses the research questions in an auditable record of how the analysis process worked.</w:t>
      </w:r>
    </w:p>
    <w:p w14:paraId="27982DB9" w14:textId="74200DC3" w:rsidR="00F96406" w:rsidRPr="00390054" w:rsidRDefault="00F96406" w:rsidP="00390054">
      <w:pPr>
        <w:pStyle w:val="ListParagraph"/>
        <w:numPr>
          <w:ilvl w:val="0"/>
          <w:numId w:val="3"/>
        </w:numPr>
        <w:spacing w:after="120" w:line="360" w:lineRule="auto"/>
        <w:jc w:val="both"/>
        <w:rPr>
          <w:rFonts w:ascii="Times New Roman" w:hAnsi="Times New Roman" w:cs="Times New Roman"/>
        </w:rPr>
      </w:pPr>
      <w:r w:rsidRPr="00390054">
        <w:rPr>
          <w:rFonts w:ascii="Times New Roman" w:hAnsi="Times New Roman" w:cs="Times New Roman"/>
        </w:rPr>
        <w:t>Phase 3</w:t>
      </w:r>
      <w:r w:rsidR="00982872" w:rsidRPr="00390054">
        <w:rPr>
          <w:rFonts w:ascii="Times New Roman" w:hAnsi="Times New Roman" w:cs="Times New Roman"/>
        </w:rPr>
        <w:t xml:space="preserve"> </w:t>
      </w:r>
      <w:r w:rsidRPr="00390054">
        <w:rPr>
          <w:rFonts w:ascii="Times New Roman" w:hAnsi="Times New Roman" w:cs="Times New Roman"/>
        </w:rPr>
        <w:t xml:space="preserve">Searching Themes: Codes will be clustered into candidate themes, backed by thematic maps that show the </w:t>
      </w:r>
      <w:r w:rsidR="001B35E3" w:rsidRPr="00390054">
        <w:rPr>
          <w:rFonts w:ascii="Times New Roman" w:hAnsi="Times New Roman" w:cs="Times New Roman"/>
        </w:rPr>
        <w:t>connection</w:t>
      </w:r>
      <w:r w:rsidRPr="00390054">
        <w:rPr>
          <w:rFonts w:ascii="Times New Roman" w:hAnsi="Times New Roman" w:cs="Times New Roman"/>
        </w:rPr>
        <w:t xml:space="preserve"> between codes and candidate themes.</w:t>
      </w:r>
    </w:p>
    <w:p w14:paraId="141EE6CE" w14:textId="4BB8EF68" w:rsidR="00F96406" w:rsidRPr="00390054" w:rsidRDefault="00F96406" w:rsidP="00390054">
      <w:pPr>
        <w:pStyle w:val="ListParagraph"/>
        <w:numPr>
          <w:ilvl w:val="0"/>
          <w:numId w:val="3"/>
        </w:numPr>
        <w:spacing w:after="120" w:line="360" w:lineRule="auto"/>
        <w:jc w:val="both"/>
        <w:rPr>
          <w:rFonts w:ascii="Times New Roman" w:hAnsi="Times New Roman" w:cs="Times New Roman"/>
        </w:rPr>
      </w:pPr>
      <w:r w:rsidRPr="00390054">
        <w:rPr>
          <w:rFonts w:ascii="Times New Roman" w:hAnsi="Times New Roman" w:cs="Times New Roman"/>
        </w:rPr>
        <w:t>Phase 4 Reviewing Themes: Candidate themes will be checked against the coded extracts and the entire data set to determine content coherence, internal consistency, and unique themes.</w:t>
      </w:r>
    </w:p>
    <w:p w14:paraId="00892317" w14:textId="5F9CE0D2" w:rsidR="00F96406" w:rsidRPr="00390054" w:rsidRDefault="00F96406" w:rsidP="00390054">
      <w:pPr>
        <w:pStyle w:val="ListParagraph"/>
        <w:numPr>
          <w:ilvl w:val="0"/>
          <w:numId w:val="3"/>
        </w:numPr>
        <w:spacing w:after="120" w:line="360" w:lineRule="auto"/>
        <w:jc w:val="both"/>
        <w:rPr>
          <w:rFonts w:ascii="Times New Roman" w:hAnsi="Times New Roman" w:cs="Times New Roman"/>
        </w:rPr>
      </w:pPr>
      <w:r w:rsidRPr="00390054">
        <w:rPr>
          <w:rFonts w:ascii="Times New Roman" w:hAnsi="Times New Roman" w:cs="Times New Roman"/>
        </w:rPr>
        <w:t xml:space="preserve">Phase 5 Defining and Naming Themes: Fixed themes will be defined and named to reflect their core meaning in relation to the research questions, with an analytical </w:t>
      </w:r>
      <w:r w:rsidR="001B35E3" w:rsidRPr="00390054">
        <w:rPr>
          <w:rFonts w:ascii="Times New Roman" w:hAnsi="Times New Roman" w:cs="Times New Roman"/>
        </w:rPr>
        <w:t>story</w:t>
      </w:r>
      <w:r w:rsidRPr="00390054">
        <w:rPr>
          <w:rFonts w:ascii="Times New Roman" w:hAnsi="Times New Roman" w:cs="Times New Roman"/>
        </w:rPr>
        <w:t xml:space="preserve"> of each one.</w:t>
      </w:r>
    </w:p>
    <w:p w14:paraId="343D026D" w14:textId="7CC46678" w:rsidR="008F69D3" w:rsidRPr="00390054" w:rsidRDefault="00F96406" w:rsidP="00390054">
      <w:pPr>
        <w:pStyle w:val="ListParagraph"/>
        <w:numPr>
          <w:ilvl w:val="0"/>
          <w:numId w:val="3"/>
        </w:numPr>
        <w:spacing w:after="120" w:line="360" w:lineRule="auto"/>
        <w:jc w:val="both"/>
        <w:rPr>
          <w:rFonts w:ascii="Times New Roman" w:hAnsi="Times New Roman" w:cs="Times New Roman"/>
        </w:rPr>
      </w:pPr>
      <w:r w:rsidRPr="00390054">
        <w:rPr>
          <w:rFonts w:ascii="Times New Roman" w:hAnsi="Times New Roman" w:cs="Times New Roman"/>
        </w:rPr>
        <w:t xml:space="preserve">Phase 6 Preparation of the Report: The findings will be conveyed in the form of an analytical narrative using a few data extracts to prove and demonstrate the identified themes. </w:t>
      </w:r>
    </w:p>
    <w:p w14:paraId="08B6BFE6" w14:textId="77777777" w:rsidR="008F69D3" w:rsidRPr="00390054" w:rsidRDefault="008F69D3" w:rsidP="00390054">
      <w:pPr>
        <w:spacing w:after="120" w:line="360" w:lineRule="auto"/>
        <w:jc w:val="both"/>
        <w:rPr>
          <w:rFonts w:ascii="Times New Roman" w:hAnsi="Times New Roman" w:cs="Times New Roman"/>
          <w:sz w:val="22"/>
          <w:szCs w:val="22"/>
        </w:rPr>
      </w:pPr>
      <w:r w:rsidRPr="00390054">
        <w:rPr>
          <w:rFonts w:ascii="Times New Roman" w:hAnsi="Times New Roman" w:cs="Times New Roman"/>
          <w:noProof/>
          <w:sz w:val="22"/>
          <w:szCs w:val="22"/>
        </w:rPr>
        <w:lastRenderedPageBreak/>
        <w:drawing>
          <wp:inline distT="0" distB="0" distL="0" distR="0" wp14:anchorId="41CC1B27" wp14:editId="7054F0BA">
            <wp:extent cx="5751227" cy="2376854"/>
            <wp:effectExtent l="0" t="0" r="190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760959" cy="2380876"/>
                    </a:xfrm>
                    <a:prstGeom prst="rect">
                      <a:avLst/>
                    </a:prstGeom>
                    <a:noFill/>
                    <a:ln>
                      <a:noFill/>
                    </a:ln>
                    <a:extLst>
                      <a:ext uri="{53640926-AAD7-44D8-BBD7-CCE9431645EC}">
                        <a14:shadowObscured xmlns:a14="http://schemas.microsoft.com/office/drawing/2010/main"/>
                      </a:ext>
                    </a:extLst>
                  </pic:spPr>
                </pic:pic>
              </a:graphicData>
            </a:graphic>
          </wp:inline>
        </w:drawing>
      </w:r>
    </w:p>
    <w:p w14:paraId="1FAD0440" w14:textId="77777777" w:rsidR="00390054" w:rsidRDefault="008F69D3" w:rsidP="00390054">
      <w:pPr>
        <w:spacing w:after="120" w:line="360" w:lineRule="auto"/>
        <w:jc w:val="both"/>
        <w:rPr>
          <w:rFonts w:ascii="Times New Roman" w:hAnsi="Times New Roman" w:cs="Times New Roman"/>
          <w:sz w:val="22"/>
          <w:szCs w:val="22"/>
        </w:rPr>
      </w:pPr>
      <w:r w:rsidRPr="00390054">
        <w:rPr>
          <w:rFonts w:ascii="Times New Roman" w:hAnsi="Times New Roman" w:cs="Times New Roman"/>
          <w:i/>
          <w:iCs/>
          <w:sz w:val="22"/>
          <w:szCs w:val="22"/>
        </w:rPr>
        <w:t>Figure 3: Thematic Analysis Process Flow (adapted from Braun and Clarke, 2006)</w:t>
      </w:r>
    </w:p>
    <w:p w14:paraId="56853A2F" w14:textId="1B68D480" w:rsidR="008F69D3" w:rsidRPr="00390054" w:rsidRDefault="00F96406"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Member checking will be conducted with a sub-sample of participants to enhance the credibility and trustworthiness of the analysis, and a reflective research journal will be kept during </w:t>
      </w:r>
      <w:r w:rsidR="00982872" w:rsidRPr="00390054">
        <w:rPr>
          <w:rFonts w:ascii="Times New Roman" w:hAnsi="Times New Roman" w:cs="Times New Roman"/>
        </w:rPr>
        <w:t>data collection and analysis to record all analytical choices and control the possibility of biasing the</w:t>
      </w:r>
      <w:r w:rsidRPr="00390054">
        <w:rPr>
          <w:rFonts w:ascii="Times New Roman" w:hAnsi="Times New Roman" w:cs="Times New Roman"/>
        </w:rPr>
        <w:t xml:space="preserve"> researcher (Creswell and Poth, 2018). The three theoretical frameworks SDT, SIT and JD-R will be used as sensitising concepts to inform a meaning and not to establish a predetermined thematic structure. The </w:t>
      </w:r>
      <w:r w:rsidR="00982872" w:rsidRPr="00390054">
        <w:rPr>
          <w:rFonts w:ascii="Times New Roman" w:hAnsi="Times New Roman" w:cs="Times New Roman"/>
        </w:rPr>
        <w:t xml:space="preserve">expected thematic areas are autonomy and </w:t>
      </w:r>
      <w:r w:rsidR="001B35E3" w:rsidRPr="00390054">
        <w:rPr>
          <w:rFonts w:ascii="Times New Roman" w:hAnsi="Times New Roman" w:cs="Times New Roman"/>
        </w:rPr>
        <w:t>well-being</w:t>
      </w:r>
      <w:r w:rsidR="00982872" w:rsidRPr="00390054">
        <w:rPr>
          <w:rFonts w:ascii="Times New Roman" w:hAnsi="Times New Roman" w:cs="Times New Roman"/>
        </w:rPr>
        <w:t xml:space="preserve"> in remote work, social isolation and belonging, job demands related to digital overload, and the relative experiences</w:t>
      </w:r>
      <w:r w:rsidRPr="00390054">
        <w:rPr>
          <w:rFonts w:ascii="Times New Roman" w:hAnsi="Times New Roman" w:cs="Times New Roman"/>
        </w:rPr>
        <w:t xml:space="preserve"> of remote and hybrid workers. Such are only initial orientations</w:t>
      </w:r>
      <w:r w:rsidR="001B35E3" w:rsidRPr="00390054">
        <w:rPr>
          <w:rFonts w:ascii="Times New Roman" w:hAnsi="Times New Roman" w:cs="Times New Roman"/>
        </w:rPr>
        <w:t xml:space="preserve">; the inductive logic of the analysis would be such that the end product, the final thematic structure, would </w:t>
      </w:r>
      <w:r w:rsidRPr="00390054">
        <w:rPr>
          <w:rFonts w:ascii="Times New Roman" w:hAnsi="Times New Roman" w:cs="Times New Roman"/>
        </w:rPr>
        <w:t xml:space="preserve">be a product of the data itself. </w:t>
      </w:r>
    </w:p>
    <w:p w14:paraId="50161170" w14:textId="77777777" w:rsidR="008F69D3" w:rsidRPr="007A1DB3" w:rsidRDefault="008F69D3" w:rsidP="007A1DB3">
      <w:pPr>
        <w:pStyle w:val="Heading1"/>
      </w:pPr>
      <w:bookmarkStart w:id="19" w:name="_Toc225770398"/>
      <w:r w:rsidRPr="007A1DB3">
        <w:t>7. Ethical Considerations</w:t>
      </w:r>
      <w:bookmarkEnd w:id="19"/>
    </w:p>
    <w:p w14:paraId="67EB0A79" w14:textId="17D74806" w:rsidR="0084749C" w:rsidRPr="00390054" w:rsidRDefault="00982872" w:rsidP="00390054">
      <w:pPr>
        <w:spacing w:after="120" w:line="360" w:lineRule="auto"/>
        <w:jc w:val="both"/>
        <w:rPr>
          <w:rFonts w:ascii="Times New Roman" w:hAnsi="Times New Roman" w:cs="Times New Roman"/>
        </w:rPr>
      </w:pPr>
      <w:r w:rsidRPr="00390054">
        <w:rPr>
          <w:rFonts w:ascii="Times New Roman" w:hAnsi="Times New Roman" w:cs="Times New Roman"/>
        </w:rPr>
        <w:t>Ethical rigour is inherent in qualitative interview-based research, especially when participants are encouraged to share</w:t>
      </w:r>
      <w:r w:rsidR="0084749C" w:rsidRPr="00390054">
        <w:rPr>
          <w:rFonts w:ascii="Times New Roman" w:hAnsi="Times New Roman" w:cs="Times New Roman"/>
        </w:rPr>
        <w:t xml:space="preserve"> sensitive professional and personal experiences (Israel, 2015). The research will be conducted in </w:t>
      </w:r>
      <w:r w:rsidR="001B35E3" w:rsidRPr="00390054">
        <w:rPr>
          <w:rFonts w:ascii="Times New Roman" w:hAnsi="Times New Roman" w:cs="Times New Roman"/>
        </w:rPr>
        <w:t>full compliance with the University of Wales Trinity Saint David's ethical guidelines. It will also comply with the ESRC Framework for</w:t>
      </w:r>
      <w:r w:rsidR="0084749C" w:rsidRPr="00390054">
        <w:rPr>
          <w:rFonts w:ascii="Times New Roman" w:hAnsi="Times New Roman" w:cs="Times New Roman"/>
        </w:rPr>
        <w:t xml:space="preserve"> Research Ethics.</w:t>
      </w:r>
    </w:p>
    <w:p w14:paraId="3EFDB0AE" w14:textId="415812F2" w:rsidR="0084749C" w:rsidRPr="00390054" w:rsidRDefault="0084749C" w:rsidP="00390054">
      <w:pPr>
        <w:pStyle w:val="ListParagraph"/>
        <w:numPr>
          <w:ilvl w:val="0"/>
          <w:numId w:val="4"/>
        </w:numPr>
        <w:spacing w:after="120" w:line="360" w:lineRule="auto"/>
        <w:jc w:val="both"/>
        <w:rPr>
          <w:rFonts w:ascii="Times New Roman" w:hAnsi="Times New Roman" w:cs="Times New Roman"/>
        </w:rPr>
      </w:pPr>
      <w:r w:rsidRPr="00390054">
        <w:rPr>
          <w:rFonts w:ascii="Times New Roman" w:hAnsi="Times New Roman" w:cs="Times New Roman"/>
          <w:b/>
          <w:bCs/>
        </w:rPr>
        <w:t>Informed Consent:</w:t>
      </w:r>
      <w:r w:rsidRPr="00390054">
        <w:rPr>
          <w:rFonts w:ascii="Times New Roman" w:hAnsi="Times New Roman" w:cs="Times New Roman"/>
        </w:rPr>
        <w:t xml:space="preserve"> All the participants shall be given a Participant Information Sheet </w:t>
      </w:r>
      <w:r w:rsidR="001B35E3" w:rsidRPr="00390054">
        <w:rPr>
          <w:rFonts w:ascii="Times New Roman" w:hAnsi="Times New Roman" w:cs="Times New Roman"/>
        </w:rPr>
        <w:t>before</w:t>
      </w:r>
      <w:r w:rsidRPr="00390054">
        <w:rPr>
          <w:rFonts w:ascii="Times New Roman" w:hAnsi="Times New Roman" w:cs="Times New Roman"/>
        </w:rPr>
        <w:t xml:space="preserve"> the start of the study</w:t>
      </w:r>
      <w:r w:rsidR="001B35E3" w:rsidRPr="00390054">
        <w:rPr>
          <w:rFonts w:ascii="Times New Roman" w:hAnsi="Times New Roman" w:cs="Times New Roman"/>
        </w:rPr>
        <w:t>,</w:t>
      </w:r>
      <w:r w:rsidRPr="00390054">
        <w:rPr>
          <w:rFonts w:ascii="Times New Roman" w:hAnsi="Times New Roman" w:cs="Times New Roman"/>
        </w:rPr>
        <w:t xml:space="preserve"> which will clearly explain the objective of the study, the nature and anticipated length of the interview, how the data will be used and that they have an unconditional right to leave at any time. Before every interview, informed consent will be received implicitly.</w:t>
      </w:r>
    </w:p>
    <w:p w14:paraId="256FCC31" w14:textId="661B03D1" w:rsidR="0084749C" w:rsidRPr="00390054" w:rsidRDefault="0084749C" w:rsidP="00390054">
      <w:pPr>
        <w:pStyle w:val="ListParagraph"/>
        <w:numPr>
          <w:ilvl w:val="0"/>
          <w:numId w:val="4"/>
        </w:numPr>
        <w:spacing w:after="120" w:line="360" w:lineRule="auto"/>
        <w:jc w:val="both"/>
        <w:rPr>
          <w:rFonts w:ascii="Times New Roman" w:hAnsi="Times New Roman" w:cs="Times New Roman"/>
        </w:rPr>
      </w:pPr>
      <w:r w:rsidRPr="00390054">
        <w:rPr>
          <w:rFonts w:ascii="Times New Roman" w:hAnsi="Times New Roman" w:cs="Times New Roman"/>
          <w:b/>
          <w:bCs/>
        </w:rPr>
        <w:lastRenderedPageBreak/>
        <w:t>Confidentiality and Data Protection:</w:t>
      </w:r>
      <w:r w:rsidRPr="00390054">
        <w:rPr>
          <w:rFonts w:ascii="Times New Roman" w:hAnsi="Times New Roman" w:cs="Times New Roman"/>
        </w:rPr>
        <w:t xml:space="preserve"> All the data will be processed according to the requirements of UK GDPR outlined by the Information </w:t>
      </w:r>
      <w:r w:rsidR="001B35E3" w:rsidRPr="00390054">
        <w:rPr>
          <w:rFonts w:ascii="Times New Roman" w:hAnsi="Times New Roman" w:cs="Times New Roman"/>
        </w:rPr>
        <w:t>Commissioner's</w:t>
      </w:r>
      <w:r w:rsidRPr="00390054">
        <w:rPr>
          <w:rFonts w:ascii="Times New Roman" w:hAnsi="Times New Roman" w:cs="Times New Roman"/>
        </w:rPr>
        <w:t xml:space="preserve"> Office (ICO, 2023). Audio recordings and transcripts will be </w:t>
      </w:r>
      <w:r w:rsidR="001B35E3" w:rsidRPr="00390054">
        <w:rPr>
          <w:rFonts w:ascii="Times New Roman" w:hAnsi="Times New Roman" w:cs="Times New Roman"/>
        </w:rPr>
        <w:t xml:space="preserve">stored on password-protected, encrypted devices, that will be available only </w:t>
      </w:r>
      <w:r w:rsidRPr="00390054">
        <w:rPr>
          <w:rFonts w:ascii="Times New Roman" w:hAnsi="Times New Roman" w:cs="Times New Roman"/>
        </w:rPr>
        <w:t xml:space="preserve">to the researcher. </w:t>
      </w:r>
      <w:r w:rsidR="001B35E3" w:rsidRPr="00390054">
        <w:rPr>
          <w:rFonts w:ascii="Times New Roman" w:hAnsi="Times New Roman" w:cs="Times New Roman"/>
        </w:rPr>
        <w:t>During transcription, the information will be identified, and pseudonyms will be used throughout</w:t>
      </w:r>
      <w:r w:rsidRPr="00390054">
        <w:rPr>
          <w:rFonts w:ascii="Times New Roman" w:hAnsi="Times New Roman" w:cs="Times New Roman"/>
        </w:rPr>
        <w:t xml:space="preserve">. The information will be stored </w:t>
      </w:r>
      <w:r w:rsidR="001B35E3" w:rsidRPr="00390054">
        <w:rPr>
          <w:rFonts w:ascii="Times New Roman" w:hAnsi="Times New Roman" w:cs="Times New Roman"/>
        </w:rPr>
        <w:t>for no</w:t>
      </w:r>
      <w:r w:rsidRPr="00390054">
        <w:rPr>
          <w:rFonts w:ascii="Times New Roman" w:hAnsi="Times New Roman" w:cs="Times New Roman"/>
        </w:rPr>
        <w:t xml:space="preserve"> more than five years after the end of the study.</w:t>
      </w:r>
    </w:p>
    <w:p w14:paraId="4CF94A7E" w14:textId="77777777" w:rsidR="0084749C" w:rsidRPr="00390054" w:rsidRDefault="0084749C" w:rsidP="00390054">
      <w:pPr>
        <w:pStyle w:val="ListParagraph"/>
        <w:numPr>
          <w:ilvl w:val="0"/>
          <w:numId w:val="4"/>
        </w:numPr>
        <w:spacing w:after="120" w:line="360" w:lineRule="auto"/>
        <w:jc w:val="both"/>
        <w:rPr>
          <w:rFonts w:ascii="Times New Roman" w:hAnsi="Times New Roman" w:cs="Times New Roman"/>
        </w:rPr>
      </w:pPr>
      <w:r w:rsidRPr="00390054">
        <w:rPr>
          <w:rFonts w:ascii="Times New Roman" w:hAnsi="Times New Roman" w:cs="Times New Roman"/>
          <w:b/>
          <w:bCs/>
        </w:rPr>
        <w:t>Potential Risks and Mitigation:</w:t>
      </w:r>
      <w:r w:rsidRPr="00390054">
        <w:rPr>
          <w:rFonts w:ascii="Times New Roman" w:hAnsi="Times New Roman" w:cs="Times New Roman"/>
        </w:rPr>
        <w:t xml:space="preserve"> The participants can be encouraged to contemplate stress, isolation, or dissatisfaction with organisations. Although considerable distress is not expected, the participants will be informed at the very beginning that they may refuse to answer any question or stop the interview at any point. The Participant Information Sheet will also have signposting of the related employee assistance resources, just in case.</w:t>
      </w:r>
    </w:p>
    <w:p w14:paraId="6BC05268" w14:textId="5F200796" w:rsidR="008F69D3" w:rsidRPr="00390054" w:rsidRDefault="0084749C" w:rsidP="00390054">
      <w:pPr>
        <w:pStyle w:val="ListParagraph"/>
        <w:numPr>
          <w:ilvl w:val="0"/>
          <w:numId w:val="4"/>
        </w:numPr>
        <w:spacing w:after="120" w:line="360" w:lineRule="auto"/>
        <w:jc w:val="both"/>
        <w:rPr>
          <w:rFonts w:ascii="Times New Roman" w:hAnsi="Times New Roman" w:cs="Times New Roman"/>
        </w:rPr>
      </w:pPr>
      <w:r w:rsidRPr="00390054">
        <w:rPr>
          <w:rFonts w:ascii="Times New Roman" w:hAnsi="Times New Roman" w:cs="Times New Roman"/>
          <w:b/>
          <w:bCs/>
        </w:rPr>
        <w:t>Positionality:</w:t>
      </w:r>
      <w:r w:rsidRPr="00390054">
        <w:rPr>
          <w:rFonts w:ascii="Times New Roman" w:hAnsi="Times New Roman" w:cs="Times New Roman"/>
        </w:rPr>
        <w:t xml:space="preserve"> </w:t>
      </w:r>
      <w:r w:rsidR="00982872" w:rsidRPr="00390054">
        <w:rPr>
          <w:rFonts w:ascii="Times New Roman" w:hAnsi="Times New Roman" w:cs="Times New Roman"/>
        </w:rPr>
        <w:t>As</w:t>
      </w:r>
      <w:r w:rsidRPr="00390054">
        <w:rPr>
          <w:rFonts w:ascii="Times New Roman" w:hAnsi="Times New Roman" w:cs="Times New Roman"/>
        </w:rPr>
        <w:t xml:space="preserve"> Israel (2015) and Creswell and Poth (2018) point out, </w:t>
      </w:r>
      <w:r w:rsidR="00982872" w:rsidRPr="00390054">
        <w:rPr>
          <w:rFonts w:ascii="Times New Roman" w:hAnsi="Times New Roman" w:cs="Times New Roman"/>
        </w:rPr>
        <w:t>sometimes the</w:t>
      </w:r>
      <w:r w:rsidRPr="00390054">
        <w:rPr>
          <w:rFonts w:ascii="Times New Roman" w:hAnsi="Times New Roman" w:cs="Times New Roman"/>
        </w:rPr>
        <w:t xml:space="preserve"> researcher themselves and </w:t>
      </w:r>
      <w:r w:rsidR="00982872" w:rsidRPr="00390054">
        <w:rPr>
          <w:rFonts w:ascii="Times New Roman" w:hAnsi="Times New Roman" w:cs="Times New Roman"/>
        </w:rPr>
        <w:t>their</w:t>
      </w:r>
      <w:r w:rsidRPr="00390054">
        <w:rPr>
          <w:rFonts w:ascii="Times New Roman" w:hAnsi="Times New Roman" w:cs="Times New Roman"/>
        </w:rPr>
        <w:t xml:space="preserve"> personal experience in remote working can become a factor affecting how the question is framed and the interpretation of data. The reflexive </w:t>
      </w:r>
      <w:r w:rsidR="001B35E3" w:rsidRPr="00390054">
        <w:rPr>
          <w:rFonts w:ascii="Times New Roman" w:hAnsi="Times New Roman" w:cs="Times New Roman"/>
        </w:rPr>
        <w:t>journaling</w:t>
      </w:r>
      <w:r w:rsidRPr="00390054">
        <w:rPr>
          <w:rFonts w:ascii="Times New Roman" w:hAnsi="Times New Roman" w:cs="Times New Roman"/>
        </w:rPr>
        <w:t xml:space="preserve"> and transparent reporting will address these influences. Any data collection will be </w:t>
      </w:r>
      <w:r w:rsidR="001B35E3" w:rsidRPr="00390054">
        <w:rPr>
          <w:rFonts w:ascii="Times New Roman" w:hAnsi="Times New Roman" w:cs="Times New Roman"/>
        </w:rPr>
        <w:t>conducted after the University's Research Ethics Committee formally approves the</w:t>
      </w:r>
      <w:r w:rsidRPr="00390054">
        <w:rPr>
          <w:rFonts w:ascii="Times New Roman" w:hAnsi="Times New Roman" w:cs="Times New Roman"/>
        </w:rPr>
        <w:t xml:space="preserve"> study. </w:t>
      </w:r>
    </w:p>
    <w:p w14:paraId="743D9ABF" w14:textId="77777777" w:rsidR="008F69D3" w:rsidRPr="007A1DB3" w:rsidRDefault="008F69D3" w:rsidP="007A1DB3">
      <w:pPr>
        <w:pStyle w:val="Heading1"/>
      </w:pPr>
      <w:bookmarkStart w:id="20" w:name="_Toc225770399"/>
      <w:r w:rsidRPr="007A1DB3">
        <w:t>8. Research Limitations</w:t>
      </w:r>
      <w:bookmarkEnd w:id="20"/>
    </w:p>
    <w:p w14:paraId="0199154D" w14:textId="77777777" w:rsidR="00AF1064" w:rsidRPr="00AF1064" w:rsidRDefault="00AF1064" w:rsidP="00390054">
      <w:pPr>
        <w:spacing w:after="120" w:line="360" w:lineRule="auto"/>
        <w:jc w:val="both"/>
        <w:rPr>
          <w:rFonts w:ascii="Times New Roman" w:hAnsi="Times New Roman" w:cs="Times New Roman"/>
        </w:rPr>
      </w:pPr>
      <w:r w:rsidRPr="00AF1064">
        <w:rPr>
          <w:rFonts w:ascii="Times New Roman" w:hAnsi="Times New Roman" w:cs="Times New Roman"/>
        </w:rPr>
        <w:t>While this study is designed with methodological care, several limitations will need to be acknowledged as the research progresses. These are presented below, ordered from the most structurally embedded to those that will be managed through ongoing researcher practice.</w:t>
      </w:r>
    </w:p>
    <w:tbl>
      <w:tblPr>
        <w:tblStyle w:val="TableGrid"/>
        <w:tblW w:w="5000" w:type="pct"/>
        <w:tblLook w:val="04A0" w:firstRow="1" w:lastRow="0" w:firstColumn="1" w:lastColumn="0" w:noHBand="0" w:noVBand="1"/>
      </w:tblPr>
      <w:tblGrid>
        <w:gridCol w:w="2004"/>
        <w:gridCol w:w="7056"/>
      </w:tblGrid>
      <w:tr w:rsidR="00AF1064" w:rsidRPr="00AF1064" w14:paraId="237B67B7" w14:textId="77777777" w:rsidTr="00AF1064">
        <w:tc>
          <w:tcPr>
            <w:tcW w:w="1106" w:type="pct"/>
            <w:hideMark/>
          </w:tcPr>
          <w:p w14:paraId="68D2E92A" w14:textId="77777777" w:rsidR="00AF1064" w:rsidRPr="00AF1064" w:rsidRDefault="00AF1064" w:rsidP="00390054">
            <w:pPr>
              <w:spacing w:after="120" w:line="360" w:lineRule="auto"/>
              <w:jc w:val="both"/>
              <w:rPr>
                <w:rFonts w:ascii="Times New Roman" w:hAnsi="Times New Roman" w:cs="Times New Roman"/>
                <w:b/>
                <w:bCs/>
              </w:rPr>
            </w:pPr>
            <w:r w:rsidRPr="00AF1064">
              <w:rPr>
                <w:rFonts w:ascii="Times New Roman" w:hAnsi="Times New Roman" w:cs="Times New Roman"/>
                <w:b/>
                <w:bCs/>
              </w:rPr>
              <w:t>Limitation</w:t>
            </w:r>
          </w:p>
        </w:tc>
        <w:tc>
          <w:tcPr>
            <w:tcW w:w="3894" w:type="pct"/>
            <w:hideMark/>
          </w:tcPr>
          <w:p w14:paraId="7E47CC74" w14:textId="77777777" w:rsidR="00AF1064" w:rsidRPr="00AF1064" w:rsidRDefault="00AF1064" w:rsidP="00390054">
            <w:pPr>
              <w:spacing w:after="120" w:line="360" w:lineRule="auto"/>
              <w:jc w:val="both"/>
              <w:rPr>
                <w:rFonts w:ascii="Times New Roman" w:hAnsi="Times New Roman" w:cs="Times New Roman"/>
                <w:b/>
                <w:bCs/>
              </w:rPr>
            </w:pPr>
            <w:r w:rsidRPr="00AF1064">
              <w:rPr>
                <w:rFonts w:ascii="Times New Roman" w:hAnsi="Times New Roman" w:cs="Times New Roman"/>
                <w:b/>
                <w:bCs/>
              </w:rPr>
              <w:t>Description</w:t>
            </w:r>
          </w:p>
        </w:tc>
      </w:tr>
      <w:tr w:rsidR="00AF1064" w:rsidRPr="00AF1064" w14:paraId="532D7319" w14:textId="77777777" w:rsidTr="00AF1064">
        <w:tc>
          <w:tcPr>
            <w:tcW w:w="1106" w:type="pct"/>
            <w:hideMark/>
          </w:tcPr>
          <w:p w14:paraId="308A1B4F" w14:textId="77777777" w:rsidR="00AF1064" w:rsidRPr="00AF1064" w:rsidRDefault="00AF1064" w:rsidP="00390054">
            <w:pPr>
              <w:spacing w:after="120" w:line="360" w:lineRule="auto"/>
              <w:jc w:val="both"/>
              <w:rPr>
                <w:rFonts w:ascii="Times New Roman" w:hAnsi="Times New Roman" w:cs="Times New Roman"/>
              </w:rPr>
            </w:pPr>
            <w:r w:rsidRPr="00AF1064">
              <w:rPr>
                <w:rFonts w:ascii="Times New Roman" w:hAnsi="Times New Roman" w:cs="Times New Roman"/>
                <w:b/>
                <w:bCs/>
              </w:rPr>
              <w:t>Cross-Sectional Design</w:t>
            </w:r>
          </w:p>
        </w:tc>
        <w:tc>
          <w:tcPr>
            <w:tcW w:w="3894" w:type="pct"/>
            <w:hideMark/>
          </w:tcPr>
          <w:p w14:paraId="3D467619" w14:textId="5A45E3C4" w:rsidR="00AF1064" w:rsidRPr="00AF1064" w:rsidRDefault="00AF1064" w:rsidP="00390054">
            <w:pPr>
              <w:spacing w:after="120" w:line="360" w:lineRule="auto"/>
              <w:jc w:val="both"/>
              <w:rPr>
                <w:rFonts w:ascii="Times New Roman" w:hAnsi="Times New Roman" w:cs="Times New Roman"/>
              </w:rPr>
            </w:pPr>
            <w:r w:rsidRPr="00AF1064">
              <w:rPr>
                <w:rFonts w:ascii="Times New Roman" w:hAnsi="Times New Roman" w:cs="Times New Roman"/>
              </w:rPr>
              <w:t xml:space="preserve">Data will be collected at a single point in time, meaning shifts in experience driven by organisational or personal change will not be captured. A longitudinal design would better track how </w:t>
            </w:r>
            <w:r w:rsidR="00390054" w:rsidRPr="00390054">
              <w:rPr>
                <w:rFonts w:ascii="Times New Roman" w:hAnsi="Times New Roman" w:cs="Times New Roman"/>
              </w:rPr>
              <w:t>well-being</w:t>
            </w:r>
            <w:r w:rsidRPr="00AF1064">
              <w:rPr>
                <w:rFonts w:ascii="Times New Roman" w:hAnsi="Times New Roman" w:cs="Times New Roman"/>
              </w:rPr>
              <w:t xml:space="preserve"> and belonging evolve, but will remain impractical at this scale</w:t>
            </w:r>
            <w:r w:rsidRPr="00390054">
              <w:rPr>
                <w:rFonts w:ascii="Times New Roman" w:hAnsi="Times New Roman" w:cs="Times New Roman"/>
              </w:rPr>
              <w:t>(Saunders, Lewis and Thornhill, 2023)</w:t>
            </w:r>
            <w:r w:rsidRPr="00AF1064">
              <w:rPr>
                <w:rFonts w:ascii="Times New Roman" w:hAnsi="Times New Roman" w:cs="Times New Roman"/>
              </w:rPr>
              <w:t>.</w:t>
            </w:r>
          </w:p>
        </w:tc>
      </w:tr>
      <w:tr w:rsidR="00AF1064" w:rsidRPr="00AF1064" w14:paraId="6748F3DE" w14:textId="77777777" w:rsidTr="00AF1064">
        <w:tc>
          <w:tcPr>
            <w:tcW w:w="1106" w:type="pct"/>
            <w:hideMark/>
          </w:tcPr>
          <w:p w14:paraId="11A57401" w14:textId="77777777" w:rsidR="00AF1064" w:rsidRPr="00AF1064" w:rsidRDefault="00AF1064" w:rsidP="00390054">
            <w:pPr>
              <w:spacing w:after="120" w:line="360" w:lineRule="auto"/>
              <w:jc w:val="both"/>
              <w:rPr>
                <w:rFonts w:ascii="Times New Roman" w:hAnsi="Times New Roman" w:cs="Times New Roman"/>
              </w:rPr>
            </w:pPr>
            <w:r w:rsidRPr="00AF1064">
              <w:rPr>
                <w:rFonts w:ascii="Times New Roman" w:hAnsi="Times New Roman" w:cs="Times New Roman"/>
                <w:b/>
                <w:bCs/>
              </w:rPr>
              <w:t>Generalisability</w:t>
            </w:r>
          </w:p>
        </w:tc>
        <w:tc>
          <w:tcPr>
            <w:tcW w:w="3894" w:type="pct"/>
            <w:hideMark/>
          </w:tcPr>
          <w:p w14:paraId="13600FC0" w14:textId="77777777" w:rsidR="00AF1064" w:rsidRPr="00AF1064" w:rsidRDefault="00AF1064" w:rsidP="00390054">
            <w:pPr>
              <w:spacing w:after="120" w:line="360" w:lineRule="auto"/>
              <w:jc w:val="both"/>
              <w:rPr>
                <w:rFonts w:ascii="Times New Roman" w:hAnsi="Times New Roman" w:cs="Times New Roman"/>
              </w:rPr>
            </w:pPr>
            <w:r w:rsidRPr="00AF1064">
              <w:rPr>
                <w:rFonts w:ascii="Times New Roman" w:hAnsi="Times New Roman" w:cs="Times New Roman"/>
              </w:rPr>
              <w:t xml:space="preserve">Qualitative findings will not be statistically generalisable. The study's value will lie in contextual and conceptual insight, assessed through </w:t>
            </w:r>
            <w:r w:rsidRPr="00AF1064">
              <w:rPr>
                <w:rFonts w:ascii="Times New Roman" w:hAnsi="Times New Roman" w:cs="Times New Roman"/>
              </w:rPr>
              <w:lastRenderedPageBreak/>
              <w:t>transferability to similar settings rather than population inference (Smith, Flowers and Larkin, 2022).</w:t>
            </w:r>
          </w:p>
        </w:tc>
      </w:tr>
      <w:tr w:rsidR="00AF1064" w:rsidRPr="00AF1064" w14:paraId="0F5D1D7E" w14:textId="77777777" w:rsidTr="00AF1064">
        <w:tc>
          <w:tcPr>
            <w:tcW w:w="1106" w:type="pct"/>
            <w:hideMark/>
          </w:tcPr>
          <w:p w14:paraId="74C0718C" w14:textId="77777777" w:rsidR="00AF1064" w:rsidRPr="00AF1064" w:rsidRDefault="00AF1064" w:rsidP="00390054">
            <w:pPr>
              <w:spacing w:after="120" w:line="360" w:lineRule="auto"/>
              <w:jc w:val="both"/>
              <w:rPr>
                <w:rFonts w:ascii="Times New Roman" w:hAnsi="Times New Roman" w:cs="Times New Roman"/>
              </w:rPr>
            </w:pPr>
            <w:r w:rsidRPr="00AF1064">
              <w:rPr>
                <w:rFonts w:ascii="Times New Roman" w:hAnsi="Times New Roman" w:cs="Times New Roman"/>
                <w:b/>
                <w:bCs/>
              </w:rPr>
              <w:lastRenderedPageBreak/>
              <w:t>Self-Selection Bias</w:t>
            </w:r>
          </w:p>
        </w:tc>
        <w:tc>
          <w:tcPr>
            <w:tcW w:w="3894" w:type="pct"/>
            <w:hideMark/>
          </w:tcPr>
          <w:p w14:paraId="15D10943" w14:textId="565E789A" w:rsidR="00AF1064" w:rsidRPr="00AF1064" w:rsidRDefault="00AF1064" w:rsidP="00390054">
            <w:pPr>
              <w:spacing w:after="120" w:line="360" w:lineRule="auto"/>
              <w:jc w:val="both"/>
              <w:rPr>
                <w:rFonts w:ascii="Times New Roman" w:hAnsi="Times New Roman" w:cs="Times New Roman"/>
              </w:rPr>
            </w:pPr>
            <w:r w:rsidRPr="00AF1064">
              <w:rPr>
                <w:rFonts w:ascii="Times New Roman" w:hAnsi="Times New Roman" w:cs="Times New Roman"/>
              </w:rPr>
              <w:t>Volunteers may skew towards those with strongly positive or negative experiences</w:t>
            </w:r>
            <w:r w:rsidR="00AA48F4">
              <w:rPr>
                <w:rFonts w:ascii="Times New Roman" w:hAnsi="Times New Roman" w:cs="Times New Roman"/>
              </w:rPr>
              <w:t xml:space="preserve"> </w:t>
            </w:r>
            <w:r w:rsidR="00AA48F4" w:rsidRPr="00AA48F4">
              <w:rPr>
                <w:rFonts w:ascii="Times New Roman" w:hAnsi="Times New Roman" w:cs="Times New Roman"/>
              </w:rPr>
              <w:t>(Seng et al., 2025)</w:t>
            </w:r>
            <w:r w:rsidRPr="00AF1064">
              <w:rPr>
                <w:rFonts w:ascii="Times New Roman" w:hAnsi="Times New Roman" w:cs="Times New Roman"/>
              </w:rPr>
              <w:t>. Recruitment through professional networks and organisational referrals will partially reduce this risk.</w:t>
            </w:r>
          </w:p>
        </w:tc>
      </w:tr>
    </w:tbl>
    <w:p w14:paraId="62E8E245" w14:textId="58B49A59" w:rsidR="00D56166" w:rsidRPr="007A1DB3" w:rsidRDefault="00000000" w:rsidP="007A1DB3">
      <w:pPr>
        <w:pStyle w:val="Heading1"/>
      </w:pPr>
      <w:bookmarkStart w:id="21" w:name="_Toc225770400"/>
      <w:r w:rsidRPr="007A1DB3">
        <w:t>9.</w:t>
      </w:r>
      <w:r w:rsidR="00D56166" w:rsidRPr="007A1DB3">
        <w:t xml:space="preserve"> Expected Outcomes</w:t>
      </w:r>
      <w:bookmarkEnd w:id="21"/>
    </w:p>
    <w:p w14:paraId="5345E804" w14:textId="03A5A5FC" w:rsidR="00D13551" w:rsidRPr="00390054" w:rsidRDefault="00D13551"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study will have a meaningful academic impact by overcoming the qualitative gap in the literature of the finer, long-term consequences of remote and hybrid working on professionals in the technology industry (Wishart, 2025). The envisaged results will add to the use of the Self-Determination Theory, Social Identity Theory, and the Job Demands-Resources model by offering a context-related insight </w:t>
      </w:r>
      <w:r w:rsidR="00390054" w:rsidRPr="00390054">
        <w:rPr>
          <w:rFonts w:ascii="Times New Roman" w:hAnsi="Times New Roman" w:cs="Times New Roman"/>
        </w:rPr>
        <w:t>into</w:t>
      </w:r>
      <w:r w:rsidRPr="00390054">
        <w:rPr>
          <w:rFonts w:ascii="Times New Roman" w:hAnsi="Times New Roman" w:cs="Times New Roman"/>
        </w:rPr>
        <w:t xml:space="preserve"> negotiating autonomy, relatedness, and organisational identification in distributed workplaces (Urrila et al., 2025).</w:t>
      </w:r>
    </w:p>
    <w:p w14:paraId="1CF58567" w14:textId="0B366834" w:rsidR="00D56166" w:rsidRPr="00390054" w:rsidRDefault="00D13551" w:rsidP="00390054">
      <w:pPr>
        <w:spacing w:after="120" w:line="360" w:lineRule="auto"/>
        <w:jc w:val="both"/>
        <w:rPr>
          <w:rFonts w:ascii="Times New Roman" w:hAnsi="Times New Roman" w:cs="Times New Roman"/>
        </w:rPr>
      </w:pPr>
      <w:r w:rsidRPr="00390054">
        <w:rPr>
          <w:rFonts w:ascii="Times New Roman" w:hAnsi="Times New Roman" w:cs="Times New Roman"/>
        </w:rPr>
        <w:t>Practically, the study will be useful in providing practical solutions to the UK technology companies (including Sage, Kainos and Bromcom computers). The findings will provide evidence-based suggestions regarding how hybrid work policies, leadership communication strategies, and well-being initiatives can be revised to maintain talent retention in a competitive labour market</w:t>
      </w:r>
      <w:r w:rsidR="00D05352">
        <w:rPr>
          <w:rFonts w:ascii="Times New Roman" w:hAnsi="Times New Roman" w:cs="Times New Roman"/>
        </w:rPr>
        <w:t xml:space="preserve"> </w:t>
      </w:r>
      <w:r w:rsidR="00D05352" w:rsidRPr="00D05352">
        <w:rPr>
          <w:rFonts w:ascii="Times New Roman" w:hAnsi="Times New Roman" w:cs="Times New Roman"/>
        </w:rPr>
        <w:t>(Nyathani, 2023)</w:t>
      </w:r>
      <w:r w:rsidR="00390054" w:rsidRPr="00390054">
        <w:rPr>
          <w:rFonts w:ascii="Times New Roman" w:hAnsi="Times New Roman" w:cs="Times New Roman"/>
        </w:rPr>
        <w:t>,</w:t>
      </w:r>
      <w:r w:rsidRPr="00390054">
        <w:rPr>
          <w:rFonts w:ascii="Times New Roman" w:hAnsi="Times New Roman" w:cs="Times New Roman"/>
        </w:rPr>
        <w:t xml:space="preserve"> since they will clarify the particular organisational and managerial practices that employees should feel effective in reducing social isolation and promoting belonging (</w:t>
      </w:r>
      <w:r w:rsidR="00AA48F4" w:rsidRPr="00AA48F4">
        <w:rPr>
          <w:rFonts w:ascii="Times New Roman" w:hAnsi="Times New Roman" w:cs="Times New Roman"/>
        </w:rPr>
        <w:t>Oakman et al., 2020</w:t>
      </w:r>
      <w:r w:rsidR="00AA48F4">
        <w:rPr>
          <w:rFonts w:ascii="Times New Roman" w:hAnsi="Times New Roman" w:cs="Times New Roman"/>
        </w:rPr>
        <w:t xml:space="preserve">; </w:t>
      </w:r>
      <w:r w:rsidRPr="00390054">
        <w:rPr>
          <w:rFonts w:ascii="Times New Roman" w:hAnsi="Times New Roman" w:cs="Times New Roman"/>
        </w:rPr>
        <w:t>Turnbull, 2024).</w:t>
      </w:r>
    </w:p>
    <w:p w14:paraId="21A00133" w14:textId="77777777" w:rsidR="00714960" w:rsidRDefault="00714960">
      <w:pPr>
        <w:rPr>
          <w:rFonts w:ascii="Times New Roman" w:hAnsi="Times New Roman" w:cs="Times New Roman"/>
          <w:b/>
          <w:bCs/>
          <w:i/>
          <w:iCs/>
          <w:color w:val="1F3864"/>
          <w:sz w:val="32"/>
          <w:szCs w:val="32"/>
        </w:rPr>
      </w:pPr>
      <w:r>
        <w:br w:type="page"/>
      </w:r>
    </w:p>
    <w:p w14:paraId="59F4CC33" w14:textId="35D0AD95" w:rsidR="00F33F08" w:rsidRPr="007A1DB3" w:rsidRDefault="00DD64EA" w:rsidP="007A1DB3">
      <w:pPr>
        <w:pStyle w:val="Heading1"/>
      </w:pPr>
      <w:bookmarkStart w:id="22" w:name="_Toc225770401"/>
      <w:r w:rsidRPr="007A1DB3">
        <w:lastRenderedPageBreak/>
        <w:t>10. Research Timeline</w:t>
      </w:r>
      <w:bookmarkEnd w:id="22"/>
    </w:p>
    <w:p w14:paraId="0BF6FAFD" w14:textId="5CB19736" w:rsidR="00F33F08" w:rsidRPr="00390054" w:rsidRDefault="0084749C" w:rsidP="00390054">
      <w:pPr>
        <w:spacing w:after="120" w:line="360" w:lineRule="auto"/>
        <w:jc w:val="both"/>
        <w:rPr>
          <w:rFonts w:ascii="Times New Roman" w:hAnsi="Times New Roman" w:cs="Times New Roman"/>
        </w:rPr>
      </w:pPr>
      <w:r w:rsidRPr="00390054">
        <w:rPr>
          <w:rFonts w:ascii="Times New Roman" w:hAnsi="Times New Roman" w:cs="Times New Roman"/>
        </w:rPr>
        <w:t xml:space="preserve">The table below is a </w:t>
      </w:r>
      <w:r w:rsidR="001B35E3" w:rsidRPr="00390054">
        <w:rPr>
          <w:rFonts w:ascii="Times New Roman" w:hAnsi="Times New Roman" w:cs="Times New Roman"/>
        </w:rPr>
        <w:t>Gantt chart showing the proposed timeline for</w:t>
      </w:r>
      <w:r w:rsidRPr="00390054">
        <w:rPr>
          <w:rFonts w:ascii="Times New Roman" w:hAnsi="Times New Roman" w:cs="Times New Roman"/>
        </w:rPr>
        <w:t xml:space="preserve"> the study, including ethics approval and final submission. The schedule will be realistic and can be revised at every level. </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14"/>
        <w:gridCol w:w="916"/>
        <w:gridCol w:w="916"/>
        <w:gridCol w:w="916"/>
        <w:gridCol w:w="916"/>
        <w:gridCol w:w="916"/>
        <w:gridCol w:w="916"/>
        <w:gridCol w:w="916"/>
      </w:tblGrid>
      <w:tr w:rsidR="00F33F08" w:rsidRPr="00390054" w14:paraId="7BC5B455" w14:textId="77777777" w:rsidTr="00CA2335">
        <w:trPr>
          <w:tblHeader/>
        </w:trPr>
        <w:tc>
          <w:tcPr>
            <w:tcW w:w="2800" w:type="dxa"/>
            <w:tcBorders>
              <w:top w:val="single" w:sz="1" w:space="0" w:color="FFFFFF"/>
              <w:left w:val="single" w:sz="1" w:space="0" w:color="FFFFFF"/>
              <w:bottom w:val="single" w:sz="1" w:space="0" w:color="FFFFFF"/>
              <w:right w:val="single" w:sz="1" w:space="0" w:color="FFFFFF"/>
            </w:tcBorders>
            <w:shd w:val="clear" w:color="auto" w:fill="D1D1D1" w:themeFill="background2" w:themeFillShade="E6"/>
            <w:tcMar>
              <w:top w:w="100" w:type="dxa"/>
              <w:left w:w="140" w:type="dxa"/>
              <w:bottom w:w="100" w:type="dxa"/>
              <w:right w:w="140" w:type="dxa"/>
            </w:tcMar>
            <w:vAlign w:val="center"/>
          </w:tcPr>
          <w:p w14:paraId="1D076DAA"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b/>
                <w:bCs/>
                <w:sz w:val="22"/>
                <w:szCs w:val="22"/>
              </w:rPr>
              <w:t>Activity</w:t>
            </w:r>
          </w:p>
        </w:tc>
        <w:tc>
          <w:tcPr>
            <w:tcW w:w="900" w:type="dxa"/>
            <w:tcBorders>
              <w:top w:val="single" w:sz="1" w:space="0" w:color="FFFFFF"/>
              <w:left w:val="single" w:sz="1" w:space="0" w:color="FFFFFF"/>
              <w:bottom w:val="single" w:sz="1" w:space="0" w:color="FFFFFF"/>
              <w:right w:val="single" w:sz="1" w:space="0" w:color="FFFFFF"/>
            </w:tcBorders>
            <w:shd w:val="clear" w:color="auto" w:fill="D1D1D1" w:themeFill="background2" w:themeFillShade="E6"/>
            <w:tcMar>
              <w:top w:w="100" w:type="dxa"/>
              <w:left w:w="140" w:type="dxa"/>
              <w:bottom w:w="100" w:type="dxa"/>
              <w:right w:w="140" w:type="dxa"/>
            </w:tcMar>
            <w:vAlign w:val="center"/>
          </w:tcPr>
          <w:p w14:paraId="4106DD9D"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b/>
                <w:bCs/>
                <w:sz w:val="22"/>
                <w:szCs w:val="22"/>
              </w:rPr>
              <w:t>Month 1</w:t>
            </w:r>
          </w:p>
        </w:tc>
        <w:tc>
          <w:tcPr>
            <w:tcW w:w="900" w:type="dxa"/>
            <w:tcBorders>
              <w:top w:val="single" w:sz="1" w:space="0" w:color="FFFFFF"/>
              <w:left w:val="single" w:sz="1" w:space="0" w:color="FFFFFF"/>
              <w:bottom w:val="single" w:sz="1" w:space="0" w:color="FFFFFF"/>
              <w:right w:val="single" w:sz="1" w:space="0" w:color="FFFFFF"/>
            </w:tcBorders>
            <w:shd w:val="clear" w:color="auto" w:fill="D1D1D1" w:themeFill="background2" w:themeFillShade="E6"/>
            <w:tcMar>
              <w:top w:w="100" w:type="dxa"/>
              <w:left w:w="140" w:type="dxa"/>
              <w:bottom w:w="100" w:type="dxa"/>
              <w:right w:w="140" w:type="dxa"/>
            </w:tcMar>
            <w:vAlign w:val="center"/>
          </w:tcPr>
          <w:p w14:paraId="3F70951F"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b/>
                <w:bCs/>
                <w:sz w:val="22"/>
                <w:szCs w:val="22"/>
              </w:rPr>
              <w:t>Month 2</w:t>
            </w:r>
          </w:p>
        </w:tc>
        <w:tc>
          <w:tcPr>
            <w:tcW w:w="900" w:type="dxa"/>
            <w:tcBorders>
              <w:top w:val="single" w:sz="1" w:space="0" w:color="FFFFFF"/>
              <w:left w:val="single" w:sz="1" w:space="0" w:color="FFFFFF"/>
              <w:bottom w:val="single" w:sz="1" w:space="0" w:color="FFFFFF"/>
              <w:right w:val="single" w:sz="1" w:space="0" w:color="FFFFFF"/>
            </w:tcBorders>
            <w:shd w:val="clear" w:color="auto" w:fill="D1D1D1" w:themeFill="background2" w:themeFillShade="E6"/>
            <w:tcMar>
              <w:top w:w="100" w:type="dxa"/>
              <w:left w:w="140" w:type="dxa"/>
              <w:bottom w:w="100" w:type="dxa"/>
              <w:right w:w="140" w:type="dxa"/>
            </w:tcMar>
            <w:vAlign w:val="center"/>
          </w:tcPr>
          <w:p w14:paraId="5D158BDE"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b/>
                <w:bCs/>
                <w:sz w:val="22"/>
                <w:szCs w:val="22"/>
              </w:rPr>
              <w:t>Month 3</w:t>
            </w:r>
          </w:p>
        </w:tc>
        <w:tc>
          <w:tcPr>
            <w:tcW w:w="900" w:type="dxa"/>
            <w:tcBorders>
              <w:top w:val="single" w:sz="1" w:space="0" w:color="FFFFFF"/>
              <w:left w:val="single" w:sz="1" w:space="0" w:color="FFFFFF"/>
              <w:bottom w:val="single" w:sz="1" w:space="0" w:color="FFFFFF"/>
              <w:right w:val="single" w:sz="1" w:space="0" w:color="FFFFFF"/>
            </w:tcBorders>
            <w:shd w:val="clear" w:color="auto" w:fill="D1D1D1" w:themeFill="background2" w:themeFillShade="E6"/>
            <w:tcMar>
              <w:top w:w="100" w:type="dxa"/>
              <w:left w:w="140" w:type="dxa"/>
              <w:bottom w:w="100" w:type="dxa"/>
              <w:right w:w="140" w:type="dxa"/>
            </w:tcMar>
            <w:vAlign w:val="center"/>
          </w:tcPr>
          <w:p w14:paraId="1EA3BA0A"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b/>
                <w:bCs/>
                <w:sz w:val="22"/>
                <w:szCs w:val="22"/>
              </w:rPr>
              <w:t>Month 4</w:t>
            </w:r>
          </w:p>
        </w:tc>
        <w:tc>
          <w:tcPr>
            <w:tcW w:w="900" w:type="dxa"/>
            <w:tcBorders>
              <w:top w:val="single" w:sz="1" w:space="0" w:color="FFFFFF"/>
              <w:left w:val="single" w:sz="1" w:space="0" w:color="FFFFFF"/>
              <w:bottom w:val="single" w:sz="1" w:space="0" w:color="FFFFFF"/>
              <w:right w:val="single" w:sz="1" w:space="0" w:color="FFFFFF"/>
            </w:tcBorders>
            <w:shd w:val="clear" w:color="auto" w:fill="D1D1D1" w:themeFill="background2" w:themeFillShade="E6"/>
            <w:tcMar>
              <w:top w:w="100" w:type="dxa"/>
              <w:left w:w="140" w:type="dxa"/>
              <w:bottom w:w="100" w:type="dxa"/>
              <w:right w:w="140" w:type="dxa"/>
            </w:tcMar>
            <w:vAlign w:val="center"/>
          </w:tcPr>
          <w:p w14:paraId="0A24C4D0"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b/>
                <w:bCs/>
                <w:sz w:val="22"/>
                <w:szCs w:val="22"/>
              </w:rPr>
              <w:t>Month 5</w:t>
            </w:r>
          </w:p>
        </w:tc>
        <w:tc>
          <w:tcPr>
            <w:tcW w:w="900" w:type="dxa"/>
            <w:tcBorders>
              <w:top w:val="single" w:sz="1" w:space="0" w:color="FFFFFF"/>
              <w:left w:val="single" w:sz="1" w:space="0" w:color="FFFFFF"/>
              <w:bottom w:val="single" w:sz="1" w:space="0" w:color="FFFFFF"/>
              <w:right w:val="single" w:sz="1" w:space="0" w:color="FFFFFF"/>
            </w:tcBorders>
            <w:shd w:val="clear" w:color="auto" w:fill="D1D1D1" w:themeFill="background2" w:themeFillShade="E6"/>
            <w:tcMar>
              <w:top w:w="100" w:type="dxa"/>
              <w:left w:w="140" w:type="dxa"/>
              <w:bottom w:w="100" w:type="dxa"/>
              <w:right w:w="140" w:type="dxa"/>
            </w:tcMar>
            <w:vAlign w:val="center"/>
          </w:tcPr>
          <w:p w14:paraId="3F9F155D"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b/>
                <w:bCs/>
                <w:sz w:val="22"/>
                <w:szCs w:val="22"/>
              </w:rPr>
              <w:t>Month 6</w:t>
            </w:r>
          </w:p>
        </w:tc>
        <w:tc>
          <w:tcPr>
            <w:tcW w:w="826" w:type="dxa"/>
            <w:tcBorders>
              <w:top w:val="single" w:sz="1" w:space="0" w:color="FFFFFF"/>
              <w:left w:val="single" w:sz="1" w:space="0" w:color="FFFFFF"/>
              <w:bottom w:val="single" w:sz="1" w:space="0" w:color="FFFFFF"/>
              <w:right w:val="single" w:sz="1" w:space="0" w:color="FFFFFF"/>
            </w:tcBorders>
            <w:shd w:val="clear" w:color="auto" w:fill="D1D1D1" w:themeFill="background2" w:themeFillShade="E6"/>
            <w:tcMar>
              <w:top w:w="100" w:type="dxa"/>
              <w:left w:w="140" w:type="dxa"/>
              <w:bottom w:w="100" w:type="dxa"/>
              <w:right w:w="140" w:type="dxa"/>
            </w:tcMar>
            <w:vAlign w:val="center"/>
          </w:tcPr>
          <w:p w14:paraId="5503544B"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b/>
                <w:bCs/>
                <w:sz w:val="22"/>
                <w:szCs w:val="22"/>
              </w:rPr>
              <w:t>Month 7</w:t>
            </w:r>
          </w:p>
        </w:tc>
      </w:tr>
      <w:tr w:rsidR="00F33F08" w:rsidRPr="00390054" w14:paraId="518FB74C"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6AA42114"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Ethics Application &amp; Approval</w:t>
            </w: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3595F460"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54CCE73B"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53CFB2E6"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620F140B"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7780D8D0"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250A9634" w14:textId="77777777" w:rsidR="00F33F08" w:rsidRPr="00390054" w:rsidRDefault="00F33F08" w:rsidP="007A1DB3">
            <w:pPr>
              <w:spacing w:line="360" w:lineRule="auto"/>
              <w:rPr>
                <w:rFonts w:ascii="Times New Roman" w:hAnsi="Times New Roman" w:cs="Times New Roman"/>
              </w:rPr>
            </w:pPr>
          </w:p>
        </w:tc>
        <w:tc>
          <w:tcPr>
            <w:tcW w:w="826"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22311F6F" w14:textId="77777777" w:rsidR="00F33F08" w:rsidRPr="00390054" w:rsidRDefault="00F33F08" w:rsidP="007A1DB3">
            <w:pPr>
              <w:spacing w:line="360" w:lineRule="auto"/>
              <w:rPr>
                <w:rFonts w:ascii="Times New Roman" w:hAnsi="Times New Roman" w:cs="Times New Roman"/>
              </w:rPr>
            </w:pPr>
          </w:p>
        </w:tc>
      </w:tr>
      <w:tr w:rsidR="00F33F08" w:rsidRPr="00390054" w14:paraId="15F6BE6B"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1177AD83"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Literature Review Finalisation</w:t>
            </w: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37483855"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68A5E221"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3EE0F03E"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566D55B6"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3B7E0321"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6C4AE4EC" w14:textId="77777777" w:rsidR="00F33F08" w:rsidRPr="00390054" w:rsidRDefault="00F33F08" w:rsidP="007A1DB3">
            <w:pPr>
              <w:spacing w:line="360" w:lineRule="auto"/>
              <w:rPr>
                <w:rFonts w:ascii="Times New Roman" w:hAnsi="Times New Roman" w:cs="Times New Roman"/>
              </w:rPr>
            </w:pPr>
          </w:p>
        </w:tc>
        <w:tc>
          <w:tcPr>
            <w:tcW w:w="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103D2D12" w14:textId="77777777" w:rsidR="00F33F08" w:rsidRPr="00390054" w:rsidRDefault="00F33F08" w:rsidP="007A1DB3">
            <w:pPr>
              <w:spacing w:line="360" w:lineRule="auto"/>
              <w:rPr>
                <w:rFonts w:ascii="Times New Roman" w:hAnsi="Times New Roman" w:cs="Times New Roman"/>
              </w:rPr>
            </w:pPr>
          </w:p>
        </w:tc>
      </w:tr>
      <w:tr w:rsidR="00F33F08" w:rsidRPr="00390054" w14:paraId="1497FFB8"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35F3CF29"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Interview Guide Development &amp; Piloting</w:t>
            </w: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655F2BE3"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0F23950F"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631A2202"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7C97A474"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608CEE66"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19A2AD6D" w14:textId="77777777" w:rsidR="00F33F08" w:rsidRPr="00390054" w:rsidRDefault="00F33F08" w:rsidP="007A1DB3">
            <w:pPr>
              <w:spacing w:line="360" w:lineRule="auto"/>
              <w:rPr>
                <w:rFonts w:ascii="Times New Roman" w:hAnsi="Times New Roman" w:cs="Times New Roman"/>
              </w:rPr>
            </w:pPr>
          </w:p>
        </w:tc>
        <w:tc>
          <w:tcPr>
            <w:tcW w:w="826"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10E3F76E" w14:textId="77777777" w:rsidR="00F33F08" w:rsidRPr="00390054" w:rsidRDefault="00F33F08" w:rsidP="007A1DB3">
            <w:pPr>
              <w:spacing w:line="360" w:lineRule="auto"/>
              <w:rPr>
                <w:rFonts w:ascii="Times New Roman" w:hAnsi="Times New Roman" w:cs="Times New Roman"/>
              </w:rPr>
            </w:pPr>
          </w:p>
        </w:tc>
      </w:tr>
      <w:tr w:rsidR="00F33F08" w:rsidRPr="00390054" w14:paraId="14BDC4CA"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2639F7A2"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Participant Recruitment</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18DDC7C3"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0F454960"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701CB0ED"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17BC7820"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34591933"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59288E7F" w14:textId="77777777" w:rsidR="00F33F08" w:rsidRPr="00390054" w:rsidRDefault="00F33F08" w:rsidP="007A1DB3">
            <w:pPr>
              <w:spacing w:line="360" w:lineRule="auto"/>
              <w:rPr>
                <w:rFonts w:ascii="Times New Roman" w:hAnsi="Times New Roman" w:cs="Times New Roman"/>
              </w:rPr>
            </w:pPr>
          </w:p>
        </w:tc>
        <w:tc>
          <w:tcPr>
            <w:tcW w:w="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03EF773B" w14:textId="77777777" w:rsidR="00F33F08" w:rsidRPr="00390054" w:rsidRDefault="00F33F08" w:rsidP="007A1DB3">
            <w:pPr>
              <w:spacing w:line="360" w:lineRule="auto"/>
              <w:rPr>
                <w:rFonts w:ascii="Times New Roman" w:hAnsi="Times New Roman" w:cs="Times New Roman"/>
              </w:rPr>
            </w:pPr>
          </w:p>
        </w:tc>
      </w:tr>
      <w:tr w:rsidR="00F33F08" w:rsidRPr="00390054" w14:paraId="7B929738"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4F332F41"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Data Collection (12 Interviews)</w:t>
            </w: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79A8C174"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5A126E1C"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10170277"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5DC63DFC"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1944D393"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00757EE1" w14:textId="77777777" w:rsidR="00F33F08" w:rsidRPr="00390054" w:rsidRDefault="00F33F08" w:rsidP="007A1DB3">
            <w:pPr>
              <w:spacing w:line="360" w:lineRule="auto"/>
              <w:rPr>
                <w:rFonts w:ascii="Times New Roman" w:hAnsi="Times New Roman" w:cs="Times New Roman"/>
              </w:rPr>
            </w:pPr>
          </w:p>
        </w:tc>
        <w:tc>
          <w:tcPr>
            <w:tcW w:w="826"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3691345D" w14:textId="77777777" w:rsidR="00F33F08" w:rsidRPr="00390054" w:rsidRDefault="00F33F08" w:rsidP="007A1DB3">
            <w:pPr>
              <w:spacing w:line="360" w:lineRule="auto"/>
              <w:rPr>
                <w:rFonts w:ascii="Times New Roman" w:hAnsi="Times New Roman" w:cs="Times New Roman"/>
              </w:rPr>
            </w:pPr>
          </w:p>
        </w:tc>
      </w:tr>
      <w:tr w:rsidR="00F33F08" w:rsidRPr="00390054" w14:paraId="101D8FBF"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41C036EE"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Transcription &amp; Anonymisation</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06081E68"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00833C60"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45AFD204"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0518C491"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223996D7"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165C775F" w14:textId="77777777" w:rsidR="00F33F08" w:rsidRPr="00390054" w:rsidRDefault="00F33F08" w:rsidP="007A1DB3">
            <w:pPr>
              <w:spacing w:line="360" w:lineRule="auto"/>
              <w:rPr>
                <w:rFonts w:ascii="Times New Roman" w:hAnsi="Times New Roman" w:cs="Times New Roman"/>
              </w:rPr>
            </w:pPr>
          </w:p>
        </w:tc>
        <w:tc>
          <w:tcPr>
            <w:tcW w:w="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745C3300" w14:textId="77777777" w:rsidR="00F33F08" w:rsidRPr="00390054" w:rsidRDefault="00F33F08" w:rsidP="007A1DB3">
            <w:pPr>
              <w:spacing w:line="360" w:lineRule="auto"/>
              <w:rPr>
                <w:rFonts w:ascii="Times New Roman" w:hAnsi="Times New Roman" w:cs="Times New Roman"/>
              </w:rPr>
            </w:pPr>
          </w:p>
        </w:tc>
      </w:tr>
      <w:tr w:rsidR="00F33F08" w:rsidRPr="00390054" w14:paraId="64A13C12"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592058E5"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Thematic Analysis (Phases 1–4)</w:t>
            </w: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48FF201C"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7E7FA09E"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0141D46C"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557EF2FF"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023D1096"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7BB1F14D" w14:textId="77777777" w:rsidR="00F33F08" w:rsidRPr="00390054" w:rsidRDefault="00F33F08" w:rsidP="007A1DB3">
            <w:pPr>
              <w:spacing w:line="360" w:lineRule="auto"/>
              <w:rPr>
                <w:rFonts w:ascii="Times New Roman" w:hAnsi="Times New Roman" w:cs="Times New Roman"/>
              </w:rPr>
            </w:pPr>
          </w:p>
        </w:tc>
        <w:tc>
          <w:tcPr>
            <w:tcW w:w="826"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74831A9F" w14:textId="77777777" w:rsidR="00F33F08" w:rsidRPr="00390054" w:rsidRDefault="00F33F08" w:rsidP="007A1DB3">
            <w:pPr>
              <w:spacing w:line="360" w:lineRule="auto"/>
              <w:rPr>
                <w:rFonts w:ascii="Times New Roman" w:hAnsi="Times New Roman" w:cs="Times New Roman"/>
              </w:rPr>
            </w:pPr>
          </w:p>
        </w:tc>
      </w:tr>
      <w:tr w:rsidR="00F33F08" w:rsidRPr="00390054" w14:paraId="03D9711C"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188A778D"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Member Checking</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13191D1D"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457EA08D"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25E211D9"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6CD37664"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0771BBE3"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3141BA20" w14:textId="77777777" w:rsidR="00F33F08" w:rsidRPr="00390054" w:rsidRDefault="00F33F08" w:rsidP="007A1DB3">
            <w:pPr>
              <w:spacing w:line="360" w:lineRule="auto"/>
              <w:rPr>
                <w:rFonts w:ascii="Times New Roman" w:hAnsi="Times New Roman" w:cs="Times New Roman"/>
              </w:rPr>
            </w:pPr>
          </w:p>
        </w:tc>
        <w:tc>
          <w:tcPr>
            <w:tcW w:w="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418E1C1E" w14:textId="77777777" w:rsidR="00F33F08" w:rsidRPr="00390054" w:rsidRDefault="00F33F08" w:rsidP="007A1DB3">
            <w:pPr>
              <w:spacing w:line="360" w:lineRule="auto"/>
              <w:rPr>
                <w:rFonts w:ascii="Times New Roman" w:hAnsi="Times New Roman" w:cs="Times New Roman"/>
              </w:rPr>
            </w:pPr>
          </w:p>
        </w:tc>
      </w:tr>
      <w:tr w:rsidR="00F33F08" w:rsidRPr="00390054" w14:paraId="5A101867"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47D4FA37"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Final Analysis &amp; Write-Up (Phases 5–6)</w:t>
            </w: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508FEEEA"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3CCD662B"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2ED54D53"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48042A7D"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62DEE63C"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1C336A0F"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826" w:type="dxa"/>
            <w:tcBorders>
              <w:top w:val="single" w:sz="1" w:space="0" w:color="CCCCCC"/>
              <w:left w:val="single" w:sz="1" w:space="0" w:color="CCCCCC"/>
              <w:bottom w:val="single" w:sz="1" w:space="0" w:color="CCCCCC"/>
              <w:right w:val="single" w:sz="1" w:space="0" w:color="CCCCCC"/>
            </w:tcBorders>
            <w:shd w:val="clear" w:color="auto" w:fill="F5F5F5"/>
            <w:tcMar>
              <w:top w:w="80" w:type="dxa"/>
              <w:left w:w="140" w:type="dxa"/>
              <w:bottom w:w="80" w:type="dxa"/>
              <w:right w:w="140" w:type="dxa"/>
            </w:tcMar>
          </w:tcPr>
          <w:p w14:paraId="7B788841" w14:textId="77777777" w:rsidR="00F33F08" w:rsidRPr="00390054" w:rsidRDefault="00F33F08" w:rsidP="007A1DB3">
            <w:pPr>
              <w:spacing w:line="360" w:lineRule="auto"/>
              <w:rPr>
                <w:rFonts w:ascii="Times New Roman" w:hAnsi="Times New Roman" w:cs="Times New Roman"/>
              </w:rPr>
            </w:pPr>
          </w:p>
        </w:tc>
      </w:tr>
      <w:tr w:rsidR="00F33F08" w:rsidRPr="00390054" w14:paraId="317FEAA1"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36850BBF" w14:textId="77777777" w:rsidR="00F33F08" w:rsidRPr="00390054" w:rsidRDefault="00000000" w:rsidP="007A1DB3">
            <w:pPr>
              <w:spacing w:line="360" w:lineRule="auto"/>
              <w:rPr>
                <w:rFonts w:ascii="Times New Roman" w:hAnsi="Times New Roman" w:cs="Times New Roman"/>
              </w:rPr>
            </w:pPr>
            <w:r w:rsidRPr="00390054">
              <w:rPr>
                <w:rFonts w:ascii="Times New Roman" w:hAnsi="Times New Roman" w:cs="Times New Roman"/>
                <w:color w:val="000000"/>
                <w:sz w:val="22"/>
                <w:szCs w:val="22"/>
              </w:rPr>
              <w:t>Review, Editing &amp; Submission</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2920808B"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5EF02C63"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3EE3AE47"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3FA1AB3E"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tcPr>
          <w:p w14:paraId="38332E02" w14:textId="77777777" w:rsidR="00F33F08" w:rsidRPr="00390054" w:rsidRDefault="00F33F08" w:rsidP="007A1DB3">
            <w:pPr>
              <w:spacing w:line="360" w:lineRule="auto"/>
              <w:rPr>
                <w:rFonts w:ascii="Times New Roman" w:hAnsi="Times New Roman" w:cs="Times New Roman"/>
              </w:rPr>
            </w:pPr>
          </w:p>
        </w:tc>
        <w:tc>
          <w:tcPr>
            <w:tcW w:w="900"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1E78DD51"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c>
          <w:tcPr>
            <w:tcW w:w="826" w:type="dxa"/>
            <w:tcBorders>
              <w:top w:val="single" w:sz="1" w:space="0" w:color="CCCCCC"/>
              <w:left w:val="single" w:sz="1" w:space="0" w:color="CCCCCC"/>
              <w:bottom w:val="single" w:sz="1" w:space="0" w:color="CCCCCC"/>
              <w:right w:val="single" w:sz="1" w:space="0" w:color="CCCCCC"/>
            </w:tcBorders>
            <w:shd w:val="clear" w:color="auto" w:fill="D5E8D4"/>
            <w:tcMar>
              <w:top w:w="80" w:type="dxa"/>
              <w:left w:w="140" w:type="dxa"/>
              <w:bottom w:w="80" w:type="dxa"/>
              <w:right w:w="140" w:type="dxa"/>
            </w:tcMar>
          </w:tcPr>
          <w:p w14:paraId="1DCF370F" w14:textId="77777777" w:rsidR="00F33F08" w:rsidRPr="00390054" w:rsidRDefault="00000000" w:rsidP="007A1DB3">
            <w:pPr>
              <w:spacing w:line="360" w:lineRule="auto"/>
              <w:rPr>
                <w:rFonts w:ascii="Times New Roman" w:hAnsi="Times New Roman" w:cs="Times New Roman"/>
              </w:rPr>
            </w:pPr>
            <w:r w:rsidRPr="00390054">
              <w:rPr>
                <w:rFonts w:ascii="Segoe UI Symbol" w:hAnsi="Segoe UI Symbol" w:cs="Segoe UI Symbol"/>
                <w:b/>
                <w:bCs/>
                <w:color w:val="2D6A4F"/>
                <w:sz w:val="22"/>
                <w:szCs w:val="22"/>
              </w:rPr>
              <w:t>✓</w:t>
            </w:r>
          </w:p>
        </w:tc>
      </w:tr>
    </w:tbl>
    <w:p w14:paraId="1358F476"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i/>
          <w:iCs/>
          <w:color w:val="555555"/>
          <w:sz w:val="20"/>
          <w:szCs w:val="20"/>
        </w:rPr>
        <w:t>Table 2: Proposed Research Timeline (Gantt-Style)</w:t>
      </w:r>
    </w:p>
    <w:p w14:paraId="41794403" w14:textId="77777777" w:rsidR="00714960" w:rsidRDefault="00714960">
      <w:pPr>
        <w:rPr>
          <w:rFonts w:ascii="Times New Roman" w:hAnsi="Times New Roman" w:cs="Times New Roman"/>
          <w:b/>
          <w:bCs/>
          <w:i/>
          <w:iCs/>
          <w:color w:val="1F3864"/>
          <w:sz w:val="32"/>
          <w:szCs w:val="32"/>
        </w:rPr>
      </w:pPr>
      <w:r>
        <w:br w:type="page"/>
      </w:r>
    </w:p>
    <w:p w14:paraId="64C7404E" w14:textId="125AD3BA" w:rsidR="00F33F08" w:rsidRPr="007A1DB3" w:rsidRDefault="00000000" w:rsidP="007A1DB3">
      <w:pPr>
        <w:pStyle w:val="Heading1"/>
      </w:pPr>
      <w:bookmarkStart w:id="23" w:name="_Toc225770402"/>
      <w:r w:rsidRPr="007A1DB3">
        <w:lastRenderedPageBreak/>
        <w:t>1</w:t>
      </w:r>
      <w:r w:rsidR="00DD64EA" w:rsidRPr="007A1DB3">
        <w:t>1</w:t>
      </w:r>
      <w:r w:rsidRPr="007A1DB3">
        <w:t>. Resources and Cost Considerations</w:t>
      </w:r>
      <w:bookmarkEnd w:id="23"/>
    </w:p>
    <w:p w14:paraId="1607C589" w14:textId="5380E7A5" w:rsidR="00F33F08" w:rsidRPr="00390054" w:rsidRDefault="00D13551" w:rsidP="00390054">
      <w:pPr>
        <w:spacing w:after="120" w:line="360" w:lineRule="auto"/>
        <w:jc w:val="both"/>
        <w:rPr>
          <w:rFonts w:ascii="Times New Roman" w:hAnsi="Times New Roman" w:cs="Times New Roman"/>
        </w:rPr>
      </w:pPr>
      <w:r w:rsidRPr="00390054">
        <w:rPr>
          <w:rFonts w:ascii="Times New Roman" w:hAnsi="Times New Roman" w:cs="Times New Roman"/>
        </w:rPr>
        <w:t>The research project will be conducted with a limited financial outlay, as required by the constraints of a postgraduate research project. The planned cost and resources are as described in the table below.</w:t>
      </w:r>
    </w:p>
    <w:tbl>
      <w:tblPr>
        <w:tblStyle w:val="PlainTable1"/>
        <w:tblW w:w="9026" w:type="dxa"/>
        <w:tblLook w:val="04A0" w:firstRow="1" w:lastRow="0" w:firstColumn="1" w:lastColumn="0" w:noHBand="0" w:noVBand="1"/>
      </w:tblPr>
      <w:tblGrid>
        <w:gridCol w:w="3200"/>
        <w:gridCol w:w="3000"/>
        <w:gridCol w:w="2826"/>
      </w:tblGrid>
      <w:tr w:rsidR="00CA2335" w:rsidRPr="00390054" w14:paraId="1502147C" w14:textId="77777777" w:rsidTr="009828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tcPr>
          <w:p w14:paraId="4331CD98"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sz w:val="22"/>
                <w:szCs w:val="22"/>
              </w:rPr>
              <w:t>Resource</w:t>
            </w:r>
          </w:p>
        </w:tc>
        <w:tc>
          <w:tcPr>
            <w:tcW w:w="3000" w:type="dxa"/>
          </w:tcPr>
          <w:p w14:paraId="68A91C3B" w14:textId="77777777" w:rsidR="00F33F08" w:rsidRPr="00390054" w:rsidRDefault="00000000" w:rsidP="00390054">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Details</w:t>
            </w:r>
          </w:p>
        </w:tc>
        <w:tc>
          <w:tcPr>
            <w:tcW w:w="2826" w:type="dxa"/>
          </w:tcPr>
          <w:p w14:paraId="3AACDF5F" w14:textId="77777777" w:rsidR="00F33F08" w:rsidRPr="00390054" w:rsidRDefault="00000000" w:rsidP="00390054">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Estimated Cost</w:t>
            </w:r>
          </w:p>
        </w:tc>
      </w:tr>
      <w:tr w:rsidR="00CA2335" w:rsidRPr="00390054" w14:paraId="38A78831" w14:textId="77777777" w:rsidTr="00982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tcPr>
          <w:p w14:paraId="0BD88BC7"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b w:val="0"/>
                <w:bCs w:val="0"/>
                <w:sz w:val="22"/>
                <w:szCs w:val="22"/>
              </w:rPr>
              <w:t>Video Conferencing Software</w:t>
            </w:r>
          </w:p>
        </w:tc>
        <w:tc>
          <w:tcPr>
            <w:tcW w:w="3000" w:type="dxa"/>
          </w:tcPr>
          <w:p w14:paraId="0D7703A6" w14:textId="77777777" w:rsidR="00F33F08" w:rsidRPr="00390054" w:rsidRDefault="00000000" w:rsidP="00390054">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Microsoft Teams / Zoom (institutional licence)</w:t>
            </w:r>
          </w:p>
        </w:tc>
        <w:tc>
          <w:tcPr>
            <w:tcW w:w="2826" w:type="dxa"/>
          </w:tcPr>
          <w:p w14:paraId="29D3AD2E" w14:textId="77777777" w:rsidR="00F33F08" w:rsidRPr="00390054" w:rsidRDefault="00000000" w:rsidP="00390054">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Nil — institutional access</w:t>
            </w:r>
          </w:p>
        </w:tc>
      </w:tr>
      <w:tr w:rsidR="00CA2335" w:rsidRPr="00390054" w14:paraId="70744D2A" w14:textId="77777777" w:rsidTr="00982872">
        <w:tc>
          <w:tcPr>
            <w:cnfStyle w:val="001000000000" w:firstRow="0" w:lastRow="0" w:firstColumn="1" w:lastColumn="0" w:oddVBand="0" w:evenVBand="0" w:oddHBand="0" w:evenHBand="0" w:firstRowFirstColumn="0" w:firstRowLastColumn="0" w:lastRowFirstColumn="0" w:lastRowLastColumn="0"/>
            <w:tcW w:w="3200" w:type="dxa"/>
          </w:tcPr>
          <w:p w14:paraId="0E208869" w14:textId="18CFD6B4"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b w:val="0"/>
                <w:bCs w:val="0"/>
                <w:sz w:val="22"/>
                <w:szCs w:val="22"/>
              </w:rPr>
              <w:t>Transcription Service</w:t>
            </w:r>
          </w:p>
        </w:tc>
        <w:tc>
          <w:tcPr>
            <w:tcW w:w="3000" w:type="dxa"/>
          </w:tcPr>
          <w:p w14:paraId="111DD800" w14:textId="77777777" w:rsidR="00F33F08" w:rsidRPr="00390054" w:rsidRDefault="00000000" w:rsidP="00390054">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Otter.ai or equivalent, with manual review</w:t>
            </w:r>
          </w:p>
        </w:tc>
        <w:tc>
          <w:tcPr>
            <w:tcW w:w="2826" w:type="dxa"/>
          </w:tcPr>
          <w:p w14:paraId="40F41FCA" w14:textId="77777777" w:rsidR="00F33F08" w:rsidRPr="00390054" w:rsidRDefault="00000000" w:rsidP="00390054">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£0–£15/month (basic tier)</w:t>
            </w:r>
          </w:p>
        </w:tc>
      </w:tr>
      <w:tr w:rsidR="00CA2335" w:rsidRPr="00390054" w14:paraId="26377170" w14:textId="77777777" w:rsidTr="00982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tcPr>
          <w:p w14:paraId="38C13AB8"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b w:val="0"/>
                <w:bCs w:val="0"/>
                <w:sz w:val="22"/>
                <w:szCs w:val="22"/>
              </w:rPr>
              <w:t>NVivo Qualitative Analysis Software</w:t>
            </w:r>
          </w:p>
        </w:tc>
        <w:tc>
          <w:tcPr>
            <w:tcW w:w="3000" w:type="dxa"/>
          </w:tcPr>
          <w:p w14:paraId="67F6856D" w14:textId="77777777" w:rsidR="00F33F08" w:rsidRPr="00390054" w:rsidRDefault="00000000" w:rsidP="00390054">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Student licence for qualitative coding</w:t>
            </w:r>
          </w:p>
        </w:tc>
        <w:tc>
          <w:tcPr>
            <w:tcW w:w="2826" w:type="dxa"/>
          </w:tcPr>
          <w:p w14:paraId="7769859B" w14:textId="77777777" w:rsidR="00F33F08" w:rsidRPr="00390054" w:rsidRDefault="00000000" w:rsidP="00390054">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£0 — university site licence</w:t>
            </w:r>
          </w:p>
        </w:tc>
      </w:tr>
      <w:tr w:rsidR="00CA2335" w:rsidRPr="00390054" w14:paraId="27567571" w14:textId="77777777" w:rsidTr="00982872">
        <w:tc>
          <w:tcPr>
            <w:cnfStyle w:val="001000000000" w:firstRow="0" w:lastRow="0" w:firstColumn="1" w:lastColumn="0" w:oddVBand="0" w:evenVBand="0" w:oddHBand="0" w:evenHBand="0" w:firstRowFirstColumn="0" w:firstRowLastColumn="0" w:lastRowFirstColumn="0" w:lastRowLastColumn="0"/>
            <w:tcW w:w="3200" w:type="dxa"/>
          </w:tcPr>
          <w:p w14:paraId="38079F58"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b w:val="0"/>
                <w:bCs w:val="0"/>
                <w:sz w:val="22"/>
                <w:szCs w:val="22"/>
              </w:rPr>
              <w:t>Cloud Storage (Encrypted)</w:t>
            </w:r>
          </w:p>
        </w:tc>
        <w:tc>
          <w:tcPr>
            <w:tcW w:w="3000" w:type="dxa"/>
          </w:tcPr>
          <w:p w14:paraId="1778BBA7" w14:textId="77777777" w:rsidR="00F33F08" w:rsidRPr="00390054" w:rsidRDefault="00000000" w:rsidP="00390054">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OneDrive / institutional provision</w:t>
            </w:r>
          </w:p>
        </w:tc>
        <w:tc>
          <w:tcPr>
            <w:tcW w:w="2826" w:type="dxa"/>
          </w:tcPr>
          <w:p w14:paraId="0DC3B07D" w14:textId="77777777" w:rsidR="00F33F08" w:rsidRPr="00390054" w:rsidRDefault="00000000" w:rsidP="00390054">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Nil — institutional provision</w:t>
            </w:r>
          </w:p>
        </w:tc>
      </w:tr>
      <w:tr w:rsidR="00CA2335" w:rsidRPr="00390054" w14:paraId="5F025517" w14:textId="77777777" w:rsidTr="00982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tcPr>
          <w:p w14:paraId="3AE43536"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b w:val="0"/>
                <w:bCs w:val="0"/>
                <w:sz w:val="22"/>
                <w:szCs w:val="22"/>
              </w:rPr>
              <w:t>Participant Incentives</w:t>
            </w:r>
          </w:p>
        </w:tc>
        <w:tc>
          <w:tcPr>
            <w:tcW w:w="3000" w:type="dxa"/>
          </w:tcPr>
          <w:p w14:paraId="5FDA2531" w14:textId="77777777" w:rsidR="00F33F08" w:rsidRPr="00390054" w:rsidRDefault="00000000" w:rsidP="00390054">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None planned; participation is voluntary</w:t>
            </w:r>
          </w:p>
        </w:tc>
        <w:tc>
          <w:tcPr>
            <w:tcW w:w="2826" w:type="dxa"/>
          </w:tcPr>
          <w:p w14:paraId="4ED1BB11" w14:textId="77777777" w:rsidR="00F33F08" w:rsidRPr="00390054" w:rsidRDefault="00000000" w:rsidP="00390054">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Nil</w:t>
            </w:r>
          </w:p>
        </w:tc>
      </w:tr>
      <w:tr w:rsidR="00CA2335" w:rsidRPr="00390054" w14:paraId="2A96EA13" w14:textId="77777777" w:rsidTr="00982872">
        <w:tc>
          <w:tcPr>
            <w:cnfStyle w:val="001000000000" w:firstRow="0" w:lastRow="0" w:firstColumn="1" w:lastColumn="0" w:oddVBand="0" w:evenVBand="0" w:oddHBand="0" w:evenHBand="0" w:firstRowFirstColumn="0" w:firstRowLastColumn="0" w:lastRowFirstColumn="0" w:lastRowLastColumn="0"/>
            <w:tcW w:w="3200" w:type="dxa"/>
          </w:tcPr>
          <w:p w14:paraId="77872BFE"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b w:val="0"/>
                <w:bCs w:val="0"/>
                <w:sz w:val="22"/>
                <w:szCs w:val="22"/>
              </w:rPr>
              <w:t>Printing / Stationery</w:t>
            </w:r>
          </w:p>
        </w:tc>
        <w:tc>
          <w:tcPr>
            <w:tcW w:w="3000" w:type="dxa"/>
          </w:tcPr>
          <w:p w14:paraId="17AFAAE8" w14:textId="77777777" w:rsidR="00F33F08" w:rsidRPr="00390054" w:rsidRDefault="00000000" w:rsidP="00390054">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Consent forms, information sheets (if required in print)</w:t>
            </w:r>
          </w:p>
        </w:tc>
        <w:tc>
          <w:tcPr>
            <w:tcW w:w="2826" w:type="dxa"/>
          </w:tcPr>
          <w:p w14:paraId="493C5508" w14:textId="77777777" w:rsidR="00F33F08" w:rsidRPr="00390054" w:rsidRDefault="00000000" w:rsidP="00390054">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Under £20</w:t>
            </w:r>
          </w:p>
        </w:tc>
      </w:tr>
      <w:tr w:rsidR="00CA2335" w:rsidRPr="00390054" w14:paraId="59CB078D" w14:textId="77777777" w:rsidTr="00982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tcPr>
          <w:p w14:paraId="7A9EB064"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b w:val="0"/>
                <w:bCs w:val="0"/>
                <w:sz w:val="22"/>
                <w:szCs w:val="22"/>
              </w:rPr>
              <w:t>Researcher Time</w:t>
            </w:r>
          </w:p>
        </w:tc>
        <w:tc>
          <w:tcPr>
            <w:tcW w:w="3000" w:type="dxa"/>
          </w:tcPr>
          <w:p w14:paraId="34E1F632" w14:textId="77777777" w:rsidR="00F33F08" w:rsidRPr="00390054" w:rsidRDefault="00000000" w:rsidP="00390054">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Estimated 200–250 hours across all phases</w:t>
            </w:r>
          </w:p>
        </w:tc>
        <w:tc>
          <w:tcPr>
            <w:tcW w:w="2826" w:type="dxa"/>
          </w:tcPr>
          <w:p w14:paraId="5BAEBE65" w14:textId="77777777" w:rsidR="00F33F08" w:rsidRPr="00390054" w:rsidRDefault="00000000" w:rsidP="00390054">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sz w:val="22"/>
                <w:szCs w:val="22"/>
              </w:rPr>
              <w:t>Opportunity cost only</w:t>
            </w:r>
          </w:p>
        </w:tc>
      </w:tr>
      <w:tr w:rsidR="00CA2335" w:rsidRPr="00390054" w14:paraId="2E2E7574" w14:textId="77777777" w:rsidTr="00982872">
        <w:tc>
          <w:tcPr>
            <w:cnfStyle w:val="001000000000" w:firstRow="0" w:lastRow="0" w:firstColumn="1" w:lastColumn="0" w:oddVBand="0" w:evenVBand="0" w:oddHBand="0" w:evenHBand="0" w:firstRowFirstColumn="0" w:firstRowLastColumn="0" w:lastRowFirstColumn="0" w:lastRowLastColumn="0"/>
            <w:tcW w:w="3200" w:type="dxa"/>
          </w:tcPr>
          <w:p w14:paraId="5CED8469"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sz w:val="22"/>
                <w:szCs w:val="22"/>
              </w:rPr>
              <w:t>Total Estimated Expenditure</w:t>
            </w:r>
          </w:p>
        </w:tc>
        <w:tc>
          <w:tcPr>
            <w:tcW w:w="3000" w:type="dxa"/>
          </w:tcPr>
          <w:p w14:paraId="1EFDA855" w14:textId="77777777" w:rsidR="00F33F08" w:rsidRPr="00390054" w:rsidRDefault="00F33F08" w:rsidP="00390054">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826" w:type="dxa"/>
          </w:tcPr>
          <w:p w14:paraId="042F85D9" w14:textId="77777777" w:rsidR="00F33F08" w:rsidRPr="00390054" w:rsidRDefault="00000000" w:rsidP="00390054">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90054">
              <w:rPr>
                <w:rFonts w:ascii="Times New Roman" w:hAnsi="Times New Roman" w:cs="Times New Roman"/>
                <w:b/>
                <w:bCs/>
                <w:sz w:val="22"/>
                <w:szCs w:val="22"/>
              </w:rPr>
              <w:t>Under £50</w:t>
            </w:r>
          </w:p>
        </w:tc>
      </w:tr>
    </w:tbl>
    <w:p w14:paraId="5F7EB807" w14:textId="5534C086"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i/>
          <w:iCs/>
          <w:color w:val="555555"/>
          <w:sz w:val="20"/>
          <w:szCs w:val="20"/>
        </w:rPr>
        <w:t>Table 3: Resource and Cost Summary</w:t>
      </w:r>
    </w:p>
    <w:p w14:paraId="43BA6BCC" w14:textId="73DA4F21" w:rsidR="001B35E3" w:rsidRPr="007A1DB3" w:rsidRDefault="007A1DB3" w:rsidP="007A1DB3">
      <w:pPr>
        <w:spacing w:after="120" w:line="360" w:lineRule="auto"/>
        <w:jc w:val="center"/>
        <w:rPr>
          <w:rFonts w:ascii="Times New Roman" w:hAnsi="Times New Roman" w:cs="Times New Roman"/>
          <w:b/>
          <w:bCs/>
          <w:color w:val="215E99" w:themeColor="text2" w:themeTint="BF"/>
          <w:sz w:val="32"/>
          <w:szCs w:val="32"/>
        </w:rPr>
      </w:pPr>
      <w:r w:rsidRPr="007A1DB3">
        <w:rPr>
          <w:rFonts w:ascii="Times New Roman" w:hAnsi="Times New Roman" w:cs="Times New Roman"/>
          <w:b/>
          <w:bCs/>
          <w:color w:val="215E99" w:themeColor="text2" w:themeTint="BF"/>
        </w:rPr>
        <w:t>Word count: 4722</w:t>
      </w:r>
      <w:r w:rsidR="001B35E3" w:rsidRPr="007A1DB3">
        <w:rPr>
          <w:rFonts w:ascii="Times New Roman" w:hAnsi="Times New Roman" w:cs="Times New Roman"/>
          <w:b/>
          <w:bCs/>
          <w:color w:val="215E99" w:themeColor="text2" w:themeTint="BF"/>
        </w:rPr>
        <w:br w:type="page"/>
      </w:r>
    </w:p>
    <w:p w14:paraId="367C9E44" w14:textId="34DAAA0C" w:rsidR="00F33F08" w:rsidRPr="007A1DB3" w:rsidRDefault="00000000" w:rsidP="007A1DB3">
      <w:pPr>
        <w:pStyle w:val="Heading1"/>
      </w:pPr>
      <w:bookmarkStart w:id="24" w:name="_Toc225770403"/>
      <w:r w:rsidRPr="007A1DB3">
        <w:lastRenderedPageBreak/>
        <w:t>References</w:t>
      </w:r>
      <w:bookmarkEnd w:id="24"/>
    </w:p>
    <w:p w14:paraId="71324F7C" w14:textId="7B0A73CB"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Allen, T.D., Golden, T.D. and Shockley, K.M. (2015). How effective is telecommuting? Assessing the status of our scientific findings. </w:t>
      </w:r>
      <w:r w:rsidRPr="00390054">
        <w:rPr>
          <w:i/>
          <w:iCs/>
        </w:rPr>
        <w:t>Psychological Science in the Public Interest</w:t>
      </w:r>
      <w:r w:rsidRPr="00390054">
        <w:t xml:space="preserve">, [online] 16(2), pp.40–68. </w:t>
      </w:r>
      <w:r w:rsidR="00912C5F">
        <w:t xml:space="preserve">doi: </w:t>
      </w:r>
      <w:hyperlink r:id="rId11" w:history="1">
        <w:r w:rsidR="00912C5F" w:rsidRPr="006E024C">
          <w:rPr>
            <w:rStyle w:val="Hyperlink"/>
          </w:rPr>
          <w:t>https://doi.org/10.1177/1529100615593273</w:t>
        </w:r>
      </w:hyperlink>
      <w:r w:rsidRPr="00390054">
        <w:t>.</w:t>
      </w:r>
      <w:r w:rsidR="00912C5F">
        <w:t xml:space="preserve"> </w:t>
      </w:r>
    </w:p>
    <w:p w14:paraId="3220314E" w14:textId="439ED1C3"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Baumeister, R.F. and Leary, M.R. (1995). The Need to </w:t>
      </w:r>
      <w:r w:rsidR="00390054" w:rsidRPr="00390054">
        <w:t>Belong</w:t>
      </w:r>
      <w:r w:rsidRPr="00390054">
        <w:t xml:space="preserve">: Desire for Interpersonal Attachments as a Fundamental Human Motivation. </w:t>
      </w:r>
      <w:r w:rsidRPr="00390054">
        <w:rPr>
          <w:i/>
          <w:iCs/>
        </w:rPr>
        <w:t>Psychological Bulletin</w:t>
      </w:r>
      <w:r w:rsidRPr="00390054">
        <w:t xml:space="preserve">, 117(3), pp.497–529. </w:t>
      </w:r>
      <w:r w:rsidR="00912C5F">
        <w:t xml:space="preserve">doi: </w:t>
      </w:r>
      <w:hyperlink r:id="rId12" w:history="1">
        <w:r w:rsidR="00912C5F" w:rsidRPr="006E024C">
          <w:rPr>
            <w:rStyle w:val="Hyperlink"/>
          </w:rPr>
          <w:t>https://doi.org/10.1037/0033-2909.117.3.497</w:t>
        </w:r>
      </w:hyperlink>
      <w:r w:rsidRPr="00390054">
        <w:t>.</w:t>
      </w:r>
      <w:r w:rsidR="00912C5F">
        <w:t xml:space="preserve"> </w:t>
      </w:r>
    </w:p>
    <w:p w14:paraId="1810408D" w14:textId="7C792B61"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Bornewasser, M. and Bober, J. (1987). Individual, social group and intergroup behaviour. Some conceptual remarks on the social identity theory. </w:t>
      </w:r>
      <w:r w:rsidRPr="00390054">
        <w:rPr>
          <w:i/>
          <w:iCs/>
        </w:rPr>
        <w:t>European Journal of Social Psychology</w:t>
      </w:r>
      <w:r w:rsidRPr="00390054">
        <w:t xml:space="preserve">, 17(3), pp.267–276. </w:t>
      </w:r>
      <w:r w:rsidR="00912C5F">
        <w:t xml:space="preserve">doi: </w:t>
      </w:r>
      <w:hyperlink r:id="rId13" w:history="1">
        <w:r w:rsidR="00912C5F" w:rsidRPr="006E024C">
          <w:rPr>
            <w:rStyle w:val="Hyperlink"/>
          </w:rPr>
          <w:t>https://doi.org/10.1002/ejsp.2420170303</w:t>
        </w:r>
      </w:hyperlink>
      <w:r w:rsidRPr="00390054">
        <w:t>.</w:t>
      </w:r>
      <w:r w:rsidR="00912C5F">
        <w:t xml:space="preserve"> </w:t>
      </w:r>
    </w:p>
    <w:p w14:paraId="42891213" w14:textId="37D50BA8"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Braun, V. and Clarke, V. (2006). Using Thematic Analysis in Psychology. </w:t>
      </w:r>
      <w:r w:rsidRPr="00390054">
        <w:rPr>
          <w:i/>
          <w:iCs/>
        </w:rPr>
        <w:t>Qualitative Research in Psychology</w:t>
      </w:r>
      <w:r w:rsidRPr="00390054">
        <w:t xml:space="preserve">, 3(2), pp.77–101. </w:t>
      </w:r>
      <w:r w:rsidR="00912C5F">
        <w:t xml:space="preserve">doi: </w:t>
      </w:r>
      <w:hyperlink r:id="rId14" w:history="1">
        <w:r w:rsidR="00912C5F" w:rsidRPr="006E024C">
          <w:rPr>
            <w:rStyle w:val="Hyperlink"/>
          </w:rPr>
          <w:t>https://doi.org/10.1191/1478088706qp063oa</w:t>
        </w:r>
      </w:hyperlink>
      <w:r w:rsidRPr="00390054">
        <w:t>.</w:t>
      </w:r>
      <w:r w:rsidR="00912C5F">
        <w:t xml:space="preserve"> </w:t>
      </w:r>
    </w:p>
    <w:p w14:paraId="1F874D3A" w14:textId="046311F8"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Braun, V. and Clarke, V. (2019). Reflecting on Reflexive Thematic Analysis. </w:t>
      </w:r>
      <w:r w:rsidRPr="00390054">
        <w:rPr>
          <w:i/>
          <w:iCs/>
        </w:rPr>
        <w:t>Qualitative Research in Sport, Exercise and Health</w:t>
      </w:r>
      <w:r w:rsidRPr="00390054">
        <w:t xml:space="preserve">, 11(4), pp.589–597. </w:t>
      </w:r>
      <w:r w:rsidR="00912C5F">
        <w:t xml:space="preserve">doi: </w:t>
      </w:r>
      <w:hyperlink r:id="rId15" w:history="1">
        <w:r w:rsidR="00912C5F" w:rsidRPr="006E024C">
          <w:rPr>
            <w:rStyle w:val="Hyperlink"/>
          </w:rPr>
          <w:t>https://doi.org/10.1080/2159676X.2019.1628806</w:t>
        </w:r>
      </w:hyperlink>
      <w:r w:rsidRPr="00390054">
        <w:t>.</w:t>
      </w:r>
      <w:r w:rsidR="00912C5F">
        <w:t xml:space="preserve"> </w:t>
      </w:r>
    </w:p>
    <w:p w14:paraId="24AA7A3F" w14:textId="18B8EDCF"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Chafi, M.B., Hultberg, A. and Bozic Yams, N. (2021). Post-Pandemic Office Work: Perceived Challenges and Opportunities for a Sustainable Work Environment. </w:t>
      </w:r>
      <w:r w:rsidRPr="00390054">
        <w:rPr>
          <w:i/>
          <w:iCs/>
        </w:rPr>
        <w:t>Sustainability</w:t>
      </w:r>
      <w:r w:rsidRPr="00390054">
        <w:t xml:space="preserve">, [online] 14(1), p.294. Available at: </w:t>
      </w:r>
      <w:hyperlink r:id="rId16" w:history="1">
        <w:r w:rsidR="00912C5F" w:rsidRPr="006E024C">
          <w:rPr>
            <w:rStyle w:val="Hyperlink"/>
          </w:rPr>
          <w:t>https://www.mdpi.com/2071-1050/14/1/294</w:t>
        </w:r>
      </w:hyperlink>
      <w:r w:rsidRPr="00390054">
        <w:t>.</w:t>
      </w:r>
      <w:r w:rsidR="00912C5F">
        <w:t xml:space="preserve"> </w:t>
      </w:r>
    </w:p>
    <w:p w14:paraId="3B208400" w14:textId="674BE68A"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Chandana, K. (2023). A Study on Employee Motivation in the new norm of working from home with reference to IT sector in Hyderabad. </w:t>
      </w:r>
      <w:r w:rsidRPr="00390054">
        <w:rPr>
          <w:i/>
          <w:iCs/>
        </w:rPr>
        <w:t>International Journal of Science and Research (IJSR)</w:t>
      </w:r>
      <w:r w:rsidRPr="00390054">
        <w:t xml:space="preserve">, 12(3), pp.1605–1608. </w:t>
      </w:r>
      <w:r w:rsidR="00912C5F">
        <w:t xml:space="preserve">doi: </w:t>
      </w:r>
      <w:hyperlink r:id="rId17" w:history="1">
        <w:r w:rsidR="00912C5F" w:rsidRPr="006E024C">
          <w:rPr>
            <w:rStyle w:val="Hyperlink"/>
          </w:rPr>
          <w:t>https://doi.org/10.21275/sr23326222748</w:t>
        </w:r>
      </w:hyperlink>
      <w:r w:rsidRPr="00390054">
        <w:t>.</w:t>
      </w:r>
      <w:r w:rsidR="00912C5F">
        <w:t xml:space="preserve"> </w:t>
      </w:r>
    </w:p>
    <w:p w14:paraId="6974C7EB" w14:textId="5217D3FC"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Charalampous, M., Grant, C.A. and Tramontano, C. (2021). ‘It needs to be the right blend’: a qualitative exploration of remote e-workers’ experience and well-being at work. </w:t>
      </w:r>
      <w:r w:rsidRPr="00390054">
        <w:rPr>
          <w:i/>
          <w:iCs/>
        </w:rPr>
        <w:t>Employee Relations: The International Journal</w:t>
      </w:r>
      <w:r w:rsidRPr="00390054">
        <w:t xml:space="preserve">, 44(2). </w:t>
      </w:r>
      <w:r w:rsidR="00912C5F">
        <w:t xml:space="preserve">doi: </w:t>
      </w:r>
      <w:hyperlink r:id="rId18" w:history="1">
        <w:r w:rsidR="00912C5F" w:rsidRPr="006E024C">
          <w:rPr>
            <w:rStyle w:val="Hyperlink"/>
          </w:rPr>
          <w:t>https://doi.org/10.1108/er-02-2021-0058</w:t>
        </w:r>
      </w:hyperlink>
      <w:r w:rsidRPr="00390054">
        <w:t>.</w:t>
      </w:r>
      <w:r w:rsidR="00912C5F">
        <w:t xml:space="preserve"> </w:t>
      </w:r>
    </w:p>
    <w:p w14:paraId="40266CFF" w14:textId="0C2A8CF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CIPD (2025). </w:t>
      </w:r>
      <w:r w:rsidRPr="00390054">
        <w:rPr>
          <w:i/>
          <w:iCs/>
        </w:rPr>
        <w:t>Flexible and hybrid working practices in 2025</w:t>
      </w:r>
      <w:r w:rsidRPr="00390054">
        <w:t xml:space="preserve">. [online] Available at: </w:t>
      </w:r>
      <w:hyperlink r:id="rId19" w:history="1">
        <w:r w:rsidR="00912C5F" w:rsidRPr="006E024C">
          <w:rPr>
            <w:rStyle w:val="Hyperlink"/>
          </w:rPr>
          <w:t>https://www.cipd.org/globalassets/media/knowledge/knowledge-hub/reports/2025-pdfs/8909-flexible-working-report-web.pdf</w:t>
        </w:r>
      </w:hyperlink>
      <w:r w:rsidRPr="00390054">
        <w:t>.</w:t>
      </w:r>
      <w:r w:rsidR="00912C5F">
        <w:t xml:space="preserve"> </w:t>
      </w:r>
    </w:p>
    <w:p w14:paraId="1D303853" w14:textId="0607E36E" w:rsidR="00A17726" w:rsidRPr="00390054" w:rsidRDefault="00A17726" w:rsidP="00390054">
      <w:pPr>
        <w:pStyle w:val="NormalWeb"/>
        <w:numPr>
          <w:ilvl w:val="0"/>
          <w:numId w:val="7"/>
        </w:numPr>
        <w:spacing w:before="0" w:beforeAutospacing="0" w:after="120" w:afterAutospacing="0" w:line="360" w:lineRule="auto"/>
        <w:ind w:left="360"/>
        <w:jc w:val="both"/>
      </w:pPr>
      <w:r w:rsidRPr="00390054">
        <w:lastRenderedPageBreak/>
        <w:t xml:space="preserve">Contreras, F., Baykal, E. and Abid, G. (2020). E-Leadership and Teleworking in Times of COVID-19 and Beyond: What We Know and Where Do We Go. </w:t>
      </w:r>
      <w:r w:rsidRPr="00390054">
        <w:rPr>
          <w:i/>
          <w:iCs/>
        </w:rPr>
        <w:t>Frontiers in Psychology</w:t>
      </w:r>
      <w:r w:rsidRPr="00390054">
        <w:t xml:space="preserve">, 11(2). </w:t>
      </w:r>
      <w:r w:rsidR="00912C5F">
        <w:t xml:space="preserve">doi: </w:t>
      </w:r>
      <w:hyperlink r:id="rId20" w:history="1">
        <w:r w:rsidR="00912C5F" w:rsidRPr="006E024C">
          <w:rPr>
            <w:rStyle w:val="Hyperlink"/>
          </w:rPr>
          <w:t>https://doi.org/10.3389/fpsyg.2020.590271</w:t>
        </w:r>
      </w:hyperlink>
      <w:r w:rsidRPr="00390054">
        <w:t>.</w:t>
      </w:r>
      <w:r w:rsidR="00912C5F">
        <w:t xml:space="preserve"> </w:t>
      </w:r>
    </w:p>
    <w:p w14:paraId="5DED78C8" w14:textId="546DBA51"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Correa, M. (2022). Working From a New Home? Exposure to Remote Work and Out-Migration from Large Cities. </w:t>
      </w:r>
      <w:r w:rsidRPr="00390054">
        <w:rPr>
          <w:i/>
          <w:iCs/>
        </w:rPr>
        <w:t>SSRN Electronic Journal</w:t>
      </w:r>
      <w:r w:rsidRPr="00390054">
        <w:t xml:space="preserve">. </w:t>
      </w:r>
      <w:r w:rsidR="00912C5F">
        <w:t xml:space="preserve">doi: </w:t>
      </w:r>
      <w:hyperlink r:id="rId21" w:history="1">
        <w:r w:rsidR="00912C5F" w:rsidRPr="006E024C">
          <w:rPr>
            <w:rStyle w:val="Hyperlink"/>
          </w:rPr>
          <w:t>https://doi.org/10.2139/ssrn.4009196</w:t>
        </w:r>
      </w:hyperlink>
      <w:r w:rsidRPr="00390054">
        <w:t>.</w:t>
      </w:r>
      <w:r w:rsidR="00912C5F">
        <w:t xml:space="preserve"> </w:t>
      </w:r>
    </w:p>
    <w:p w14:paraId="7A3F6612" w14:textId="32A3109F"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Crawford, J. (2022). Working from Home, Telework, and Psychological Wellbeing? A Systematic Review. </w:t>
      </w:r>
      <w:r w:rsidRPr="00390054">
        <w:rPr>
          <w:i/>
          <w:iCs/>
        </w:rPr>
        <w:t>Sustainability</w:t>
      </w:r>
      <w:r w:rsidRPr="00390054">
        <w:t xml:space="preserve">, 14(19), p.11874. </w:t>
      </w:r>
      <w:r w:rsidR="00912C5F">
        <w:t xml:space="preserve">doi: </w:t>
      </w:r>
      <w:hyperlink r:id="rId22" w:history="1">
        <w:r w:rsidR="00912C5F" w:rsidRPr="006E024C">
          <w:rPr>
            <w:rStyle w:val="Hyperlink"/>
          </w:rPr>
          <w:t>https://doi.org/10.3390/su141911874</w:t>
        </w:r>
      </w:hyperlink>
      <w:r w:rsidRPr="00390054">
        <w:t>.</w:t>
      </w:r>
      <w:r w:rsidR="00912C5F">
        <w:t xml:space="preserve"> </w:t>
      </w:r>
    </w:p>
    <w:p w14:paraId="6D3BC370" w14:textId="7777777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Creswell, J. and Poth, C. (2018). </w:t>
      </w:r>
      <w:r w:rsidRPr="00390054">
        <w:rPr>
          <w:i/>
          <w:iCs/>
        </w:rPr>
        <w:t>Qualitative Inquiry and Research Design: Choosing Among Five Approaches</w:t>
      </w:r>
      <w:r w:rsidRPr="00390054">
        <w:t>. 4th ed. Los Angeles: SAGE Publications.</w:t>
      </w:r>
    </w:p>
    <w:p w14:paraId="28C5861E" w14:textId="49FF5F9A"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Deci, E.L. and Ryan, R.M. (2000). The ‘What’ and ‘Why’ of Goal Pursuits: Human needs and the Self-Determination of Behavior. </w:t>
      </w:r>
      <w:r w:rsidRPr="00390054">
        <w:rPr>
          <w:i/>
          <w:iCs/>
        </w:rPr>
        <w:t>Psychological Inquiry</w:t>
      </w:r>
      <w:r w:rsidRPr="00390054">
        <w:t xml:space="preserve">, 11(4), pp.227–268. </w:t>
      </w:r>
      <w:r w:rsidR="00912C5F">
        <w:t xml:space="preserve">doi: </w:t>
      </w:r>
      <w:hyperlink r:id="rId23" w:history="1">
        <w:r w:rsidR="00912C5F" w:rsidRPr="006E024C">
          <w:rPr>
            <w:rStyle w:val="Hyperlink"/>
          </w:rPr>
          <w:t>https://doi.org/10.1207/S15327965PLI1104_01</w:t>
        </w:r>
      </w:hyperlink>
      <w:r w:rsidRPr="00390054">
        <w:t>.</w:t>
      </w:r>
      <w:r w:rsidR="00912C5F">
        <w:t xml:space="preserve"> </w:t>
      </w:r>
    </w:p>
    <w:p w14:paraId="508B005F" w14:textId="5C450865"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Felstead, A. and Reuschke, D. (2020). </w:t>
      </w:r>
      <w:r w:rsidRPr="00390054">
        <w:rPr>
          <w:i/>
          <w:iCs/>
        </w:rPr>
        <w:t>HOMEWORKING IN THE UK: BEFORE AND DURING THE 2020 LOCKDOWN</w:t>
      </w:r>
      <w:r w:rsidRPr="00390054">
        <w:t xml:space="preserve">. [online] Available at: </w:t>
      </w:r>
      <w:hyperlink r:id="rId24" w:history="1">
        <w:r w:rsidR="00912C5F" w:rsidRPr="006E024C">
          <w:rPr>
            <w:rStyle w:val="Hyperlink"/>
          </w:rPr>
          <w:t>https://www.cardiff.ac.uk/__data/assets/pdf_file/0003/2432676/Homeworking-in-the-UK-Before-and-during-the-2020-lockdown.pdf</w:t>
        </w:r>
      </w:hyperlink>
      <w:r w:rsidRPr="00390054">
        <w:t>.</w:t>
      </w:r>
      <w:r w:rsidR="00912C5F">
        <w:t xml:space="preserve"> </w:t>
      </w:r>
    </w:p>
    <w:p w14:paraId="7F9A1F30" w14:textId="2CFE539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Gajendran, R.S. and Harrison, D.A. (2007). The good, the bad, and the Unknown about telecommuting: Meta-analysis of Psychological Mediators and Individual consequences. </w:t>
      </w:r>
      <w:r w:rsidRPr="00390054">
        <w:rPr>
          <w:i/>
          <w:iCs/>
        </w:rPr>
        <w:t>Journal of Applied Psychology</w:t>
      </w:r>
      <w:r w:rsidRPr="00390054">
        <w:t xml:space="preserve">, 92(6), pp.1524–1541. </w:t>
      </w:r>
      <w:r w:rsidR="00912C5F">
        <w:t xml:space="preserve">doi: </w:t>
      </w:r>
      <w:hyperlink r:id="rId25" w:history="1">
        <w:r w:rsidR="00912C5F" w:rsidRPr="006E024C">
          <w:rPr>
            <w:rStyle w:val="Hyperlink"/>
          </w:rPr>
          <w:t>https://doi.org/10.1037/0021-9010.92.6.1524</w:t>
        </w:r>
      </w:hyperlink>
      <w:r w:rsidRPr="00390054">
        <w:t>.</w:t>
      </w:r>
      <w:r w:rsidR="00912C5F">
        <w:t xml:space="preserve"> </w:t>
      </w:r>
    </w:p>
    <w:p w14:paraId="56AB7D1B" w14:textId="7858088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Giorgi, G., Lecca, L.I., Alessio, F., Finstad, G.L., Bondanini, G., Lulli, L.G., Arcangeli, G. and Mucci, N. (2020). COVID-19-Related Mental Health Effects in the Workplace: A Narrative Review. </w:t>
      </w:r>
      <w:r w:rsidRPr="00390054">
        <w:rPr>
          <w:i/>
          <w:iCs/>
        </w:rPr>
        <w:t>International Journal of Environmental Research and Public Health</w:t>
      </w:r>
      <w:r w:rsidRPr="00390054">
        <w:t xml:space="preserve">, 17(21). </w:t>
      </w:r>
      <w:r w:rsidR="00912C5F">
        <w:t xml:space="preserve">doi: </w:t>
      </w:r>
      <w:hyperlink r:id="rId26" w:history="1">
        <w:r w:rsidR="00912C5F" w:rsidRPr="006E024C">
          <w:rPr>
            <w:rStyle w:val="Hyperlink"/>
          </w:rPr>
          <w:t>https://doi.org/10.3390/ijerph17217857</w:t>
        </w:r>
      </w:hyperlink>
      <w:r w:rsidRPr="00390054">
        <w:t>.</w:t>
      </w:r>
      <w:r w:rsidR="00912C5F">
        <w:t xml:space="preserve"> </w:t>
      </w:r>
    </w:p>
    <w:p w14:paraId="0BEB5AA4" w14:textId="60F9AAD2"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Gkinko, L. and Elbanna, A. (2022). Hope, tolerance and empathy: employees’ emotions when using an AI-enabled chatbot in a digitalised workplace. </w:t>
      </w:r>
      <w:r w:rsidRPr="00390054">
        <w:rPr>
          <w:i/>
          <w:iCs/>
        </w:rPr>
        <w:t>Information Technology &amp; People</w:t>
      </w:r>
      <w:r w:rsidRPr="00390054">
        <w:t xml:space="preserve">, 35(6). </w:t>
      </w:r>
      <w:r w:rsidR="00912C5F">
        <w:t xml:space="preserve">doi: </w:t>
      </w:r>
      <w:hyperlink r:id="rId27" w:history="1">
        <w:r w:rsidR="00912C5F" w:rsidRPr="006E024C">
          <w:rPr>
            <w:rStyle w:val="Hyperlink"/>
          </w:rPr>
          <w:t>https://doi.org/10.1108/itp-04-2021-0328</w:t>
        </w:r>
      </w:hyperlink>
      <w:r w:rsidRPr="00390054">
        <w:t>.</w:t>
      </w:r>
      <w:r w:rsidR="00912C5F">
        <w:t xml:space="preserve"> </w:t>
      </w:r>
    </w:p>
    <w:p w14:paraId="428209B7" w14:textId="4FE11349" w:rsidR="00A17726" w:rsidRPr="00390054" w:rsidRDefault="00A17726" w:rsidP="00390054">
      <w:pPr>
        <w:pStyle w:val="NormalWeb"/>
        <w:numPr>
          <w:ilvl w:val="0"/>
          <w:numId w:val="7"/>
        </w:numPr>
        <w:spacing w:before="0" w:beforeAutospacing="0" w:after="120" w:afterAutospacing="0" w:line="360" w:lineRule="auto"/>
        <w:ind w:left="360"/>
        <w:jc w:val="both"/>
      </w:pPr>
      <w:r w:rsidRPr="00390054">
        <w:lastRenderedPageBreak/>
        <w:t xml:space="preserve">Grant, C.A., Wallace, L.M., Spurgeon, P.C., Tramontano, C. and Charalampous, M. (2019). Construction and initial validation of the E-Work Life Scale to measure remote e-working. </w:t>
      </w:r>
      <w:r w:rsidRPr="00390054">
        <w:rPr>
          <w:i/>
          <w:iCs/>
        </w:rPr>
        <w:t>Employee Relations</w:t>
      </w:r>
      <w:r w:rsidRPr="00390054">
        <w:t xml:space="preserve">, 41(1), pp.16–33. </w:t>
      </w:r>
      <w:r w:rsidR="00912C5F">
        <w:t xml:space="preserve">doi: </w:t>
      </w:r>
      <w:hyperlink r:id="rId28" w:history="1">
        <w:r w:rsidR="00912C5F" w:rsidRPr="006E024C">
          <w:rPr>
            <w:rStyle w:val="Hyperlink"/>
          </w:rPr>
          <w:t>https://doi.org/10.1108/er-09-2017-0229</w:t>
        </w:r>
      </w:hyperlink>
      <w:r w:rsidRPr="00390054">
        <w:t>.</w:t>
      </w:r>
      <w:r w:rsidR="00912C5F">
        <w:t xml:space="preserve"> </w:t>
      </w:r>
    </w:p>
    <w:p w14:paraId="11BB954A" w14:textId="78821FD5"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Gratton, L. (2021). </w:t>
      </w:r>
      <w:r w:rsidRPr="00390054">
        <w:rPr>
          <w:i/>
          <w:iCs/>
        </w:rPr>
        <w:t>How to Do Hybrid Right</w:t>
      </w:r>
      <w:r w:rsidRPr="00390054">
        <w:t xml:space="preserve">. [online] Harvard Business Review. Available at: </w:t>
      </w:r>
      <w:hyperlink r:id="rId29" w:history="1">
        <w:r w:rsidR="00912C5F" w:rsidRPr="006E024C">
          <w:rPr>
            <w:rStyle w:val="Hyperlink"/>
          </w:rPr>
          <w:t>https://hbr.org/2021/05/how-to-do-hybrid-right</w:t>
        </w:r>
      </w:hyperlink>
      <w:r w:rsidRPr="00390054">
        <w:t>.</w:t>
      </w:r>
      <w:r w:rsidR="00912C5F">
        <w:t xml:space="preserve"> </w:t>
      </w:r>
    </w:p>
    <w:p w14:paraId="645AE942" w14:textId="102C93A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Guest, G., Bunce, A. and Johnson, L. (2006). How Many Interviews Are enough? an Experiment with Data Saturation and Variability. </w:t>
      </w:r>
      <w:r w:rsidRPr="00390054">
        <w:rPr>
          <w:i/>
          <w:iCs/>
        </w:rPr>
        <w:t>Field Methods</w:t>
      </w:r>
      <w:r w:rsidRPr="00390054">
        <w:t xml:space="preserve">, [online] 18(1), pp.59–82. </w:t>
      </w:r>
      <w:r w:rsidR="00912C5F">
        <w:t xml:space="preserve">doi: </w:t>
      </w:r>
      <w:hyperlink r:id="rId30" w:history="1">
        <w:r w:rsidR="00912C5F" w:rsidRPr="006E024C">
          <w:rPr>
            <w:rStyle w:val="Hyperlink"/>
          </w:rPr>
          <w:t>https://doi.org/10.1177/1525822X05279903</w:t>
        </w:r>
      </w:hyperlink>
      <w:r w:rsidRPr="00390054">
        <w:t>.</w:t>
      </w:r>
      <w:r w:rsidR="00912C5F">
        <w:t xml:space="preserve"> </w:t>
      </w:r>
    </w:p>
    <w:p w14:paraId="0EB37DB8" w14:textId="6F891306"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Hogg, M.A. and Terry, D.I. (2000). Social Identity and Self-Categorization Processes in Organizational Contexts. </w:t>
      </w:r>
      <w:r w:rsidRPr="00390054">
        <w:rPr>
          <w:i/>
          <w:iCs/>
        </w:rPr>
        <w:t>Academy of Management Review</w:t>
      </w:r>
      <w:r w:rsidRPr="00390054">
        <w:t>, 25(1), pp.121–140.</w:t>
      </w:r>
      <w:r w:rsidR="00912C5F">
        <w:t xml:space="preserve"> </w:t>
      </w:r>
    </w:p>
    <w:p w14:paraId="16EAAF2C" w14:textId="30DB1C4F"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Hooson, M. (2024). </w:t>
      </w:r>
      <w:r w:rsidRPr="00390054">
        <w:rPr>
          <w:i/>
          <w:iCs/>
        </w:rPr>
        <w:t>UK Remote And Hybrid Working Statistics</w:t>
      </w:r>
      <w:r w:rsidRPr="00390054">
        <w:t xml:space="preserve">. [online] Forbes Advisor UK. Available at: </w:t>
      </w:r>
      <w:hyperlink r:id="rId31" w:history="1">
        <w:r w:rsidR="00912C5F" w:rsidRPr="006E024C">
          <w:rPr>
            <w:rStyle w:val="Hyperlink"/>
          </w:rPr>
          <w:t>https://www.forbes.com/uk/advisor/business/remote-work-statistics/</w:t>
        </w:r>
      </w:hyperlink>
      <w:r w:rsidRPr="00390054">
        <w:t>.</w:t>
      </w:r>
      <w:r w:rsidR="00912C5F">
        <w:t xml:space="preserve"> </w:t>
      </w:r>
    </w:p>
    <w:p w14:paraId="444EEEB8" w14:textId="19828C38"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ICO (2023). </w:t>
      </w:r>
      <w:r w:rsidRPr="00390054">
        <w:rPr>
          <w:i/>
          <w:iCs/>
        </w:rPr>
        <w:t>UK GDPR Guidance and Resources</w:t>
      </w:r>
      <w:r w:rsidRPr="00390054">
        <w:t xml:space="preserve">. [online] ico.org.uk. Available at: </w:t>
      </w:r>
      <w:hyperlink r:id="rId32" w:history="1">
        <w:r w:rsidR="00912C5F" w:rsidRPr="006E024C">
          <w:rPr>
            <w:rStyle w:val="Hyperlink"/>
          </w:rPr>
          <w:t>https://ico.org.uk/for-organisations/uk-gdpr-guidance-and-resources/</w:t>
        </w:r>
      </w:hyperlink>
      <w:r w:rsidRPr="00390054">
        <w:t>.</w:t>
      </w:r>
      <w:r w:rsidR="00912C5F">
        <w:t xml:space="preserve"> </w:t>
      </w:r>
    </w:p>
    <w:p w14:paraId="2328EA7A" w14:textId="5FBF4F0B"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Ipsen, C., van Veldhoven, M., Kirchner, K. and Hansen, J.P. (2021). Six Key Advantages and Disadvantages of Working from Home in Europe during COVID-19. </w:t>
      </w:r>
      <w:r w:rsidRPr="00390054">
        <w:rPr>
          <w:i/>
          <w:iCs/>
        </w:rPr>
        <w:t>International Journal of Environmental Research and Public Health</w:t>
      </w:r>
      <w:r w:rsidRPr="00390054">
        <w:t>, 18(4), pp.1–17.</w:t>
      </w:r>
      <w:r w:rsidR="00912C5F">
        <w:t xml:space="preserve"> </w:t>
      </w:r>
    </w:p>
    <w:p w14:paraId="73B817CB" w14:textId="7777777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Israel, M. (2015). </w:t>
      </w:r>
      <w:r w:rsidRPr="00390054">
        <w:rPr>
          <w:i/>
          <w:iCs/>
        </w:rPr>
        <w:t>Research ethics and integrity for social scientists</w:t>
      </w:r>
      <w:r w:rsidRPr="00390054">
        <w:t>. Los Angeles: Sage.</w:t>
      </w:r>
    </w:p>
    <w:p w14:paraId="7875BFE7" w14:textId="7777777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Kane, H.L. and Kahwati, L.C. (2020). </w:t>
      </w:r>
      <w:r w:rsidRPr="00390054">
        <w:rPr>
          <w:i/>
          <w:iCs/>
        </w:rPr>
        <w:t>Qualitative comparative analysis in mixed methods research and evaluation</w:t>
      </w:r>
      <w:r w:rsidRPr="00390054">
        <w:t>. Thousands Oaks, California: Sage Publications, Inc.</w:t>
      </w:r>
    </w:p>
    <w:p w14:paraId="584FF62E" w14:textId="26146EF5"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Karatuna, I., Jönsson, S. and Muhonen, T. (2022). Job Demands, Resources, and Future Considerations: Academics’ Experiences of Working From Home During the Coronavirus Disease 2019 (COVID-19) Pandemic. </w:t>
      </w:r>
      <w:r w:rsidRPr="00390054">
        <w:rPr>
          <w:i/>
          <w:iCs/>
        </w:rPr>
        <w:t>Frontiers in Psychology</w:t>
      </w:r>
      <w:r w:rsidRPr="00390054">
        <w:t xml:space="preserve">, 13. </w:t>
      </w:r>
      <w:r w:rsidR="00912C5F">
        <w:t xml:space="preserve">doi: </w:t>
      </w:r>
      <w:hyperlink r:id="rId33" w:history="1">
        <w:r w:rsidR="00912C5F" w:rsidRPr="006E024C">
          <w:rPr>
            <w:rStyle w:val="Hyperlink"/>
          </w:rPr>
          <w:t>https://doi.org/10.3389/fpsyg.2022.908640</w:t>
        </w:r>
      </w:hyperlink>
      <w:r w:rsidRPr="00390054">
        <w:t>.</w:t>
      </w:r>
      <w:r w:rsidR="00912C5F">
        <w:t xml:space="preserve"> </w:t>
      </w:r>
    </w:p>
    <w:p w14:paraId="0EA426E5" w14:textId="4739C39C"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Kazekami, S. (2020). Mechanisms to improve labor productivity by performing telework. </w:t>
      </w:r>
      <w:r w:rsidRPr="00390054">
        <w:rPr>
          <w:i/>
          <w:iCs/>
        </w:rPr>
        <w:t>Telecommunications Policy</w:t>
      </w:r>
      <w:r w:rsidRPr="00390054">
        <w:t xml:space="preserve">, 44(2), p.101868. </w:t>
      </w:r>
      <w:r w:rsidR="00912C5F">
        <w:t xml:space="preserve">doi: </w:t>
      </w:r>
      <w:hyperlink r:id="rId34" w:history="1">
        <w:r w:rsidR="00912C5F" w:rsidRPr="006E024C">
          <w:rPr>
            <w:rStyle w:val="Hyperlink"/>
          </w:rPr>
          <w:t>https://doi.org/10.1016/j.telpol.2019.101868</w:t>
        </w:r>
      </w:hyperlink>
      <w:r w:rsidRPr="00390054">
        <w:t>.</w:t>
      </w:r>
      <w:r w:rsidR="00912C5F">
        <w:t xml:space="preserve"> </w:t>
      </w:r>
    </w:p>
    <w:p w14:paraId="4A74CD0C" w14:textId="2492AC7D"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Keightley, S., Duncan, M. and Gardner, B. (2022). Working from home: Experiences of home-working, health behaviour and wellbeing during the 2020 UK Covid-19 lockdown. </w:t>
      </w:r>
      <w:r w:rsidRPr="00390054">
        <w:rPr>
          <w:i/>
          <w:iCs/>
        </w:rPr>
        <w:lastRenderedPageBreak/>
        <w:t>Journal of Occupational &amp; Environmental Medicine</w:t>
      </w:r>
      <w:r w:rsidRPr="00390054">
        <w:t xml:space="preserve">, Publish Ahead of Print. </w:t>
      </w:r>
      <w:r w:rsidR="00912C5F">
        <w:t xml:space="preserve">doi: </w:t>
      </w:r>
      <w:hyperlink r:id="rId35" w:history="1">
        <w:r w:rsidR="00912C5F" w:rsidRPr="006E024C">
          <w:rPr>
            <w:rStyle w:val="Hyperlink"/>
          </w:rPr>
          <w:t>https://doi.org/10.1097/jom.0000000000002757</w:t>
        </w:r>
      </w:hyperlink>
      <w:r w:rsidRPr="00390054">
        <w:t>.</w:t>
      </w:r>
      <w:r w:rsidR="00912C5F">
        <w:t xml:space="preserve"> </w:t>
      </w:r>
    </w:p>
    <w:p w14:paraId="7DEB257D" w14:textId="54E9D18C"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Khedhaouria, A., Montani, F., Jamal, A. and Hussain Shah, M. (2024). Consequences of technostress for users in remote (home) work contexts during a time of crisis: The buffering role of emotional social support. </w:t>
      </w:r>
      <w:r w:rsidRPr="00390054">
        <w:rPr>
          <w:i/>
          <w:iCs/>
        </w:rPr>
        <w:t>Technological Forecasting and Social Change</w:t>
      </w:r>
      <w:r w:rsidRPr="00390054">
        <w:t xml:space="preserve">, [online] 199, p.123065. </w:t>
      </w:r>
      <w:r w:rsidR="00912C5F">
        <w:t xml:space="preserve">doi: </w:t>
      </w:r>
      <w:hyperlink r:id="rId36" w:history="1">
        <w:r w:rsidR="00912C5F" w:rsidRPr="006E024C">
          <w:rPr>
            <w:rStyle w:val="Hyperlink"/>
          </w:rPr>
          <w:t>https://doi.org/10.1016/j.techfore.2023.123065</w:t>
        </w:r>
      </w:hyperlink>
      <w:r w:rsidRPr="00390054">
        <w:t>.</w:t>
      </w:r>
      <w:r w:rsidR="00912C5F">
        <w:t xml:space="preserve"> </w:t>
      </w:r>
    </w:p>
    <w:p w14:paraId="410A2E56" w14:textId="7777777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King, N., Horrocks, C. and Brooks, J. (2018). </w:t>
      </w:r>
      <w:r w:rsidRPr="00390054">
        <w:rPr>
          <w:i/>
          <w:iCs/>
        </w:rPr>
        <w:t>Interviews in Qualitative Research</w:t>
      </w:r>
      <w:r w:rsidRPr="00390054">
        <w:t>. 2nd ed. London: Sage Publications Ltd.</w:t>
      </w:r>
    </w:p>
    <w:p w14:paraId="3EA071E2" w14:textId="6ACC4E7E"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Kniffin, K.M. (2021). COVID-19 and the workplace: Implications, issues, and Insights for Future Research and action. </w:t>
      </w:r>
      <w:r w:rsidRPr="00390054">
        <w:rPr>
          <w:i/>
          <w:iCs/>
        </w:rPr>
        <w:t>American Psychologist</w:t>
      </w:r>
      <w:r w:rsidRPr="00390054">
        <w:t xml:space="preserve">, 76(1), pp.63–77. </w:t>
      </w:r>
      <w:r w:rsidR="00912C5F">
        <w:t xml:space="preserve">doi: </w:t>
      </w:r>
      <w:hyperlink r:id="rId37" w:history="1">
        <w:r w:rsidR="00912C5F" w:rsidRPr="006E024C">
          <w:rPr>
            <w:rStyle w:val="Hyperlink"/>
          </w:rPr>
          <w:t>https://doi.org/10.1037/amp0000716</w:t>
        </w:r>
      </w:hyperlink>
      <w:r w:rsidRPr="00390054">
        <w:t>.</w:t>
      </w:r>
      <w:r w:rsidR="00912C5F">
        <w:t xml:space="preserve"> </w:t>
      </w:r>
    </w:p>
    <w:p w14:paraId="2C3DC05F" w14:textId="79BAA0C8" w:rsidR="00A17726" w:rsidRPr="00390054" w:rsidRDefault="00D05352" w:rsidP="00390054">
      <w:pPr>
        <w:pStyle w:val="NormalWeb"/>
        <w:numPr>
          <w:ilvl w:val="0"/>
          <w:numId w:val="7"/>
        </w:numPr>
        <w:spacing w:before="0" w:beforeAutospacing="0" w:after="120" w:afterAutospacing="0" w:line="360" w:lineRule="auto"/>
        <w:ind w:left="360"/>
        <w:jc w:val="both"/>
      </w:pPr>
      <w:r w:rsidRPr="00390054">
        <w:t xml:space="preserve">Koczerga, M.P. </w:t>
      </w:r>
      <w:r w:rsidR="00A17726" w:rsidRPr="00390054">
        <w:t xml:space="preserve">(2023). Remote Work and Organisational Innovations: Post Covid-19 insights. </w:t>
      </w:r>
      <w:r w:rsidR="00A17726" w:rsidRPr="00390054">
        <w:rPr>
          <w:i/>
          <w:iCs/>
        </w:rPr>
        <w:t>Communications of International Proceedings</w:t>
      </w:r>
      <w:r w:rsidR="00A17726" w:rsidRPr="00390054">
        <w:t xml:space="preserve">. </w:t>
      </w:r>
      <w:r w:rsidR="00912C5F">
        <w:t xml:space="preserve">doi: </w:t>
      </w:r>
      <w:hyperlink r:id="rId38" w:history="1">
        <w:r w:rsidR="00912C5F" w:rsidRPr="006E024C">
          <w:rPr>
            <w:rStyle w:val="Hyperlink"/>
          </w:rPr>
          <w:t>https://doi.org/10.5171/2023.4132723</w:t>
        </w:r>
      </w:hyperlink>
      <w:r w:rsidR="00A17726" w:rsidRPr="00390054">
        <w:t>.</w:t>
      </w:r>
      <w:r w:rsidR="00912C5F">
        <w:t xml:space="preserve">  </w:t>
      </w:r>
    </w:p>
    <w:p w14:paraId="0AC1DFC5" w14:textId="59F699C1"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Larson, B.Z., Vroman, S.R. and Makarius, E.E. (2020). </w:t>
      </w:r>
      <w:r w:rsidRPr="00390054">
        <w:rPr>
          <w:i/>
          <w:iCs/>
        </w:rPr>
        <w:t>A Guide to Managing Your (Newly) Remote Workers</w:t>
      </w:r>
      <w:r w:rsidRPr="00390054">
        <w:t xml:space="preserve">. [online] Harvard Business Review. Available at: </w:t>
      </w:r>
      <w:hyperlink r:id="rId39" w:history="1">
        <w:r w:rsidR="00912C5F" w:rsidRPr="006E024C">
          <w:rPr>
            <w:rStyle w:val="Hyperlink"/>
          </w:rPr>
          <w:t>https://hbr.org/2020/03/a-guide-to-managing-your-newly-remote-workers</w:t>
        </w:r>
      </w:hyperlink>
      <w:r w:rsidRPr="00390054">
        <w:t>.</w:t>
      </w:r>
      <w:r w:rsidR="00912C5F">
        <w:t xml:space="preserve"> </w:t>
      </w:r>
    </w:p>
    <w:p w14:paraId="334BBCF2" w14:textId="03E705EB"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Niebuhr, F., Borle, P., Börner-Zobel, F. and Voelter-Mahlknecht, S. (2022). Healthy and Happy Working from Home? Effects of Working from Home on Employee Health and Job Satisfaction. </w:t>
      </w:r>
      <w:r w:rsidRPr="00390054">
        <w:rPr>
          <w:i/>
          <w:iCs/>
        </w:rPr>
        <w:t>International Journal of Environmental Research and Public Health</w:t>
      </w:r>
      <w:r w:rsidRPr="00390054">
        <w:t xml:space="preserve">, [online] 19(3), pp.1–14. </w:t>
      </w:r>
      <w:r w:rsidR="00912C5F">
        <w:t xml:space="preserve">doi: </w:t>
      </w:r>
      <w:hyperlink r:id="rId40" w:history="1">
        <w:r w:rsidR="00912C5F" w:rsidRPr="006E024C">
          <w:rPr>
            <w:rStyle w:val="Hyperlink"/>
          </w:rPr>
          <w:t>https://doi.org/10.3390/ijerph19031122</w:t>
        </w:r>
      </w:hyperlink>
      <w:r w:rsidRPr="00390054">
        <w:t>.</w:t>
      </w:r>
      <w:r w:rsidR="00912C5F">
        <w:t xml:space="preserve"> </w:t>
      </w:r>
    </w:p>
    <w:p w14:paraId="7B9C52D2" w14:textId="7531B261"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Nyathani, R. (2023). Preparing for the Future of Work: How HR Tech is Shaping Remote Work. </w:t>
      </w:r>
      <w:r w:rsidRPr="00390054">
        <w:rPr>
          <w:i/>
          <w:iCs/>
        </w:rPr>
        <w:t>Journal of Technology and Systems</w:t>
      </w:r>
      <w:r w:rsidRPr="00390054">
        <w:t xml:space="preserve">, 5(1), pp.60–73. </w:t>
      </w:r>
      <w:r w:rsidR="00912C5F">
        <w:t xml:space="preserve">doi: </w:t>
      </w:r>
      <w:hyperlink r:id="rId41" w:history="1">
        <w:r w:rsidR="00912C5F" w:rsidRPr="006E024C">
          <w:rPr>
            <w:rStyle w:val="Hyperlink"/>
          </w:rPr>
          <w:t>https://doi.org/10.47941/jts.1498</w:t>
        </w:r>
      </w:hyperlink>
      <w:r w:rsidRPr="00390054">
        <w:t>.</w:t>
      </w:r>
      <w:r w:rsidR="00912C5F">
        <w:t xml:space="preserve"> </w:t>
      </w:r>
    </w:p>
    <w:p w14:paraId="37224A5C" w14:textId="4213BB60"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Oakman, J., Kinsman, N., Stuckey, R., Graham, M. and Weale, V. (2020). A rapid review of mental and physical health effects of working at home: How do we optimise health? </w:t>
      </w:r>
      <w:r w:rsidRPr="00390054">
        <w:rPr>
          <w:i/>
          <w:iCs/>
        </w:rPr>
        <w:t>BMC Public Health</w:t>
      </w:r>
      <w:r w:rsidRPr="00390054">
        <w:t xml:space="preserve">, [online] 20(1). Available at: </w:t>
      </w:r>
      <w:hyperlink r:id="rId42" w:history="1">
        <w:r w:rsidR="00912C5F" w:rsidRPr="006E024C">
          <w:rPr>
            <w:rStyle w:val="Hyperlink"/>
          </w:rPr>
          <w:t>https://bmcpublichealth.biomedcentral.com/articles/10.1186/s12889-020-09875-z</w:t>
        </w:r>
      </w:hyperlink>
      <w:r w:rsidRPr="00390054">
        <w:t>.</w:t>
      </w:r>
      <w:r w:rsidR="00912C5F">
        <w:t xml:space="preserve"> </w:t>
      </w:r>
    </w:p>
    <w:p w14:paraId="398B7FDE" w14:textId="2BBF23A2"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ONS (2021). </w:t>
      </w:r>
      <w:r w:rsidRPr="00390054">
        <w:rPr>
          <w:i/>
          <w:iCs/>
        </w:rPr>
        <w:t>Business and individual attitudes towards the future of homeworking, UK - Office for National Statistics</w:t>
      </w:r>
      <w:r w:rsidRPr="00390054">
        <w:t xml:space="preserve">. [online] www.ons.gov.uk. Available at: </w:t>
      </w:r>
      <w:hyperlink r:id="rId43" w:history="1">
        <w:r w:rsidR="00912C5F" w:rsidRPr="006E024C">
          <w:rPr>
            <w:rStyle w:val="Hyperlink"/>
          </w:rPr>
          <w:t>https://www.ons.gov.uk/employmentandlabourmarket/peopleinwork/employmentandempl</w:t>
        </w:r>
        <w:r w:rsidR="00912C5F" w:rsidRPr="006E024C">
          <w:rPr>
            <w:rStyle w:val="Hyperlink"/>
          </w:rPr>
          <w:lastRenderedPageBreak/>
          <w:t>oyeetypes/articles/businessandindividualattitudestowardsthefutureofhomeworkinguk/apriltomay2021</w:t>
        </w:r>
      </w:hyperlink>
      <w:r w:rsidRPr="00390054">
        <w:t>.</w:t>
      </w:r>
      <w:r w:rsidR="00912C5F">
        <w:t xml:space="preserve"> </w:t>
      </w:r>
    </w:p>
    <w:p w14:paraId="3DF1DD5A" w14:textId="7275EF52"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Platts, K., Breckon, J. and Marshall, E. (2022). Enforced home-working under lockdown and its impact on employee wellbeing: a cross-sectional study. </w:t>
      </w:r>
      <w:r w:rsidRPr="00390054">
        <w:rPr>
          <w:i/>
          <w:iCs/>
        </w:rPr>
        <w:t>BMC Public Health</w:t>
      </w:r>
      <w:r w:rsidRPr="00390054">
        <w:t xml:space="preserve">, 22(1). </w:t>
      </w:r>
      <w:r w:rsidR="00912C5F">
        <w:t xml:space="preserve">doi: </w:t>
      </w:r>
      <w:hyperlink r:id="rId44" w:history="1">
        <w:r w:rsidR="00912C5F" w:rsidRPr="006E024C">
          <w:rPr>
            <w:rStyle w:val="Hyperlink"/>
          </w:rPr>
          <w:t>https://doi.org/10.1186/s12889-022-12630-1</w:t>
        </w:r>
      </w:hyperlink>
      <w:r w:rsidRPr="00390054">
        <w:t>.</w:t>
      </w:r>
      <w:r w:rsidR="00912C5F">
        <w:t xml:space="preserve"> </w:t>
      </w:r>
    </w:p>
    <w:p w14:paraId="02C59F50" w14:textId="0D7CDFDA"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Pronk, N.P. (2024). Social Connections, Belonging, and Remote Work. </w:t>
      </w:r>
      <w:r w:rsidRPr="00390054">
        <w:rPr>
          <w:i/>
          <w:iCs/>
        </w:rPr>
        <w:t>ACSM’s Health &amp; Fitness Journal</w:t>
      </w:r>
      <w:r w:rsidRPr="00390054">
        <w:t xml:space="preserve">, 28(1), pp.43–45. </w:t>
      </w:r>
      <w:r w:rsidR="00912C5F">
        <w:t xml:space="preserve">doi: </w:t>
      </w:r>
      <w:hyperlink r:id="rId45" w:history="1">
        <w:r w:rsidR="00912C5F" w:rsidRPr="006E024C">
          <w:rPr>
            <w:rStyle w:val="Hyperlink"/>
          </w:rPr>
          <w:t>https://doi.org/10.1249/fit.0000000000000929</w:t>
        </w:r>
      </w:hyperlink>
      <w:r w:rsidRPr="00390054">
        <w:t>.</w:t>
      </w:r>
      <w:r w:rsidR="00912C5F">
        <w:t xml:space="preserve"> </w:t>
      </w:r>
    </w:p>
    <w:p w14:paraId="727D7CD4" w14:textId="6FB7754D"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Queiroz, A.C.M., Lee, A.Y., Luo, M., Fauville, G., Hancock, J.T. and Bailenson, J.N. (2023). Too tired to connect: Understanding the associations between video-conferencing, social connection and well-being through the lens of zoom fatigue. </w:t>
      </w:r>
      <w:r w:rsidRPr="00390054">
        <w:rPr>
          <w:i/>
          <w:iCs/>
        </w:rPr>
        <w:t>Computers in Human Behavior</w:t>
      </w:r>
      <w:r w:rsidRPr="00390054">
        <w:t xml:space="preserve">, [online] 149, p.107968. </w:t>
      </w:r>
      <w:r w:rsidR="00912C5F">
        <w:t xml:space="preserve">doi: </w:t>
      </w:r>
      <w:hyperlink r:id="rId46" w:history="1">
        <w:r w:rsidR="00912C5F" w:rsidRPr="006E024C">
          <w:rPr>
            <w:rStyle w:val="Hyperlink"/>
          </w:rPr>
          <w:t>https://doi.org/10.1016/j.chb.2023.107968</w:t>
        </w:r>
      </w:hyperlink>
      <w:r w:rsidRPr="00390054">
        <w:t>.</w:t>
      </w:r>
      <w:r w:rsidR="00912C5F">
        <w:t xml:space="preserve"> </w:t>
      </w:r>
    </w:p>
    <w:p w14:paraId="532AB6C5" w14:textId="70E58AEB"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Ragu-Nathan, T.S., Tarafdar, M., Ragu-Nathan, B.S. and Tu, Q. (2008). The Consequences of Technostress for End Users in Organizations: Conceptual Development and Empirical Validation. </w:t>
      </w:r>
      <w:r w:rsidRPr="00390054">
        <w:rPr>
          <w:i/>
          <w:iCs/>
        </w:rPr>
        <w:t>Information Systems Research</w:t>
      </w:r>
      <w:r w:rsidRPr="00390054">
        <w:t xml:space="preserve">, [online] 19(4), pp.417–433. </w:t>
      </w:r>
      <w:r w:rsidR="00912C5F">
        <w:t xml:space="preserve">doi: </w:t>
      </w:r>
      <w:hyperlink r:id="rId47" w:history="1">
        <w:r w:rsidR="00912C5F" w:rsidRPr="006E024C">
          <w:rPr>
            <w:rStyle w:val="Hyperlink"/>
          </w:rPr>
          <w:t>https://doi.org/10.1287/isre.1070.0165</w:t>
        </w:r>
      </w:hyperlink>
      <w:r w:rsidRPr="00390054">
        <w:t>.</w:t>
      </w:r>
      <w:r w:rsidR="00912C5F">
        <w:t xml:space="preserve"> </w:t>
      </w:r>
    </w:p>
    <w:p w14:paraId="28B287BF" w14:textId="0D5495B2"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Randel, A.E., Galvin, B.M., Shore, L.M., Ehrhart, K.H., Chung, B.G., Dean, M.A. and Kedharnath, U. (2018). Inclusive leadership: Realizing Positive Outcomes through Belongingness and Being Valued for Uniqueness. </w:t>
      </w:r>
      <w:r w:rsidRPr="00390054">
        <w:rPr>
          <w:i/>
          <w:iCs/>
        </w:rPr>
        <w:t>Human Resource Management Review</w:t>
      </w:r>
      <w:r w:rsidRPr="00390054">
        <w:t xml:space="preserve">, 28(2), pp.190–203. </w:t>
      </w:r>
      <w:r w:rsidR="00912C5F">
        <w:t xml:space="preserve">doi: </w:t>
      </w:r>
      <w:hyperlink r:id="rId48" w:history="1">
        <w:r w:rsidR="00912C5F" w:rsidRPr="006E024C">
          <w:rPr>
            <w:rStyle w:val="Hyperlink"/>
          </w:rPr>
          <w:t>https://doi.org/10.1016/j.hrmr.2017.07.002</w:t>
        </w:r>
      </w:hyperlink>
      <w:r w:rsidRPr="00390054">
        <w:t>.</w:t>
      </w:r>
      <w:r w:rsidR="00912C5F">
        <w:t xml:space="preserve"> </w:t>
      </w:r>
    </w:p>
    <w:p w14:paraId="640E7E9B" w14:textId="71EB9599"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Riedl, R. (2021). On the stress potential of videoconferencing: definition and root causes of Zoom fatigue. </w:t>
      </w:r>
      <w:r w:rsidRPr="00390054">
        <w:rPr>
          <w:i/>
          <w:iCs/>
        </w:rPr>
        <w:t>Electronic Markets</w:t>
      </w:r>
      <w:r w:rsidRPr="00390054">
        <w:t xml:space="preserve">, 32(1). </w:t>
      </w:r>
      <w:r w:rsidR="00912C5F">
        <w:t xml:space="preserve">doi: </w:t>
      </w:r>
      <w:hyperlink r:id="rId49" w:history="1">
        <w:r w:rsidR="00912C5F" w:rsidRPr="006E024C">
          <w:rPr>
            <w:rStyle w:val="Hyperlink"/>
          </w:rPr>
          <w:t>https://doi.org/10.1007/s12525-021-00501-3</w:t>
        </w:r>
      </w:hyperlink>
      <w:r w:rsidRPr="00390054">
        <w:t>.</w:t>
      </w:r>
      <w:r w:rsidR="00912C5F">
        <w:t xml:space="preserve"> </w:t>
      </w:r>
    </w:p>
    <w:p w14:paraId="177E2A9E" w14:textId="0E6B04D1"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Ross, B.M. and Barnes, D.M. (2018). Self-Determination Theory With Application to Employee Health Settings. </w:t>
      </w:r>
      <w:r w:rsidRPr="00390054">
        <w:rPr>
          <w:i/>
          <w:iCs/>
        </w:rPr>
        <w:t>Workplace Health &amp; Safety</w:t>
      </w:r>
      <w:r w:rsidRPr="00390054">
        <w:t xml:space="preserve">, 66(8), pp.367–372. </w:t>
      </w:r>
      <w:r w:rsidR="00912C5F">
        <w:t xml:space="preserve">doi: </w:t>
      </w:r>
      <w:hyperlink r:id="rId50" w:history="1">
        <w:r w:rsidR="00912C5F" w:rsidRPr="006E024C">
          <w:rPr>
            <w:rStyle w:val="Hyperlink"/>
          </w:rPr>
          <w:t>https://doi.org/10.1177/2165079917749863</w:t>
        </w:r>
      </w:hyperlink>
      <w:r w:rsidRPr="00390054">
        <w:t>.</w:t>
      </w:r>
      <w:r w:rsidR="00912C5F">
        <w:t xml:space="preserve"> </w:t>
      </w:r>
    </w:p>
    <w:p w14:paraId="5E35A186" w14:textId="7777777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Saunders, M., Lewis, P. and Thornhill, A. (2023). </w:t>
      </w:r>
      <w:r w:rsidRPr="00390054">
        <w:rPr>
          <w:i/>
          <w:iCs/>
        </w:rPr>
        <w:t>Research Methods for Business Students</w:t>
      </w:r>
      <w:r w:rsidRPr="00390054">
        <w:t>. 9th ed. Pearson.</w:t>
      </w:r>
    </w:p>
    <w:p w14:paraId="4A827F60" w14:textId="016B43D5"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Seng, B., Sulaiman Ainin, Zakaria, N. and Foo, S.M. (2025). Assessing the causal relationship of remote work and employee productivity – a study of corporate Malaysia. </w:t>
      </w:r>
      <w:r w:rsidRPr="00390054">
        <w:rPr>
          <w:i/>
          <w:iCs/>
        </w:rPr>
        <w:t>Cogent Social Sciences</w:t>
      </w:r>
      <w:r w:rsidRPr="00390054">
        <w:t xml:space="preserve">, 11(1). </w:t>
      </w:r>
      <w:r w:rsidR="00912C5F">
        <w:t xml:space="preserve">doi: </w:t>
      </w:r>
      <w:hyperlink r:id="rId51" w:history="1">
        <w:r w:rsidR="00912C5F" w:rsidRPr="006E024C">
          <w:rPr>
            <w:rStyle w:val="Hyperlink"/>
          </w:rPr>
          <w:t>https://doi.org/10.1080/23311886.2025.2481194</w:t>
        </w:r>
      </w:hyperlink>
      <w:r w:rsidRPr="00390054">
        <w:t>.</w:t>
      </w:r>
      <w:r w:rsidR="00912C5F">
        <w:t xml:space="preserve"> </w:t>
      </w:r>
    </w:p>
    <w:p w14:paraId="0B5D5CB8" w14:textId="3243F2F9" w:rsidR="00A17726" w:rsidRPr="00390054" w:rsidRDefault="00A17726" w:rsidP="00390054">
      <w:pPr>
        <w:pStyle w:val="NormalWeb"/>
        <w:numPr>
          <w:ilvl w:val="0"/>
          <w:numId w:val="7"/>
        </w:numPr>
        <w:spacing w:before="0" w:beforeAutospacing="0" w:after="120" w:afterAutospacing="0" w:line="360" w:lineRule="auto"/>
        <w:ind w:left="360"/>
        <w:jc w:val="both"/>
      </w:pPr>
      <w:r w:rsidRPr="00390054">
        <w:lastRenderedPageBreak/>
        <w:t xml:space="preserve">Shore, L.M., Randel, A.E., Chung, B.G., Dean, M.A., Holcombe Ehrhart, K. and Singh, G. (2011). Inclusion and diversity in work groups: A review and model for future research. </w:t>
      </w:r>
      <w:r w:rsidRPr="00390054">
        <w:rPr>
          <w:i/>
          <w:iCs/>
        </w:rPr>
        <w:t>Journal of Management</w:t>
      </w:r>
      <w:r w:rsidRPr="00390054">
        <w:t xml:space="preserve">, [online] 37(4), pp.1262–1289. </w:t>
      </w:r>
      <w:r w:rsidR="00912C5F">
        <w:t xml:space="preserve">doi: </w:t>
      </w:r>
      <w:hyperlink r:id="rId52" w:history="1">
        <w:r w:rsidR="00912C5F" w:rsidRPr="006E024C">
          <w:rPr>
            <w:rStyle w:val="Hyperlink"/>
          </w:rPr>
          <w:t>https://doi.org/10.1177/0149206310385943</w:t>
        </w:r>
      </w:hyperlink>
      <w:r w:rsidRPr="00390054">
        <w:t>.</w:t>
      </w:r>
      <w:r w:rsidR="00912C5F">
        <w:t xml:space="preserve"> </w:t>
      </w:r>
    </w:p>
    <w:p w14:paraId="17BAC654" w14:textId="4A1DA829"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Shoshan, H.N. and Wehrt, W. (2021). Understanding ‘Zoom fatigue’: A mixed‐method approach. </w:t>
      </w:r>
      <w:r w:rsidRPr="00390054">
        <w:rPr>
          <w:i/>
          <w:iCs/>
        </w:rPr>
        <w:t>Applied Psychology</w:t>
      </w:r>
      <w:r w:rsidRPr="00390054">
        <w:t xml:space="preserve">, [online] 71(3). </w:t>
      </w:r>
      <w:r w:rsidR="00912C5F">
        <w:t xml:space="preserve">doi: </w:t>
      </w:r>
      <w:hyperlink r:id="rId53" w:history="1">
        <w:r w:rsidR="00912C5F" w:rsidRPr="006E024C">
          <w:rPr>
            <w:rStyle w:val="Hyperlink"/>
          </w:rPr>
          <w:t>https://doi.org/10.1111/apps.12360</w:t>
        </w:r>
      </w:hyperlink>
      <w:r w:rsidRPr="00390054">
        <w:t>.</w:t>
      </w:r>
      <w:r w:rsidR="00912C5F">
        <w:t xml:space="preserve"> </w:t>
      </w:r>
    </w:p>
    <w:p w14:paraId="735742EE" w14:textId="2766C0DE"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Smith, J.A., Flowers, P. and Larkin, M. (2022). </w:t>
      </w:r>
      <w:r w:rsidRPr="00390054">
        <w:rPr>
          <w:i/>
          <w:iCs/>
        </w:rPr>
        <w:t>Interpretative Phenomenological analysis: Theory, Method and Research</w:t>
      </w:r>
      <w:r w:rsidRPr="00390054">
        <w:t>. 2nd ed. Thousand Oaks, Ca: Sage Publications.</w:t>
      </w:r>
      <w:r w:rsidR="00912C5F">
        <w:t xml:space="preserve"> </w:t>
      </w:r>
    </w:p>
    <w:p w14:paraId="75AF8A10" w14:textId="1C30467F"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Summerfield, R. (2022). Hybrid working can help recruit and retain talent, upskill leaders and boost team working, suggests a case study from an international professional services firm. </w:t>
      </w:r>
      <w:r w:rsidRPr="00390054">
        <w:rPr>
          <w:i/>
          <w:iCs/>
        </w:rPr>
        <w:t>Strategic HR Review</w:t>
      </w:r>
      <w:r w:rsidRPr="00390054">
        <w:t xml:space="preserve">, 21(1), pp.34–40. </w:t>
      </w:r>
      <w:r w:rsidR="00912C5F">
        <w:t>doi: https</w:t>
      </w:r>
      <w:r w:rsidRPr="00390054">
        <w:t>://doi.org/10.1108/shr-11-2021-0060.</w:t>
      </w:r>
    </w:p>
    <w:p w14:paraId="6A506D57" w14:textId="3767013C"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Surányi, R. (2021). Gaining trust and remaining mentally sane while working from home : The importance of employee wellbeing. </w:t>
      </w:r>
      <w:r w:rsidRPr="00390054">
        <w:rPr>
          <w:i/>
          <w:iCs/>
        </w:rPr>
        <w:t>Intersections</w:t>
      </w:r>
      <w:r w:rsidRPr="00390054">
        <w:t xml:space="preserve">, 7(3), pp.223–240. </w:t>
      </w:r>
      <w:r w:rsidR="00912C5F">
        <w:t xml:space="preserve">doi: </w:t>
      </w:r>
      <w:hyperlink r:id="rId54" w:history="1">
        <w:r w:rsidR="00912C5F" w:rsidRPr="006E024C">
          <w:rPr>
            <w:rStyle w:val="Hyperlink"/>
          </w:rPr>
          <w:t>https://doi.org/10.17356/ieejsp.v7i3.786</w:t>
        </w:r>
      </w:hyperlink>
      <w:r w:rsidRPr="00390054">
        <w:t>.</w:t>
      </w:r>
      <w:r w:rsidR="00912C5F">
        <w:t xml:space="preserve"> </w:t>
      </w:r>
    </w:p>
    <w:p w14:paraId="2A7F813E" w14:textId="6ABEEB9E"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Tarafdar, M., Cooper, C.L. and Stich, J. (2019). The technostress trifecta ‐ techno eustress, techno distress and design: Theoretical directions and an agenda for research. </w:t>
      </w:r>
      <w:r w:rsidRPr="00390054">
        <w:rPr>
          <w:i/>
          <w:iCs/>
        </w:rPr>
        <w:t>Information Systems Journal</w:t>
      </w:r>
      <w:r w:rsidRPr="00390054">
        <w:t xml:space="preserve">, 29(1), pp.6–42. </w:t>
      </w:r>
      <w:r w:rsidR="00912C5F">
        <w:t xml:space="preserve">doi: </w:t>
      </w:r>
      <w:hyperlink r:id="rId55" w:history="1">
        <w:r w:rsidR="00912C5F" w:rsidRPr="006E024C">
          <w:rPr>
            <w:rStyle w:val="Hyperlink"/>
          </w:rPr>
          <w:t>https://doi.org/10.1111/isj.12169</w:t>
        </w:r>
      </w:hyperlink>
      <w:r w:rsidRPr="00390054">
        <w:t>.</w:t>
      </w:r>
      <w:r w:rsidR="00912C5F">
        <w:t xml:space="preserve"> </w:t>
      </w:r>
    </w:p>
    <w:p w14:paraId="788DEACE" w14:textId="4B18F20D"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Tiffin, P.A., Cabrera, R., Dexter-Smith, S. and Van den Broeck, A. (2024). Capturing autonomy, competence, and relatedness at work: further examining and validating an English language version of the work-related basic need satisfaction scale. </w:t>
      </w:r>
      <w:r w:rsidRPr="00390054">
        <w:rPr>
          <w:i/>
          <w:iCs/>
        </w:rPr>
        <w:t>Frontiers in Psychology</w:t>
      </w:r>
      <w:r w:rsidRPr="00390054">
        <w:t xml:space="preserve">, 15. </w:t>
      </w:r>
      <w:r w:rsidR="00912C5F">
        <w:t xml:space="preserve">doi: </w:t>
      </w:r>
      <w:hyperlink r:id="rId56" w:history="1">
        <w:r w:rsidR="00912C5F" w:rsidRPr="006E024C">
          <w:rPr>
            <w:rStyle w:val="Hyperlink"/>
          </w:rPr>
          <w:t>https://doi.org/10.3389/fpsyg.2024.1304309</w:t>
        </w:r>
      </w:hyperlink>
      <w:r w:rsidRPr="00390054">
        <w:t>.</w:t>
      </w:r>
      <w:r w:rsidR="00912C5F">
        <w:t xml:space="preserve"> </w:t>
      </w:r>
    </w:p>
    <w:p w14:paraId="7775E562" w14:textId="11813907"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Turnbull, H. (2024). Remote yet connected: two focus areas for elevating organisational belonging in virtual teams. </w:t>
      </w:r>
      <w:r w:rsidRPr="00390054">
        <w:rPr>
          <w:i/>
          <w:iCs/>
        </w:rPr>
        <w:t>Strategic HR review</w:t>
      </w:r>
      <w:r w:rsidRPr="00390054">
        <w:t xml:space="preserve">. </w:t>
      </w:r>
      <w:r w:rsidR="00912C5F">
        <w:t xml:space="preserve">doi: </w:t>
      </w:r>
      <w:hyperlink r:id="rId57" w:history="1">
        <w:r w:rsidR="00912C5F" w:rsidRPr="006E024C">
          <w:rPr>
            <w:rStyle w:val="Hyperlink"/>
          </w:rPr>
          <w:t>https://doi.org/10.1108/shr-04-2024-0025</w:t>
        </w:r>
      </w:hyperlink>
      <w:r w:rsidRPr="00390054">
        <w:t>.</w:t>
      </w:r>
      <w:r w:rsidR="00912C5F">
        <w:t xml:space="preserve"> </w:t>
      </w:r>
    </w:p>
    <w:p w14:paraId="00EDC6E2" w14:textId="700453B3"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Urrila, L., Siiriäinen, A., Mäkelä, L. and Kangas, H. (2025). Sense of Belonging in Hybrid Work Settings. </w:t>
      </w:r>
      <w:r w:rsidRPr="00390054">
        <w:rPr>
          <w:i/>
          <w:iCs/>
        </w:rPr>
        <w:t>Journal of Vocational Behavior</w:t>
      </w:r>
      <w:r w:rsidRPr="00390054">
        <w:t xml:space="preserve">, [online] 157(157), p.104096. </w:t>
      </w:r>
      <w:r w:rsidR="00912C5F">
        <w:t xml:space="preserve">doi: </w:t>
      </w:r>
      <w:hyperlink r:id="rId58" w:history="1">
        <w:r w:rsidR="00912C5F" w:rsidRPr="006E024C">
          <w:rPr>
            <w:rStyle w:val="Hyperlink"/>
          </w:rPr>
          <w:t>https://doi.org/10.1016/j.jvb.2025.104096</w:t>
        </w:r>
      </w:hyperlink>
      <w:r w:rsidRPr="00390054">
        <w:t>.</w:t>
      </w:r>
      <w:r w:rsidR="00912C5F">
        <w:t xml:space="preserve"> </w:t>
      </w:r>
    </w:p>
    <w:p w14:paraId="1D5F9ED3" w14:textId="6BFF6320" w:rsidR="00A17726" w:rsidRPr="00390054" w:rsidRDefault="00A17726" w:rsidP="00390054">
      <w:pPr>
        <w:pStyle w:val="NormalWeb"/>
        <w:numPr>
          <w:ilvl w:val="0"/>
          <w:numId w:val="7"/>
        </w:numPr>
        <w:spacing w:before="0" w:beforeAutospacing="0" w:after="120" w:afterAutospacing="0" w:line="360" w:lineRule="auto"/>
        <w:ind w:left="360"/>
        <w:jc w:val="both"/>
      </w:pPr>
      <w:r w:rsidRPr="00390054">
        <w:t xml:space="preserve">Wang, B., Liu, Y., Qian, J. and Parker, S.K. (2021). Achieving Effective Remote Working during the COVID‐19 pandemic: a Work Design Perspective. </w:t>
      </w:r>
      <w:r w:rsidRPr="00390054">
        <w:rPr>
          <w:i/>
          <w:iCs/>
        </w:rPr>
        <w:t>Applied Psychology</w:t>
      </w:r>
      <w:r w:rsidRPr="00390054">
        <w:t xml:space="preserve">, 70(1), pp.16–59. </w:t>
      </w:r>
      <w:r w:rsidR="00912C5F">
        <w:t xml:space="preserve">doi: </w:t>
      </w:r>
      <w:hyperlink r:id="rId59" w:history="1">
        <w:r w:rsidR="00912C5F" w:rsidRPr="006E024C">
          <w:rPr>
            <w:rStyle w:val="Hyperlink"/>
          </w:rPr>
          <w:t>https://doi.org/10.1111/apps.12290</w:t>
        </w:r>
      </w:hyperlink>
      <w:r w:rsidRPr="00390054">
        <w:t>.</w:t>
      </w:r>
      <w:r w:rsidR="00912C5F">
        <w:t xml:space="preserve"> </w:t>
      </w:r>
    </w:p>
    <w:p w14:paraId="785CBF9E" w14:textId="780DC328" w:rsidR="00A17726" w:rsidRPr="00390054" w:rsidRDefault="00A17726" w:rsidP="00390054">
      <w:pPr>
        <w:pStyle w:val="NormalWeb"/>
        <w:numPr>
          <w:ilvl w:val="0"/>
          <w:numId w:val="7"/>
        </w:numPr>
        <w:spacing w:before="0" w:beforeAutospacing="0" w:after="120" w:afterAutospacing="0" w:line="360" w:lineRule="auto"/>
        <w:ind w:left="360"/>
        <w:jc w:val="both"/>
      </w:pPr>
      <w:r w:rsidRPr="00390054">
        <w:lastRenderedPageBreak/>
        <w:t xml:space="preserve">Wishart, M. (2025). </w:t>
      </w:r>
      <w:r w:rsidRPr="00390054">
        <w:rPr>
          <w:i/>
          <w:iCs/>
        </w:rPr>
        <w:t>State of the Art Review Remote working and employee wellbeing</w:t>
      </w:r>
      <w:r w:rsidRPr="00390054">
        <w:t xml:space="preserve">. [online] Available at: </w:t>
      </w:r>
      <w:hyperlink r:id="rId60" w:history="1">
        <w:r w:rsidR="00912C5F" w:rsidRPr="006E024C">
          <w:rPr>
            <w:rStyle w:val="Hyperlink"/>
          </w:rPr>
          <w:t>https://www.enterpriseresearch.ac.uk/wp-content/uploads/2025/02/SOTA64-Remote-working-and-employee-wellbeing-Wishart.pdf</w:t>
        </w:r>
      </w:hyperlink>
      <w:r w:rsidRPr="00390054">
        <w:t>.</w:t>
      </w:r>
      <w:r w:rsidR="00912C5F">
        <w:t xml:space="preserve"> </w:t>
      </w:r>
    </w:p>
    <w:p w14:paraId="6F6F8CE2" w14:textId="4FEBE561" w:rsidR="00F33F08" w:rsidRPr="00185F5F" w:rsidRDefault="00A17726" w:rsidP="00185F5F">
      <w:pPr>
        <w:pStyle w:val="NormalWeb"/>
        <w:numPr>
          <w:ilvl w:val="0"/>
          <w:numId w:val="7"/>
        </w:numPr>
        <w:spacing w:before="0" w:beforeAutospacing="0" w:after="120" w:afterAutospacing="0" w:line="360" w:lineRule="auto"/>
        <w:ind w:left="360"/>
        <w:jc w:val="both"/>
      </w:pPr>
      <w:r w:rsidRPr="00390054">
        <w:t xml:space="preserve">Xiao, Y., Becerik-Gerber, B., Lucas, G. and Roll, S.C. (2021). Impacts of Working from Home during COVID-19 Pandemic on Physical and Mental Well-Being of Office Workstation Users. </w:t>
      </w:r>
      <w:r w:rsidRPr="00390054">
        <w:rPr>
          <w:i/>
          <w:iCs/>
        </w:rPr>
        <w:t>Journal of Occupational &amp; Environmental Medicine</w:t>
      </w:r>
      <w:r w:rsidRPr="00390054">
        <w:t xml:space="preserve">, [online] 63(3), pp.181–190. </w:t>
      </w:r>
      <w:r w:rsidR="00912C5F">
        <w:t xml:space="preserve">doi: </w:t>
      </w:r>
      <w:hyperlink r:id="rId61" w:history="1">
        <w:r w:rsidR="00912C5F" w:rsidRPr="006E024C">
          <w:rPr>
            <w:rStyle w:val="Hyperlink"/>
          </w:rPr>
          <w:t>https://doi.org/10.1097/jom.0000000000002097</w:t>
        </w:r>
      </w:hyperlink>
      <w:r w:rsidRPr="00390054">
        <w:t>.</w:t>
      </w:r>
      <w:r w:rsidR="00912C5F">
        <w:t xml:space="preserve"> </w:t>
      </w:r>
      <w:r w:rsidRPr="00185F5F">
        <w:t xml:space="preserve"> </w:t>
      </w:r>
      <w:r w:rsidR="00912C5F">
        <w:t xml:space="preserve"> </w:t>
      </w:r>
    </w:p>
    <w:p w14:paraId="257CA626" w14:textId="77777777" w:rsidR="00F33F08" w:rsidRP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rPr>
        <w:br w:type="page"/>
      </w:r>
    </w:p>
    <w:p w14:paraId="39FED6F2" w14:textId="77777777" w:rsidR="00F33F08" w:rsidRPr="007A1DB3" w:rsidRDefault="00000000" w:rsidP="007A1DB3">
      <w:pPr>
        <w:pStyle w:val="Heading1"/>
      </w:pPr>
      <w:bookmarkStart w:id="25" w:name="_Toc225770404"/>
      <w:r w:rsidRPr="007A1DB3">
        <w:lastRenderedPageBreak/>
        <w:t>Appendices</w:t>
      </w:r>
      <w:bookmarkEnd w:id="25"/>
    </w:p>
    <w:p w14:paraId="0088E546" w14:textId="77777777" w:rsidR="00F33F08" w:rsidRDefault="00000000" w:rsidP="007A1DB3">
      <w:pPr>
        <w:pStyle w:val="Heading2"/>
      </w:pPr>
      <w:bookmarkStart w:id="26" w:name="_Toc225770405"/>
      <w:r w:rsidRPr="00390054">
        <w:t>Appendix A: Participant Information Sheet (Template)</w:t>
      </w:r>
      <w:bookmarkEnd w:id="26"/>
    </w:p>
    <w:p w14:paraId="14615E8B" w14:textId="77777777" w:rsidR="00024500" w:rsidRPr="00390054" w:rsidRDefault="00024500" w:rsidP="00024500"/>
    <w:p w14:paraId="35CC8803" w14:textId="55675098" w:rsidR="00024500" w:rsidRDefault="00024500" w:rsidP="00390054">
      <w:pPr>
        <w:spacing w:after="120" w:line="360" w:lineRule="auto"/>
        <w:jc w:val="both"/>
        <w:rPr>
          <w:rFonts w:ascii="Times New Roman" w:hAnsi="Times New Roman" w:cs="Times New Roman"/>
          <w:i/>
          <w:iCs/>
          <w:color w:val="555555"/>
          <w:sz w:val="20"/>
          <w:szCs w:val="20"/>
        </w:rPr>
      </w:pPr>
      <w:r>
        <w:rPr>
          <w:noProof/>
        </w:rPr>
        <w:drawing>
          <wp:inline distT="0" distB="0" distL="0" distR="0" wp14:anchorId="778BBFAA" wp14:editId="6ADAA16D">
            <wp:extent cx="5759450" cy="5625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59450" cy="5625465"/>
                    </a:xfrm>
                    <a:prstGeom prst="rect">
                      <a:avLst/>
                    </a:prstGeom>
                  </pic:spPr>
                </pic:pic>
              </a:graphicData>
            </a:graphic>
          </wp:inline>
        </w:drawing>
      </w:r>
    </w:p>
    <w:p w14:paraId="1A358F36" w14:textId="77777777" w:rsidR="00024500" w:rsidRDefault="00024500" w:rsidP="00390054">
      <w:pPr>
        <w:spacing w:after="120" w:line="360" w:lineRule="auto"/>
        <w:jc w:val="both"/>
        <w:rPr>
          <w:rFonts w:ascii="Times New Roman" w:hAnsi="Times New Roman" w:cs="Times New Roman"/>
          <w:i/>
          <w:iCs/>
          <w:color w:val="555555"/>
          <w:sz w:val="20"/>
          <w:szCs w:val="20"/>
        </w:rPr>
      </w:pPr>
    </w:p>
    <w:p w14:paraId="5903CBFD" w14:textId="028A99A9" w:rsidR="00390054" w:rsidRDefault="00000000" w:rsidP="00390054">
      <w:pPr>
        <w:spacing w:after="120" w:line="360" w:lineRule="auto"/>
        <w:jc w:val="both"/>
        <w:rPr>
          <w:rFonts w:ascii="Times New Roman" w:hAnsi="Times New Roman" w:cs="Times New Roman"/>
        </w:rPr>
      </w:pPr>
      <w:r w:rsidRPr="00390054">
        <w:rPr>
          <w:rFonts w:ascii="Times New Roman" w:hAnsi="Times New Roman" w:cs="Times New Roman"/>
          <w:i/>
          <w:iCs/>
          <w:color w:val="555555"/>
          <w:sz w:val="20"/>
          <w:szCs w:val="20"/>
        </w:rPr>
        <w:t>Appendix A: Participant Information Sheet Template</w:t>
      </w:r>
    </w:p>
    <w:p w14:paraId="41CA4258" w14:textId="7C042DA2" w:rsidR="00240B8A" w:rsidRDefault="00240B8A" w:rsidP="00714960">
      <w:pPr>
        <w:rPr>
          <w:rFonts w:ascii="Times New Roman" w:hAnsi="Times New Roman" w:cs="Times New Roman"/>
          <w:b/>
          <w:bCs/>
          <w:color w:val="275317" w:themeColor="accent6" w:themeShade="80"/>
        </w:rPr>
      </w:pPr>
    </w:p>
    <w:sectPr w:rsidR="00240B8A">
      <w:footerReference w:type="default" r:id="rId63"/>
      <w:pgSz w:w="11906" w:h="16838"/>
      <w:pgMar w:top="1418" w:right="1418" w:bottom="1418" w:left="1418"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1C6A9" w14:textId="77777777" w:rsidR="00ED06AC" w:rsidRDefault="00ED06AC">
      <w:r>
        <w:separator/>
      </w:r>
    </w:p>
  </w:endnote>
  <w:endnote w:type="continuationSeparator" w:id="0">
    <w:p w14:paraId="4B3788BE" w14:textId="77777777" w:rsidR="00ED06AC" w:rsidRDefault="00ED06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305884"/>
      <w:docPartObj>
        <w:docPartGallery w:val="Page Numbers (Bottom of Page)"/>
        <w:docPartUnique/>
      </w:docPartObj>
    </w:sdtPr>
    <w:sdtEndPr>
      <w:rPr>
        <w:rFonts w:ascii="Times New Roman" w:hAnsi="Times New Roman" w:cs="Times New Roman"/>
        <w:noProof/>
      </w:rPr>
    </w:sdtEndPr>
    <w:sdtContent>
      <w:p w14:paraId="634C4D61" w14:textId="049FF9EE" w:rsidR="00024500" w:rsidRPr="00024500" w:rsidRDefault="00024500">
        <w:pPr>
          <w:pStyle w:val="Footer"/>
          <w:jc w:val="center"/>
          <w:rPr>
            <w:rFonts w:ascii="Times New Roman" w:hAnsi="Times New Roman" w:cs="Times New Roman"/>
          </w:rPr>
        </w:pPr>
        <w:r w:rsidRPr="00024500">
          <w:rPr>
            <w:rFonts w:ascii="Times New Roman" w:hAnsi="Times New Roman" w:cs="Times New Roman"/>
          </w:rPr>
          <w:fldChar w:fldCharType="begin"/>
        </w:r>
        <w:r w:rsidRPr="00024500">
          <w:rPr>
            <w:rFonts w:ascii="Times New Roman" w:hAnsi="Times New Roman" w:cs="Times New Roman"/>
          </w:rPr>
          <w:instrText xml:space="preserve"> PAGE   \* MERGEFORMAT </w:instrText>
        </w:r>
        <w:r w:rsidRPr="00024500">
          <w:rPr>
            <w:rFonts w:ascii="Times New Roman" w:hAnsi="Times New Roman" w:cs="Times New Roman"/>
          </w:rPr>
          <w:fldChar w:fldCharType="separate"/>
        </w:r>
        <w:r w:rsidRPr="00024500">
          <w:rPr>
            <w:rFonts w:ascii="Times New Roman" w:hAnsi="Times New Roman" w:cs="Times New Roman"/>
            <w:noProof/>
          </w:rPr>
          <w:t>2</w:t>
        </w:r>
        <w:r w:rsidRPr="00024500">
          <w:rPr>
            <w:rFonts w:ascii="Times New Roman" w:hAnsi="Times New Roman" w:cs="Times New Roman"/>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D9590" w14:textId="77777777" w:rsidR="00ED06AC" w:rsidRDefault="00ED06AC">
      <w:r>
        <w:separator/>
      </w:r>
    </w:p>
  </w:footnote>
  <w:footnote w:type="continuationSeparator" w:id="0">
    <w:p w14:paraId="05CB1830" w14:textId="77777777" w:rsidR="00ED06AC" w:rsidRDefault="00ED06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E0CC2"/>
    <w:multiLevelType w:val="hybridMultilevel"/>
    <w:tmpl w:val="669AB5C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76325D"/>
    <w:multiLevelType w:val="hybridMultilevel"/>
    <w:tmpl w:val="D2EEAE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045F4C"/>
    <w:multiLevelType w:val="hybridMultilevel"/>
    <w:tmpl w:val="8654CE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4651EA0"/>
    <w:multiLevelType w:val="hybridMultilevel"/>
    <w:tmpl w:val="3322ED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311E14"/>
    <w:multiLevelType w:val="hybridMultilevel"/>
    <w:tmpl w:val="243213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586D2A"/>
    <w:multiLevelType w:val="hybridMultilevel"/>
    <w:tmpl w:val="4D229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EC3386"/>
    <w:multiLevelType w:val="hybridMultilevel"/>
    <w:tmpl w:val="B35669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314CF0"/>
    <w:multiLevelType w:val="hybridMultilevel"/>
    <w:tmpl w:val="A97C8706"/>
    <w:lvl w:ilvl="0" w:tplc="9C16A468">
      <w:start w:val="1"/>
      <w:numFmt w:val="bullet"/>
      <w:lvlText w:val="●"/>
      <w:lvlJc w:val="left"/>
      <w:pPr>
        <w:ind w:left="720" w:hanging="360"/>
      </w:pPr>
    </w:lvl>
    <w:lvl w:ilvl="1" w:tplc="C71628A0">
      <w:start w:val="1"/>
      <w:numFmt w:val="bullet"/>
      <w:lvlText w:val="○"/>
      <w:lvlJc w:val="left"/>
      <w:pPr>
        <w:ind w:left="1440" w:hanging="360"/>
      </w:pPr>
    </w:lvl>
    <w:lvl w:ilvl="2" w:tplc="EA848D9E">
      <w:start w:val="1"/>
      <w:numFmt w:val="bullet"/>
      <w:lvlText w:val="■"/>
      <w:lvlJc w:val="left"/>
      <w:pPr>
        <w:ind w:left="2160" w:hanging="360"/>
      </w:pPr>
    </w:lvl>
    <w:lvl w:ilvl="3" w:tplc="8B76AD58">
      <w:start w:val="1"/>
      <w:numFmt w:val="bullet"/>
      <w:lvlText w:val="●"/>
      <w:lvlJc w:val="left"/>
      <w:pPr>
        <w:ind w:left="2880" w:hanging="360"/>
      </w:pPr>
    </w:lvl>
    <w:lvl w:ilvl="4" w:tplc="BDB41906">
      <w:start w:val="1"/>
      <w:numFmt w:val="bullet"/>
      <w:lvlText w:val="○"/>
      <w:lvlJc w:val="left"/>
      <w:pPr>
        <w:ind w:left="3600" w:hanging="360"/>
      </w:pPr>
    </w:lvl>
    <w:lvl w:ilvl="5" w:tplc="44B2D66A">
      <w:start w:val="1"/>
      <w:numFmt w:val="bullet"/>
      <w:lvlText w:val="■"/>
      <w:lvlJc w:val="left"/>
      <w:pPr>
        <w:ind w:left="4320" w:hanging="360"/>
      </w:pPr>
    </w:lvl>
    <w:lvl w:ilvl="6" w:tplc="5006450A">
      <w:start w:val="1"/>
      <w:numFmt w:val="bullet"/>
      <w:lvlText w:val="●"/>
      <w:lvlJc w:val="left"/>
      <w:pPr>
        <w:ind w:left="5040" w:hanging="360"/>
      </w:pPr>
    </w:lvl>
    <w:lvl w:ilvl="7" w:tplc="F5C07996">
      <w:start w:val="1"/>
      <w:numFmt w:val="bullet"/>
      <w:lvlText w:val="●"/>
      <w:lvlJc w:val="left"/>
      <w:pPr>
        <w:ind w:left="5760" w:hanging="360"/>
      </w:pPr>
    </w:lvl>
    <w:lvl w:ilvl="8" w:tplc="FD322F1E">
      <w:start w:val="1"/>
      <w:numFmt w:val="bullet"/>
      <w:lvlText w:val="●"/>
      <w:lvlJc w:val="left"/>
      <w:pPr>
        <w:ind w:left="6480" w:hanging="360"/>
      </w:pPr>
    </w:lvl>
  </w:abstractNum>
  <w:abstractNum w:abstractNumId="8" w15:restartNumberingAfterBreak="0">
    <w:nsid w:val="73236918"/>
    <w:multiLevelType w:val="hybridMultilevel"/>
    <w:tmpl w:val="90E66230"/>
    <w:lvl w:ilvl="0" w:tplc="59EE8D24">
      <w:start w:val="1"/>
      <w:numFmt w:val="bullet"/>
      <w:pStyle w:val="Heading2"/>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F74409"/>
    <w:multiLevelType w:val="hybridMultilevel"/>
    <w:tmpl w:val="9BF81E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781A5CC8"/>
    <w:multiLevelType w:val="hybridMultilevel"/>
    <w:tmpl w:val="75F0DA3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892319"/>
    <w:multiLevelType w:val="hybridMultilevel"/>
    <w:tmpl w:val="78D05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5553BE"/>
    <w:multiLevelType w:val="hybridMultilevel"/>
    <w:tmpl w:val="D7E05D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1221028">
    <w:abstractNumId w:val="7"/>
    <w:lvlOverride w:ilvl="0">
      <w:startOverride w:val="1"/>
    </w:lvlOverride>
  </w:num>
  <w:num w:numId="2" w16cid:durableId="126319545">
    <w:abstractNumId w:val="5"/>
  </w:num>
  <w:num w:numId="3" w16cid:durableId="826821049">
    <w:abstractNumId w:val="1"/>
  </w:num>
  <w:num w:numId="4" w16cid:durableId="186481902">
    <w:abstractNumId w:val="11"/>
  </w:num>
  <w:num w:numId="5" w16cid:durableId="719743672">
    <w:abstractNumId w:val="6"/>
  </w:num>
  <w:num w:numId="6" w16cid:durableId="147140154">
    <w:abstractNumId w:val="2"/>
  </w:num>
  <w:num w:numId="7" w16cid:durableId="1513036040">
    <w:abstractNumId w:val="0"/>
  </w:num>
  <w:num w:numId="8" w16cid:durableId="1517235372">
    <w:abstractNumId w:val="9"/>
  </w:num>
  <w:num w:numId="9" w16cid:durableId="498931567">
    <w:abstractNumId w:val="4"/>
  </w:num>
  <w:num w:numId="10" w16cid:durableId="1320117911">
    <w:abstractNumId w:val="10"/>
  </w:num>
  <w:num w:numId="11" w16cid:durableId="1515195053">
    <w:abstractNumId w:val="3"/>
  </w:num>
  <w:num w:numId="12" w16cid:durableId="1070083758">
    <w:abstractNumId w:val="12"/>
  </w:num>
  <w:num w:numId="13" w16cid:durableId="15788589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F08"/>
    <w:rsid w:val="00024500"/>
    <w:rsid w:val="000252D7"/>
    <w:rsid w:val="000436B8"/>
    <w:rsid w:val="000D5FB7"/>
    <w:rsid w:val="00165205"/>
    <w:rsid w:val="00185F5F"/>
    <w:rsid w:val="00192670"/>
    <w:rsid w:val="001B35E3"/>
    <w:rsid w:val="001C1225"/>
    <w:rsid w:val="002252EE"/>
    <w:rsid w:val="00231B26"/>
    <w:rsid w:val="00240B8A"/>
    <w:rsid w:val="002A723C"/>
    <w:rsid w:val="002F635F"/>
    <w:rsid w:val="003032AE"/>
    <w:rsid w:val="00390054"/>
    <w:rsid w:val="00402604"/>
    <w:rsid w:val="0046604F"/>
    <w:rsid w:val="004A65A4"/>
    <w:rsid w:val="004B733D"/>
    <w:rsid w:val="004D31A3"/>
    <w:rsid w:val="005701E4"/>
    <w:rsid w:val="00580B8D"/>
    <w:rsid w:val="00616F6F"/>
    <w:rsid w:val="00714960"/>
    <w:rsid w:val="00733D70"/>
    <w:rsid w:val="00782425"/>
    <w:rsid w:val="007919D8"/>
    <w:rsid w:val="007A1DB3"/>
    <w:rsid w:val="0084749C"/>
    <w:rsid w:val="008F69D3"/>
    <w:rsid w:val="00912C5F"/>
    <w:rsid w:val="00960CC4"/>
    <w:rsid w:val="00970D58"/>
    <w:rsid w:val="00982872"/>
    <w:rsid w:val="00A17726"/>
    <w:rsid w:val="00AA48F4"/>
    <w:rsid w:val="00AD28C7"/>
    <w:rsid w:val="00AF1064"/>
    <w:rsid w:val="00BD5A31"/>
    <w:rsid w:val="00BE1F51"/>
    <w:rsid w:val="00BF308F"/>
    <w:rsid w:val="00C917EC"/>
    <w:rsid w:val="00CA2335"/>
    <w:rsid w:val="00D05352"/>
    <w:rsid w:val="00D13551"/>
    <w:rsid w:val="00D56166"/>
    <w:rsid w:val="00D678BB"/>
    <w:rsid w:val="00DD64EA"/>
    <w:rsid w:val="00E30A8D"/>
    <w:rsid w:val="00E80F7E"/>
    <w:rsid w:val="00E9163E"/>
    <w:rsid w:val="00EC3E4C"/>
    <w:rsid w:val="00ED06AC"/>
    <w:rsid w:val="00F33F08"/>
    <w:rsid w:val="00F96406"/>
    <w:rsid w:val="00FB74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132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7A1DB3"/>
    <w:pPr>
      <w:pBdr>
        <w:top w:val="single" w:sz="4" w:space="1" w:color="auto"/>
        <w:left w:val="single" w:sz="4" w:space="4" w:color="auto"/>
        <w:bottom w:val="single" w:sz="6" w:space="1" w:color="2E75B6"/>
        <w:right w:val="single" w:sz="4" w:space="4" w:color="auto"/>
      </w:pBdr>
      <w:shd w:val="clear" w:color="auto" w:fill="D9D9D9" w:themeFill="background1" w:themeFillShade="D9"/>
      <w:spacing w:after="120" w:line="360" w:lineRule="auto"/>
      <w:jc w:val="both"/>
      <w:outlineLvl w:val="0"/>
    </w:pPr>
    <w:rPr>
      <w:rFonts w:ascii="Times New Roman" w:hAnsi="Times New Roman" w:cs="Times New Roman"/>
      <w:b/>
      <w:bCs/>
      <w:i/>
      <w:iCs/>
      <w:color w:val="1F3864"/>
      <w:sz w:val="32"/>
      <w:szCs w:val="32"/>
    </w:rPr>
  </w:style>
  <w:style w:type="paragraph" w:styleId="Heading2">
    <w:name w:val="heading 2"/>
    <w:autoRedefine/>
    <w:uiPriority w:val="9"/>
    <w:unhideWhenUsed/>
    <w:qFormat/>
    <w:rsid w:val="007A1DB3"/>
    <w:pPr>
      <w:numPr>
        <w:numId w:val="13"/>
      </w:numPr>
      <w:pBdr>
        <w:top w:val="single" w:sz="4" w:space="1" w:color="auto"/>
        <w:left w:val="single" w:sz="4" w:space="4" w:color="auto"/>
        <w:bottom w:val="single" w:sz="4" w:space="1" w:color="auto"/>
        <w:right w:val="single" w:sz="4" w:space="4" w:color="auto"/>
      </w:pBdr>
      <w:shd w:val="clear" w:color="auto" w:fill="D9F2D0" w:themeFill="accent6" w:themeFillTint="33"/>
      <w:spacing w:after="120" w:line="360" w:lineRule="auto"/>
      <w:ind w:hanging="630"/>
      <w:jc w:val="both"/>
      <w:outlineLvl w:val="1"/>
    </w:pPr>
    <w:rPr>
      <w:rFonts w:ascii="Times New Roman" w:hAnsi="Times New Roman" w:cs="Times New Roman"/>
      <w:b/>
      <w:bCs/>
      <w:color w:val="275317" w:themeColor="accent6" w:themeShade="80"/>
    </w:rPr>
  </w:style>
  <w:style w:type="paragraph" w:styleId="Heading3">
    <w:name w:val="heading 3"/>
    <w:uiPriority w:val="9"/>
    <w:semiHidden/>
    <w:unhideWhenUsed/>
    <w:qFormat/>
    <w:pPr>
      <w:spacing w:before="200" w:after="120"/>
      <w:outlineLvl w:val="2"/>
    </w:pPr>
    <w:rPr>
      <w:b/>
      <w:bCs/>
      <w:color w:val="1F497D"/>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C917EC"/>
    <w:pPr>
      <w:tabs>
        <w:tab w:val="center" w:pos="4680"/>
        <w:tab w:val="right" w:pos="9360"/>
      </w:tabs>
    </w:pPr>
  </w:style>
  <w:style w:type="character" w:customStyle="1" w:styleId="HeaderChar">
    <w:name w:val="Header Char"/>
    <w:basedOn w:val="DefaultParagraphFont"/>
    <w:link w:val="Header"/>
    <w:uiPriority w:val="99"/>
    <w:rsid w:val="00C917EC"/>
  </w:style>
  <w:style w:type="paragraph" w:styleId="Footer">
    <w:name w:val="footer"/>
    <w:basedOn w:val="Normal"/>
    <w:link w:val="FooterChar"/>
    <w:uiPriority w:val="99"/>
    <w:unhideWhenUsed/>
    <w:rsid w:val="00C917EC"/>
    <w:pPr>
      <w:tabs>
        <w:tab w:val="center" w:pos="4680"/>
        <w:tab w:val="right" w:pos="9360"/>
      </w:tabs>
    </w:pPr>
  </w:style>
  <w:style w:type="character" w:customStyle="1" w:styleId="FooterChar">
    <w:name w:val="Footer Char"/>
    <w:basedOn w:val="DefaultParagraphFont"/>
    <w:link w:val="Footer"/>
    <w:uiPriority w:val="99"/>
    <w:rsid w:val="00C917EC"/>
  </w:style>
  <w:style w:type="paragraph" w:styleId="TOCHeading">
    <w:name w:val="TOC Heading"/>
    <w:basedOn w:val="Heading1"/>
    <w:next w:val="Normal"/>
    <w:uiPriority w:val="39"/>
    <w:unhideWhenUsed/>
    <w:qFormat/>
    <w:rsid w:val="00C917EC"/>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C917EC"/>
    <w:pPr>
      <w:spacing w:after="100"/>
    </w:pPr>
  </w:style>
  <w:style w:type="paragraph" w:styleId="TOC2">
    <w:name w:val="toc 2"/>
    <w:basedOn w:val="Normal"/>
    <w:next w:val="Normal"/>
    <w:autoRedefine/>
    <w:uiPriority w:val="39"/>
    <w:unhideWhenUsed/>
    <w:rsid w:val="00C917EC"/>
    <w:pPr>
      <w:spacing w:after="100"/>
      <w:ind w:left="240"/>
    </w:pPr>
  </w:style>
  <w:style w:type="table" w:styleId="TableGrid">
    <w:name w:val="Table Grid"/>
    <w:basedOn w:val="TableNormal"/>
    <w:uiPriority w:val="39"/>
    <w:rsid w:val="004D31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287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A17726"/>
    <w:pPr>
      <w:spacing w:before="100" w:beforeAutospacing="1" w:after="100" w:afterAutospacing="1"/>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912C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42108">
      <w:bodyDiv w:val="1"/>
      <w:marLeft w:val="0"/>
      <w:marRight w:val="0"/>
      <w:marTop w:val="0"/>
      <w:marBottom w:val="0"/>
      <w:divBdr>
        <w:top w:val="none" w:sz="0" w:space="0" w:color="auto"/>
        <w:left w:val="none" w:sz="0" w:space="0" w:color="auto"/>
        <w:bottom w:val="none" w:sz="0" w:space="0" w:color="auto"/>
        <w:right w:val="none" w:sz="0" w:space="0" w:color="auto"/>
      </w:divBdr>
    </w:div>
    <w:div w:id="77216964">
      <w:bodyDiv w:val="1"/>
      <w:marLeft w:val="0"/>
      <w:marRight w:val="0"/>
      <w:marTop w:val="0"/>
      <w:marBottom w:val="0"/>
      <w:divBdr>
        <w:top w:val="none" w:sz="0" w:space="0" w:color="auto"/>
        <w:left w:val="none" w:sz="0" w:space="0" w:color="auto"/>
        <w:bottom w:val="none" w:sz="0" w:space="0" w:color="auto"/>
        <w:right w:val="none" w:sz="0" w:space="0" w:color="auto"/>
      </w:divBdr>
    </w:div>
    <w:div w:id="97797184">
      <w:bodyDiv w:val="1"/>
      <w:marLeft w:val="0"/>
      <w:marRight w:val="0"/>
      <w:marTop w:val="0"/>
      <w:marBottom w:val="0"/>
      <w:divBdr>
        <w:top w:val="none" w:sz="0" w:space="0" w:color="auto"/>
        <w:left w:val="none" w:sz="0" w:space="0" w:color="auto"/>
        <w:bottom w:val="none" w:sz="0" w:space="0" w:color="auto"/>
        <w:right w:val="none" w:sz="0" w:space="0" w:color="auto"/>
      </w:divBdr>
    </w:div>
    <w:div w:id="238101309">
      <w:bodyDiv w:val="1"/>
      <w:marLeft w:val="0"/>
      <w:marRight w:val="0"/>
      <w:marTop w:val="0"/>
      <w:marBottom w:val="0"/>
      <w:divBdr>
        <w:top w:val="none" w:sz="0" w:space="0" w:color="auto"/>
        <w:left w:val="none" w:sz="0" w:space="0" w:color="auto"/>
        <w:bottom w:val="none" w:sz="0" w:space="0" w:color="auto"/>
        <w:right w:val="none" w:sz="0" w:space="0" w:color="auto"/>
      </w:divBdr>
    </w:div>
    <w:div w:id="349528157">
      <w:bodyDiv w:val="1"/>
      <w:marLeft w:val="0"/>
      <w:marRight w:val="0"/>
      <w:marTop w:val="0"/>
      <w:marBottom w:val="0"/>
      <w:divBdr>
        <w:top w:val="none" w:sz="0" w:space="0" w:color="auto"/>
        <w:left w:val="none" w:sz="0" w:space="0" w:color="auto"/>
        <w:bottom w:val="none" w:sz="0" w:space="0" w:color="auto"/>
        <w:right w:val="none" w:sz="0" w:space="0" w:color="auto"/>
      </w:divBdr>
    </w:div>
    <w:div w:id="451478064">
      <w:bodyDiv w:val="1"/>
      <w:marLeft w:val="0"/>
      <w:marRight w:val="0"/>
      <w:marTop w:val="0"/>
      <w:marBottom w:val="0"/>
      <w:divBdr>
        <w:top w:val="none" w:sz="0" w:space="0" w:color="auto"/>
        <w:left w:val="none" w:sz="0" w:space="0" w:color="auto"/>
        <w:bottom w:val="none" w:sz="0" w:space="0" w:color="auto"/>
        <w:right w:val="none" w:sz="0" w:space="0" w:color="auto"/>
      </w:divBdr>
    </w:div>
    <w:div w:id="465391253">
      <w:bodyDiv w:val="1"/>
      <w:marLeft w:val="0"/>
      <w:marRight w:val="0"/>
      <w:marTop w:val="0"/>
      <w:marBottom w:val="0"/>
      <w:divBdr>
        <w:top w:val="none" w:sz="0" w:space="0" w:color="auto"/>
        <w:left w:val="none" w:sz="0" w:space="0" w:color="auto"/>
        <w:bottom w:val="none" w:sz="0" w:space="0" w:color="auto"/>
        <w:right w:val="none" w:sz="0" w:space="0" w:color="auto"/>
      </w:divBdr>
    </w:div>
    <w:div w:id="482939478">
      <w:bodyDiv w:val="1"/>
      <w:marLeft w:val="0"/>
      <w:marRight w:val="0"/>
      <w:marTop w:val="0"/>
      <w:marBottom w:val="0"/>
      <w:divBdr>
        <w:top w:val="none" w:sz="0" w:space="0" w:color="auto"/>
        <w:left w:val="none" w:sz="0" w:space="0" w:color="auto"/>
        <w:bottom w:val="none" w:sz="0" w:space="0" w:color="auto"/>
        <w:right w:val="none" w:sz="0" w:space="0" w:color="auto"/>
      </w:divBdr>
    </w:div>
    <w:div w:id="498740620">
      <w:bodyDiv w:val="1"/>
      <w:marLeft w:val="0"/>
      <w:marRight w:val="0"/>
      <w:marTop w:val="0"/>
      <w:marBottom w:val="0"/>
      <w:divBdr>
        <w:top w:val="none" w:sz="0" w:space="0" w:color="auto"/>
        <w:left w:val="none" w:sz="0" w:space="0" w:color="auto"/>
        <w:bottom w:val="none" w:sz="0" w:space="0" w:color="auto"/>
        <w:right w:val="none" w:sz="0" w:space="0" w:color="auto"/>
      </w:divBdr>
    </w:div>
    <w:div w:id="623121279">
      <w:bodyDiv w:val="1"/>
      <w:marLeft w:val="0"/>
      <w:marRight w:val="0"/>
      <w:marTop w:val="0"/>
      <w:marBottom w:val="0"/>
      <w:divBdr>
        <w:top w:val="none" w:sz="0" w:space="0" w:color="auto"/>
        <w:left w:val="none" w:sz="0" w:space="0" w:color="auto"/>
        <w:bottom w:val="none" w:sz="0" w:space="0" w:color="auto"/>
        <w:right w:val="none" w:sz="0" w:space="0" w:color="auto"/>
      </w:divBdr>
      <w:divsChild>
        <w:div w:id="1911846538">
          <w:marLeft w:val="0"/>
          <w:marRight w:val="0"/>
          <w:marTop w:val="0"/>
          <w:marBottom w:val="0"/>
          <w:divBdr>
            <w:top w:val="none" w:sz="0" w:space="0" w:color="auto"/>
            <w:left w:val="none" w:sz="0" w:space="0" w:color="auto"/>
            <w:bottom w:val="none" w:sz="0" w:space="0" w:color="auto"/>
            <w:right w:val="none" w:sz="0" w:space="0" w:color="auto"/>
          </w:divBdr>
        </w:div>
      </w:divsChild>
    </w:div>
    <w:div w:id="646128818">
      <w:bodyDiv w:val="1"/>
      <w:marLeft w:val="0"/>
      <w:marRight w:val="0"/>
      <w:marTop w:val="0"/>
      <w:marBottom w:val="0"/>
      <w:divBdr>
        <w:top w:val="none" w:sz="0" w:space="0" w:color="auto"/>
        <w:left w:val="none" w:sz="0" w:space="0" w:color="auto"/>
        <w:bottom w:val="none" w:sz="0" w:space="0" w:color="auto"/>
        <w:right w:val="none" w:sz="0" w:space="0" w:color="auto"/>
      </w:divBdr>
      <w:divsChild>
        <w:div w:id="741759610">
          <w:marLeft w:val="0"/>
          <w:marRight w:val="0"/>
          <w:marTop w:val="0"/>
          <w:marBottom w:val="0"/>
          <w:divBdr>
            <w:top w:val="none" w:sz="0" w:space="0" w:color="auto"/>
            <w:left w:val="none" w:sz="0" w:space="0" w:color="auto"/>
            <w:bottom w:val="none" w:sz="0" w:space="0" w:color="auto"/>
            <w:right w:val="none" w:sz="0" w:space="0" w:color="auto"/>
          </w:divBdr>
        </w:div>
      </w:divsChild>
    </w:div>
    <w:div w:id="654185277">
      <w:bodyDiv w:val="1"/>
      <w:marLeft w:val="0"/>
      <w:marRight w:val="0"/>
      <w:marTop w:val="0"/>
      <w:marBottom w:val="0"/>
      <w:divBdr>
        <w:top w:val="none" w:sz="0" w:space="0" w:color="auto"/>
        <w:left w:val="none" w:sz="0" w:space="0" w:color="auto"/>
        <w:bottom w:val="none" w:sz="0" w:space="0" w:color="auto"/>
        <w:right w:val="none" w:sz="0" w:space="0" w:color="auto"/>
      </w:divBdr>
    </w:div>
    <w:div w:id="789978387">
      <w:bodyDiv w:val="1"/>
      <w:marLeft w:val="0"/>
      <w:marRight w:val="0"/>
      <w:marTop w:val="0"/>
      <w:marBottom w:val="0"/>
      <w:divBdr>
        <w:top w:val="none" w:sz="0" w:space="0" w:color="auto"/>
        <w:left w:val="none" w:sz="0" w:space="0" w:color="auto"/>
        <w:bottom w:val="none" w:sz="0" w:space="0" w:color="auto"/>
        <w:right w:val="none" w:sz="0" w:space="0" w:color="auto"/>
      </w:divBdr>
    </w:div>
    <w:div w:id="863594075">
      <w:bodyDiv w:val="1"/>
      <w:marLeft w:val="0"/>
      <w:marRight w:val="0"/>
      <w:marTop w:val="0"/>
      <w:marBottom w:val="0"/>
      <w:divBdr>
        <w:top w:val="none" w:sz="0" w:space="0" w:color="auto"/>
        <w:left w:val="none" w:sz="0" w:space="0" w:color="auto"/>
        <w:bottom w:val="none" w:sz="0" w:space="0" w:color="auto"/>
        <w:right w:val="none" w:sz="0" w:space="0" w:color="auto"/>
      </w:divBdr>
    </w:div>
    <w:div w:id="894699548">
      <w:bodyDiv w:val="1"/>
      <w:marLeft w:val="0"/>
      <w:marRight w:val="0"/>
      <w:marTop w:val="0"/>
      <w:marBottom w:val="0"/>
      <w:divBdr>
        <w:top w:val="none" w:sz="0" w:space="0" w:color="auto"/>
        <w:left w:val="none" w:sz="0" w:space="0" w:color="auto"/>
        <w:bottom w:val="none" w:sz="0" w:space="0" w:color="auto"/>
        <w:right w:val="none" w:sz="0" w:space="0" w:color="auto"/>
      </w:divBdr>
    </w:div>
    <w:div w:id="936526291">
      <w:bodyDiv w:val="1"/>
      <w:marLeft w:val="0"/>
      <w:marRight w:val="0"/>
      <w:marTop w:val="0"/>
      <w:marBottom w:val="0"/>
      <w:divBdr>
        <w:top w:val="none" w:sz="0" w:space="0" w:color="auto"/>
        <w:left w:val="none" w:sz="0" w:space="0" w:color="auto"/>
        <w:bottom w:val="none" w:sz="0" w:space="0" w:color="auto"/>
        <w:right w:val="none" w:sz="0" w:space="0" w:color="auto"/>
      </w:divBdr>
    </w:div>
    <w:div w:id="990598064">
      <w:bodyDiv w:val="1"/>
      <w:marLeft w:val="0"/>
      <w:marRight w:val="0"/>
      <w:marTop w:val="0"/>
      <w:marBottom w:val="0"/>
      <w:divBdr>
        <w:top w:val="none" w:sz="0" w:space="0" w:color="auto"/>
        <w:left w:val="none" w:sz="0" w:space="0" w:color="auto"/>
        <w:bottom w:val="none" w:sz="0" w:space="0" w:color="auto"/>
        <w:right w:val="none" w:sz="0" w:space="0" w:color="auto"/>
      </w:divBdr>
    </w:div>
    <w:div w:id="1008364789">
      <w:bodyDiv w:val="1"/>
      <w:marLeft w:val="0"/>
      <w:marRight w:val="0"/>
      <w:marTop w:val="0"/>
      <w:marBottom w:val="0"/>
      <w:divBdr>
        <w:top w:val="none" w:sz="0" w:space="0" w:color="auto"/>
        <w:left w:val="none" w:sz="0" w:space="0" w:color="auto"/>
        <w:bottom w:val="none" w:sz="0" w:space="0" w:color="auto"/>
        <w:right w:val="none" w:sz="0" w:space="0" w:color="auto"/>
      </w:divBdr>
    </w:div>
    <w:div w:id="1036004339">
      <w:bodyDiv w:val="1"/>
      <w:marLeft w:val="0"/>
      <w:marRight w:val="0"/>
      <w:marTop w:val="0"/>
      <w:marBottom w:val="0"/>
      <w:divBdr>
        <w:top w:val="none" w:sz="0" w:space="0" w:color="auto"/>
        <w:left w:val="none" w:sz="0" w:space="0" w:color="auto"/>
        <w:bottom w:val="none" w:sz="0" w:space="0" w:color="auto"/>
        <w:right w:val="none" w:sz="0" w:space="0" w:color="auto"/>
      </w:divBdr>
    </w:div>
    <w:div w:id="1047796238">
      <w:bodyDiv w:val="1"/>
      <w:marLeft w:val="0"/>
      <w:marRight w:val="0"/>
      <w:marTop w:val="0"/>
      <w:marBottom w:val="0"/>
      <w:divBdr>
        <w:top w:val="none" w:sz="0" w:space="0" w:color="auto"/>
        <w:left w:val="none" w:sz="0" w:space="0" w:color="auto"/>
        <w:bottom w:val="none" w:sz="0" w:space="0" w:color="auto"/>
        <w:right w:val="none" w:sz="0" w:space="0" w:color="auto"/>
      </w:divBdr>
    </w:div>
    <w:div w:id="1055130009">
      <w:bodyDiv w:val="1"/>
      <w:marLeft w:val="0"/>
      <w:marRight w:val="0"/>
      <w:marTop w:val="0"/>
      <w:marBottom w:val="0"/>
      <w:divBdr>
        <w:top w:val="none" w:sz="0" w:space="0" w:color="auto"/>
        <w:left w:val="none" w:sz="0" w:space="0" w:color="auto"/>
        <w:bottom w:val="none" w:sz="0" w:space="0" w:color="auto"/>
        <w:right w:val="none" w:sz="0" w:space="0" w:color="auto"/>
      </w:divBdr>
    </w:div>
    <w:div w:id="1157963262">
      <w:bodyDiv w:val="1"/>
      <w:marLeft w:val="0"/>
      <w:marRight w:val="0"/>
      <w:marTop w:val="0"/>
      <w:marBottom w:val="0"/>
      <w:divBdr>
        <w:top w:val="none" w:sz="0" w:space="0" w:color="auto"/>
        <w:left w:val="none" w:sz="0" w:space="0" w:color="auto"/>
        <w:bottom w:val="none" w:sz="0" w:space="0" w:color="auto"/>
        <w:right w:val="none" w:sz="0" w:space="0" w:color="auto"/>
      </w:divBdr>
    </w:div>
    <w:div w:id="1214124330">
      <w:bodyDiv w:val="1"/>
      <w:marLeft w:val="0"/>
      <w:marRight w:val="0"/>
      <w:marTop w:val="0"/>
      <w:marBottom w:val="0"/>
      <w:divBdr>
        <w:top w:val="none" w:sz="0" w:space="0" w:color="auto"/>
        <w:left w:val="none" w:sz="0" w:space="0" w:color="auto"/>
        <w:bottom w:val="none" w:sz="0" w:space="0" w:color="auto"/>
        <w:right w:val="none" w:sz="0" w:space="0" w:color="auto"/>
      </w:divBdr>
    </w:div>
    <w:div w:id="1220091902">
      <w:bodyDiv w:val="1"/>
      <w:marLeft w:val="0"/>
      <w:marRight w:val="0"/>
      <w:marTop w:val="0"/>
      <w:marBottom w:val="0"/>
      <w:divBdr>
        <w:top w:val="none" w:sz="0" w:space="0" w:color="auto"/>
        <w:left w:val="none" w:sz="0" w:space="0" w:color="auto"/>
        <w:bottom w:val="none" w:sz="0" w:space="0" w:color="auto"/>
        <w:right w:val="none" w:sz="0" w:space="0" w:color="auto"/>
      </w:divBdr>
      <w:divsChild>
        <w:div w:id="1133332931">
          <w:marLeft w:val="0"/>
          <w:marRight w:val="0"/>
          <w:marTop w:val="0"/>
          <w:marBottom w:val="0"/>
          <w:divBdr>
            <w:top w:val="none" w:sz="0" w:space="0" w:color="auto"/>
            <w:left w:val="none" w:sz="0" w:space="0" w:color="auto"/>
            <w:bottom w:val="none" w:sz="0" w:space="0" w:color="auto"/>
            <w:right w:val="none" w:sz="0" w:space="0" w:color="auto"/>
          </w:divBdr>
        </w:div>
      </w:divsChild>
    </w:div>
    <w:div w:id="1268462939">
      <w:bodyDiv w:val="1"/>
      <w:marLeft w:val="0"/>
      <w:marRight w:val="0"/>
      <w:marTop w:val="0"/>
      <w:marBottom w:val="0"/>
      <w:divBdr>
        <w:top w:val="none" w:sz="0" w:space="0" w:color="auto"/>
        <w:left w:val="none" w:sz="0" w:space="0" w:color="auto"/>
        <w:bottom w:val="none" w:sz="0" w:space="0" w:color="auto"/>
        <w:right w:val="none" w:sz="0" w:space="0" w:color="auto"/>
      </w:divBdr>
    </w:div>
    <w:div w:id="1344430161">
      <w:bodyDiv w:val="1"/>
      <w:marLeft w:val="0"/>
      <w:marRight w:val="0"/>
      <w:marTop w:val="0"/>
      <w:marBottom w:val="0"/>
      <w:divBdr>
        <w:top w:val="none" w:sz="0" w:space="0" w:color="auto"/>
        <w:left w:val="none" w:sz="0" w:space="0" w:color="auto"/>
        <w:bottom w:val="none" w:sz="0" w:space="0" w:color="auto"/>
        <w:right w:val="none" w:sz="0" w:space="0" w:color="auto"/>
      </w:divBdr>
    </w:div>
    <w:div w:id="1505050210">
      <w:bodyDiv w:val="1"/>
      <w:marLeft w:val="0"/>
      <w:marRight w:val="0"/>
      <w:marTop w:val="0"/>
      <w:marBottom w:val="0"/>
      <w:divBdr>
        <w:top w:val="none" w:sz="0" w:space="0" w:color="auto"/>
        <w:left w:val="none" w:sz="0" w:space="0" w:color="auto"/>
        <w:bottom w:val="none" w:sz="0" w:space="0" w:color="auto"/>
        <w:right w:val="none" w:sz="0" w:space="0" w:color="auto"/>
      </w:divBdr>
    </w:div>
    <w:div w:id="1913732629">
      <w:bodyDiv w:val="1"/>
      <w:marLeft w:val="0"/>
      <w:marRight w:val="0"/>
      <w:marTop w:val="0"/>
      <w:marBottom w:val="0"/>
      <w:divBdr>
        <w:top w:val="none" w:sz="0" w:space="0" w:color="auto"/>
        <w:left w:val="none" w:sz="0" w:space="0" w:color="auto"/>
        <w:bottom w:val="none" w:sz="0" w:space="0" w:color="auto"/>
        <w:right w:val="none" w:sz="0" w:space="0" w:color="auto"/>
      </w:divBdr>
    </w:div>
    <w:div w:id="1968970162">
      <w:bodyDiv w:val="1"/>
      <w:marLeft w:val="0"/>
      <w:marRight w:val="0"/>
      <w:marTop w:val="0"/>
      <w:marBottom w:val="0"/>
      <w:divBdr>
        <w:top w:val="none" w:sz="0" w:space="0" w:color="auto"/>
        <w:left w:val="none" w:sz="0" w:space="0" w:color="auto"/>
        <w:bottom w:val="none" w:sz="0" w:space="0" w:color="auto"/>
        <w:right w:val="none" w:sz="0" w:space="0" w:color="auto"/>
      </w:divBdr>
    </w:div>
    <w:div w:id="2047367974">
      <w:bodyDiv w:val="1"/>
      <w:marLeft w:val="0"/>
      <w:marRight w:val="0"/>
      <w:marTop w:val="0"/>
      <w:marBottom w:val="0"/>
      <w:divBdr>
        <w:top w:val="none" w:sz="0" w:space="0" w:color="auto"/>
        <w:left w:val="none" w:sz="0" w:space="0" w:color="auto"/>
        <w:bottom w:val="none" w:sz="0" w:space="0" w:color="auto"/>
        <w:right w:val="none" w:sz="0" w:space="0" w:color="auto"/>
      </w:divBdr>
      <w:divsChild>
        <w:div w:id="113328796">
          <w:marLeft w:val="0"/>
          <w:marRight w:val="0"/>
          <w:marTop w:val="240"/>
          <w:marBottom w:val="240"/>
          <w:divBdr>
            <w:top w:val="single" w:sz="2" w:space="0" w:color="auto"/>
            <w:left w:val="single" w:sz="2" w:space="0" w:color="auto"/>
            <w:bottom w:val="single" w:sz="2" w:space="0" w:color="auto"/>
            <w:right w:val="single" w:sz="2" w:space="0" w:color="auto"/>
          </w:divBdr>
          <w:divsChild>
            <w:div w:id="956062473">
              <w:marLeft w:val="0"/>
              <w:marRight w:val="0"/>
              <w:marTop w:val="0"/>
              <w:marBottom w:val="0"/>
              <w:divBdr>
                <w:top w:val="single" w:sz="2" w:space="0" w:color="auto"/>
                <w:left w:val="single" w:sz="2" w:space="0" w:color="auto"/>
                <w:bottom w:val="single" w:sz="2" w:space="0" w:color="auto"/>
                <w:right w:val="single" w:sz="2" w:space="0" w:color="auto"/>
              </w:divBdr>
              <w:divsChild>
                <w:div w:id="1980917679">
                  <w:marLeft w:val="0"/>
                  <w:marRight w:val="0"/>
                  <w:marTop w:val="0"/>
                  <w:marBottom w:val="0"/>
                  <w:divBdr>
                    <w:top w:val="single" w:sz="2" w:space="0" w:color="auto"/>
                    <w:left w:val="single" w:sz="6" w:space="0" w:color="auto"/>
                    <w:bottom w:val="single" w:sz="2" w:space="0" w:color="auto"/>
                    <w:right w:val="single" w:sz="6" w:space="0" w:color="auto"/>
                  </w:divBdr>
                </w:div>
              </w:divsChild>
            </w:div>
          </w:divsChild>
        </w:div>
      </w:divsChild>
    </w:div>
    <w:div w:id="2062826250">
      <w:bodyDiv w:val="1"/>
      <w:marLeft w:val="0"/>
      <w:marRight w:val="0"/>
      <w:marTop w:val="0"/>
      <w:marBottom w:val="0"/>
      <w:divBdr>
        <w:top w:val="none" w:sz="0" w:space="0" w:color="auto"/>
        <w:left w:val="none" w:sz="0" w:space="0" w:color="auto"/>
        <w:bottom w:val="none" w:sz="0" w:space="0" w:color="auto"/>
        <w:right w:val="none" w:sz="0" w:space="0" w:color="auto"/>
      </w:divBdr>
    </w:div>
    <w:div w:id="20962438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ijerph17217857" TargetMode="External"/><Relationship Id="rId21" Type="http://schemas.openxmlformats.org/officeDocument/2006/relationships/hyperlink" Target="https://doi.org/10.2139/ssrn.4009196" TargetMode="External"/><Relationship Id="rId34" Type="http://schemas.openxmlformats.org/officeDocument/2006/relationships/hyperlink" Target="https://doi.org/10.1016/j.telpol.2019.101868" TargetMode="External"/><Relationship Id="rId42" Type="http://schemas.openxmlformats.org/officeDocument/2006/relationships/hyperlink" Target="https://bmcpublichealth.biomedcentral.com/articles/10.1186/s12889-020-09875-z" TargetMode="External"/><Relationship Id="rId47" Type="http://schemas.openxmlformats.org/officeDocument/2006/relationships/hyperlink" Target="https://doi.org/10.1287/isre.1070.0165" TargetMode="External"/><Relationship Id="rId50" Type="http://schemas.openxmlformats.org/officeDocument/2006/relationships/hyperlink" Target="https://doi.org/10.1177/2165079917749863" TargetMode="External"/><Relationship Id="rId55" Type="http://schemas.openxmlformats.org/officeDocument/2006/relationships/hyperlink" Target="https://doi.org/10.1111/isj.12169"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dpi.com/2071-1050/14/1/294" TargetMode="External"/><Relationship Id="rId29" Type="http://schemas.openxmlformats.org/officeDocument/2006/relationships/hyperlink" Target="https://hbr.org/2021/05/how-to-do-hybrid-right" TargetMode="External"/><Relationship Id="rId11" Type="http://schemas.openxmlformats.org/officeDocument/2006/relationships/hyperlink" Target="https://doi.org/10.1177/1529100615593273" TargetMode="External"/><Relationship Id="rId24" Type="http://schemas.openxmlformats.org/officeDocument/2006/relationships/hyperlink" Target="https://www.cardiff.ac.uk/__data/assets/pdf_file/0003/2432676/Homeworking-in-the-UK-Before-and-during-the-2020-lockdown.pdf" TargetMode="External"/><Relationship Id="rId32" Type="http://schemas.openxmlformats.org/officeDocument/2006/relationships/hyperlink" Target="https://ico.org.uk/for-organisations/uk-gdpr-guidance-and-resources/" TargetMode="External"/><Relationship Id="rId37" Type="http://schemas.openxmlformats.org/officeDocument/2006/relationships/hyperlink" Target="https://doi.org/10.1037/amp0000716" TargetMode="External"/><Relationship Id="rId40" Type="http://schemas.openxmlformats.org/officeDocument/2006/relationships/hyperlink" Target="https://doi.org/10.3390/ijerph19031122" TargetMode="External"/><Relationship Id="rId45" Type="http://schemas.openxmlformats.org/officeDocument/2006/relationships/hyperlink" Target="https://doi.org/10.1249/fit.0000000000000929" TargetMode="External"/><Relationship Id="rId53" Type="http://schemas.openxmlformats.org/officeDocument/2006/relationships/hyperlink" Target="https://doi.org/10.1111/apps.12360" TargetMode="External"/><Relationship Id="rId58" Type="http://schemas.openxmlformats.org/officeDocument/2006/relationships/hyperlink" Target="https://doi.org/10.1016/j.jvb.2025.104096" TargetMode="External"/><Relationship Id="rId5" Type="http://schemas.openxmlformats.org/officeDocument/2006/relationships/footnotes" Target="footnotes.xml"/><Relationship Id="rId61" Type="http://schemas.openxmlformats.org/officeDocument/2006/relationships/hyperlink" Target="https://doi.org/10.1097/jom.0000000000002097" TargetMode="External"/><Relationship Id="rId19" Type="http://schemas.openxmlformats.org/officeDocument/2006/relationships/hyperlink" Target="https://www.cipd.org/globalassets/media/knowledge/knowledge-hub/reports/2025-pdfs/8909-flexible-working-report-web.pdf" TargetMode="External"/><Relationship Id="rId14" Type="http://schemas.openxmlformats.org/officeDocument/2006/relationships/hyperlink" Target="https://doi.org/10.1191/1478088706qp063oa" TargetMode="External"/><Relationship Id="rId22" Type="http://schemas.openxmlformats.org/officeDocument/2006/relationships/hyperlink" Target="https://doi.org/10.3390/su141911874" TargetMode="External"/><Relationship Id="rId27" Type="http://schemas.openxmlformats.org/officeDocument/2006/relationships/hyperlink" Target="https://doi.org/10.1108/itp-04-2021-0328" TargetMode="External"/><Relationship Id="rId30" Type="http://schemas.openxmlformats.org/officeDocument/2006/relationships/hyperlink" Target="https://doi.org/10.1177/1525822X05279903" TargetMode="External"/><Relationship Id="rId35" Type="http://schemas.openxmlformats.org/officeDocument/2006/relationships/hyperlink" Target="https://doi.org/10.1097/jom.0000000000002757" TargetMode="External"/><Relationship Id="rId43" Type="http://schemas.openxmlformats.org/officeDocument/2006/relationships/hyperlink" Target="https://www.ons.gov.uk/employmentandlabourmarket/peopleinwork/employmentandemployeetypes/articles/businessandindividualattitudestowardsthefutureofhomeworkinguk/apriltomay2021" TargetMode="External"/><Relationship Id="rId48" Type="http://schemas.openxmlformats.org/officeDocument/2006/relationships/hyperlink" Target="https://doi.org/10.1016/j.hrmr.2017.07.002" TargetMode="External"/><Relationship Id="rId56" Type="http://schemas.openxmlformats.org/officeDocument/2006/relationships/hyperlink" Target="https://doi.org/10.3389/fpsyg.2024.1304309"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doi.org/10.1080/23311886.2025.2481194" TargetMode="External"/><Relationship Id="rId3" Type="http://schemas.openxmlformats.org/officeDocument/2006/relationships/settings" Target="settings.xml"/><Relationship Id="rId12" Type="http://schemas.openxmlformats.org/officeDocument/2006/relationships/hyperlink" Target="https://doi.org/10.1037/0033-2909.117.3.497" TargetMode="External"/><Relationship Id="rId17" Type="http://schemas.openxmlformats.org/officeDocument/2006/relationships/hyperlink" Target="https://doi.org/10.21275/sr23326222748" TargetMode="External"/><Relationship Id="rId25" Type="http://schemas.openxmlformats.org/officeDocument/2006/relationships/hyperlink" Target="https://doi.org/10.1037/0021-9010.92.6.1524" TargetMode="External"/><Relationship Id="rId33" Type="http://schemas.openxmlformats.org/officeDocument/2006/relationships/hyperlink" Target="https://doi.org/10.3389/fpsyg.2022.908640" TargetMode="External"/><Relationship Id="rId38" Type="http://schemas.openxmlformats.org/officeDocument/2006/relationships/hyperlink" Target="https://doi.org/10.5171/2023.4132723" TargetMode="External"/><Relationship Id="rId46" Type="http://schemas.openxmlformats.org/officeDocument/2006/relationships/hyperlink" Target="https://doi.org/10.1016/j.chb.2023.107968" TargetMode="External"/><Relationship Id="rId59" Type="http://schemas.openxmlformats.org/officeDocument/2006/relationships/hyperlink" Target="https://doi.org/10.1111/apps.12290" TargetMode="External"/><Relationship Id="rId20" Type="http://schemas.openxmlformats.org/officeDocument/2006/relationships/hyperlink" Target="https://doi.org/10.3389/fpsyg.2020.590271" TargetMode="External"/><Relationship Id="rId41" Type="http://schemas.openxmlformats.org/officeDocument/2006/relationships/hyperlink" Target="https://doi.org/10.47941/jts.1498" TargetMode="External"/><Relationship Id="rId54" Type="http://schemas.openxmlformats.org/officeDocument/2006/relationships/hyperlink" Target="https://doi.org/10.17356/ieejsp.v7i3.786" TargetMode="External"/><Relationship Id="rId62"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2159676X.2019.1628806" TargetMode="External"/><Relationship Id="rId23" Type="http://schemas.openxmlformats.org/officeDocument/2006/relationships/hyperlink" Target="https://doi.org/10.1207/S15327965PLI1104_01" TargetMode="External"/><Relationship Id="rId28" Type="http://schemas.openxmlformats.org/officeDocument/2006/relationships/hyperlink" Target="https://doi.org/10.1108/er-09-2017-0229" TargetMode="External"/><Relationship Id="rId36" Type="http://schemas.openxmlformats.org/officeDocument/2006/relationships/hyperlink" Target="https://doi.org/10.1016/j.techfore.2023.123065" TargetMode="External"/><Relationship Id="rId49" Type="http://schemas.openxmlformats.org/officeDocument/2006/relationships/hyperlink" Target="https://doi.org/10.1007/s12525-021-00501-3" TargetMode="External"/><Relationship Id="rId57" Type="http://schemas.openxmlformats.org/officeDocument/2006/relationships/hyperlink" Target="https://doi.org/10.1108/shr-04-2024-0025" TargetMode="External"/><Relationship Id="rId10" Type="http://schemas.openxmlformats.org/officeDocument/2006/relationships/image" Target="media/image4.png"/><Relationship Id="rId31" Type="http://schemas.openxmlformats.org/officeDocument/2006/relationships/hyperlink" Target="https://www.forbes.com/uk/advisor/business/remote-work-statistics/" TargetMode="External"/><Relationship Id="rId44" Type="http://schemas.openxmlformats.org/officeDocument/2006/relationships/hyperlink" Target="https://doi.org/10.1186/s12889-022-12630-1" TargetMode="External"/><Relationship Id="rId52" Type="http://schemas.openxmlformats.org/officeDocument/2006/relationships/hyperlink" Target="https://doi.org/10.1177/0149206310385943" TargetMode="External"/><Relationship Id="rId60" Type="http://schemas.openxmlformats.org/officeDocument/2006/relationships/hyperlink" Target="https://www.enterpriseresearch.ac.uk/wp-content/uploads/2025/02/SOTA64-Remote-working-and-employee-wellbeing-Wishart.pdf"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hyperlink" Target="https://doi.org/10.1002/ejsp.2420170303" TargetMode="External"/><Relationship Id="rId18" Type="http://schemas.openxmlformats.org/officeDocument/2006/relationships/hyperlink" Target="https://doi.org/10.1108/er-02-2021-0058" TargetMode="External"/><Relationship Id="rId39" Type="http://schemas.openxmlformats.org/officeDocument/2006/relationships/hyperlink" Target="https://hbr.org/2020/03/a-guide-to-managing-your-newly-remote-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7177</Words>
  <Characters>45503</Characters>
  <Application>Microsoft Office Word</Application>
  <DocSecurity>0</DocSecurity>
  <Lines>1137</Lines>
  <Paragraphs>487</Paragraphs>
  <ScaleCrop>false</ScaleCrop>
  <Company/>
  <LinksUpToDate>false</LinksUpToDate>
  <CharactersWithSpaces>52193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2026-03-30T18:16:00Z</dcterms:created>
  <dcterms:modified xsi:type="dcterms:W3CDTF">2026-03-30T18:16:00Z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006c6cfd-8e7a-4c61-ab46-ed46dbea4f8b</vt:lpwstr>
  </property>
</Properties>
</file>