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0338" w:rsidRPr="00360338" w:rsidRDefault="00360338" w:rsidP="00360338">
      <w:pPr>
        <w:jc w:val="center"/>
        <w:rPr>
          <w:sz w:val="24"/>
          <w:u w:val="single"/>
        </w:rPr>
      </w:pPr>
      <w:r w:rsidRPr="00360338">
        <w:rPr>
          <w:sz w:val="24"/>
          <w:u w:val="single"/>
        </w:rPr>
        <w:t>Faced with an increasing para-military threat and mounting violence and bloodshed, in what ways did the British Government’s approach towards security issues in Northern Ireland change during the first decade of ‘The Troubles’, and how effective were these changes?</w:t>
      </w:r>
    </w:p>
    <w:p w:rsidR="0017769F" w:rsidRDefault="005637F7">
      <w:r>
        <w:t xml:space="preserve">The country of Northern Ireland has encountered many challenges since its </w:t>
      </w:r>
      <w:r w:rsidR="00F2318B">
        <w:t>partition</w:t>
      </w:r>
      <w:r>
        <w:t xml:space="preserve"> following the </w:t>
      </w:r>
      <w:r w:rsidR="00F2318B">
        <w:t>Government of Ireland Act in 1921</w:t>
      </w:r>
      <w:r w:rsidR="00F2318B">
        <w:rPr>
          <w:rStyle w:val="FootnoteReference"/>
        </w:rPr>
        <w:footnoteReference w:id="1"/>
      </w:r>
      <w:r w:rsidR="00F2318B">
        <w:t>.</w:t>
      </w:r>
      <w:r w:rsidR="00766E14">
        <w:t xml:space="preserve"> Undoubtedly, the most turbulent period of its relatively short history was during the </w:t>
      </w:r>
      <w:r w:rsidR="00740B66">
        <w:t>events</w:t>
      </w:r>
      <w:r w:rsidR="00766E14">
        <w:t xml:space="preserve"> known as ‘The Troubles’</w:t>
      </w:r>
      <w:r w:rsidR="002A141A">
        <w:t xml:space="preserve">. </w:t>
      </w:r>
      <w:r w:rsidR="00740B66">
        <w:t xml:space="preserve">Focus will be placed on the first decade of The Troubles encapsulating 1968 to 1978, with </w:t>
      </w:r>
      <w:r w:rsidR="00AE7D52">
        <w:t>unrest sparking</w:t>
      </w:r>
      <w:r w:rsidR="00740B66">
        <w:t xml:space="preserve"> on the 5</w:t>
      </w:r>
      <w:r w:rsidR="00740B66" w:rsidRPr="00740B66">
        <w:rPr>
          <w:vertAlign w:val="superscript"/>
        </w:rPr>
        <w:t>th</w:t>
      </w:r>
      <w:r w:rsidR="00740B66">
        <w:t xml:space="preserve"> October</w:t>
      </w:r>
      <w:r w:rsidR="00981791">
        <w:t>,</w:t>
      </w:r>
      <w:r w:rsidR="00740B66">
        <w:t xml:space="preserve"> following a civil rights march in Londonderry</w:t>
      </w:r>
      <w:r w:rsidR="00740B66">
        <w:rPr>
          <w:rStyle w:val="FootnoteReference"/>
        </w:rPr>
        <w:footnoteReference w:id="2"/>
      </w:r>
      <w:r w:rsidR="00740B66">
        <w:t>.</w:t>
      </w:r>
      <w:r w:rsidR="00AE7D52">
        <w:t xml:space="preserve"> The decision to identify this event as the start of The Troubles will be substantiated in forthcoming analysis.</w:t>
      </w:r>
      <w:r w:rsidR="00981791">
        <w:t xml:space="preserve"> </w:t>
      </w:r>
      <w:r w:rsidR="00D224F6">
        <w:t xml:space="preserve">Prior to chronological </w:t>
      </w:r>
      <w:r w:rsidR="00BB4C27">
        <w:t>investigation of</w:t>
      </w:r>
      <w:r w:rsidR="00D224F6">
        <w:t xml:space="preserve"> Brit</w:t>
      </w:r>
      <w:r w:rsidR="00BB4C27">
        <w:t xml:space="preserve">ish Governmental policy, in response to a developing situation in the province of Ulster, a foundational understanding of the organisations </w:t>
      </w:r>
      <w:r w:rsidR="009A7428">
        <w:t>implicated</w:t>
      </w:r>
      <w:r w:rsidR="00BB4C27">
        <w:t xml:space="preserve"> in the conflict will be established. Once this has been achieved, </w:t>
      </w:r>
      <w:r w:rsidR="009A7428">
        <w:t xml:space="preserve">paying </w:t>
      </w:r>
      <w:r w:rsidR="009A7428" w:rsidRPr="009A7428">
        <w:t xml:space="preserve">dividends </w:t>
      </w:r>
      <w:r w:rsidR="009A7428">
        <w:t>to</w:t>
      </w:r>
      <w:r w:rsidR="00BB4C27">
        <w:t xml:space="preserve"> both the Nationalist and Unionist </w:t>
      </w:r>
      <w:r w:rsidR="007C612F">
        <w:t>paramilitary</w:t>
      </w:r>
      <w:r w:rsidR="00BB4C27">
        <w:t xml:space="preserve"> contributors,</w:t>
      </w:r>
      <w:r w:rsidR="009A7428">
        <w:t xml:space="preserve"> focus will remain on the British Governments stance </w:t>
      </w:r>
      <w:r w:rsidR="001D3464">
        <w:t>regarding</w:t>
      </w:r>
      <w:r w:rsidR="009A7428">
        <w:t xml:space="preserve"> security issues. </w:t>
      </w:r>
      <w:r w:rsidR="00827BB2">
        <w:t xml:space="preserve">Finally, an assessment of the effectiveness of such policy changes will be formulated. </w:t>
      </w:r>
      <w:r w:rsidR="00BD6274">
        <w:t xml:space="preserve">The utilisation of leading scholarship will ensure that such an assessment is delivered </w:t>
      </w:r>
      <w:r w:rsidR="006332C8">
        <w:t xml:space="preserve">with </w:t>
      </w:r>
      <w:r w:rsidR="00BD6274">
        <w:t xml:space="preserve">credibility. </w:t>
      </w:r>
      <w:r w:rsidR="009A7428">
        <w:t xml:space="preserve"> </w:t>
      </w:r>
    </w:p>
    <w:p w:rsidR="00DA5D35" w:rsidRDefault="008B0B02">
      <w:r>
        <w:t xml:space="preserve">As stated, initial investigation will be concerned with developing an understanding of the implicated parties. Principally, the contrasting views of both the Nationalist and Unionist movements. The Nationalist agenda focuses on achieving their dream of a United Ireland </w:t>
      </w:r>
      <w:r w:rsidR="00A66A2C">
        <w:t>whilst the Unionists aspire to remain within the United Kingdom</w:t>
      </w:r>
      <w:r w:rsidR="00A66A2C">
        <w:rPr>
          <w:rStyle w:val="FootnoteReference"/>
        </w:rPr>
        <w:footnoteReference w:id="3"/>
      </w:r>
      <w:r w:rsidR="00A66A2C">
        <w:t>.</w:t>
      </w:r>
      <w:r w:rsidR="00130968">
        <w:t xml:space="preserve"> Here, it is also important to consider</w:t>
      </w:r>
      <w:r w:rsidR="00A66A2C">
        <w:t xml:space="preserve"> </w:t>
      </w:r>
      <w:r w:rsidR="00130968">
        <w:t>the parallel movements more inclined to a violent resolution</w:t>
      </w:r>
      <w:r w:rsidR="0039077D">
        <w:t>. Some Nationalists would identify as holding Republican ideology whereas certain Unionists would more accurately be described as Loyalist</w:t>
      </w:r>
      <w:r w:rsidR="00F2572D">
        <w:t>s</w:t>
      </w:r>
      <w:r w:rsidR="0039077D">
        <w:rPr>
          <w:rStyle w:val="FootnoteReference"/>
        </w:rPr>
        <w:footnoteReference w:id="4"/>
      </w:r>
      <w:r w:rsidR="0039077D">
        <w:t xml:space="preserve">. </w:t>
      </w:r>
      <w:r w:rsidR="00F2572D">
        <w:t xml:space="preserve">Unsurprisingly, those following either the Republican or Loyalist movements were drawn ‘disproportionately from </w:t>
      </w:r>
      <w:r w:rsidR="00F2572D">
        <w:lastRenderedPageBreak/>
        <w:t>the working class’</w:t>
      </w:r>
      <w:r w:rsidR="00F2572D">
        <w:rPr>
          <w:rStyle w:val="FootnoteReference"/>
        </w:rPr>
        <w:footnoteReference w:id="5"/>
      </w:r>
      <w:r w:rsidR="00F2572D">
        <w:t>.</w:t>
      </w:r>
      <w:r w:rsidR="001010AD">
        <w:t xml:space="preserve"> </w:t>
      </w:r>
      <w:r w:rsidR="00C9357A">
        <w:t xml:space="preserve">Each side substantiates their views with contrasting interpretations of Ireland’s history, in the case of the Nationalist movement </w:t>
      </w:r>
      <w:r w:rsidR="009F4BCF">
        <w:t>tracing back as far as 1169 and the Anglo-Norman invasion</w:t>
      </w:r>
      <w:r w:rsidR="009F4BCF">
        <w:rPr>
          <w:rStyle w:val="FootnoteReference"/>
        </w:rPr>
        <w:footnoteReference w:id="6"/>
      </w:r>
      <w:r w:rsidR="009F4BCF">
        <w:t>.</w:t>
      </w:r>
      <w:r w:rsidR="00B8708A">
        <w:t xml:space="preserve"> </w:t>
      </w:r>
      <w:r w:rsidR="00DA5D35">
        <w:t>Evidently, contrasting religious views also play a role in the conflict. Nationalist</w:t>
      </w:r>
      <w:r w:rsidR="007A5930">
        <w:t>s</w:t>
      </w:r>
      <w:r w:rsidR="00DA5D35">
        <w:t xml:space="preserve"> are primarily drawn from the Catholic community whilst Unionist</w:t>
      </w:r>
      <w:r w:rsidR="00236019">
        <w:t>s</w:t>
      </w:r>
      <w:r w:rsidR="00DA5D35">
        <w:t xml:space="preserve"> from the Protestant; However, it is important to consider that there are many exceptions to this rule</w:t>
      </w:r>
      <w:r w:rsidR="00DA5D35">
        <w:rPr>
          <w:rStyle w:val="FootnoteReference"/>
        </w:rPr>
        <w:footnoteReference w:id="7"/>
      </w:r>
      <w:r w:rsidR="00DA5D35">
        <w:t>.</w:t>
      </w:r>
    </w:p>
    <w:p w:rsidR="00C1267D" w:rsidRDefault="00800F32">
      <w:r>
        <w:t>When examining the Nationa</w:t>
      </w:r>
      <w:r w:rsidR="001E2E18">
        <w:t>list movement in greater detail, it becomes apparent that there are multiple organisations in support, many of which harbouring Republican Ideology. Such Republican views are increasingly prevalent in paramilitary organisations. The Social Democratic and Labour Party (SDLP) represents the primary exponent of the nationalist movement</w:t>
      </w:r>
      <w:r w:rsidR="001E2E18">
        <w:rPr>
          <w:rStyle w:val="FootnoteReference"/>
        </w:rPr>
        <w:footnoteReference w:id="8"/>
      </w:r>
      <w:r w:rsidR="001E2E18">
        <w:t>.</w:t>
      </w:r>
      <w:r w:rsidR="008D3CC1">
        <w:t xml:space="preserve"> </w:t>
      </w:r>
      <w:r w:rsidR="00D211DD">
        <w:t>The SDLP features an overwhelmingly Catholic majority and crucially</w:t>
      </w:r>
      <w:r w:rsidR="008C502E">
        <w:t>,</w:t>
      </w:r>
      <w:r w:rsidR="00D211DD">
        <w:t xml:space="preserve"> condemns Republican violence</w:t>
      </w:r>
      <w:r w:rsidR="00D211DD">
        <w:rPr>
          <w:rStyle w:val="FootnoteReference"/>
        </w:rPr>
        <w:footnoteReference w:id="9"/>
      </w:r>
      <w:r w:rsidR="00D211DD">
        <w:t>.</w:t>
      </w:r>
      <w:r w:rsidR="008C502E">
        <w:t xml:space="preserve"> Such violence stems primarily from the infamous Irish Republican Army (IRA)</w:t>
      </w:r>
      <w:r w:rsidR="008C502E">
        <w:rPr>
          <w:rStyle w:val="FootnoteReference"/>
        </w:rPr>
        <w:footnoteReference w:id="10"/>
      </w:r>
      <w:r w:rsidR="008C502E">
        <w:t xml:space="preserve">. </w:t>
      </w:r>
      <w:r w:rsidR="0011667B">
        <w:t>In 1969</w:t>
      </w:r>
      <w:r w:rsidR="00144897">
        <w:t>, and through the period encapsulated under the title of The Troubles,</w:t>
      </w:r>
      <w:r w:rsidR="0011667B">
        <w:t xml:space="preserve"> the organisation splintered into various factions</w:t>
      </w:r>
      <w:r w:rsidR="00AA1874">
        <w:rPr>
          <w:rStyle w:val="FootnoteReference"/>
        </w:rPr>
        <w:footnoteReference w:id="11"/>
      </w:r>
      <w:r w:rsidR="00AA1874">
        <w:t>. This included</w:t>
      </w:r>
      <w:r w:rsidR="0011667B">
        <w:t xml:space="preserve"> the Provisional</w:t>
      </w:r>
      <w:r w:rsidR="00144897">
        <w:t xml:space="preserve"> Irish Republican Army</w:t>
      </w:r>
      <w:r w:rsidR="0011667B">
        <w:t xml:space="preserve"> (PIRA), Official </w:t>
      </w:r>
      <w:r w:rsidR="00144897">
        <w:t xml:space="preserve">Irish Republican Army </w:t>
      </w:r>
      <w:r w:rsidR="0011667B">
        <w:t>(OIRA)</w:t>
      </w:r>
      <w:r w:rsidR="00144897">
        <w:t>, Continuity Irish Republican Army (CIRA) and the Irish National Liberation Army (INLA)</w:t>
      </w:r>
      <w:r w:rsidR="00FE14BD">
        <w:rPr>
          <w:rStyle w:val="FootnoteReference"/>
        </w:rPr>
        <w:footnoteReference w:id="12"/>
      </w:r>
      <w:r w:rsidR="00144897">
        <w:t>.</w:t>
      </w:r>
      <w:r w:rsidR="002F7816">
        <w:t xml:space="preserve"> Ultimately</w:t>
      </w:r>
      <w:r w:rsidR="00530BBC">
        <w:t xml:space="preserve">, </w:t>
      </w:r>
      <w:proofErr w:type="gramStart"/>
      <w:r w:rsidR="00530BBC">
        <w:t>all of these</w:t>
      </w:r>
      <w:proofErr w:type="gramEnd"/>
      <w:r w:rsidR="00530BBC">
        <w:t xml:space="preserve"> splinter factions promoted the same Republican ideology; </w:t>
      </w:r>
      <w:r w:rsidR="00F55723">
        <w:t>however,</w:t>
      </w:r>
      <w:r w:rsidR="00530BBC">
        <w:t xml:space="preserve"> they perused varying methodologies.</w:t>
      </w:r>
      <w:r w:rsidR="00F55723">
        <w:t xml:space="preserve"> The political organisation of </w:t>
      </w:r>
      <w:r w:rsidR="00F55723" w:rsidRPr="00F55723">
        <w:t>Sinn Féin</w:t>
      </w:r>
      <w:r w:rsidR="00F55723">
        <w:t xml:space="preserve"> broke away from the Provisional Irish Republican Army in 1986, having political candidates successfully elected</w:t>
      </w:r>
      <w:r w:rsidR="00A306F0">
        <w:t xml:space="preserve"> into office</w:t>
      </w:r>
      <w:r w:rsidR="00F55723">
        <w:rPr>
          <w:rStyle w:val="FootnoteReference"/>
        </w:rPr>
        <w:footnoteReference w:id="13"/>
      </w:r>
      <w:r w:rsidR="00F55723">
        <w:t>.</w:t>
      </w:r>
      <w:r w:rsidR="00A306F0">
        <w:t xml:space="preserve"> Due to an inextricable link between S</w:t>
      </w:r>
      <w:r w:rsidR="00A306F0" w:rsidRPr="00F55723">
        <w:t>inn Féin</w:t>
      </w:r>
      <w:r w:rsidR="00A306F0">
        <w:t xml:space="preserve"> and the IRA, they should still be considered a Republican party. </w:t>
      </w:r>
      <w:r w:rsidR="0022201B">
        <w:t xml:space="preserve">The major supporters of the Nationalist movement </w:t>
      </w:r>
      <w:r w:rsidR="006B696B">
        <w:t xml:space="preserve">discussed here demonstrate a broad spectrum of </w:t>
      </w:r>
      <w:r w:rsidR="006B696B">
        <w:lastRenderedPageBreak/>
        <w:t>temperance for violence, from the SDLP supporting political resolution to the PIRA actively targeting security forces and engaging in terrorism.</w:t>
      </w:r>
    </w:p>
    <w:p w:rsidR="00597D76" w:rsidRDefault="00C1267D">
      <w:r>
        <w:t xml:space="preserve">In opposition </w:t>
      </w:r>
      <w:r w:rsidR="00172AA0">
        <w:t xml:space="preserve">to the Nationalist movement, the Unionists also had a combination of political parties and paramilitary forces to forward their agenda. </w:t>
      </w:r>
      <w:r w:rsidR="0089689C">
        <w:t>During the Stormont era of governance from 1921-1972 the Ulster Unionist Party (UUP) was without opposition, being the primary advocate of remaining within the Union</w:t>
      </w:r>
      <w:r w:rsidR="0089689C">
        <w:rPr>
          <w:rStyle w:val="FootnoteReference"/>
        </w:rPr>
        <w:footnoteReference w:id="14"/>
      </w:r>
      <w:r w:rsidR="0089689C">
        <w:t>.</w:t>
      </w:r>
      <w:r w:rsidR="00787109">
        <w:t xml:space="preserve"> </w:t>
      </w:r>
      <w:r w:rsidR="00307F9C">
        <w:t>It was not until 1974 that the significance of the UUP was degraded following internal divisions as well as creation of opposition parties</w:t>
      </w:r>
      <w:r w:rsidR="00307F9C">
        <w:rPr>
          <w:rStyle w:val="FootnoteReference"/>
        </w:rPr>
        <w:footnoteReference w:id="15"/>
      </w:r>
      <w:r w:rsidR="00307F9C">
        <w:t>.</w:t>
      </w:r>
      <w:r w:rsidR="00336543">
        <w:t xml:space="preserve"> </w:t>
      </w:r>
      <w:r w:rsidR="005E66EF">
        <w:t>One such political party was the Democratic Unionist Party (DUP)</w:t>
      </w:r>
      <w:r w:rsidR="003E62F3">
        <w:t>, founded by Reverend Ian Paisley in 1971</w:t>
      </w:r>
      <w:r w:rsidR="003E62F3">
        <w:rPr>
          <w:rStyle w:val="FootnoteReference"/>
        </w:rPr>
        <w:footnoteReference w:id="16"/>
      </w:r>
      <w:r w:rsidR="003E62F3">
        <w:t>.</w:t>
      </w:r>
      <w:r w:rsidR="00542C39">
        <w:t xml:space="preserve"> </w:t>
      </w:r>
      <w:r w:rsidR="00622816">
        <w:t>Significantly, many supporters of the DUP also held prominence within Loyalists paramilitaries, despite this fact Paisley strongly rejected any endorsement of Loyalist violence</w:t>
      </w:r>
      <w:r w:rsidR="00622816">
        <w:rPr>
          <w:rStyle w:val="FootnoteReference"/>
        </w:rPr>
        <w:footnoteReference w:id="17"/>
      </w:r>
      <w:r w:rsidR="00622816">
        <w:t>.</w:t>
      </w:r>
      <w:r w:rsidR="00307F9C">
        <w:t xml:space="preserve"> </w:t>
      </w:r>
      <w:r w:rsidR="00F33A37">
        <w:t xml:space="preserve">The most significant Loyalist </w:t>
      </w:r>
      <w:r w:rsidR="006154DB">
        <w:t>paramilitary force during the first decade of The Troubles was the Ulster Defence Association</w:t>
      </w:r>
      <w:r w:rsidR="0081287A">
        <w:t xml:space="preserve"> (UDA)</w:t>
      </w:r>
      <w:r w:rsidR="006154DB">
        <w:t>, founded in 1971</w:t>
      </w:r>
      <w:r w:rsidR="006154DB">
        <w:rPr>
          <w:rStyle w:val="FootnoteReference"/>
        </w:rPr>
        <w:footnoteReference w:id="18"/>
      </w:r>
      <w:r w:rsidR="006154DB">
        <w:t>.</w:t>
      </w:r>
      <w:r w:rsidR="0081287A">
        <w:t xml:space="preserve"> Its significance was largely </w:t>
      </w:r>
      <w:proofErr w:type="gramStart"/>
      <w:r w:rsidR="0081287A">
        <w:t>as a result of</w:t>
      </w:r>
      <w:proofErr w:type="gramEnd"/>
      <w:r w:rsidR="0081287A">
        <w:t xml:space="preserve"> its mass membership, allowing for the organisation of industrial action, as seen in the workers strike of 1974</w:t>
      </w:r>
      <w:r w:rsidR="0081287A">
        <w:rPr>
          <w:rStyle w:val="FootnoteReference"/>
        </w:rPr>
        <w:footnoteReference w:id="19"/>
      </w:r>
      <w:r w:rsidR="0081287A">
        <w:t>.</w:t>
      </w:r>
      <w:r w:rsidR="009E0986">
        <w:t xml:space="preserve"> </w:t>
      </w:r>
      <w:r w:rsidR="00B370D9">
        <w:t>Under the direction of the UDA</w:t>
      </w:r>
      <w:r w:rsidR="00B21988">
        <w:t>, an organisation with more sinister intentions known as the Ulster Freedom Fighters (UFF) was formed</w:t>
      </w:r>
      <w:r w:rsidR="00202C39">
        <w:rPr>
          <w:rStyle w:val="FootnoteReference"/>
        </w:rPr>
        <w:footnoteReference w:id="20"/>
      </w:r>
      <w:r w:rsidR="00614A58">
        <w:t xml:space="preserve">. </w:t>
      </w:r>
      <w:r w:rsidR="00B74DD2">
        <w:t>The remit of the UFF focused on conducting offensive action directly in opposition to the Provisional Irish Republican Army</w:t>
      </w:r>
      <w:r w:rsidR="00BF5AF1">
        <w:t xml:space="preserve"> (PIRA)</w:t>
      </w:r>
      <w:r w:rsidR="00D74EDB">
        <w:rPr>
          <w:rStyle w:val="FootnoteReference"/>
        </w:rPr>
        <w:footnoteReference w:id="21"/>
      </w:r>
      <w:r w:rsidR="00B74DD2">
        <w:t>.</w:t>
      </w:r>
      <w:r w:rsidR="00BF5AF1">
        <w:t xml:space="preserve"> </w:t>
      </w:r>
      <w:r w:rsidR="00C10D31">
        <w:t>The final Loyalist paramilitary of significance during The Troubles was that of the Ulster Volunteer Force (UVF), led by the infamous Gusty Spence</w:t>
      </w:r>
      <w:r w:rsidR="00C10D31">
        <w:rPr>
          <w:rStyle w:val="FootnoteReference"/>
        </w:rPr>
        <w:footnoteReference w:id="22"/>
      </w:r>
      <w:r w:rsidR="00C10D31">
        <w:t>.</w:t>
      </w:r>
      <w:r w:rsidR="002360CE">
        <w:t xml:space="preserve"> The UVF was considered ‘more violent and hardline’ than its UDA cousin</w:t>
      </w:r>
      <w:r w:rsidR="002360CE">
        <w:rPr>
          <w:rStyle w:val="FootnoteReference"/>
        </w:rPr>
        <w:footnoteReference w:id="23"/>
      </w:r>
      <w:r w:rsidR="002360CE">
        <w:t>.</w:t>
      </w:r>
      <w:r w:rsidR="00F306D9">
        <w:t xml:space="preserve"> Clearly, the Unionist movement </w:t>
      </w:r>
      <w:r w:rsidR="00F306D9">
        <w:lastRenderedPageBreak/>
        <w:t>also had a broad base of support, despite the mixed religious demographic</w:t>
      </w:r>
      <w:r w:rsidR="00EB0619">
        <w:t xml:space="preserve"> found</w:t>
      </w:r>
      <w:r w:rsidR="00F306D9">
        <w:t xml:space="preserve"> in the province of Ulster</w:t>
      </w:r>
      <w:r w:rsidR="00E64BFE">
        <w:rPr>
          <w:rStyle w:val="FootnoteReference"/>
        </w:rPr>
        <w:footnoteReference w:id="24"/>
      </w:r>
      <w:r w:rsidR="00F306D9">
        <w:t xml:space="preserve">. </w:t>
      </w:r>
      <w:r w:rsidR="002360CE">
        <w:t xml:space="preserve"> </w:t>
      </w:r>
      <w:r w:rsidR="00C10D31">
        <w:t xml:space="preserve"> </w:t>
      </w:r>
    </w:p>
    <w:p w:rsidR="00555788" w:rsidRDefault="002426D1">
      <w:r>
        <w:t xml:space="preserve">Having </w:t>
      </w:r>
      <w:r w:rsidR="00262251">
        <w:t>now formed the crucial bedrock of understanding surrounding both Nationalist and Unionist organisations driving the events of The Troubles, focus can now shift onto the period itself. Initially, the identification of the 5</w:t>
      </w:r>
      <w:r w:rsidR="00262251" w:rsidRPr="00262251">
        <w:rPr>
          <w:vertAlign w:val="superscript"/>
        </w:rPr>
        <w:t>th</w:t>
      </w:r>
      <w:r w:rsidR="00262251">
        <w:t xml:space="preserve"> October 1968, and the civil rights march in Londonderry, as the spark </w:t>
      </w:r>
      <w:r w:rsidR="00B017AD">
        <w:t xml:space="preserve">of violence. </w:t>
      </w:r>
      <w:r w:rsidR="00797140">
        <w:t>The march itself was organised by the Northern Ireland Civil Rights Association (NICRA</w:t>
      </w:r>
      <w:r w:rsidR="004C2CD2">
        <w:t>), inspired by the actions of Martin Luther King in the United States</w:t>
      </w:r>
      <w:r w:rsidR="004C2CD2">
        <w:rPr>
          <w:rStyle w:val="FootnoteReference"/>
        </w:rPr>
        <w:footnoteReference w:id="25"/>
      </w:r>
      <w:r w:rsidR="004C2CD2">
        <w:t xml:space="preserve">. Their demands included equal voting rights, public housing reform, </w:t>
      </w:r>
      <w:r w:rsidR="00590EC4">
        <w:t xml:space="preserve">repeal of the Special Powers Act, </w:t>
      </w:r>
      <w:r w:rsidR="004C2CD2">
        <w:t>an end to discrimination in employment and finally the disbandment of the B-Specials</w:t>
      </w:r>
      <w:r w:rsidR="00B56007">
        <w:rPr>
          <w:rStyle w:val="FootnoteReference"/>
        </w:rPr>
        <w:footnoteReference w:id="26"/>
      </w:r>
      <w:r w:rsidR="00B56007">
        <w:t>.</w:t>
      </w:r>
      <w:r w:rsidR="00C96691">
        <w:t xml:space="preserve"> The march went forward in Derry, despite a governmental ban on its occurrence, and was met with harsh resistance from the Royal Ulster Constabulary (RUC)</w:t>
      </w:r>
      <w:r w:rsidR="00C96691">
        <w:rPr>
          <w:rStyle w:val="FootnoteReference"/>
        </w:rPr>
        <w:footnoteReference w:id="27"/>
      </w:r>
      <w:r w:rsidR="00C96691">
        <w:t>.</w:t>
      </w:r>
      <w:r w:rsidR="00EC2DDD">
        <w:t xml:space="preserve"> The subsequent violent clashes were recorded and broadcast around the world, </w:t>
      </w:r>
      <w:r w:rsidR="00154704">
        <w:t xml:space="preserve">and </w:t>
      </w:r>
      <w:proofErr w:type="gramStart"/>
      <w:r w:rsidR="00EC2DDD">
        <w:t>as a result of</w:t>
      </w:r>
      <w:proofErr w:type="gramEnd"/>
      <w:r w:rsidR="00EC2DDD">
        <w:t xml:space="preserve"> the RUC’s disproportionate use of force further unrest was sparked</w:t>
      </w:r>
      <w:r w:rsidR="00EC2DDD">
        <w:rPr>
          <w:rStyle w:val="FootnoteReference"/>
        </w:rPr>
        <w:footnoteReference w:id="28"/>
      </w:r>
      <w:r w:rsidR="00EC2DDD">
        <w:t xml:space="preserve">. </w:t>
      </w:r>
      <w:r w:rsidR="00AE16CC">
        <w:t>Further marches, turning to riots, in the following weeks and months escalated the situation, eventually setting the conditions for armed confrontation</w:t>
      </w:r>
      <w:r w:rsidR="00AE16CC">
        <w:rPr>
          <w:rStyle w:val="FootnoteReference"/>
        </w:rPr>
        <w:footnoteReference w:id="29"/>
      </w:r>
      <w:r w:rsidR="00AE16CC">
        <w:t>.</w:t>
      </w:r>
      <w:r w:rsidR="00816E84">
        <w:t xml:space="preserve"> The civil rights marches, and the inability of the RUC to handle them appropriately, clearly marks the start of the snowball effect of escalation. </w:t>
      </w:r>
      <w:proofErr w:type="gramStart"/>
      <w:r w:rsidR="00816E84">
        <w:t>As a result of</w:t>
      </w:r>
      <w:proofErr w:type="gramEnd"/>
      <w:r w:rsidR="00816E84">
        <w:t xml:space="preserve"> this, the 5</w:t>
      </w:r>
      <w:r w:rsidR="00816E84" w:rsidRPr="00816E84">
        <w:rPr>
          <w:vertAlign w:val="superscript"/>
        </w:rPr>
        <w:t>th</w:t>
      </w:r>
      <w:r w:rsidR="00816E84">
        <w:t xml:space="preserve"> October 1968 is clearly an appropriate date to identify as the start of The Troubles. </w:t>
      </w:r>
    </w:p>
    <w:p w:rsidR="00873D0B" w:rsidRDefault="006F235A">
      <w:r>
        <w:t xml:space="preserve">With the start of The Troubles now clearly identified, the British Governments response towards specific security issues in Northern Ireland can now be analysed. Additionally, </w:t>
      </w:r>
      <w:proofErr w:type="gramStart"/>
      <w:r>
        <w:t>particular attention</w:t>
      </w:r>
      <w:proofErr w:type="gramEnd"/>
      <w:r>
        <w:t xml:space="preserve"> will be given to the developing Governmental policy during the conflict. </w:t>
      </w:r>
      <w:r w:rsidR="000C5596">
        <w:t xml:space="preserve">Initially, the Governments’ decision to deploy the British Army in 1979 will be assessed. </w:t>
      </w:r>
      <w:r w:rsidR="001C00F0">
        <w:t xml:space="preserve">Following the escalation in rioting the </w:t>
      </w:r>
      <w:r w:rsidR="001C00F0">
        <w:lastRenderedPageBreak/>
        <w:t xml:space="preserve">RUC was rapidly becoming overwhelmed and clearly lacked the capability to contain the spread of violence. </w:t>
      </w:r>
      <w:r w:rsidR="008F419E">
        <w:t>The initial decision to deploy British forces, as well as place a greater precedence on the affairs of Northern Ireland, witnessed early success. In cooperation with the RUC rioting across the province of Ulster was contained, seriously undermining the legitimacy of the Irish Republican Army (IRA)</w:t>
      </w:r>
      <w:r w:rsidR="00AF71BA">
        <w:rPr>
          <w:rStyle w:val="FootnoteReference"/>
        </w:rPr>
        <w:footnoteReference w:id="30"/>
      </w:r>
      <w:r w:rsidR="008F419E">
        <w:t xml:space="preserve">. </w:t>
      </w:r>
      <w:r w:rsidR="00623C07">
        <w:t xml:space="preserve">The success of the intervention is well outlined by the lack of faith </w:t>
      </w:r>
      <w:r w:rsidR="00336939">
        <w:t>held in the</w:t>
      </w:r>
      <w:r w:rsidR="00623C07">
        <w:t xml:space="preserve"> Catholic community </w:t>
      </w:r>
      <w:r w:rsidR="00336939">
        <w:t>for</w:t>
      </w:r>
      <w:r w:rsidR="00623C07">
        <w:t xml:space="preserve"> the IRA’s capabilities, this is demonstrated by graffiti found in Belfast’s Catholic neighbourhoods declaring that IRA stood for ‘I Ran Away’</w:t>
      </w:r>
      <w:r w:rsidR="00623C07">
        <w:rPr>
          <w:rStyle w:val="FootnoteReference"/>
        </w:rPr>
        <w:footnoteReference w:id="31"/>
      </w:r>
      <w:r w:rsidR="00623C07">
        <w:t>.</w:t>
      </w:r>
      <w:r w:rsidR="005107FF">
        <w:t xml:space="preserve"> Undermining public support for</w:t>
      </w:r>
      <w:r w:rsidR="008A054C">
        <w:t xml:space="preserve"> </w:t>
      </w:r>
      <w:r w:rsidR="005107FF">
        <w:t xml:space="preserve">paramilitary organisations would be crucial in successfully stabilising the region. </w:t>
      </w:r>
      <w:r w:rsidR="0035402A">
        <w:t>In addition to military intervention, the British Government also</w:t>
      </w:r>
      <w:r w:rsidR="008A054C">
        <w:t xml:space="preserve"> launched a campaign to identify the core issues fuelling the conflict. Utilising Civil servants, as well as sending the Home Secretary James Callaghan to Northern Ireland, </w:t>
      </w:r>
      <w:r w:rsidR="00114114">
        <w:t>attempts were made to address the issues outlined by the Northern Ireland Civil Rights Association (NICRA) – specifically the issues surrounding community relations and public housing</w:t>
      </w:r>
      <w:r w:rsidR="00114114">
        <w:rPr>
          <w:rStyle w:val="FootnoteReference"/>
        </w:rPr>
        <w:footnoteReference w:id="32"/>
      </w:r>
      <w:r w:rsidR="00114114">
        <w:t>.</w:t>
      </w:r>
      <w:r w:rsidR="008A054C">
        <w:t xml:space="preserve"> </w:t>
      </w:r>
      <w:r w:rsidR="00617CB6">
        <w:t xml:space="preserve">The Government utilised a holistic approach. Firstly, the immediate priority of re-establishing Law and Order was forthfilled through the deployment of troops, providing a short-term solution. The root cause of the conflict was then to be addressed </w:t>
      </w:r>
      <w:r w:rsidR="00A66564">
        <w:t>through political channels as well as alterations in governance, providing the much need long term fix.</w:t>
      </w:r>
      <w:r w:rsidR="00F74516">
        <w:t xml:space="preserve"> </w:t>
      </w:r>
      <w:r w:rsidR="00DF10BD">
        <w:t xml:space="preserve">The Governments initial policy of intervention seemed to be successful. </w:t>
      </w:r>
      <w:r w:rsidR="00873D0B">
        <w:t>Of course,</w:t>
      </w:r>
      <w:r w:rsidR="00314EB5">
        <w:t xml:space="preserve"> ultimately, the deployment of troops offered a far </w:t>
      </w:r>
      <w:r w:rsidR="00873D0B">
        <w:t>shorter-term</w:t>
      </w:r>
      <w:r w:rsidR="00314EB5">
        <w:t xml:space="preserve"> solution than was expected, with the reorganisation of the IRA into its Provisional (PIRA) and Official (OIRA) splinters. </w:t>
      </w:r>
    </w:p>
    <w:p w:rsidR="00997BEC" w:rsidRDefault="00152AFC">
      <w:r>
        <w:t xml:space="preserve">One of the next major policy decisions of the British Government would see far less success. The downfall of Stormont, and with it the </w:t>
      </w:r>
      <w:r w:rsidR="006E103B">
        <w:t>end of the devolved Government would create endless issues. This policy of direct rule from Westminster was implemented on the 24</w:t>
      </w:r>
      <w:r w:rsidR="006E103B" w:rsidRPr="006E103B">
        <w:rPr>
          <w:vertAlign w:val="superscript"/>
        </w:rPr>
        <w:t>th</w:t>
      </w:r>
      <w:r w:rsidR="006E103B">
        <w:t xml:space="preserve"> March, 1972</w:t>
      </w:r>
      <w:r w:rsidR="006E103B">
        <w:rPr>
          <w:rStyle w:val="FootnoteReference"/>
        </w:rPr>
        <w:footnoteReference w:id="33"/>
      </w:r>
      <w:r w:rsidR="006E103B">
        <w:t>.</w:t>
      </w:r>
      <w:r w:rsidR="00A12D9A">
        <w:t xml:space="preserve"> </w:t>
      </w:r>
      <w:r w:rsidR="00D76D4D">
        <w:t xml:space="preserve">The decision, which was originally intended to only be a </w:t>
      </w:r>
      <w:r w:rsidR="004B274B">
        <w:t>short-term</w:t>
      </w:r>
      <w:r w:rsidR="00D76D4D">
        <w:t xml:space="preserve"> arrangement, had fundamental </w:t>
      </w:r>
      <w:r w:rsidR="00D76D4D">
        <w:lastRenderedPageBreak/>
        <w:t>flaws</w:t>
      </w:r>
      <w:r w:rsidR="00D76D4D">
        <w:rPr>
          <w:rStyle w:val="FootnoteReference"/>
        </w:rPr>
        <w:footnoteReference w:id="34"/>
      </w:r>
      <w:r w:rsidR="00D76D4D">
        <w:t>.</w:t>
      </w:r>
      <w:r w:rsidR="004B274B">
        <w:t xml:space="preserve"> Primarily, the British Government alienated historic Unionist support. The only political bodies which would express support for the decision were elements of the SDLP and the small Alliance Party of Northern Ireland (APNI)</w:t>
      </w:r>
      <w:r w:rsidR="00EE29E9">
        <w:rPr>
          <w:rStyle w:val="FootnoteReference"/>
        </w:rPr>
        <w:footnoteReference w:id="35"/>
      </w:r>
      <w:r w:rsidR="004B274B">
        <w:t>.</w:t>
      </w:r>
      <w:r w:rsidR="005516BB">
        <w:t xml:space="preserve"> </w:t>
      </w:r>
      <w:r w:rsidR="00453881">
        <w:t>The loss of Unionist faith in the British Government, combined with the fear that Westminster was preparing to abandon Northern Ireland in favour of handing control to Dublin, further fuelled extremism</w:t>
      </w:r>
      <w:r w:rsidR="00453881">
        <w:rPr>
          <w:rStyle w:val="FootnoteReference"/>
        </w:rPr>
        <w:footnoteReference w:id="36"/>
      </w:r>
      <w:r w:rsidR="00453881">
        <w:t>.</w:t>
      </w:r>
      <w:r w:rsidR="004B274B">
        <w:t xml:space="preserve"> </w:t>
      </w:r>
      <w:r w:rsidR="004344DE">
        <w:t>Specifically, Loyalist paramilitaries felt that they would have to take the future of Northern Ireland into their own hands. Such sentiment lead to increased violence from both the Ulster Volunteer Force (UVF) and the formation of the new Ulster Freedom Fighters (UFF)</w:t>
      </w:r>
      <w:r w:rsidR="00261B01">
        <w:t>,</w:t>
      </w:r>
      <w:r w:rsidR="004344DE">
        <w:t xml:space="preserve"> under UDA control</w:t>
      </w:r>
      <w:r w:rsidR="00DE3F80">
        <w:rPr>
          <w:rStyle w:val="FootnoteReference"/>
        </w:rPr>
        <w:footnoteReference w:id="37"/>
      </w:r>
      <w:r w:rsidR="004344DE">
        <w:t>.</w:t>
      </w:r>
      <w:r w:rsidR="00261B01">
        <w:t xml:space="preserve"> </w:t>
      </w:r>
      <w:r w:rsidR="00CF060E">
        <w:t xml:space="preserve">It appears that the British Government fundamentally underestimated the repercussion of alienating historic Unionist support. </w:t>
      </w:r>
      <w:r w:rsidR="00EA3312">
        <w:t xml:space="preserve"> </w:t>
      </w:r>
      <w:r w:rsidR="004344DE">
        <w:t xml:space="preserve"> </w:t>
      </w:r>
    </w:p>
    <w:p w:rsidR="002728D2" w:rsidRDefault="000703B5">
      <w:r>
        <w:t xml:space="preserve">Transitioning into the mid 1970’s, British Governmental Policy surrounding Law and Order is also of interest. </w:t>
      </w:r>
      <w:r w:rsidR="00544021">
        <w:t>With a view of implementing long-term solutions to security issues the principles of ‘Ulsterisation’</w:t>
      </w:r>
      <w:r>
        <w:t xml:space="preserve"> </w:t>
      </w:r>
      <w:r w:rsidR="00544021">
        <w:t>and ‘Criminalisation’ were adopted</w:t>
      </w:r>
      <w:r w:rsidR="008F46D3">
        <w:rPr>
          <w:rStyle w:val="FootnoteReference"/>
        </w:rPr>
        <w:footnoteReference w:id="38"/>
      </w:r>
      <w:r w:rsidR="00952894">
        <w:t>. Such principles clearly demonstrate the will of the British Government to find Irish solutions to Irish problems. Firstly, Ulsterisation placed significance on the Royal Ulster Constabulary (RUC) playing the leading role in providing security</w:t>
      </w:r>
      <w:r w:rsidR="00952894">
        <w:rPr>
          <w:rStyle w:val="FootnoteReference"/>
        </w:rPr>
        <w:footnoteReference w:id="39"/>
      </w:r>
      <w:r w:rsidR="00952894">
        <w:t>. Here, it was vital that the British Army should only play a supporting role with a view for eventual de-escalation.</w:t>
      </w:r>
      <w:r w:rsidR="00B114B5">
        <w:t xml:space="preserve"> </w:t>
      </w:r>
      <w:r w:rsidR="00AB5DEF">
        <w:t xml:space="preserve">Such action, in combination with </w:t>
      </w:r>
      <w:r w:rsidR="002D172B">
        <w:t>intelligence agencies specifically targeting both Loyalist and Republican Paramilitaries sought to both increase public support for the RUC</w:t>
      </w:r>
      <w:r w:rsidR="00BB600A">
        <w:t>,</w:t>
      </w:r>
      <w:r w:rsidR="002D172B">
        <w:t xml:space="preserve"> as well as undermine the motivations for sectarian violence</w:t>
      </w:r>
      <w:r w:rsidR="00DB6161">
        <w:rPr>
          <w:rStyle w:val="FootnoteReference"/>
        </w:rPr>
        <w:footnoteReference w:id="40"/>
      </w:r>
      <w:r w:rsidR="002D172B">
        <w:t>.</w:t>
      </w:r>
      <w:r w:rsidR="00BB600A">
        <w:t xml:space="preserve"> Secondly, the principle of Criminalisation sought to distance the actions of paramilitaries from the political sphere</w:t>
      </w:r>
      <w:r w:rsidR="00BB600A">
        <w:rPr>
          <w:rStyle w:val="FootnoteReference"/>
        </w:rPr>
        <w:footnoteReference w:id="41"/>
      </w:r>
      <w:r w:rsidR="00BB600A">
        <w:t xml:space="preserve">. </w:t>
      </w:r>
      <w:r w:rsidR="00C15DC4">
        <w:t xml:space="preserve">In doing so, </w:t>
      </w:r>
      <w:r w:rsidR="00934105">
        <w:t xml:space="preserve">drawing a clear division between political movements and that of terrorist or militant activity. </w:t>
      </w:r>
      <w:r w:rsidR="002675BF">
        <w:t xml:space="preserve">The process of Criminalisation greatly increased the capability of both the RUC and intelligence agencies to identify, </w:t>
      </w:r>
      <w:r w:rsidR="002675BF">
        <w:lastRenderedPageBreak/>
        <w:t>then subsequently prosecute those involved in paramilitary organisations.</w:t>
      </w:r>
      <w:r w:rsidR="008B3A33">
        <w:t xml:space="preserve"> Clearly this development in Counter Insurgency (COIN) capability was vital in furthering the British Governments policies. </w:t>
      </w:r>
    </w:p>
    <w:p w:rsidR="008451F8" w:rsidRDefault="00AA2FE9">
      <w:r>
        <w:t xml:space="preserve">When assessing the development of British Governmental Policy </w:t>
      </w:r>
      <w:r w:rsidR="005761F4">
        <w:t>in Northern Ireland during th</w:t>
      </w:r>
      <w:r w:rsidR="008743BE">
        <w:t xml:space="preserve">e first decade of The Troubles, it becomes clear that not all action taken yielded positive results. </w:t>
      </w:r>
      <w:r w:rsidR="00864704">
        <w:t xml:space="preserve">However, patterns do emerge showing greater success whilst utilising certain methodologies. </w:t>
      </w:r>
      <w:r w:rsidR="000B2516">
        <w:t xml:space="preserve">Primarily, when acting as a support mechanism for the state of Northern Ireland far greater success is experienced. Simply attempting to apply direct control over an evidently complex situation, and in doing so undermining indigenous governance results in unanticipated, and often escalating, negative effects. During the British Governments initial intervention and deployment of the British Army in 1979, initial success was experienced due to effective integration with established authorities. </w:t>
      </w:r>
      <w:r w:rsidR="00CF3BCA">
        <w:t xml:space="preserve">Additionally, the governance of the state was supported rather than manipulated. </w:t>
      </w:r>
      <w:r w:rsidR="00B345DB">
        <w:t>As seen during the fall of Stormont, direct control led to greater paramilitary violence. Finally, in the cases of Ulsterisation and Criminalisation the Government played a supporting role in enhancing already existing process</w:t>
      </w:r>
      <w:r w:rsidR="00FA7BE0">
        <w:t>es</w:t>
      </w:r>
      <w:r w:rsidR="00B345DB">
        <w:t xml:space="preserve">. The RUC was supported by the Army and was given greater abilities to target paramilitaries through legislation. </w:t>
      </w:r>
      <w:r w:rsidR="006E6167">
        <w:t xml:space="preserve">The changes explored here in British Governmental policy during The Troubles clearly show an adoption of a superior holistic approach to security. </w:t>
      </w:r>
      <w:r w:rsidR="00D51D3A">
        <w:t xml:space="preserve">With the development of such an approach came far greater success in security provision. </w:t>
      </w:r>
      <w:r w:rsidR="006E6167">
        <w:t xml:space="preserve"> </w:t>
      </w:r>
      <w:r w:rsidR="00B345DB">
        <w:t xml:space="preserve">  </w:t>
      </w:r>
      <w:r w:rsidR="000B2516">
        <w:t xml:space="preserve">   </w:t>
      </w:r>
      <w:r w:rsidR="00864704">
        <w:t xml:space="preserve"> </w:t>
      </w:r>
      <w:r w:rsidR="002675BF">
        <w:t xml:space="preserve">   </w:t>
      </w:r>
      <w:r w:rsidR="00934105">
        <w:t xml:space="preserve"> </w:t>
      </w:r>
      <w:r w:rsidR="00C15DC4">
        <w:t xml:space="preserve"> </w:t>
      </w:r>
      <w:r w:rsidR="00BB600A">
        <w:t xml:space="preserve"> </w:t>
      </w:r>
      <w:r w:rsidR="009F356B">
        <w:t xml:space="preserve"> </w:t>
      </w:r>
      <w:r w:rsidR="002D172B">
        <w:t xml:space="preserve"> </w:t>
      </w:r>
      <w:r w:rsidR="00952894">
        <w:t xml:space="preserve">  </w:t>
      </w:r>
    </w:p>
    <w:p w:rsidR="006055EA" w:rsidRDefault="00C9357A">
      <w:r>
        <w:t xml:space="preserve"> </w:t>
      </w:r>
      <w:r w:rsidR="00F2572D">
        <w:t xml:space="preserve">   </w:t>
      </w:r>
      <w:r w:rsidR="00130968">
        <w:t xml:space="preserve"> </w:t>
      </w:r>
      <w:bookmarkStart w:id="0" w:name="_GoBack"/>
      <w:bookmarkEnd w:id="0"/>
    </w:p>
    <w:p w:rsidR="005603F2" w:rsidRDefault="005603F2" w:rsidP="00C32B8D">
      <w:pPr>
        <w:rPr>
          <w:sz w:val="24"/>
          <w:u w:val="single"/>
        </w:rPr>
      </w:pPr>
    </w:p>
    <w:p w:rsidR="00CB2AC4" w:rsidRDefault="00CB2AC4" w:rsidP="00C32B8D">
      <w:pPr>
        <w:rPr>
          <w:sz w:val="24"/>
          <w:u w:val="single"/>
        </w:rPr>
      </w:pPr>
    </w:p>
    <w:p w:rsidR="00CB2AC4" w:rsidRDefault="00CB2AC4" w:rsidP="00C32B8D">
      <w:pPr>
        <w:rPr>
          <w:sz w:val="24"/>
          <w:u w:val="single"/>
        </w:rPr>
      </w:pPr>
    </w:p>
    <w:p w:rsidR="00CB2AC4" w:rsidRDefault="00CB2AC4" w:rsidP="00C32B8D">
      <w:pPr>
        <w:rPr>
          <w:sz w:val="24"/>
          <w:u w:val="single"/>
        </w:rPr>
      </w:pPr>
    </w:p>
    <w:p w:rsidR="00CB2AC4" w:rsidRDefault="00CB2AC4" w:rsidP="00C32B8D">
      <w:pPr>
        <w:rPr>
          <w:sz w:val="24"/>
          <w:u w:val="single"/>
        </w:rPr>
      </w:pPr>
    </w:p>
    <w:p w:rsidR="00CB2AC4" w:rsidRDefault="00CB2AC4" w:rsidP="00C32B8D">
      <w:pPr>
        <w:rPr>
          <w:sz w:val="24"/>
          <w:u w:val="single"/>
        </w:rPr>
      </w:pPr>
    </w:p>
    <w:p w:rsidR="00360338" w:rsidRDefault="00C32B8D" w:rsidP="00C32B8D">
      <w:pPr>
        <w:rPr>
          <w:sz w:val="24"/>
          <w:u w:val="single"/>
        </w:rPr>
      </w:pPr>
      <w:r>
        <w:rPr>
          <w:sz w:val="24"/>
          <w:u w:val="single"/>
        </w:rPr>
        <w:t>Bibliography</w:t>
      </w:r>
    </w:p>
    <w:p w:rsidR="00C32B8D" w:rsidRDefault="00C32B8D" w:rsidP="00C32B8D">
      <w:pPr>
        <w:rPr>
          <w:sz w:val="24"/>
          <w:u w:val="single"/>
        </w:rPr>
      </w:pPr>
      <w:r>
        <w:rPr>
          <w:sz w:val="24"/>
          <w:u w:val="single"/>
        </w:rPr>
        <w:t>Books</w:t>
      </w:r>
    </w:p>
    <w:p w:rsidR="00A16C8F" w:rsidRDefault="00A16C8F" w:rsidP="00A16C8F">
      <w:pPr>
        <w:pStyle w:val="ListParagraph"/>
        <w:numPr>
          <w:ilvl w:val="0"/>
          <w:numId w:val="2"/>
        </w:numPr>
      </w:pPr>
      <w:r>
        <w:t xml:space="preserve">R. Alonso, </w:t>
      </w:r>
      <w:r>
        <w:rPr>
          <w:i/>
        </w:rPr>
        <w:t>The IRA and Armed Struggle</w:t>
      </w:r>
      <w:r>
        <w:t xml:space="preserve"> (London: Routledge, 2007)</w:t>
      </w:r>
    </w:p>
    <w:p w:rsidR="00A16C8F" w:rsidRDefault="00A16C8F" w:rsidP="00A16C8F">
      <w:pPr>
        <w:pStyle w:val="ListParagraph"/>
        <w:numPr>
          <w:ilvl w:val="0"/>
          <w:numId w:val="2"/>
        </w:numPr>
      </w:pPr>
      <w:r>
        <w:t xml:space="preserve">D. </w:t>
      </w:r>
      <w:proofErr w:type="spellStart"/>
      <w:r>
        <w:t>Barritt</w:t>
      </w:r>
      <w:proofErr w:type="spellEnd"/>
      <w:r>
        <w:t xml:space="preserve">, </w:t>
      </w:r>
      <w:r>
        <w:rPr>
          <w:i/>
        </w:rPr>
        <w:t>Northern Ireland: A Problem to Every Solution</w:t>
      </w:r>
      <w:r>
        <w:t xml:space="preserve"> (London: Quaker Peace &amp; Service, 1982)</w:t>
      </w:r>
    </w:p>
    <w:p w:rsidR="00A16C8F" w:rsidRDefault="00A16C8F" w:rsidP="00A16C8F">
      <w:pPr>
        <w:pStyle w:val="ListParagraph"/>
        <w:numPr>
          <w:ilvl w:val="0"/>
          <w:numId w:val="2"/>
        </w:numPr>
      </w:pPr>
      <w:r>
        <w:t xml:space="preserve">J. B. Bell, </w:t>
      </w:r>
      <w:r>
        <w:rPr>
          <w:i/>
        </w:rPr>
        <w:t>The Irish Troubles</w:t>
      </w:r>
      <w:r>
        <w:t xml:space="preserve"> (Dublin: Gill &amp; Macmillan Ltd, 1993)  </w:t>
      </w:r>
    </w:p>
    <w:p w:rsidR="00A16C8F" w:rsidRPr="00C32B8D" w:rsidRDefault="00A16C8F" w:rsidP="00A16C8F">
      <w:pPr>
        <w:pStyle w:val="ListParagraph"/>
        <w:numPr>
          <w:ilvl w:val="0"/>
          <w:numId w:val="2"/>
        </w:numPr>
      </w:pPr>
      <w:r>
        <w:t xml:space="preserve">S. Bruce, </w:t>
      </w:r>
      <w:r>
        <w:rPr>
          <w:i/>
        </w:rPr>
        <w:t>The Edge of the Union</w:t>
      </w:r>
      <w:r>
        <w:t xml:space="preserve"> (Oxford: Oxford University Press, 1994)</w:t>
      </w:r>
    </w:p>
    <w:p w:rsidR="00A16C8F" w:rsidRDefault="00A16C8F" w:rsidP="00A16C8F">
      <w:pPr>
        <w:pStyle w:val="ListParagraph"/>
        <w:numPr>
          <w:ilvl w:val="0"/>
          <w:numId w:val="2"/>
        </w:numPr>
      </w:pPr>
      <w:r>
        <w:t xml:space="preserve">P. Catterall &amp; S. McDougall, </w:t>
      </w:r>
      <w:r>
        <w:rPr>
          <w:i/>
        </w:rPr>
        <w:t>The Northern Ireland Question in British Politics</w:t>
      </w:r>
      <w:r>
        <w:t xml:space="preserve"> (London: Macmillan Press Ltd, 1996)</w:t>
      </w:r>
    </w:p>
    <w:p w:rsidR="00A16C8F" w:rsidRDefault="00A16C8F" w:rsidP="00A16C8F">
      <w:pPr>
        <w:pStyle w:val="ListParagraph"/>
        <w:numPr>
          <w:ilvl w:val="0"/>
          <w:numId w:val="2"/>
        </w:numPr>
      </w:pPr>
      <w:r>
        <w:t xml:space="preserve">M. Connolly, </w:t>
      </w:r>
      <w:r>
        <w:rPr>
          <w:i/>
        </w:rPr>
        <w:t>Politics and Policy Making in Northern Ireland</w:t>
      </w:r>
      <w:r>
        <w:t xml:space="preserve"> (London: Philip Allan, 1990)</w:t>
      </w:r>
    </w:p>
    <w:p w:rsidR="00A16C8F" w:rsidRDefault="00A16C8F" w:rsidP="00A16C8F">
      <w:pPr>
        <w:pStyle w:val="ListParagraph"/>
        <w:numPr>
          <w:ilvl w:val="0"/>
          <w:numId w:val="2"/>
        </w:numPr>
      </w:pPr>
      <w:r>
        <w:t xml:space="preserve">P. Dixon, </w:t>
      </w:r>
      <w:r>
        <w:rPr>
          <w:i/>
        </w:rPr>
        <w:t>Northern Ireland: The Politics of War and Peace</w:t>
      </w:r>
      <w:r>
        <w:t xml:space="preserve"> (London: Palgrave, 2001)</w:t>
      </w:r>
    </w:p>
    <w:p w:rsidR="00A16C8F" w:rsidRDefault="00A16C8F" w:rsidP="00A16C8F">
      <w:pPr>
        <w:pStyle w:val="ListParagraph"/>
        <w:numPr>
          <w:ilvl w:val="0"/>
          <w:numId w:val="2"/>
        </w:numPr>
      </w:pPr>
      <w:r>
        <w:t xml:space="preserve">R. English, </w:t>
      </w:r>
      <w:r>
        <w:rPr>
          <w:i/>
        </w:rPr>
        <w:t xml:space="preserve">Armed Struggle: The History of the IRA </w:t>
      </w:r>
      <w:r>
        <w:t>(London: Macmillan, 2003)</w:t>
      </w:r>
    </w:p>
    <w:p w:rsidR="00C32B8D" w:rsidRDefault="00C32B8D" w:rsidP="00C32B8D">
      <w:pPr>
        <w:pStyle w:val="ListParagraph"/>
        <w:numPr>
          <w:ilvl w:val="0"/>
          <w:numId w:val="2"/>
        </w:numPr>
      </w:pPr>
      <w:r>
        <w:t xml:space="preserve">D. McKittrick &amp; D. </w:t>
      </w:r>
      <w:proofErr w:type="spellStart"/>
      <w:r>
        <w:t>McVea</w:t>
      </w:r>
      <w:proofErr w:type="spellEnd"/>
      <w:r>
        <w:t xml:space="preserve">, </w:t>
      </w:r>
      <w:r>
        <w:rPr>
          <w:i/>
        </w:rPr>
        <w:t>Making Sense of the Troubles</w:t>
      </w:r>
      <w:r>
        <w:t xml:space="preserve"> (Chicago: New Amsterdam Books, 2002)</w:t>
      </w:r>
    </w:p>
    <w:p w:rsidR="00A16C8F" w:rsidRDefault="000E6B6C" w:rsidP="000E6B6C">
      <w:pPr>
        <w:rPr>
          <w:sz w:val="24"/>
          <w:u w:val="single"/>
        </w:rPr>
      </w:pPr>
      <w:r>
        <w:rPr>
          <w:sz w:val="24"/>
          <w:u w:val="single"/>
        </w:rPr>
        <w:t>Websites</w:t>
      </w:r>
    </w:p>
    <w:p w:rsidR="000E6B6C" w:rsidRDefault="005B6887" w:rsidP="005B6887">
      <w:pPr>
        <w:pStyle w:val="ListParagraph"/>
        <w:numPr>
          <w:ilvl w:val="0"/>
          <w:numId w:val="4"/>
        </w:numPr>
      </w:pPr>
      <w:r>
        <w:t xml:space="preserve">Peter Taylor, ‘Paramilitaries in the Troubles’, BBC History, (2013), [online]. Available </w:t>
      </w:r>
      <w:hyperlink r:id="rId8" w:history="1">
        <w:r w:rsidRPr="00AC1292">
          <w:rPr>
            <w:rStyle w:val="Hyperlink"/>
          </w:rPr>
          <w:t>http://www.bbc.co.uk/history/topics/troubles_paramilitaries</w:t>
        </w:r>
      </w:hyperlink>
      <w:r>
        <w:t>. (accessed: 14/12/17)</w:t>
      </w:r>
    </w:p>
    <w:p w:rsidR="00627414" w:rsidRDefault="00627414" w:rsidP="00627414">
      <w:pPr>
        <w:pStyle w:val="ListParagraph"/>
        <w:numPr>
          <w:ilvl w:val="0"/>
          <w:numId w:val="4"/>
        </w:numPr>
      </w:pPr>
      <w:r>
        <w:t xml:space="preserve">Mark Devenport, ‘Politics in the Troubles’, BBC History, (2013), [online]. Available </w:t>
      </w:r>
      <w:hyperlink r:id="rId9" w:history="1">
        <w:r w:rsidRPr="00AC1292">
          <w:rPr>
            <w:rStyle w:val="Hyperlink"/>
          </w:rPr>
          <w:t>http://www.bbc.co.uk/history/topics/troubles_politics</w:t>
        </w:r>
      </w:hyperlink>
      <w:r>
        <w:t>. (accessed: 14/12/17)</w:t>
      </w:r>
    </w:p>
    <w:p w:rsidR="002D577C" w:rsidRDefault="002D577C" w:rsidP="002D577C">
      <w:pPr>
        <w:rPr>
          <w:sz w:val="24"/>
          <w:u w:val="single"/>
        </w:rPr>
      </w:pPr>
      <w:r>
        <w:rPr>
          <w:sz w:val="24"/>
          <w:u w:val="single"/>
        </w:rPr>
        <w:t>Documentaries</w:t>
      </w:r>
    </w:p>
    <w:p w:rsidR="002D577C" w:rsidRPr="002D577C" w:rsidRDefault="002D577C" w:rsidP="002D577C">
      <w:pPr>
        <w:pStyle w:val="ListParagraph"/>
        <w:numPr>
          <w:ilvl w:val="0"/>
          <w:numId w:val="5"/>
        </w:numPr>
      </w:pPr>
      <w:r>
        <w:t>‘</w:t>
      </w:r>
      <w:r w:rsidR="00114B4D">
        <w:t>No Surrender’</w:t>
      </w:r>
      <w:r>
        <w:t xml:space="preserve">, from </w:t>
      </w:r>
      <w:r>
        <w:rPr>
          <w:i/>
        </w:rPr>
        <w:t>Loyalists</w:t>
      </w:r>
      <w:r w:rsidR="00114B4D">
        <w:t>, Episode 1, Series 1, BBC 2, (21/02/1999), 20:00-21:00</w:t>
      </w:r>
      <w:r>
        <w:t xml:space="preserve"> </w:t>
      </w:r>
    </w:p>
    <w:sectPr w:rsidR="002D577C" w:rsidRPr="002D577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0A84" w:rsidRDefault="00500A84" w:rsidP="00D70008">
      <w:pPr>
        <w:spacing w:after="0" w:line="240" w:lineRule="auto"/>
      </w:pPr>
      <w:r>
        <w:separator/>
      </w:r>
    </w:p>
  </w:endnote>
  <w:endnote w:type="continuationSeparator" w:id="0">
    <w:p w:rsidR="00500A84" w:rsidRDefault="00500A84" w:rsidP="00D7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0A84" w:rsidRDefault="00500A84" w:rsidP="00D70008">
      <w:pPr>
        <w:spacing w:after="0" w:line="240" w:lineRule="auto"/>
      </w:pPr>
      <w:r>
        <w:separator/>
      </w:r>
    </w:p>
  </w:footnote>
  <w:footnote w:type="continuationSeparator" w:id="0">
    <w:p w:rsidR="00500A84" w:rsidRDefault="00500A84" w:rsidP="00D70008">
      <w:pPr>
        <w:spacing w:after="0" w:line="240" w:lineRule="auto"/>
      </w:pPr>
      <w:r>
        <w:continuationSeparator/>
      </w:r>
    </w:p>
  </w:footnote>
  <w:footnote w:id="1">
    <w:p w:rsidR="00F2318B" w:rsidRDefault="00F2318B">
      <w:pPr>
        <w:pStyle w:val="FootnoteText"/>
      </w:pPr>
      <w:r>
        <w:rPr>
          <w:rStyle w:val="FootnoteReference"/>
        </w:rPr>
        <w:footnoteRef/>
      </w:r>
      <w:r>
        <w:t xml:space="preserve"> P. Dixon, </w:t>
      </w:r>
      <w:r>
        <w:rPr>
          <w:i/>
        </w:rPr>
        <w:t>Northern Ireland: The Politics of War and Peace</w:t>
      </w:r>
      <w:r>
        <w:t xml:space="preserve"> (London: Palgrave, 2001), pp. 4</w:t>
      </w:r>
    </w:p>
  </w:footnote>
  <w:footnote w:id="2">
    <w:p w:rsidR="00740B66" w:rsidRDefault="00740B66">
      <w:pPr>
        <w:pStyle w:val="FootnoteText"/>
      </w:pPr>
      <w:r>
        <w:rPr>
          <w:rStyle w:val="FootnoteReference"/>
        </w:rPr>
        <w:footnoteRef/>
      </w:r>
      <w:r>
        <w:t xml:space="preserve"> D. McKittrick &amp; D. </w:t>
      </w:r>
      <w:proofErr w:type="spellStart"/>
      <w:r>
        <w:t>McVea</w:t>
      </w:r>
      <w:proofErr w:type="spellEnd"/>
      <w:r>
        <w:t xml:space="preserve">, </w:t>
      </w:r>
      <w:r>
        <w:rPr>
          <w:i/>
        </w:rPr>
        <w:t>Making Sense of the Troubles</w:t>
      </w:r>
      <w:r>
        <w:t xml:space="preserve"> (Chicago: New Amsterdam Books, 2002), pp. 41</w:t>
      </w:r>
    </w:p>
  </w:footnote>
  <w:footnote w:id="3">
    <w:p w:rsidR="00A66A2C" w:rsidRDefault="00A66A2C">
      <w:pPr>
        <w:pStyle w:val="FootnoteText"/>
      </w:pPr>
      <w:r>
        <w:rPr>
          <w:rStyle w:val="FootnoteReference"/>
        </w:rPr>
        <w:footnoteRef/>
      </w:r>
      <w:r>
        <w:t xml:space="preserve"> McKittrick &amp; </w:t>
      </w:r>
      <w:proofErr w:type="spellStart"/>
      <w:r>
        <w:t>McVea</w:t>
      </w:r>
      <w:proofErr w:type="spellEnd"/>
      <w:r>
        <w:t xml:space="preserve">, </w:t>
      </w:r>
      <w:r w:rsidRPr="0039077D">
        <w:rPr>
          <w:i/>
        </w:rPr>
        <w:t>Making Sense of the Troubles</w:t>
      </w:r>
      <w:r>
        <w:t xml:space="preserve">, pp. 2-4 </w:t>
      </w:r>
    </w:p>
  </w:footnote>
  <w:footnote w:id="4">
    <w:p w:rsidR="0039077D" w:rsidRPr="0039077D" w:rsidRDefault="0039077D">
      <w:pPr>
        <w:pStyle w:val="FootnoteText"/>
      </w:pPr>
      <w:r>
        <w:rPr>
          <w:rStyle w:val="FootnoteReference"/>
        </w:rPr>
        <w:footnoteRef/>
      </w:r>
      <w:r>
        <w:t xml:space="preserve"> Dixon, </w:t>
      </w:r>
      <w:r>
        <w:rPr>
          <w:i/>
        </w:rPr>
        <w:t>Politics of War and Peace</w:t>
      </w:r>
      <w:r>
        <w:t>, pp. 6</w:t>
      </w:r>
    </w:p>
  </w:footnote>
  <w:footnote w:id="5">
    <w:p w:rsidR="00F2572D" w:rsidRPr="00F2572D" w:rsidRDefault="00F2572D">
      <w:pPr>
        <w:pStyle w:val="FootnoteText"/>
      </w:pPr>
      <w:r>
        <w:rPr>
          <w:rStyle w:val="FootnoteReference"/>
        </w:rPr>
        <w:footnoteRef/>
      </w:r>
      <w:r>
        <w:t xml:space="preserve"> Dixon, </w:t>
      </w:r>
      <w:r>
        <w:rPr>
          <w:i/>
        </w:rPr>
        <w:t>Politics of War and Peace</w:t>
      </w:r>
      <w:r>
        <w:t>, pp. 6</w:t>
      </w:r>
    </w:p>
  </w:footnote>
  <w:footnote w:id="6">
    <w:p w:rsidR="009F4BCF" w:rsidRDefault="009F4BCF">
      <w:pPr>
        <w:pStyle w:val="FootnoteText"/>
      </w:pPr>
      <w:r>
        <w:rPr>
          <w:rStyle w:val="FootnoteReference"/>
        </w:rPr>
        <w:footnoteRef/>
      </w:r>
      <w:r>
        <w:t xml:space="preserve"> </w:t>
      </w:r>
      <w:r>
        <w:t xml:space="preserve">Dixon, </w:t>
      </w:r>
      <w:r>
        <w:rPr>
          <w:i/>
        </w:rPr>
        <w:t>Politics of War and Peace</w:t>
      </w:r>
      <w:r>
        <w:t>, pp. 7</w:t>
      </w:r>
    </w:p>
  </w:footnote>
  <w:footnote w:id="7">
    <w:p w:rsidR="00DA5D35" w:rsidRDefault="00DA5D35">
      <w:pPr>
        <w:pStyle w:val="FootnoteText"/>
      </w:pPr>
      <w:r>
        <w:rPr>
          <w:rStyle w:val="FootnoteReference"/>
        </w:rPr>
        <w:footnoteRef/>
      </w:r>
      <w:r>
        <w:t xml:space="preserve"> </w:t>
      </w:r>
      <w:r>
        <w:t xml:space="preserve">Dixon, </w:t>
      </w:r>
      <w:r>
        <w:rPr>
          <w:i/>
        </w:rPr>
        <w:t>Politics of War and Peace</w:t>
      </w:r>
      <w:r>
        <w:t>, pp. 7-9</w:t>
      </w:r>
    </w:p>
  </w:footnote>
  <w:footnote w:id="8">
    <w:p w:rsidR="001E2E18" w:rsidRDefault="001E2E18">
      <w:pPr>
        <w:pStyle w:val="FootnoteText"/>
      </w:pPr>
      <w:r>
        <w:rPr>
          <w:rStyle w:val="FootnoteReference"/>
        </w:rPr>
        <w:footnoteRef/>
      </w:r>
      <w:r>
        <w:t xml:space="preserve"> </w:t>
      </w:r>
      <w:r>
        <w:t xml:space="preserve">M. Connolly, </w:t>
      </w:r>
      <w:r>
        <w:rPr>
          <w:i/>
        </w:rPr>
        <w:t>Politics and Policy Making in Northern Ireland</w:t>
      </w:r>
      <w:r>
        <w:t xml:space="preserve"> (London: Philip Allan, 1990</w:t>
      </w:r>
      <w:r>
        <w:t>), 109-110</w:t>
      </w:r>
    </w:p>
  </w:footnote>
  <w:footnote w:id="9">
    <w:p w:rsidR="00D211DD" w:rsidRDefault="00D211DD">
      <w:pPr>
        <w:pStyle w:val="FootnoteText"/>
      </w:pPr>
      <w:r>
        <w:rPr>
          <w:rStyle w:val="FootnoteReference"/>
        </w:rPr>
        <w:footnoteRef/>
      </w:r>
      <w:r>
        <w:t xml:space="preserve"> </w:t>
      </w:r>
      <w:r>
        <w:t xml:space="preserve">Dixon, </w:t>
      </w:r>
      <w:r>
        <w:rPr>
          <w:i/>
        </w:rPr>
        <w:t>Politics of War and Peace</w:t>
      </w:r>
      <w:r>
        <w:t>,</w:t>
      </w:r>
      <w:r>
        <w:t xml:space="preserve"> pp. 9-11</w:t>
      </w:r>
    </w:p>
  </w:footnote>
  <w:footnote w:id="10">
    <w:p w:rsidR="008C502E" w:rsidRDefault="008C502E">
      <w:pPr>
        <w:pStyle w:val="FootnoteText"/>
      </w:pPr>
      <w:r>
        <w:rPr>
          <w:rStyle w:val="FootnoteReference"/>
        </w:rPr>
        <w:footnoteRef/>
      </w:r>
      <w:r>
        <w:t xml:space="preserve"> </w:t>
      </w:r>
      <w:r>
        <w:t xml:space="preserve">R. English, </w:t>
      </w:r>
      <w:r>
        <w:rPr>
          <w:i/>
        </w:rPr>
        <w:t xml:space="preserve">Armed Struggle: The History of the IRA </w:t>
      </w:r>
      <w:r>
        <w:t>(London: Macmillan, 2003</w:t>
      </w:r>
      <w:r>
        <w:t>), pp. 81-84</w:t>
      </w:r>
    </w:p>
  </w:footnote>
  <w:footnote w:id="11">
    <w:p w:rsidR="00AA1874" w:rsidRPr="00AA1874" w:rsidRDefault="00AA1874">
      <w:pPr>
        <w:pStyle w:val="FootnoteText"/>
      </w:pPr>
      <w:r>
        <w:rPr>
          <w:rStyle w:val="FootnoteReference"/>
        </w:rPr>
        <w:footnoteRef/>
      </w:r>
      <w:r>
        <w:t xml:space="preserve"> Connolly, </w:t>
      </w:r>
      <w:r>
        <w:rPr>
          <w:i/>
        </w:rPr>
        <w:t>Politics and Policy Making</w:t>
      </w:r>
      <w:r>
        <w:t>, pp. 110-112</w:t>
      </w:r>
    </w:p>
  </w:footnote>
  <w:footnote w:id="12">
    <w:p w:rsidR="00FE14BD" w:rsidRPr="00FE14BD" w:rsidRDefault="00FE14BD">
      <w:pPr>
        <w:pStyle w:val="FootnoteText"/>
      </w:pPr>
      <w:r>
        <w:rPr>
          <w:rStyle w:val="FootnoteReference"/>
        </w:rPr>
        <w:footnoteRef/>
      </w:r>
      <w:r>
        <w:t xml:space="preserve"> English, </w:t>
      </w:r>
      <w:r>
        <w:rPr>
          <w:i/>
        </w:rPr>
        <w:t>History of the IRA</w:t>
      </w:r>
      <w:r>
        <w:t>, pp. 81-84</w:t>
      </w:r>
    </w:p>
  </w:footnote>
  <w:footnote w:id="13">
    <w:p w:rsidR="00F55723" w:rsidRDefault="00F55723">
      <w:pPr>
        <w:pStyle w:val="FootnoteText"/>
      </w:pPr>
      <w:r>
        <w:rPr>
          <w:rStyle w:val="FootnoteReference"/>
        </w:rPr>
        <w:footnoteRef/>
      </w:r>
      <w:r>
        <w:t xml:space="preserve"> </w:t>
      </w:r>
      <w:r>
        <w:t xml:space="preserve">Dixon, </w:t>
      </w:r>
      <w:r>
        <w:rPr>
          <w:i/>
        </w:rPr>
        <w:t>Politics of War and Peace</w:t>
      </w:r>
      <w:r>
        <w:t>,</w:t>
      </w:r>
      <w:r>
        <w:t xml:space="preserve"> pp. 11-12</w:t>
      </w:r>
    </w:p>
  </w:footnote>
  <w:footnote w:id="14">
    <w:p w:rsidR="0089689C" w:rsidRDefault="0089689C">
      <w:pPr>
        <w:pStyle w:val="FootnoteText"/>
      </w:pPr>
      <w:r>
        <w:rPr>
          <w:rStyle w:val="FootnoteReference"/>
        </w:rPr>
        <w:footnoteRef/>
      </w:r>
      <w:r>
        <w:t xml:space="preserve"> </w:t>
      </w:r>
      <w:r>
        <w:t xml:space="preserve">Dixon, </w:t>
      </w:r>
      <w:r>
        <w:rPr>
          <w:i/>
        </w:rPr>
        <w:t>Politics of War and Peace</w:t>
      </w:r>
      <w:r>
        <w:t>,</w:t>
      </w:r>
      <w:r>
        <w:t xml:space="preserve"> pp. 14-15</w:t>
      </w:r>
    </w:p>
  </w:footnote>
  <w:footnote w:id="15">
    <w:p w:rsidR="00307F9C" w:rsidRDefault="00307F9C">
      <w:pPr>
        <w:pStyle w:val="FootnoteText"/>
      </w:pPr>
      <w:r>
        <w:rPr>
          <w:rStyle w:val="FootnoteReference"/>
        </w:rPr>
        <w:footnoteRef/>
      </w:r>
      <w:r>
        <w:t xml:space="preserve"> </w:t>
      </w:r>
      <w:r>
        <w:t xml:space="preserve">Dixon, </w:t>
      </w:r>
      <w:r>
        <w:rPr>
          <w:i/>
        </w:rPr>
        <w:t>Politics of War and Peace</w:t>
      </w:r>
      <w:r>
        <w:t>, pp. 14-15</w:t>
      </w:r>
    </w:p>
  </w:footnote>
  <w:footnote w:id="16">
    <w:p w:rsidR="003E62F3" w:rsidRDefault="003E62F3">
      <w:pPr>
        <w:pStyle w:val="FootnoteText"/>
      </w:pPr>
      <w:r>
        <w:rPr>
          <w:rStyle w:val="FootnoteReference"/>
        </w:rPr>
        <w:footnoteRef/>
      </w:r>
      <w:r>
        <w:t xml:space="preserve"> </w:t>
      </w:r>
      <w:r>
        <w:t xml:space="preserve">Connolly, </w:t>
      </w:r>
      <w:r>
        <w:rPr>
          <w:i/>
        </w:rPr>
        <w:t>Politics and Policy Making</w:t>
      </w:r>
      <w:r>
        <w:t>, pp. 103-104</w:t>
      </w:r>
    </w:p>
  </w:footnote>
  <w:footnote w:id="17">
    <w:p w:rsidR="00622816" w:rsidRDefault="00622816">
      <w:pPr>
        <w:pStyle w:val="FootnoteText"/>
      </w:pPr>
      <w:r>
        <w:rPr>
          <w:rStyle w:val="FootnoteReference"/>
        </w:rPr>
        <w:footnoteRef/>
      </w:r>
      <w:r>
        <w:t xml:space="preserve"> </w:t>
      </w:r>
      <w:r>
        <w:t xml:space="preserve">‘No Surrender’, from </w:t>
      </w:r>
      <w:r>
        <w:rPr>
          <w:i/>
        </w:rPr>
        <w:t>Loyalists</w:t>
      </w:r>
      <w:r>
        <w:t>, Episode 1, Series 1, BBC 2, (21/02/1999), 20:00-21:00</w:t>
      </w:r>
    </w:p>
  </w:footnote>
  <w:footnote w:id="18">
    <w:p w:rsidR="006154DB" w:rsidRDefault="006154DB">
      <w:pPr>
        <w:pStyle w:val="FootnoteText"/>
      </w:pPr>
      <w:r>
        <w:rPr>
          <w:rStyle w:val="FootnoteReference"/>
        </w:rPr>
        <w:footnoteRef/>
      </w:r>
      <w:r>
        <w:t xml:space="preserve"> </w:t>
      </w:r>
      <w:r>
        <w:t xml:space="preserve">S. Bruce, </w:t>
      </w:r>
      <w:r>
        <w:rPr>
          <w:i/>
        </w:rPr>
        <w:t>The Edge of the Union</w:t>
      </w:r>
      <w:r>
        <w:t xml:space="preserve"> (Oxford: Oxford University Press, 1994)</w:t>
      </w:r>
      <w:r>
        <w:t>, pp. 101-107</w:t>
      </w:r>
    </w:p>
  </w:footnote>
  <w:footnote w:id="19">
    <w:p w:rsidR="0081287A" w:rsidRDefault="0081287A">
      <w:pPr>
        <w:pStyle w:val="FootnoteText"/>
      </w:pPr>
      <w:r>
        <w:rPr>
          <w:rStyle w:val="FootnoteReference"/>
        </w:rPr>
        <w:footnoteRef/>
      </w:r>
      <w:r>
        <w:t xml:space="preserve"> </w:t>
      </w:r>
      <w:r>
        <w:t xml:space="preserve">Connolly, </w:t>
      </w:r>
      <w:r>
        <w:rPr>
          <w:i/>
        </w:rPr>
        <w:t>Politics and Policy Making</w:t>
      </w:r>
      <w:r>
        <w:t>, pp. 107</w:t>
      </w:r>
    </w:p>
  </w:footnote>
  <w:footnote w:id="20">
    <w:p w:rsidR="00202C39" w:rsidRDefault="00202C39">
      <w:pPr>
        <w:pStyle w:val="FootnoteText"/>
      </w:pPr>
      <w:r>
        <w:rPr>
          <w:rStyle w:val="FootnoteReference"/>
        </w:rPr>
        <w:footnoteRef/>
      </w:r>
      <w:r>
        <w:t xml:space="preserve"> </w:t>
      </w:r>
      <w:r>
        <w:t xml:space="preserve">Dixon, </w:t>
      </w:r>
      <w:r>
        <w:rPr>
          <w:i/>
        </w:rPr>
        <w:t>Politics of War and Peace</w:t>
      </w:r>
      <w:r>
        <w:t>,</w:t>
      </w:r>
      <w:r>
        <w:t xml:space="preserve"> pp. 15</w:t>
      </w:r>
    </w:p>
  </w:footnote>
  <w:footnote w:id="21">
    <w:p w:rsidR="00D74EDB" w:rsidRDefault="00D74EDB">
      <w:pPr>
        <w:pStyle w:val="FootnoteText"/>
      </w:pPr>
      <w:r>
        <w:rPr>
          <w:rStyle w:val="FootnoteReference"/>
        </w:rPr>
        <w:footnoteRef/>
      </w:r>
      <w:r>
        <w:t xml:space="preserve"> </w:t>
      </w:r>
      <w:r>
        <w:t xml:space="preserve">‘No Surrender’, from </w:t>
      </w:r>
      <w:r>
        <w:rPr>
          <w:i/>
        </w:rPr>
        <w:t>Loyalists</w:t>
      </w:r>
      <w:r>
        <w:t>, Episode 1, Series 1, BBC 2, (21/02/1999), 20:00-21:00</w:t>
      </w:r>
    </w:p>
  </w:footnote>
  <w:footnote w:id="22">
    <w:p w:rsidR="00C10D31" w:rsidRPr="00C10D31" w:rsidRDefault="00C10D31">
      <w:pPr>
        <w:pStyle w:val="FootnoteText"/>
      </w:pPr>
      <w:r>
        <w:rPr>
          <w:rStyle w:val="FootnoteReference"/>
        </w:rPr>
        <w:footnoteRef/>
      </w:r>
      <w:r>
        <w:t xml:space="preserve"> Bruce, </w:t>
      </w:r>
      <w:r>
        <w:rPr>
          <w:i/>
        </w:rPr>
        <w:t>Edge of the Union</w:t>
      </w:r>
      <w:r>
        <w:t>, pp. 98-100</w:t>
      </w:r>
    </w:p>
  </w:footnote>
  <w:footnote w:id="23">
    <w:p w:rsidR="002360CE" w:rsidRDefault="002360CE">
      <w:pPr>
        <w:pStyle w:val="FootnoteText"/>
      </w:pPr>
      <w:r>
        <w:rPr>
          <w:rStyle w:val="FootnoteReference"/>
        </w:rPr>
        <w:footnoteRef/>
      </w:r>
      <w:r>
        <w:t xml:space="preserve"> </w:t>
      </w:r>
      <w:r>
        <w:t xml:space="preserve">Connolly, </w:t>
      </w:r>
      <w:r>
        <w:rPr>
          <w:i/>
        </w:rPr>
        <w:t>Politics and Policy Making</w:t>
      </w:r>
      <w:r>
        <w:t>, pp. 108</w:t>
      </w:r>
    </w:p>
  </w:footnote>
  <w:footnote w:id="24">
    <w:p w:rsidR="00E64BFE" w:rsidRDefault="00E64BFE">
      <w:pPr>
        <w:pStyle w:val="FootnoteText"/>
      </w:pPr>
      <w:r>
        <w:rPr>
          <w:rStyle w:val="FootnoteReference"/>
        </w:rPr>
        <w:footnoteRef/>
      </w:r>
      <w:r>
        <w:t xml:space="preserve"> </w:t>
      </w:r>
      <w:r>
        <w:t xml:space="preserve">Connolly, </w:t>
      </w:r>
      <w:r>
        <w:rPr>
          <w:i/>
        </w:rPr>
        <w:t>Politics and Policy Making</w:t>
      </w:r>
      <w:r>
        <w:t>, pp. 4-7</w:t>
      </w:r>
    </w:p>
  </w:footnote>
  <w:footnote w:id="25">
    <w:p w:rsidR="004C2CD2" w:rsidRDefault="004C2CD2">
      <w:pPr>
        <w:pStyle w:val="FootnoteText"/>
      </w:pPr>
      <w:r>
        <w:rPr>
          <w:rStyle w:val="FootnoteReference"/>
        </w:rPr>
        <w:footnoteRef/>
      </w:r>
      <w:r>
        <w:t xml:space="preserve"> Mark De</w:t>
      </w:r>
      <w:r>
        <w:t xml:space="preserve">venport, ‘Politics in the Troubles’, BBC History, (2013), [online]. Available </w:t>
      </w:r>
      <w:hyperlink r:id="rId1" w:history="1">
        <w:r w:rsidRPr="00AC1292">
          <w:rPr>
            <w:rStyle w:val="Hyperlink"/>
          </w:rPr>
          <w:t>http://www.bbc.co.uk/history/topics/troubles_politics</w:t>
        </w:r>
      </w:hyperlink>
    </w:p>
  </w:footnote>
  <w:footnote w:id="26">
    <w:p w:rsidR="00B56007" w:rsidRDefault="00B56007">
      <w:pPr>
        <w:pStyle w:val="FootnoteText"/>
      </w:pPr>
      <w:r>
        <w:rPr>
          <w:rStyle w:val="FootnoteReference"/>
        </w:rPr>
        <w:footnoteRef/>
      </w:r>
      <w:r>
        <w:t xml:space="preserve"> </w:t>
      </w:r>
      <w:r>
        <w:t xml:space="preserve">J. B. Bell, </w:t>
      </w:r>
      <w:r>
        <w:rPr>
          <w:i/>
        </w:rPr>
        <w:t>The Irish Troubles</w:t>
      </w:r>
      <w:r>
        <w:t xml:space="preserve"> (Dublin: Gill &amp; Macmillan Ltd, 1993)</w:t>
      </w:r>
      <w:r>
        <w:t>, pp. 58-60</w:t>
      </w:r>
    </w:p>
  </w:footnote>
  <w:footnote w:id="27">
    <w:p w:rsidR="00C96691" w:rsidRPr="00C96691" w:rsidRDefault="00C96691">
      <w:pPr>
        <w:pStyle w:val="FootnoteText"/>
      </w:pPr>
      <w:r>
        <w:rPr>
          <w:rStyle w:val="FootnoteReference"/>
        </w:rPr>
        <w:footnoteRef/>
      </w:r>
      <w:r>
        <w:t xml:space="preserve"> Bell, </w:t>
      </w:r>
      <w:r>
        <w:rPr>
          <w:i/>
        </w:rPr>
        <w:t>The Irish Troubles</w:t>
      </w:r>
      <w:r>
        <w:t>, pp. 58-60</w:t>
      </w:r>
    </w:p>
  </w:footnote>
  <w:footnote w:id="28">
    <w:p w:rsidR="00EC2DDD" w:rsidRDefault="00EC2DDD">
      <w:pPr>
        <w:pStyle w:val="FootnoteText"/>
      </w:pPr>
      <w:r>
        <w:rPr>
          <w:rStyle w:val="FootnoteReference"/>
        </w:rPr>
        <w:footnoteRef/>
      </w:r>
      <w:r>
        <w:t xml:space="preserve"> </w:t>
      </w:r>
      <w:r>
        <w:t xml:space="preserve">McKittrick &amp; </w:t>
      </w:r>
      <w:proofErr w:type="spellStart"/>
      <w:r>
        <w:t>McVea</w:t>
      </w:r>
      <w:proofErr w:type="spellEnd"/>
      <w:r>
        <w:t xml:space="preserve">, </w:t>
      </w:r>
      <w:r w:rsidRPr="0039077D">
        <w:rPr>
          <w:i/>
        </w:rPr>
        <w:t>Making Sense of the Troubles</w:t>
      </w:r>
      <w:r>
        <w:t>, pp. 40-44</w:t>
      </w:r>
    </w:p>
  </w:footnote>
  <w:footnote w:id="29">
    <w:p w:rsidR="00AE16CC" w:rsidRDefault="00AE16CC">
      <w:pPr>
        <w:pStyle w:val="FootnoteText"/>
      </w:pPr>
      <w:r>
        <w:rPr>
          <w:rStyle w:val="FootnoteReference"/>
        </w:rPr>
        <w:footnoteRef/>
      </w:r>
      <w:r>
        <w:t xml:space="preserve"> </w:t>
      </w:r>
      <w:r>
        <w:t xml:space="preserve">McKittrick &amp; </w:t>
      </w:r>
      <w:proofErr w:type="spellStart"/>
      <w:r>
        <w:t>McVea</w:t>
      </w:r>
      <w:proofErr w:type="spellEnd"/>
      <w:r>
        <w:t xml:space="preserve">, </w:t>
      </w:r>
      <w:r w:rsidRPr="0039077D">
        <w:rPr>
          <w:i/>
        </w:rPr>
        <w:t>Making Sense of the Troubles</w:t>
      </w:r>
      <w:r>
        <w:t>, pp. 41-42</w:t>
      </w:r>
    </w:p>
  </w:footnote>
  <w:footnote w:id="30">
    <w:p w:rsidR="00AF71BA" w:rsidRDefault="00AF71BA">
      <w:pPr>
        <w:pStyle w:val="FootnoteText"/>
      </w:pPr>
      <w:r>
        <w:rPr>
          <w:rStyle w:val="FootnoteReference"/>
        </w:rPr>
        <w:footnoteRef/>
      </w:r>
      <w:r>
        <w:t xml:space="preserve"> </w:t>
      </w:r>
      <w:r>
        <w:t xml:space="preserve">Connolly, </w:t>
      </w:r>
      <w:r>
        <w:rPr>
          <w:i/>
        </w:rPr>
        <w:t>Politics and Policy Making</w:t>
      </w:r>
      <w:r>
        <w:t>, pp. 58</w:t>
      </w:r>
    </w:p>
  </w:footnote>
  <w:footnote w:id="31">
    <w:p w:rsidR="00623C07" w:rsidRDefault="00623C07">
      <w:pPr>
        <w:pStyle w:val="FootnoteText"/>
      </w:pPr>
      <w:r>
        <w:rPr>
          <w:rStyle w:val="FootnoteReference"/>
        </w:rPr>
        <w:footnoteRef/>
      </w:r>
      <w:r>
        <w:t xml:space="preserve"> </w:t>
      </w:r>
      <w:r>
        <w:t xml:space="preserve">Connolly, </w:t>
      </w:r>
      <w:r>
        <w:rPr>
          <w:i/>
        </w:rPr>
        <w:t>Politics and Policy Making</w:t>
      </w:r>
      <w:r>
        <w:t>, pp. 58</w:t>
      </w:r>
    </w:p>
  </w:footnote>
  <w:footnote w:id="32">
    <w:p w:rsidR="00114114" w:rsidRDefault="00114114">
      <w:pPr>
        <w:pStyle w:val="FootnoteText"/>
      </w:pPr>
      <w:r>
        <w:rPr>
          <w:rStyle w:val="FootnoteReference"/>
        </w:rPr>
        <w:footnoteRef/>
      </w:r>
      <w:r>
        <w:t xml:space="preserve"> </w:t>
      </w:r>
      <w:r>
        <w:t xml:space="preserve">Connolly, </w:t>
      </w:r>
      <w:r>
        <w:rPr>
          <w:i/>
        </w:rPr>
        <w:t>Politics and Policy Making</w:t>
      </w:r>
      <w:r>
        <w:t>, pp. 58</w:t>
      </w:r>
      <w:r>
        <w:t>-59</w:t>
      </w:r>
    </w:p>
  </w:footnote>
  <w:footnote w:id="33">
    <w:p w:rsidR="006E103B" w:rsidRDefault="006E103B">
      <w:pPr>
        <w:pStyle w:val="FootnoteText"/>
      </w:pPr>
      <w:r>
        <w:rPr>
          <w:rStyle w:val="FootnoteReference"/>
        </w:rPr>
        <w:footnoteRef/>
      </w:r>
      <w:r>
        <w:t xml:space="preserve"> </w:t>
      </w:r>
      <w:r>
        <w:t xml:space="preserve">Connolly, </w:t>
      </w:r>
      <w:r>
        <w:rPr>
          <w:i/>
        </w:rPr>
        <w:t>Politics and Policy Making</w:t>
      </w:r>
      <w:r>
        <w:t>, pp. 61-62</w:t>
      </w:r>
    </w:p>
  </w:footnote>
  <w:footnote w:id="34">
    <w:p w:rsidR="00D76D4D" w:rsidRDefault="00D76D4D">
      <w:pPr>
        <w:pStyle w:val="FootnoteText"/>
      </w:pPr>
      <w:r>
        <w:rPr>
          <w:rStyle w:val="FootnoteReference"/>
        </w:rPr>
        <w:footnoteRef/>
      </w:r>
      <w:r>
        <w:t xml:space="preserve"> </w:t>
      </w:r>
      <w:r>
        <w:t xml:space="preserve">Connolly, </w:t>
      </w:r>
      <w:r>
        <w:rPr>
          <w:i/>
        </w:rPr>
        <w:t>Politics and Policy Making</w:t>
      </w:r>
      <w:r>
        <w:t>, pp. 62-64</w:t>
      </w:r>
    </w:p>
  </w:footnote>
  <w:footnote w:id="35">
    <w:p w:rsidR="00EE29E9" w:rsidRDefault="00EE29E9">
      <w:pPr>
        <w:pStyle w:val="FootnoteText"/>
      </w:pPr>
      <w:r>
        <w:rPr>
          <w:rStyle w:val="FootnoteReference"/>
        </w:rPr>
        <w:footnoteRef/>
      </w:r>
      <w:r>
        <w:t xml:space="preserve"> </w:t>
      </w:r>
      <w:r>
        <w:t xml:space="preserve">Connolly, </w:t>
      </w:r>
      <w:r>
        <w:rPr>
          <w:i/>
        </w:rPr>
        <w:t>Politics and Policy Making</w:t>
      </w:r>
      <w:r>
        <w:t>, pp. 62</w:t>
      </w:r>
    </w:p>
  </w:footnote>
  <w:footnote w:id="36">
    <w:p w:rsidR="00453881" w:rsidRDefault="00453881">
      <w:pPr>
        <w:pStyle w:val="FootnoteText"/>
      </w:pPr>
      <w:r>
        <w:rPr>
          <w:rStyle w:val="FootnoteReference"/>
        </w:rPr>
        <w:footnoteRef/>
      </w:r>
      <w:r>
        <w:t xml:space="preserve"> </w:t>
      </w:r>
      <w:r>
        <w:t xml:space="preserve">‘No Surrender’, from </w:t>
      </w:r>
      <w:r>
        <w:rPr>
          <w:i/>
        </w:rPr>
        <w:t>Loyalists</w:t>
      </w:r>
      <w:r>
        <w:t>, Episode 1, Series 1, BBC 2, (21/02/1999), 20:00-21:00</w:t>
      </w:r>
    </w:p>
  </w:footnote>
  <w:footnote w:id="37">
    <w:p w:rsidR="00DE3F80" w:rsidRDefault="00DE3F80">
      <w:pPr>
        <w:pStyle w:val="FootnoteText"/>
      </w:pPr>
      <w:r>
        <w:rPr>
          <w:rStyle w:val="FootnoteReference"/>
        </w:rPr>
        <w:footnoteRef/>
      </w:r>
      <w:r>
        <w:t xml:space="preserve"> </w:t>
      </w:r>
      <w:r>
        <w:t xml:space="preserve">Dixon, </w:t>
      </w:r>
      <w:r>
        <w:rPr>
          <w:i/>
        </w:rPr>
        <w:t>Politics of War and Peace</w:t>
      </w:r>
      <w:r>
        <w:t>, pp. 15</w:t>
      </w:r>
    </w:p>
  </w:footnote>
  <w:footnote w:id="38">
    <w:p w:rsidR="008F46D3" w:rsidRDefault="008F46D3">
      <w:pPr>
        <w:pStyle w:val="FootnoteText"/>
      </w:pPr>
      <w:r>
        <w:rPr>
          <w:rStyle w:val="FootnoteReference"/>
        </w:rPr>
        <w:footnoteRef/>
      </w:r>
      <w:r>
        <w:t xml:space="preserve"> </w:t>
      </w:r>
      <w:r>
        <w:t xml:space="preserve">Connolly, </w:t>
      </w:r>
      <w:r>
        <w:rPr>
          <w:i/>
        </w:rPr>
        <w:t>Politics and Policy Making</w:t>
      </w:r>
      <w:r>
        <w:t>, pp. 66</w:t>
      </w:r>
    </w:p>
  </w:footnote>
  <w:footnote w:id="39">
    <w:p w:rsidR="00952894" w:rsidRDefault="00952894">
      <w:pPr>
        <w:pStyle w:val="FootnoteText"/>
      </w:pPr>
      <w:r>
        <w:rPr>
          <w:rStyle w:val="FootnoteReference"/>
        </w:rPr>
        <w:footnoteRef/>
      </w:r>
      <w:r>
        <w:t xml:space="preserve"> </w:t>
      </w:r>
      <w:r>
        <w:t xml:space="preserve">Connolly, </w:t>
      </w:r>
      <w:r>
        <w:rPr>
          <w:i/>
        </w:rPr>
        <w:t>Politics and Policy Making</w:t>
      </w:r>
      <w:r>
        <w:t>, pp. 66-68</w:t>
      </w:r>
    </w:p>
  </w:footnote>
  <w:footnote w:id="40">
    <w:p w:rsidR="00DB6161" w:rsidRDefault="00DB6161">
      <w:pPr>
        <w:pStyle w:val="FootnoteText"/>
      </w:pPr>
      <w:r>
        <w:rPr>
          <w:rStyle w:val="FootnoteReference"/>
        </w:rPr>
        <w:footnoteRef/>
      </w:r>
      <w:r>
        <w:t xml:space="preserve"> </w:t>
      </w:r>
      <w:r>
        <w:t xml:space="preserve">Peter Taylor, ‘Paramilitaries in the Troubles’, BBC History, (2013), [online]. Available </w:t>
      </w:r>
      <w:hyperlink r:id="rId2" w:history="1">
        <w:r w:rsidRPr="00AC1292">
          <w:rPr>
            <w:rStyle w:val="Hyperlink"/>
          </w:rPr>
          <w:t>http://www.bbc.co.uk/history/topics/troubles_paramilitaries</w:t>
        </w:r>
      </w:hyperlink>
      <w:r>
        <w:t>.</w:t>
      </w:r>
    </w:p>
  </w:footnote>
  <w:footnote w:id="41">
    <w:p w:rsidR="00BB600A" w:rsidRDefault="00BB600A">
      <w:pPr>
        <w:pStyle w:val="FootnoteText"/>
      </w:pPr>
      <w:r>
        <w:rPr>
          <w:rStyle w:val="FootnoteReference"/>
        </w:rPr>
        <w:footnoteRef/>
      </w:r>
      <w:r>
        <w:t xml:space="preserve"> </w:t>
      </w:r>
      <w:r>
        <w:t xml:space="preserve">Connolly, </w:t>
      </w:r>
      <w:r>
        <w:rPr>
          <w:i/>
        </w:rPr>
        <w:t>Politics and Policy Making</w:t>
      </w:r>
      <w:r>
        <w:t>, pp. 66-68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0008" w:rsidRDefault="00D70008">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D2901"/>
    <w:multiLevelType w:val="hybridMultilevel"/>
    <w:tmpl w:val="A7F03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E0F53A8"/>
    <w:multiLevelType w:val="hybridMultilevel"/>
    <w:tmpl w:val="130AA3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09E632B"/>
    <w:multiLevelType w:val="hybridMultilevel"/>
    <w:tmpl w:val="752EDD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0F72DBE"/>
    <w:multiLevelType w:val="multilevel"/>
    <w:tmpl w:val="3736809E"/>
    <w:lvl w:ilvl="0">
      <w:start w:val="1"/>
      <w:numFmt w:val="decimal"/>
      <w:lvlText w:val="%1."/>
      <w:lvlJc w:val="left"/>
      <w:pPr>
        <w:ind w:left="360" w:hanging="360"/>
      </w:pPr>
      <w:rPr>
        <w:rFonts w:eastAsia="Times New Roman"/>
      </w:rPr>
    </w:lvl>
    <w:lvl w:ilvl="1">
      <w:start w:val="1"/>
      <w:numFmt w:val="lowerLetter"/>
      <w:lvlText w:val="%2."/>
      <w:lvlJc w:val="left"/>
      <w:pPr>
        <w:ind w:left="50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abstractNum w:abstractNumId="4" w15:restartNumberingAfterBreak="0">
    <w:nsid w:val="6C53739B"/>
    <w:multiLevelType w:val="hybridMultilevel"/>
    <w:tmpl w:val="939C2F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625"/>
    <w:rsid w:val="00025903"/>
    <w:rsid w:val="00033625"/>
    <w:rsid w:val="0004785F"/>
    <w:rsid w:val="000573EF"/>
    <w:rsid w:val="000703B5"/>
    <w:rsid w:val="000A6F0D"/>
    <w:rsid w:val="000B1A73"/>
    <w:rsid w:val="000B2516"/>
    <w:rsid w:val="000C4DA0"/>
    <w:rsid w:val="000C5596"/>
    <w:rsid w:val="000E0833"/>
    <w:rsid w:val="000E2F26"/>
    <w:rsid w:val="000E3267"/>
    <w:rsid w:val="000E6B6C"/>
    <w:rsid w:val="001010AD"/>
    <w:rsid w:val="00114114"/>
    <w:rsid w:val="00114B4D"/>
    <w:rsid w:val="0011667B"/>
    <w:rsid w:val="00130968"/>
    <w:rsid w:val="00144897"/>
    <w:rsid w:val="0014658E"/>
    <w:rsid w:val="001466DB"/>
    <w:rsid w:val="0015120C"/>
    <w:rsid w:val="00152AFC"/>
    <w:rsid w:val="00154704"/>
    <w:rsid w:val="001613A7"/>
    <w:rsid w:val="00172AA0"/>
    <w:rsid w:val="001765FF"/>
    <w:rsid w:val="0017769F"/>
    <w:rsid w:val="001937AA"/>
    <w:rsid w:val="001B320E"/>
    <w:rsid w:val="001C00F0"/>
    <w:rsid w:val="001D3464"/>
    <w:rsid w:val="001D7123"/>
    <w:rsid w:val="001E2E18"/>
    <w:rsid w:val="00202C39"/>
    <w:rsid w:val="00204F08"/>
    <w:rsid w:val="00205D46"/>
    <w:rsid w:val="00210C0A"/>
    <w:rsid w:val="002134DF"/>
    <w:rsid w:val="0022201B"/>
    <w:rsid w:val="002247AF"/>
    <w:rsid w:val="00236019"/>
    <w:rsid w:val="002360CE"/>
    <w:rsid w:val="002426D1"/>
    <w:rsid w:val="00247F1B"/>
    <w:rsid w:val="00261B01"/>
    <w:rsid w:val="00262251"/>
    <w:rsid w:val="002675BF"/>
    <w:rsid w:val="002728D2"/>
    <w:rsid w:val="002A141A"/>
    <w:rsid w:val="002B2352"/>
    <w:rsid w:val="002B5374"/>
    <w:rsid w:val="002C6010"/>
    <w:rsid w:val="002D172B"/>
    <w:rsid w:val="002D577C"/>
    <w:rsid w:val="002F1146"/>
    <w:rsid w:val="002F7816"/>
    <w:rsid w:val="00300EFF"/>
    <w:rsid w:val="00307F9C"/>
    <w:rsid w:val="003116AC"/>
    <w:rsid w:val="00314EB5"/>
    <w:rsid w:val="003249A2"/>
    <w:rsid w:val="00336543"/>
    <w:rsid w:val="00336939"/>
    <w:rsid w:val="003520E9"/>
    <w:rsid w:val="0035402A"/>
    <w:rsid w:val="00360338"/>
    <w:rsid w:val="00372DB0"/>
    <w:rsid w:val="0039077D"/>
    <w:rsid w:val="003B336C"/>
    <w:rsid w:val="003E62F3"/>
    <w:rsid w:val="00420242"/>
    <w:rsid w:val="0042776F"/>
    <w:rsid w:val="004344DE"/>
    <w:rsid w:val="00447B29"/>
    <w:rsid w:val="00453881"/>
    <w:rsid w:val="00457CC1"/>
    <w:rsid w:val="0047286D"/>
    <w:rsid w:val="00473D98"/>
    <w:rsid w:val="004B274B"/>
    <w:rsid w:val="004C2CD2"/>
    <w:rsid w:val="004E7637"/>
    <w:rsid w:val="00500A84"/>
    <w:rsid w:val="0050489E"/>
    <w:rsid w:val="00506BD7"/>
    <w:rsid w:val="005107FF"/>
    <w:rsid w:val="00526D1B"/>
    <w:rsid w:val="00530BBC"/>
    <w:rsid w:val="00542C39"/>
    <w:rsid w:val="00544021"/>
    <w:rsid w:val="00546E79"/>
    <w:rsid w:val="005516BB"/>
    <w:rsid w:val="00555788"/>
    <w:rsid w:val="005603F2"/>
    <w:rsid w:val="005637F7"/>
    <w:rsid w:val="00565909"/>
    <w:rsid w:val="005761F4"/>
    <w:rsid w:val="00581644"/>
    <w:rsid w:val="00590EC4"/>
    <w:rsid w:val="00597D76"/>
    <w:rsid w:val="005A3EAF"/>
    <w:rsid w:val="005B0F28"/>
    <w:rsid w:val="005B565D"/>
    <w:rsid w:val="005B6887"/>
    <w:rsid w:val="005E10CC"/>
    <w:rsid w:val="005E66EF"/>
    <w:rsid w:val="005F0239"/>
    <w:rsid w:val="005F60F3"/>
    <w:rsid w:val="006055EA"/>
    <w:rsid w:val="00614A58"/>
    <w:rsid w:val="006154DB"/>
    <w:rsid w:val="00617CB6"/>
    <w:rsid w:val="00622816"/>
    <w:rsid w:val="00623C07"/>
    <w:rsid w:val="00625CC7"/>
    <w:rsid w:val="00627414"/>
    <w:rsid w:val="006332C8"/>
    <w:rsid w:val="00643446"/>
    <w:rsid w:val="00664593"/>
    <w:rsid w:val="00674F7C"/>
    <w:rsid w:val="006A743C"/>
    <w:rsid w:val="006B696B"/>
    <w:rsid w:val="006C60C5"/>
    <w:rsid w:val="006E0ADC"/>
    <w:rsid w:val="006E103B"/>
    <w:rsid w:val="006E228A"/>
    <w:rsid w:val="006E6167"/>
    <w:rsid w:val="006F235A"/>
    <w:rsid w:val="00700D80"/>
    <w:rsid w:val="00702387"/>
    <w:rsid w:val="00715821"/>
    <w:rsid w:val="00730324"/>
    <w:rsid w:val="00740B66"/>
    <w:rsid w:val="00765D54"/>
    <w:rsid w:val="00766E14"/>
    <w:rsid w:val="0077332D"/>
    <w:rsid w:val="00787109"/>
    <w:rsid w:val="00797140"/>
    <w:rsid w:val="007A5930"/>
    <w:rsid w:val="007C607F"/>
    <w:rsid w:val="007C612F"/>
    <w:rsid w:val="007D064D"/>
    <w:rsid w:val="007E4315"/>
    <w:rsid w:val="00800F32"/>
    <w:rsid w:val="008110DA"/>
    <w:rsid w:val="0081287A"/>
    <w:rsid w:val="00816E84"/>
    <w:rsid w:val="008205BF"/>
    <w:rsid w:val="00827BB2"/>
    <w:rsid w:val="008451F8"/>
    <w:rsid w:val="00864704"/>
    <w:rsid w:val="00873D0B"/>
    <w:rsid w:val="008743BE"/>
    <w:rsid w:val="0089689C"/>
    <w:rsid w:val="008A054C"/>
    <w:rsid w:val="008B0B02"/>
    <w:rsid w:val="008B3A33"/>
    <w:rsid w:val="008C376C"/>
    <w:rsid w:val="008C502E"/>
    <w:rsid w:val="008D3CC1"/>
    <w:rsid w:val="008D49EA"/>
    <w:rsid w:val="008E2B5F"/>
    <w:rsid w:val="008E3F26"/>
    <w:rsid w:val="008F419E"/>
    <w:rsid w:val="008F46D3"/>
    <w:rsid w:val="008F4CC9"/>
    <w:rsid w:val="009005D4"/>
    <w:rsid w:val="009106A4"/>
    <w:rsid w:val="00923213"/>
    <w:rsid w:val="009255D2"/>
    <w:rsid w:val="00934105"/>
    <w:rsid w:val="00934FA1"/>
    <w:rsid w:val="00935DDC"/>
    <w:rsid w:val="00936753"/>
    <w:rsid w:val="00952894"/>
    <w:rsid w:val="00957C65"/>
    <w:rsid w:val="009629E3"/>
    <w:rsid w:val="00962B6A"/>
    <w:rsid w:val="00981791"/>
    <w:rsid w:val="00997BEC"/>
    <w:rsid w:val="009A4B06"/>
    <w:rsid w:val="009A53A6"/>
    <w:rsid w:val="009A7428"/>
    <w:rsid w:val="009D7BF4"/>
    <w:rsid w:val="009E0986"/>
    <w:rsid w:val="009F1916"/>
    <w:rsid w:val="009F356B"/>
    <w:rsid w:val="009F4BCF"/>
    <w:rsid w:val="00A12D9A"/>
    <w:rsid w:val="00A16C8F"/>
    <w:rsid w:val="00A306F0"/>
    <w:rsid w:val="00A33AFF"/>
    <w:rsid w:val="00A6642A"/>
    <w:rsid w:val="00A66564"/>
    <w:rsid w:val="00A66A2C"/>
    <w:rsid w:val="00A801A0"/>
    <w:rsid w:val="00AA1874"/>
    <w:rsid w:val="00AA2FE9"/>
    <w:rsid w:val="00AB46CB"/>
    <w:rsid w:val="00AB5DEF"/>
    <w:rsid w:val="00AC1E64"/>
    <w:rsid w:val="00AD75CA"/>
    <w:rsid w:val="00AE16CC"/>
    <w:rsid w:val="00AE7D52"/>
    <w:rsid w:val="00AF71BA"/>
    <w:rsid w:val="00B017AD"/>
    <w:rsid w:val="00B114B5"/>
    <w:rsid w:val="00B21988"/>
    <w:rsid w:val="00B345DB"/>
    <w:rsid w:val="00B34DC4"/>
    <w:rsid w:val="00B369B3"/>
    <w:rsid w:val="00B370D9"/>
    <w:rsid w:val="00B452E0"/>
    <w:rsid w:val="00B56007"/>
    <w:rsid w:val="00B711F6"/>
    <w:rsid w:val="00B74DD2"/>
    <w:rsid w:val="00B82235"/>
    <w:rsid w:val="00B8708A"/>
    <w:rsid w:val="00BB4C27"/>
    <w:rsid w:val="00BB600A"/>
    <w:rsid w:val="00BD36DC"/>
    <w:rsid w:val="00BD6274"/>
    <w:rsid w:val="00BF5AF1"/>
    <w:rsid w:val="00BF5B8A"/>
    <w:rsid w:val="00C03AE4"/>
    <w:rsid w:val="00C10A7E"/>
    <w:rsid w:val="00C10D31"/>
    <w:rsid w:val="00C1267D"/>
    <w:rsid w:val="00C15DC4"/>
    <w:rsid w:val="00C21EB0"/>
    <w:rsid w:val="00C32B8D"/>
    <w:rsid w:val="00C6717E"/>
    <w:rsid w:val="00C914D2"/>
    <w:rsid w:val="00C9357A"/>
    <w:rsid w:val="00C96691"/>
    <w:rsid w:val="00CB2AC4"/>
    <w:rsid w:val="00CC2367"/>
    <w:rsid w:val="00CF060E"/>
    <w:rsid w:val="00CF3BCA"/>
    <w:rsid w:val="00D211DD"/>
    <w:rsid w:val="00D224F6"/>
    <w:rsid w:val="00D46858"/>
    <w:rsid w:val="00D51D3A"/>
    <w:rsid w:val="00D64DEF"/>
    <w:rsid w:val="00D70008"/>
    <w:rsid w:val="00D72AD9"/>
    <w:rsid w:val="00D74072"/>
    <w:rsid w:val="00D74EDB"/>
    <w:rsid w:val="00D76D4D"/>
    <w:rsid w:val="00D86E0D"/>
    <w:rsid w:val="00D8751F"/>
    <w:rsid w:val="00DA5D35"/>
    <w:rsid w:val="00DA7F39"/>
    <w:rsid w:val="00DB6161"/>
    <w:rsid w:val="00DC28B3"/>
    <w:rsid w:val="00DC3D07"/>
    <w:rsid w:val="00DD2CAF"/>
    <w:rsid w:val="00DE3F80"/>
    <w:rsid w:val="00DF10BD"/>
    <w:rsid w:val="00E0378E"/>
    <w:rsid w:val="00E27164"/>
    <w:rsid w:val="00E51FB5"/>
    <w:rsid w:val="00E636EF"/>
    <w:rsid w:val="00E64BFE"/>
    <w:rsid w:val="00E761A7"/>
    <w:rsid w:val="00E87189"/>
    <w:rsid w:val="00E97A88"/>
    <w:rsid w:val="00EA3312"/>
    <w:rsid w:val="00EB0619"/>
    <w:rsid w:val="00EB7056"/>
    <w:rsid w:val="00EC2DDD"/>
    <w:rsid w:val="00EC7016"/>
    <w:rsid w:val="00EE29E9"/>
    <w:rsid w:val="00EE306B"/>
    <w:rsid w:val="00EE6896"/>
    <w:rsid w:val="00EE77DB"/>
    <w:rsid w:val="00EF1496"/>
    <w:rsid w:val="00F2318B"/>
    <w:rsid w:val="00F2572D"/>
    <w:rsid w:val="00F306D9"/>
    <w:rsid w:val="00F33A37"/>
    <w:rsid w:val="00F3637C"/>
    <w:rsid w:val="00F45622"/>
    <w:rsid w:val="00F55723"/>
    <w:rsid w:val="00F72150"/>
    <w:rsid w:val="00F73A8B"/>
    <w:rsid w:val="00F74516"/>
    <w:rsid w:val="00F81C8D"/>
    <w:rsid w:val="00F82662"/>
    <w:rsid w:val="00F90261"/>
    <w:rsid w:val="00F95CCB"/>
    <w:rsid w:val="00FA46AD"/>
    <w:rsid w:val="00FA7BE0"/>
    <w:rsid w:val="00FE1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8393D"/>
  <w15:chartTrackingRefBased/>
  <w15:docId w15:val="{DCC99EC8-892F-487E-B8C0-A16F8C088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08"/>
  </w:style>
  <w:style w:type="paragraph" w:styleId="Footer">
    <w:name w:val="footer"/>
    <w:basedOn w:val="Normal"/>
    <w:link w:val="FooterChar"/>
    <w:uiPriority w:val="99"/>
    <w:unhideWhenUsed/>
    <w:rsid w:val="00D70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08"/>
  </w:style>
  <w:style w:type="paragraph" w:styleId="NoSpacing">
    <w:name w:val="No Spacing"/>
    <w:qFormat/>
    <w:rsid w:val="00360338"/>
    <w:pPr>
      <w:spacing w:after="0"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32B8D"/>
    <w:pPr>
      <w:ind w:left="720"/>
      <w:contextualSpacing/>
    </w:pPr>
  </w:style>
  <w:style w:type="paragraph" w:styleId="FootnoteText">
    <w:name w:val="footnote text"/>
    <w:basedOn w:val="Normal"/>
    <w:link w:val="FootnoteTextChar"/>
    <w:uiPriority w:val="99"/>
    <w:semiHidden/>
    <w:unhideWhenUsed/>
    <w:rsid w:val="00F231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318B"/>
    <w:rPr>
      <w:sz w:val="20"/>
      <w:szCs w:val="20"/>
    </w:rPr>
  </w:style>
  <w:style w:type="character" w:styleId="FootnoteReference">
    <w:name w:val="footnote reference"/>
    <w:basedOn w:val="DefaultParagraphFont"/>
    <w:uiPriority w:val="99"/>
    <w:semiHidden/>
    <w:unhideWhenUsed/>
    <w:rsid w:val="00F2318B"/>
    <w:rPr>
      <w:vertAlign w:val="superscript"/>
    </w:rPr>
  </w:style>
  <w:style w:type="character" w:styleId="Hyperlink">
    <w:name w:val="Hyperlink"/>
    <w:basedOn w:val="DefaultParagraphFont"/>
    <w:uiPriority w:val="99"/>
    <w:unhideWhenUsed/>
    <w:rsid w:val="005B6887"/>
    <w:rPr>
      <w:color w:val="0563C1" w:themeColor="hyperlink"/>
      <w:u w:val="single"/>
    </w:rPr>
  </w:style>
  <w:style w:type="character" w:styleId="UnresolvedMention">
    <w:name w:val="Unresolved Mention"/>
    <w:basedOn w:val="DefaultParagraphFont"/>
    <w:uiPriority w:val="99"/>
    <w:semiHidden/>
    <w:unhideWhenUsed/>
    <w:rsid w:val="005B6887"/>
    <w:rPr>
      <w:color w:val="808080"/>
      <w:shd w:val="clear" w:color="auto" w:fill="E6E6E6"/>
    </w:rPr>
  </w:style>
  <w:style w:type="character" w:styleId="FollowedHyperlink">
    <w:name w:val="FollowedHyperlink"/>
    <w:basedOn w:val="DefaultParagraphFont"/>
    <w:uiPriority w:val="99"/>
    <w:semiHidden/>
    <w:unhideWhenUsed/>
    <w:rsid w:val="007971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485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topics/troubles_paramilitar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bbc.co.uk/history/topics/troubles_politic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bbc.co.uk/history/topics/troubles_paramilitaries" TargetMode="External"/><Relationship Id="rId1" Type="http://schemas.openxmlformats.org/officeDocument/2006/relationships/hyperlink" Target="http://www.bbc.co.uk/history/topics/troubles_poli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34ED3-AC23-4704-B7D8-1FE442C6B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TotalTime>
  <Pages>8</Pages>
  <Words>2215</Words>
  <Characters>12628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161</cp:revision>
  <dcterms:created xsi:type="dcterms:W3CDTF">2017-12-04T11:13:00Z</dcterms:created>
  <dcterms:modified xsi:type="dcterms:W3CDTF">2017-12-15T23:54:00Z</dcterms:modified>
</cp:coreProperties>
</file>