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EBF80B" w14:textId="77777777" w:rsidR="00AE7F31" w:rsidRDefault="00000000">
      <w:pPr>
        <w:pStyle w:val="Heading1"/>
        <w:spacing w:after="200"/>
      </w:pPr>
      <w:bookmarkStart w:id="0" w:name="_vwbicy1ws1md" w:colFirst="0" w:colLast="0"/>
      <w:bookmarkEnd w:id="0"/>
      <w:r>
        <w:t>Introduction</w:t>
      </w:r>
    </w:p>
    <w:p w14:paraId="4D978B3F" w14:textId="77777777" w:rsidR="00AE7F31" w:rsidRDefault="00000000">
      <w:pPr>
        <w:spacing w:after="200"/>
      </w:pPr>
      <w:r>
        <w:t xml:space="preserve">The way people exercise public influence in the specifics of UK politics remains diverse. They include matters relating to elections, legislation on the formation of the legislative assembly, representation, and the government’s actions under the constitutional and administrative law. We may understand how the workings of the UK constituent’s representative democracy, ‘first-past-the-post’ (FPTP) electoral method and MPs pursue an impact on the populace. Sharing that consideration, the article will also discuss how judicial reviews interrogate government decisions and assert constitutionalism. This dialogue will discuss how the parliamentary system in the United Kingdom is able to manage the characteristics of public engagement and democracy. The study’s objectives are to determine how the current political and governmental system in the United Kingdom </w:t>
      </w:r>
      <w:proofErr w:type="gramStart"/>
      <w:r>
        <w:t>is capable of addressing</w:t>
      </w:r>
      <w:proofErr w:type="gramEnd"/>
      <w:r>
        <w:t xml:space="preserve"> the needs and wants of the people and where the political reforms can be effective.</w:t>
      </w:r>
    </w:p>
    <w:p w14:paraId="49C5D424" w14:textId="77777777" w:rsidR="00AE7F31" w:rsidRDefault="00000000">
      <w:pPr>
        <w:pStyle w:val="Heading1"/>
        <w:spacing w:after="200"/>
      </w:pPr>
      <w:bookmarkStart w:id="1" w:name="_1lq00nxascz0" w:colFirst="0" w:colLast="0"/>
      <w:bookmarkEnd w:id="1"/>
      <w:r>
        <w:t>Public Influence on Decision-Making in the UK Political System</w:t>
      </w:r>
    </w:p>
    <w:p w14:paraId="45684444" w14:textId="77777777" w:rsidR="00AE7F31" w:rsidRDefault="00000000">
      <w:pPr>
        <w:pStyle w:val="Heading2"/>
        <w:spacing w:after="200"/>
      </w:pPr>
      <w:bookmarkStart w:id="2" w:name="_m0c3mexsbcwh" w:colFirst="0" w:colLast="0"/>
      <w:bookmarkEnd w:id="2"/>
      <w:r>
        <w:t>Processes of Elections</w:t>
      </w:r>
    </w:p>
    <w:p w14:paraId="4C0FC0B7" w14:textId="77777777" w:rsidR="00AE7F31" w:rsidRDefault="00000000">
      <w:pPr>
        <w:spacing w:after="200"/>
      </w:pPr>
      <w:r>
        <w:t>In the representational democracy of the United Kingdom, the main tool for popular influence is general elections. But disproportionate representation—the number of seats a party does not fairly reflect its share of the general vote—often arises from the "first-past-the-post" (FPTP) election system (Curtice, 2018).</w:t>
      </w:r>
    </w:p>
    <w:p w14:paraId="1361086C" w14:textId="77777777" w:rsidR="00AE7F31" w:rsidRDefault="00000000">
      <w:pPr>
        <w:pStyle w:val="Heading2"/>
        <w:spacing w:after="200"/>
      </w:pPr>
      <w:bookmarkStart w:id="3" w:name="_af0z3hzge94v" w:colFirst="0" w:colLast="0"/>
      <w:bookmarkEnd w:id="3"/>
      <w:r>
        <w:t>Representation in Parliament</w:t>
      </w:r>
    </w:p>
    <w:p w14:paraId="0C8CC5D8" w14:textId="77777777" w:rsidR="00AE7F31" w:rsidRDefault="00000000">
      <w:pPr>
        <w:spacing w:after="200"/>
      </w:pPr>
      <w:r>
        <w:t>Constituency members are members of parliament (MPs), who may speak in the House of Commons on behalf of their constituency. But party allegiance and the whip system may restrict MPs' independence, often resulting in choices that serve party interests more than the interests of the people (Leston-Bandeira, 2016).</w:t>
      </w:r>
    </w:p>
    <w:p w14:paraId="0F8EA233" w14:textId="77777777" w:rsidR="00AE7F31" w:rsidRDefault="00000000">
      <w:pPr>
        <w:pStyle w:val="Heading2"/>
        <w:spacing w:after="200"/>
      </w:pPr>
      <w:bookmarkStart w:id="4" w:name="_hykr2jhqaq9h" w:colFirst="0" w:colLast="0"/>
      <w:bookmarkEnd w:id="4"/>
      <w:r>
        <w:t>The Constitution and Government</w:t>
      </w:r>
    </w:p>
    <w:p w14:paraId="6DF130E0" w14:textId="77777777" w:rsidR="00AE7F31" w:rsidRDefault="00000000">
      <w:pPr>
        <w:spacing w:after="200"/>
      </w:pPr>
      <w:r>
        <w:t xml:space="preserve">The uncodified constitution of the United Kingdom permits wide interpretation of the law, which makes judicial reviews possible to contest government actions. As a check on executive authority, </w:t>
      </w:r>
      <w:r>
        <w:lastRenderedPageBreak/>
        <w:t>administrative law—especially judicial review—enables the public to contest decisions that could go against constitutional values (Elliott &amp; Thomas, 2017).</w:t>
      </w:r>
    </w:p>
    <w:p w14:paraId="58ED03F9" w14:textId="77777777" w:rsidR="00AE7F31" w:rsidRDefault="00000000">
      <w:pPr>
        <w:pStyle w:val="Heading1"/>
        <w:spacing w:after="200"/>
      </w:pPr>
      <w:bookmarkStart w:id="5" w:name="_lvvj1wtq4x4f" w:colFirst="0" w:colLast="0"/>
      <w:bookmarkEnd w:id="5"/>
      <w:r>
        <w:t>Effectiveness of the British Electoral System in Ensuring Democratic Representation and Public Accountability</w:t>
      </w:r>
    </w:p>
    <w:p w14:paraId="17BE5860" w14:textId="77777777" w:rsidR="00AE7F31" w:rsidRDefault="00000000">
      <w:pPr>
        <w:pStyle w:val="Heading2"/>
        <w:spacing w:after="200"/>
      </w:pPr>
      <w:bookmarkStart w:id="6" w:name="_d4no7vf1fxc1" w:colFirst="0" w:colLast="0"/>
      <w:bookmarkEnd w:id="6"/>
      <w:r>
        <w:t>Party Representation</w:t>
      </w:r>
    </w:p>
    <w:p w14:paraId="7C512A72" w14:textId="77777777" w:rsidR="00AE7F31" w:rsidRDefault="00000000">
      <w:pPr>
        <w:spacing w:after="200"/>
      </w:pPr>
      <w:r>
        <w:t xml:space="preserve">Cases of a party polling higher percentage of votes in the election, but forming the largest party sometimes is even more under FPTP than the percentage it attracts like the Conservative Party is the example (Curtice, 2018). This may prompt disparities between the number of voters’ total percentage and the overall assigned parliamentary seat, hence, diluting the concept of proportional representation. The following may be sidelined; This is because smaller parties and those who represent the minority are normally hard to be accorded a say (Johnston </w:t>
      </w:r>
      <w:proofErr w:type="gramStart"/>
      <w:r>
        <w:t>et al. ,</w:t>
      </w:r>
      <w:proofErr w:type="gramEnd"/>
      <w:r>
        <w:t xml:space="preserve"> 2016).</w:t>
      </w:r>
    </w:p>
    <w:p w14:paraId="50D653DF" w14:textId="77777777" w:rsidR="00AE7F31" w:rsidRDefault="00000000">
      <w:pPr>
        <w:pStyle w:val="Heading2"/>
        <w:spacing w:after="200"/>
      </w:pPr>
      <w:bookmarkStart w:id="7" w:name="_7sqmf87i21jn" w:colFirst="0" w:colLast="0"/>
      <w:bookmarkEnd w:id="7"/>
      <w:r>
        <w:t>Public Answerability</w:t>
      </w:r>
    </w:p>
    <w:p w14:paraId="495C609C" w14:textId="77777777" w:rsidR="00AE7F31" w:rsidRDefault="00000000">
      <w:pPr>
        <w:spacing w:after="200"/>
      </w:pPr>
      <w:r>
        <w:t xml:space="preserve">The inclination of FPTP to create single-party majorities may improve political stability but also lower accountability. Large majorities allow ruling parties to adopt laws with little resistance, </w:t>
      </w:r>
      <w:proofErr w:type="gramStart"/>
      <w:r>
        <w:t>maybe disregarding</w:t>
      </w:r>
      <w:proofErr w:type="gramEnd"/>
      <w:r>
        <w:t xml:space="preserve"> the concerns of minorities (Norris, 2011). In contrast, MPs provide </w:t>
      </w:r>
      <w:proofErr w:type="gramStart"/>
      <w:r>
        <w:t>some</w:t>
      </w:r>
      <w:proofErr w:type="gramEnd"/>
      <w:r>
        <w:t xml:space="preserve"> local responsiveness since they answer directly to their constituents (Flinders, 2010).</w:t>
      </w:r>
    </w:p>
    <w:p w14:paraId="77F32F43" w14:textId="77777777" w:rsidR="00AE7F31" w:rsidRDefault="00000000">
      <w:pPr>
        <w:pStyle w:val="Heading2"/>
        <w:spacing w:after="200"/>
      </w:pPr>
      <w:bookmarkStart w:id="8" w:name="_1vmetb1hmk5x" w:colFirst="0" w:colLast="0"/>
      <w:bookmarkEnd w:id="8"/>
      <w:r>
        <w:t>Effect on Influence of the Public</w:t>
      </w:r>
    </w:p>
    <w:p w14:paraId="47692170" w14:textId="77777777" w:rsidR="00AE7F31" w:rsidRDefault="00000000">
      <w:pPr>
        <w:spacing w:after="200"/>
      </w:pPr>
      <w:r>
        <w:t>FPTP election procedures distort representation and concentrate power within large parties, therefore limiting the direct impact of the people on policy choices. Though general elections provide a forum for public participation, the absence of proportional representation may reduce the influence of the larger electorate in the formulation of policies (Renwick, 2011).</w:t>
      </w:r>
    </w:p>
    <w:p w14:paraId="2734A885" w14:textId="77777777" w:rsidR="00AE7F31" w:rsidRDefault="00000000">
      <w:pPr>
        <w:pStyle w:val="Heading1"/>
        <w:spacing w:after="200"/>
      </w:pPr>
      <w:bookmarkStart w:id="9" w:name="_i4hy2wp0xziz" w:colFirst="0" w:colLast="0"/>
      <w:bookmarkEnd w:id="9"/>
      <w:r>
        <w:lastRenderedPageBreak/>
        <w:t>The Role of Judicial Review in UK Constitutional and Administrative Law</w:t>
      </w:r>
    </w:p>
    <w:p w14:paraId="2A31C033" w14:textId="77777777" w:rsidR="00AE7F31" w:rsidRDefault="00000000">
      <w:pPr>
        <w:pStyle w:val="Heading2"/>
        <w:spacing w:after="200"/>
      </w:pPr>
      <w:bookmarkStart w:id="10" w:name="_wfnnpdjo3s2t" w:colFirst="0" w:colLast="0"/>
      <w:bookmarkEnd w:id="10"/>
      <w:r>
        <w:t>Statutory Law and Judicial Review</w:t>
      </w:r>
    </w:p>
    <w:p w14:paraId="51A71BC0" w14:textId="77777777" w:rsidR="00AE7F31" w:rsidRDefault="00000000">
      <w:pPr>
        <w:spacing w:after="200"/>
      </w:pPr>
      <w:r>
        <w:t xml:space="preserve">The UK's constitutional foundations </w:t>
      </w:r>
      <w:proofErr w:type="gramStart"/>
      <w:r>
        <w:t>are upheld</w:t>
      </w:r>
      <w:proofErr w:type="gramEnd"/>
      <w:r>
        <w:t xml:space="preserve"> when judicial review enables courts to evaluate the constitutionality of legislative and executive acts. As a check on governmental authority, this mechanism preserves the rule of law and individual rights (Elliott &amp; Thomas, 2017).</w:t>
      </w:r>
    </w:p>
    <w:p w14:paraId="12E06992" w14:textId="77777777" w:rsidR="00AE7F31" w:rsidRDefault="00000000">
      <w:pPr>
        <w:pStyle w:val="Heading2"/>
        <w:spacing w:after="200"/>
      </w:pPr>
      <w:bookmarkStart w:id="11" w:name="_l9vpnliu7ceh" w:colFirst="0" w:colLast="0"/>
      <w:bookmarkEnd w:id="11"/>
      <w:r>
        <w:t>Judicial Review and Public Perception</w:t>
      </w:r>
    </w:p>
    <w:p w14:paraId="463ED131" w14:textId="77777777" w:rsidR="00AE7F31" w:rsidRDefault="00000000">
      <w:pPr>
        <w:spacing w:after="200"/>
      </w:pPr>
      <w:r>
        <w:t xml:space="preserve">The people </w:t>
      </w:r>
      <w:proofErr w:type="gramStart"/>
      <w:r>
        <w:t>has</w:t>
      </w:r>
      <w:proofErr w:type="gramEnd"/>
      <w:r>
        <w:t xml:space="preserve"> the right to contest judgements that are maybe illegal or go beyond the scope of government power via judicial review. By enabling individuals and organisations to hold the government responsible, this legal route increases public influence over political choices (Tomkins, 2013). Prominent instances, including the Miller Brexit proceedings, highlight the need of the court in preserving democratic procedures and making sure that government acts are in line with the constitution (Craig, 2016).</w:t>
      </w:r>
    </w:p>
    <w:p w14:paraId="72EC25C1" w14:textId="77777777" w:rsidR="00AE7F31" w:rsidRDefault="00000000">
      <w:pPr>
        <w:pStyle w:val="Heading2"/>
        <w:spacing w:after="200"/>
      </w:pPr>
      <w:bookmarkStart w:id="12" w:name="_hywtuov0crah" w:colFirst="0" w:colLast="0"/>
      <w:bookmarkEnd w:id="12"/>
      <w:r>
        <w:t>Constitutional Values in Evolution</w:t>
      </w:r>
    </w:p>
    <w:p w14:paraId="68715EF6" w14:textId="77777777" w:rsidR="00AE7F31" w:rsidRDefault="00000000">
      <w:pPr>
        <w:spacing w:after="200"/>
      </w:pPr>
      <w:r>
        <w:t xml:space="preserve">The way the court interprets constitutional principles varies with time in response to changes in society expectations and conventions. Because of its dynamic character, constitutional law is kept relevant and responsive by the courts' ability to </w:t>
      </w:r>
      <w:proofErr w:type="gramStart"/>
      <w:r>
        <w:t>handle</w:t>
      </w:r>
      <w:proofErr w:type="gramEnd"/>
      <w:r>
        <w:t xml:space="preserve"> modern concerns (Ewing &amp; Tham, 2017). Judges' overreach, however, may </w:t>
      </w:r>
      <w:proofErr w:type="gramStart"/>
      <w:r>
        <w:t>be seen</w:t>
      </w:r>
      <w:proofErr w:type="gramEnd"/>
      <w:r>
        <w:t xml:space="preserve"> as impeding elected officials' ability to make democratic decisions (Griffith, 2010).</w:t>
      </w:r>
    </w:p>
    <w:p w14:paraId="6054FB53" w14:textId="77777777" w:rsidR="00AE7F31" w:rsidRDefault="00000000">
      <w:pPr>
        <w:pStyle w:val="Heading1"/>
        <w:spacing w:after="200"/>
      </w:pPr>
      <w:bookmarkStart w:id="13" w:name="_2lg2g89zm8ej" w:colFirst="0" w:colLast="0"/>
      <w:bookmarkEnd w:id="13"/>
      <w:r>
        <w:t>Voting System Benefits and Limitations</w:t>
      </w:r>
    </w:p>
    <w:p w14:paraId="373A97F0" w14:textId="77777777" w:rsidR="00AE7F31" w:rsidRDefault="00000000">
      <w:pPr>
        <w:pStyle w:val="Heading2"/>
        <w:spacing w:after="200"/>
      </w:pPr>
      <w:bookmarkStart w:id="14" w:name="_mf99mlpod6lo" w:colFirst="0" w:colLast="0"/>
      <w:bookmarkEnd w:id="14"/>
      <w:r>
        <w:t>Benefits</w:t>
      </w:r>
    </w:p>
    <w:p w14:paraId="5DE3A488" w14:textId="77777777" w:rsidR="00AE7F31" w:rsidRDefault="00000000">
      <w:pPr>
        <w:pStyle w:val="Heading3"/>
        <w:spacing w:after="200"/>
      </w:pPr>
      <w:bookmarkStart w:id="15" w:name="_kfrkznek4ic3" w:colFirst="0" w:colLast="0"/>
      <w:bookmarkEnd w:id="15"/>
      <w:r>
        <w:t>Representation</w:t>
      </w:r>
    </w:p>
    <w:p w14:paraId="012BE727" w14:textId="77777777" w:rsidR="00AE7F31" w:rsidRDefault="00000000">
      <w:pPr>
        <w:spacing w:after="200"/>
      </w:pPr>
      <w:r>
        <w:t xml:space="preserve">The present voting method, more especially the </w:t>
      </w:r>
      <w:proofErr w:type="gramStart"/>
      <w:r>
        <w:t>First-Past</w:t>
      </w:r>
      <w:proofErr w:type="gramEnd"/>
      <w:r>
        <w:t xml:space="preserve">-The-Post (FPTP) system in use in the UK, has the major benefit of tending to generate obvious victors. As the party with the highest votes in each constituency secures a member in Parliament, this method contributes to the </w:t>
      </w:r>
      <w:r>
        <w:lastRenderedPageBreak/>
        <w:t xml:space="preserve">formation of stable administrations. Local representation </w:t>
      </w:r>
      <w:proofErr w:type="gramStart"/>
      <w:r>
        <w:t>is improved</w:t>
      </w:r>
      <w:proofErr w:type="gramEnd"/>
      <w:r>
        <w:t xml:space="preserve"> by this close link between MPs and their constituencies.</w:t>
      </w:r>
    </w:p>
    <w:p w14:paraId="0C4F6C4F" w14:textId="77777777" w:rsidR="00AE7F31" w:rsidRDefault="00000000">
      <w:pPr>
        <w:pStyle w:val="Heading3"/>
        <w:spacing w:after="200"/>
      </w:pPr>
      <w:bookmarkStart w:id="16" w:name="_j2jhu1dm9gdv" w:colFirst="0" w:colLast="0"/>
      <w:bookmarkEnd w:id="16"/>
      <w:r>
        <w:t>Elegance</w:t>
      </w:r>
    </w:p>
    <w:p w14:paraId="5DFABB76" w14:textId="77777777" w:rsidR="00AE7F31" w:rsidRDefault="00000000">
      <w:pPr>
        <w:spacing w:after="200"/>
      </w:pPr>
      <w:r>
        <w:t xml:space="preserve">Voters can grasp the simple FPTP method. Every voter gives their one vote to the candidate of their choice, and the winner is the one who receives the most. A clear and prompt election result </w:t>
      </w:r>
      <w:proofErr w:type="gramStart"/>
      <w:r>
        <w:t>is made</w:t>
      </w:r>
      <w:proofErr w:type="gramEnd"/>
      <w:r>
        <w:t xml:space="preserve"> possible by this simplicity, which also lessens voter uncertainty.</w:t>
      </w:r>
    </w:p>
    <w:p w14:paraId="76F67C03" w14:textId="77777777" w:rsidR="00AE7F31" w:rsidRDefault="00000000">
      <w:pPr>
        <w:pStyle w:val="Heading2"/>
        <w:spacing w:after="200"/>
      </w:pPr>
      <w:bookmarkStart w:id="17" w:name="_8msqs6uvx9x4" w:colFirst="0" w:colLast="0"/>
      <w:bookmarkEnd w:id="17"/>
      <w:r>
        <w:t>Limitations</w:t>
      </w:r>
    </w:p>
    <w:p w14:paraId="69007506" w14:textId="77777777" w:rsidR="00AE7F31" w:rsidRDefault="00000000">
      <w:pPr>
        <w:pStyle w:val="Heading3"/>
        <w:spacing w:after="200"/>
      </w:pPr>
      <w:bookmarkStart w:id="18" w:name="_e7r1m04wl8oe" w:colFirst="0" w:colLast="0"/>
      <w:bookmarkEnd w:id="18"/>
      <w:r>
        <w:t>Unfair Representation</w:t>
      </w:r>
    </w:p>
    <w:p w14:paraId="519663C9" w14:textId="77777777" w:rsidR="00AE7F31" w:rsidRDefault="00000000">
      <w:pPr>
        <w:spacing w:after="200"/>
      </w:pPr>
      <w:r>
        <w:t>One of the biggest drawbacks is that FPTP is unfair as it gives disproportionate representation to certain constituencies. It frequently leads to a party receiving a different percentage of votes in a general election in comparison to the number of seats that they get in the Parliament. For instance, a party might garnish more than fifty percent of the parliamentary seats without polling more than fifty percent of the valid votes. Those third parties may become less influential in the political system while the range of political parties may become limited due to this difference.</w:t>
      </w:r>
    </w:p>
    <w:p w14:paraId="117EF27C" w14:textId="77777777" w:rsidR="00AE7F31" w:rsidRDefault="00000000">
      <w:pPr>
        <w:pStyle w:val="Heading3"/>
        <w:spacing w:after="200"/>
      </w:pPr>
      <w:bookmarkStart w:id="19" w:name="_pyk0cir1hl7" w:colFirst="0" w:colLast="0"/>
      <w:bookmarkEnd w:id="19"/>
      <w:r>
        <w:t>Restricted Power of the People</w:t>
      </w:r>
    </w:p>
    <w:p w14:paraId="4E293811" w14:textId="77777777" w:rsidR="00AE7F31" w:rsidRDefault="00000000">
      <w:pPr>
        <w:spacing w:after="200"/>
      </w:pPr>
      <w:proofErr w:type="gramStart"/>
      <w:r>
        <w:t>Essentially in</w:t>
      </w:r>
      <w:proofErr w:type="gramEnd"/>
      <w:r>
        <w:t xml:space="preserve"> “safe” constituencies which are those in which one party has a huge margin in terms of representation in the election, people feel that their vote doesn't really count in the election. Such negative impact may </w:t>
      </w:r>
      <w:proofErr w:type="gramStart"/>
      <w:r>
        <w:t>include;</w:t>
      </w:r>
      <w:proofErr w:type="gramEnd"/>
      <w:r>
        <w:t xml:space="preserve"> Voter turnout may reduce and hence voters become apathetic due to feeling that their votes will not count due to being located in those places.</w:t>
      </w:r>
    </w:p>
    <w:p w14:paraId="1E58C6C9" w14:textId="77777777" w:rsidR="00AE7F31" w:rsidRDefault="00000000">
      <w:pPr>
        <w:pStyle w:val="Heading1"/>
        <w:spacing w:after="200"/>
      </w:pPr>
      <w:bookmarkStart w:id="20" w:name="_nt0i5gkynd5c" w:colFirst="0" w:colLast="0"/>
      <w:bookmarkEnd w:id="20"/>
      <w:r>
        <w:t xml:space="preserve">Assessing Possible Reforms in the UK Political System to Make It More Democratic or What Steps Need to </w:t>
      </w:r>
      <w:proofErr w:type="gramStart"/>
      <w:r>
        <w:t>Be Taken</w:t>
      </w:r>
      <w:proofErr w:type="gramEnd"/>
      <w:r>
        <w:t xml:space="preserve">. </w:t>
      </w:r>
    </w:p>
    <w:p w14:paraId="4ECEC1FE" w14:textId="77777777" w:rsidR="00AE7F31" w:rsidRDefault="00000000">
      <w:pPr>
        <w:pStyle w:val="Heading2"/>
        <w:spacing w:after="200"/>
      </w:pPr>
      <w:bookmarkStart w:id="21" w:name="_8sb970sielxu" w:colFirst="0" w:colLast="0"/>
      <w:bookmarkEnd w:id="21"/>
      <w:r>
        <w:t>Recommendations</w:t>
      </w:r>
    </w:p>
    <w:p w14:paraId="6CF51738" w14:textId="77777777" w:rsidR="00AE7F31" w:rsidRDefault="00000000">
      <w:pPr>
        <w:spacing w:after="200"/>
      </w:pPr>
      <w:proofErr w:type="gramStart"/>
      <w:r>
        <w:t>Important changes</w:t>
      </w:r>
      <w:proofErr w:type="gramEnd"/>
      <w:r>
        <w:t xml:space="preserve"> include decreasing the voting age to 16 and using referendums and digital democracy technologies more, as well as substituting proportional representation (PR) for the </w:t>
      </w:r>
      <w:r>
        <w:lastRenderedPageBreak/>
        <w:t>"first-past-the-post" (FPTP) system (Renwick, 2011; Birch, 2019). Because PR matches seats to vote percentages, it is meant to provide more equitable representation (Johnston et al., 2016).</w:t>
      </w:r>
    </w:p>
    <w:p w14:paraId="1188B968" w14:textId="77777777" w:rsidR="00AE7F31" w:rsidRDefault="00000000">
      <w:pPr>
        <w:pStyle w:val="Heading2"/>
        <w:spacing w:after="200"/>
      </w:pPr>
      <w:bookmarkStart w:id="22" w:name="_f8ymsc3lhpky" w:colFirst="0" w:colLast="0"/>
      <w:bookmarkEnd w:id="22"/>
      <w:r>
        <w:t>Important Ethics Points</w:t>
      </w:r>
    </w:p>
    <w:p w14:paraId="453D7A36" w14:textId="77777777" w:rsidR="00AE7F31" w:rsidRDefault="00000000">
      <w:pPr>
        <w:spacing w:after="200"/>
      </w:pPr>
      <w:r>
        <w:t xml:space="preserve">Keeping faith in the democratic process, avoiding disenfranchisement, and guaranteeing fair representation for all social groups are among the ethical issues. Reducing the voting age to </w:t>
      </w:r>
      <w:proofErr w:type="gramStart"/>
      <w:r>
        <w:t>16</w:t>
      </w:r>
      <w:proofErr w:type="gramEnd"/>
      <w:r>
        <w:t xml:space="preserve"> begs the concerns of how mature and knowledgeable younger voters may be (Chan &amp; Clayton, 2006). Increased referenda use may also result in voter weariness and simplifying of difficult problems, which might undermine well-informed decision-making (Qvortrup, 2013).</w:t>
      </w:r>
    </w:p>
    <w:p w14:paraId="628642A1" w14:textId="77777777" w:rsidR="00AE7F31" w:rsidRDefault="00000000">
      <w:pPr>
        <w:pStyle w:val="Heading2"/>
        <w:spacing w:after="200"/>
      </w:pPr>
      <w:bookmarkStart w:id="23" w:name="_60zt5c8rd1w2" w:colFirst="0" w:colLast="0"/>
      <w:bookmarkEnd w:id="23"/>
      <w:r>
        <w:t>More General Societal Effects</w:t>
      </w:r>
    </w:p>
    <w:p w14:paraId="53B71299" w14:textId="3A55BE76" w:rsidR="00AE7F31" w:rsidRDefault="00000000">
      <w:pPr>
        <w:spacing w:after="200"/>
      </w:pPr>
      <w:r>
        <w:t>By promoting coalition governments and more consensus politics, PR implementation may lessen political polarisation (</w:t>
      </w:r>
      <w:r w:rsidR="00884776">
        <w:t>Lajpat</w:t>
      </w:r>
      <w:r>
        <w:t xml:space="preserve">, 2012). But since parliaments </w:t>
      </w:r>
      <w:proofErr w:type="gramStart"/>
      <w:r>
        <w:t>are dispersed</w:t>
      </w:r>
      <w:proofErr w:type="gramEnd"/>
      <w:r>
        <w:t xml:space="preserve">, it may also cause political instability. Tools for digital democracy run the danger of making cyberthreats and digital divisions worse even when they improve accessibility (Loader &amp; </w:t>
      </w:r>
      <w:r w:rsidR="00884776">
        <w:t>Mircea</w:t>
      </w:r>
      <w:r>
        <w:t>, 2011).</w:t>
      </w:r>
    </w:p>
    <w:p w14:paraId="315157F1" w14:textId="77777777" w:rsidR="00AE7F31" w:rsidRDefault="00000000">
      <w:pPr>
        <w:pStyle w:val="Heading1"/>
        <w:spacing w:after="200"/>
      </w:pPr>
      <w:bookmarkStart w:id="24" w:name="_n01j8w74b71x" w:colFirst="0" w:colLast="0"/>
      <w:bookmarkEnd w:id="24"/>
      <w:r>
        <w:t>Comparing the Constitutional Frameworks of Other Democracies with Britain</w:t>
      </w:r>
    </w:p>
    <w:p w14:paraId="18A782A8" w14:textId="77777777" w:rsidR="00AE7F31" w:rsidRDefault="00000000">
      <w:pPr>
        <w:pStyle w:val="Heading2"/>
        <w:spacing w:after="200"/>
      </w:pPr>
      <w:bookmarkStart w:id="25" w:name="_k25tg4vaxry" w:colFirst="0" w:colLast="0"/>
      <w:bookmarkEnd w:id="25"/>
      <w:r>
        <w:t>European vs. codified constitutions</w:t>
      </w:r>
    </w:p>
    <w:p w14:paraId="6D4C3328" w14:textId="77777777" w:rsidR="00AE7F31" w:rsidRDefault="00000000">
      <w:pPr>
        <w:spacing w:after="200"/>
      </w:pPr>
      <w:r>
        <w:t xml:space="preserve">Acts, agreements, and court rulings form the flexible constitutional framework of the United Kingdom (Elliott &amp; Thomas, 2017). By comparison, nations with codified constitutions that provide solid rights and well-defined, organised legal systems include the United States and Germany (O'Connell, 2018). Frequently, these frameworks include </w:t>
      </w:r>
      <w:proofErr w:type="gramStart"/>
      <w:r>
        <w:t>particular clauses</w:t>
      </w:r>
      <w:proofErr w:type="gramEnd"/>
      <w:r>
        <w:t xml:space="preserve"> pertaining to public involvement and protections against overreaching authority (</w:t>
      </w:r>
      <w:proofErr w:type="spellStart"/>
      <w:r>
        <w:t>Kommers</w:t>
      </w:r>
      <w:proofErr w:type="spellEnd"/>
      <w:r>
        <w:t xml:space="preserve"> &amp; Miller, 2012).</w:t>
      </w:r>
    </w:p>
    <w:p w14:paraId="1F53745A" w14:textId="77777777" w:rsidR="00AE7F31" w:rsidRDefault="00000000">
      <w:pPr>
        <w:pStyle w:val="Heading1"/>
        <w:spacing w:after="200"/>
      </w:pPr>
      <w:bookmarkStart w:id="26" w:name="_cukzm4anha40" w:colFirst="0" w:colLast="0"/>
      <w:bookmarkEnd w:id="26"/>
      <w:r>
        <w:t>Practices Abroad</w:t>
      </w:r>
    </w:p>
    <w:p w14:paraId="5FA36D0C" w14:textId="77777777" w:rsidR="00AE7F31" w:rsidRDefault="00000000">
      <w:pPr>
        <w:pStyle w:val="Heading2"/>
        <w:spacing w:after="200"/>
      </w:pPr>
      <w:bookmarkStart w:id="27" w:name="_udygkjqbmav2" w:colFirst="0" w:colLast="0"/>
      <w:bookmarkEnd w:id="27"/>
      <w:r>
        <w:t>Comparative Representation</w:t>
      </w:r>
    </w:p>
    <w:p w14:paraId="1B9B42B9" w14:textId="77777777" w:rsidR="00AE7F31" w:rsidRDefault="00000000">
      <w:pPr>
        <w:spacing w:after="200"/>
      </w:pPr>
      <w:r>
        <w:t xml:space="preserve">To ensure better representation of marginalised groups in politics, </w:t>
      </w:r>
      <w:proofErr w:type="gramStart"/>
      <w:r>
        <w:t>some</w:t>
      </w:r>
      <w:proofErr w:type="gramEnd"/>
      <w:r>
        <w:t xml:space="preserve"> democracies like Germany and New Zealand apply PR (Gallagher &amp; Mitchell, 2005). More political parties and </w:t>
      </w:r>
      <w:r>
        <w:lastRenderedPageBreak/>
        <w:t>viewpoints are enabled by this system and increase the populace’s engagement and satisfaction in the elections.</w:t>
      </w:r>
    </w:p>
    <w:p w14:paraId="2E5B731F" w14:textId="77777777" w:rsidR="00AE7F31" w:rsidRDefault="00000000">
      <w:pPr>
        <w:pStyle w:val="Heading2"/>
        <w:spacing w:after="200"/>
      </w:pPr>
      <w:bookmarkStart w:id="28" w:name="_oqf5vstrmjft" w:colFirst="0" w:colLast="0"/>
      <w:bookmarkEnd w:id="28"/>
      <w:r>
        <w:t>Democratic Directness</w:t>
      </w:r>
    </w:p>
    <w:p w14:paraId="055C43C8" w14:textId="77777777" w:rsidR="00AE7F31" w:rsidRDefault="00000000">
      <w:pPr>
        <w:spacing w:after="200"/>
      </w:pPr>
      <w:r>
        <w:t xml:space="preserve">Referendums and initiatives are two popular measures of direct democracy through which the Swiss people have </w:t>
      </w:r>
      <w:proofErr w:type="gramStart"/>
      <w:r>
        <w:t>been given</w:t>
      </w:r>
      <w:proofErr w:type="gramEnd"/>
      <w:r>
        <w:t xml:space="preserve"> a vote directly on policy propositions (Lutz, 2006). This increases public awareness of the government decisions and enhances a political society's responsibility involvement.</w:t>
      </w:r>
    </w:p>
    <w:p w14:paraId="3FA10920" w14:textId="77777777" w:rsidR="00AE7F31" w:rsidRDefault="00000000">
      <w:pPr>
        <w:pStyle w:val="Heading2"/>
        <w:spacing w:after="200"/>
      </w:pPr>
      <w:bookmarkStart w:id="29" w:name="_ptuzne2eet4f" w:colFirst="0" w:colLast="0"/>
      <w:bookmarkEnd w:id="29"/>
      <w:r>
        <w:t>Joining Digitally</w:t>
      </w:r>
    </w:p>
    <w:p w14:paraId="1FE7F6AE" w14:textId="77777777" w:rsidR="00AE7F31" w:rsidRDefault="00000000">
      <w:pPr>
        <w:spacing w:after="200"/>
      </w:pPr>
      <w:r>
        <w:t>Estonia’s margin voting and the digital engagement of the citizens to share their opinions and the execution of the procedural work demonstrate how digital tools can facilitate and enhance the involvement of the public in the democratic processes and how these can enhance the rate of such processes (Drechsler, 2018).</w:t>
      </w:r>
    </w:p>
    <w:p w14:paraId="20EF33D3" w14:textId="77777777" w:rsidR="00AE7F31" w:rsidRDefault="00000000">
      <w:pPr>
        <w:pStyle w:val="Heading1"/>
        <w:spacing w:after="200"/>
      </w:pPr>
      <w:bookmarkStart w:id="30" w:name="_qarjpep3cp8y" w:colFirst="0" w:colLast="0"/>
      <w:bookmarkEnd w:id="30"/>
      <w:r>
        <w:t>Conclusion</w:t>
      </w:r>
    </w:p>
    <w:p w14:paraId="13A3EB7D" w14:textId="77777777" w:rsidR="00AE7F31" w:rsidRDefault="00000000">
      <w:pPr>
        <w:spacing w:after="200"/>
      </w:pPr>
      <w:r>
        <w:t xml:space="preserve">The overall political process in the UK offers </w:t>
      </w:r>
      <w:proofErr w:type="gramStart"/>
      <w:r>
        <w:t>several</w:t>
      </w:r>
      <w:proofErr w:type="gramEnd"/>
      <w:r>
        <w:t xml:space="preserve"> opportunities for citizen engagement; however, certain institutional obstacles can limit their contribution efforts. This is the so-called “first-past-post (FPTP)” which distorts proportionality and British politics discriminates against those third and other minor parties hence decreases the political envelope. While a party Whip system tries to control the independence of an MP in representing the people, there is what </w:t>
      </w:r>
      <w:proofErr w:type="gramStart"/>
      <w:r>
        <w:t>is referred</w:t>
      </w:r>
      <w:proofErr w:type="gramEnd"/>
      <w:r>
        <w:t xml:space="preserve"> to as party allegiance. However, court reviews allow members of the general population and advocates to challenge what may be unconstitutional judgements, thus circumscribing governmental power. In this way, it ensures that the subject of legal proceedings is deserving of punishment </w:t>
      </w:r>
      <w:proofErr w:type="gramStart"/>
      <w:r>
        <w:t>and also</w:t>
      </w:r>
      <w:proofErr w:type="gramEnd"/>
      <w:r>
        <w:t xml:space="preserve"> that everything that is done is legal. However, these impacts on the public channels of democracy require further enhancements such as reformations to the lists system, to proportional representation and the instruments for direct democracy. For the population and their voices to </w:t>
      </w:r>
      <w:proofErr w:type="gramStart"/>
      <w:r>
        <w:t>actually be</w:t>
      </w:r>
      <w:proofErr w:type="gramEnd"/>
      <w:r>
        <w:t xml:space="preserve"> represented the political system needs to change to a more participatory one in the United Kingdom.</w:t>
      </w:r>
    </w:p>
    <w:p w14:paraId="128DD8FA" w14:textId="77777777" w:rsidR="00AE7F31" w:rsidRDefault="00AE7F31">
      <w:pPr>
        <w:spacing w:after="200"/>
      </w:pPr>
    </w:p>
    <w:p w14:paraId="66C9BBFF" w14:textId="77777777" w:rsidR="00AE7F31" w:rsidRDefault="00AE7F31">
      <w:pPr>
        <w:spacing w:after="200"/>
      </w:pPr>
    </w:p>
    <w:p w14:paraId="643E02EC" w14:textId="77777777" w:rsidR="00AE7F31" w:rsidRDefault="00AE7F31">
      <w:pPr>
        <w:spacing w:after="200"/>
      </w:pPr>
    </w:p>
    <w:p w14:paraId="3A02F70B" w14:textId="77777777" w:rsidR="00AE7F31" w:rsidRDefault="00AE7F31">
      <w:pPr>
        <w:spacing w:after="200"/>
      </w:pPr>
    </w:p>
    <w:p w14:paraId="1ECC3CA3" w14:textId="77777777" w:rsidR="00AE7F31" w:rsidRDefault="00AE7F31">
      <w:pPr>
        <w:spacing w:after="200"/>
      </w:pPr>
    </w:p>
    <w:p w14:paraId="1C3EF250" w14:textId="77777777" w:rsidR="00AE7F31" w:rsidRDefault="00AE7F31">
      <w:pPr>
        <w:spacing w:after="200"/>
      </w:pPr>
    </w:p>
    <w:p w14:paraId="35E2AA46" w14:textId="77777777" w:rsidR="00AE7F31" w:rsidRDefault="00AE7F31">
      <w:pPr>
        <w:spacing w:after="200"/>
      </w:pPr>
    </w:p>
    <w:p w14:paraId="53AB16A5" w14:textId="77777777" w:rsidR="00AE7F31" w:rsidRDefault="00AE7F31">
      <w:pPr>
        <w:spacing w:after="200"/>
      </w:pPr>
    </w:p>
    <w:p w14:paraId="6590A243" w14:textId="77777777" w:rsidR="00AE7F31" w:rsidRDefault="00AE7F31">
      <w:pPr>
        <w:spacing w:after="200"/>
      </w:pPr>
    </w:p>
    <w:p w14:paraId="78ADDAE0" w14:textId="77777777" w:rsidR="00AE7F31" w:rsidRDefault="00AE7F31">
      <w:pPr>
        <w:spacing w:after="200"/>
      </w:pPr>
    </w:p>
    <w:p w14:paraId="40B2AADA" w14:textId="77777777" w:rsidR="00AE7F31" w:rsidRDefault="00AE7F31">
      <w:pPr>
        <w:spacing w:after="200"/>
      </w:pPr>
    </w:p>
    <w:p w14:paraId="21514131" w14:textId="77777777" w:rsidR="00AE7F31" w:rsidRDefault="00AE7F31">
      <w:pPr>
        <w:spacing w:after="200"/>
      </w:pPr>
    </w:p>
    <w:p w14:paraId="453EC007" w14:textId="77777777" w:rsidR="00AE7F31" w:rsidRDefault="00AE7F31">
      <w:pPr>
        <w:spacing w:after="200"/>
      </w:pPr>
    </w:p>
    <w:p w14:paraId="1359B479" w14:textId="77777777" w:rsidR="00AE7F31" w:rsidRDefault="00AE7F31">
      <w:pPr>
        <w:spacing w:after="200"/>
      </w:pPr>
    </w:p>
    <w:p w14:paraId="736D36F5" w14:textId="77777777" w:rsidR="00AE7F31" w:rsidRDefault="00AE7F31">
      <w:pPr>
        <w:spacing w:after="200"/>
      </w:pPr>
    </w:p>
    <w:p w14:paraId="3FE24D44" w14:textId="77777777" w:rsidR="00AE7F31" w:rsidRDefault="00AE7F31">
      <w:pPr>
        <w:spacing w:after="200"/>
      </w:pPr>
    </w:p>
    <w:p w14:paraId="67BAF1B5" w14:textId="77777777" w:rsidR="00AE7F31" w:rsidRDefault="00000000">
      <w:pPr>
        <w:spacing w:after="200"/>
      </w:pPr>
      <w:r>
        <w:br w:type="page"/>
      </w:r>
    </w:p>
    <w:p w14:paraId="09D79BF3" w14:textId="77777777" w:rsidR="00AE7F31" w:rsidRDefault="00000000">
      <w:pPr>
        <w:pStyle w:val="Heading1"/>
        <w:spacing w:after="200"/>
      </w:pPr>
      <w:bookmarkStart w:id="31" w:name="_3aaqalcud34v" w:colFirst="0" w:colLast="0"/>
      <w:bookmarkEnd w:id="31"/>
      <w:r>
        <w:lastRenderedPageBreak/>
        <w:t>References</w:t>
      </w:r>
    </w:p>
    <w:p w14:paraId="2F868209" w14:textId="77777777" w:rsidR="00AE7F31" w:rsidRDefault="00000000">
      <w:pPr>
        <w:spacing w:after="200"/>
      </w:pPr>
      <w:r>
        <w:t>Birch, S. (2019). "Electoral Reform in the UK: A Voter-Centred Perspective." British Politics, 14(1), 1-21.</w:t>
      </w:r>
    </w:p>
    <w:p w14:paraId="5637550E" w14:textId="77777777" w:rsidR="00AE7F31" w:rsidRDefault="00000000">
      <w:pPr>
        <w:spacing w:after="200"/>
      </w:pPr>
      <w:r>
        <w:t>Chan, T. W., &amp; Clayton, M. (2006). "Should the Voting Age be Lowered to Sixteen? Normative and Empirical Considerations." Political Studies, 54(3), 533-558.</w:t>
      </w:r>
    </w:p>
    <w:p w14:paraId="23C6E65C" w14:textId="77777777" w:rsidR="00AE7F31" w:rsidRDefault="00000000">
      <w:pPr>
        <w:spacing w:after="200"/>
      </w:pPr>
      <w:r>
        <w:t>Craig, P. (2016). "Miller: The Supreme Court’s Judgment." Public Law, 2017(1), 1-6.</w:t>
      </w:r>
    </w:p>
    <w:p w14:paraId="20801CF5" w14:textId="77777777" w:rsidR="00AE7F31" w:rsidRDefault="00000000">
      <w:pPr>
        <w:spacing w:after="200"/>
      </w:pPr>
      <w:r>
        <w:t>Curtice, J. (2018). The UK General Election of 2017. Palgrave Macmillan.</w:t>
      </w:r>
    </w:p>
    <w:p w14:paraId="6DE3AC0E" w14:textId="77777777" w:rsidR="00AE7F31" w:rsidRDefault="00000000">
      <w:pPr>
        <w:spacing w:after="200"/>
      </w:pPr>
      <w:r>
        <w:t>Drechsler, W. (2018). "Digital Governance: The Estonian Experience." Journal of Public Administration and Policy Research, 10(1), 1-7.</w:t>
      </w:r>
    </w:p>
    <w:p w14:paraId="524C991C" w14:textId="77777777" w:rsidR="00AE7F31" w:rsidRDefault="00000000">
      <w:pPr>
        <w:spacing w:after="200"/>
      </w:pPr>
      <w:r>
        <w:t>Elliott, M., &amp; Thomas, R. (2017). Public Law. Oxford University Press.</w:t>
      </w:r>
    </w:p>
    <w:p w14:paraId="5F9AA31B" w14:textId="77777777" w:rsidR="00AE7F31" w:rsidRDefault="00000000">
      <w:pPr>
        <w:spacing w:after="200"/>
      </w:pPr>
      <w:r>
        <w:t>Ewing, K. D., &amp; Tham, J.-C. (2017). "The Continuing Futility of the Human Rights Act." Modern Law Review, 80(1), 99-128.</w:t>
      </w:r>
    </w:p>
    <w:p w14:paraId="4A703E24" w14:textId="77777777" w:rsidR="00AE7F31" w:rsidRDefault="00000000">
      <w:pPr>
        <w:spacing w:after="200"/>
      </w:pPr>
      <w:r>
        <w:t>Flinders, M. (2010). Democratic Drift: Majoritarian Modification and Democratic Anomie in the United Kingdom. Oxford University Press.</w:t>
      </w:r>
    </w:p>
    <w:p w14:paraId="4F0CC42B" w14:textId="77777777" w:rsidR="00AE7F31" w:rsidRDefault="00000000">
      <w:pPr>
        <w:spacing w:after="200"/>
      </w:pPr>
      <w:r>
        <w:t>Gallagher, M., &amp; Mitchell, P. (2005). The Politics of Electoral Systems. Oxford University Press.</w:t>
      </w:r>
    </w:p>
    <w:p w14:paraId="37CE7E56" w14:textId="77777777" w:rsidR="00AE7F31" w:rsidRDefault="00000000">
      <w:pPr>
        <w:spacing w:after="200"/>
      </w:pPr>
      <w:r>
        <w:t>Griffith, J. A. G. (2010). "The Political Constitution." Modern Law Review, 42(1), 1-21.</w:t>
      </w:r>
    </w:p>
    <w:p w14:paraId="07D1857C" w14:textId="77777777" w:rsidR="00AE7F31" w:rsidRDefault="00000000">
      <w:pPr>
        <w:spacing w:after="200"/>
      </w:pPr>
      <w:r>
        <w:t xml:space="preserve">Johnston, R., Pattie, C., &amp; Rossiter, D. (2016). The </w:t>
      </w:r>
      <w:proofErr w:type="gramStart"/>
      <w:r>
        <w:t>Geography</w:t>
      </w:r>
      <w:proofErr w:type="gramEnd"/>
      <w:r>
        <w:t xml:space="preserve"> of the 2015 General Election: Divided We Stand? Palgrave Macmillan.</w:t>
      </w:r>
    </w:p>
    <w:p w14:paraId="0BFA8A2A" w14:textId="77777777" w:rsidR="00AE7F31" w:rsidRDefault="00000000">
      <w:pPr>
        <w:spacing w:after="200"/>
      </w:pPr>
      <w:proofErr w:type="spellStart"/>
      <w:r>
        <w:t>Kommers</w:t>
      </w:r>
      <w:proofErr w:type="spellEnd"/>
      <w:r>
        <w:t>, D. P., &amp; Miller, R. A. (2012). The Constitutional Jurisprudence of the Federal Republic of Germany. Duke University Press.</w:t>
      </w:r>
    </w:p>
    <w:p w14:paraId="259335DE" w14:textId="77777777" w:rsidR="00AE7F31" w:rsidRDefault="00000000">
      <w:pPr>
        <w:spacing w:after="200"/>
      </w:pPr>
      <w:r>
        <w:t>Leston-Bandeira, C. (2016). Why Symbolic Representation Frames Parliamentary Public Engagement. The British Journal of Politics and International Relations, 18(2), 498-516.</w:t>
      </w:r>
    </w:p>
    <w:p w14:paraId="1B863980" w14:textId="77777777" w:rsidR="00AE7F31" w:rsidRDefault="00000000">
      <w:pPr>
        <w:spacing w:after="200"/>
      </w:pPr>
      <w:proofErr w:type="spellStart"/>
      <w:r>
        <w:t>Lijphart</w:t>
      </w:r>
      <w:proofErr w:type="spellEnd"/>
      <w:r>
        <w:t>, A. (2012). Patterns of Democracy: Government Forms and Performance in Thirty-Six Countries. Yale University Press.</w:t>
      </w:r>
    </w:p>
    <w:p w14:paraId="0758B1A7" w14:textId="77777777" w:rsidR="00AE7F31" w:rsidRDefault="00000000">
      <w:pPr>
        <w:spacing w:after="200"/>
      </w:pPr>
      <w:r>
        <w:t xml:space="preserve">Loader, B. D., &amp; </w:t>
      </w:r>
      <w:proofErr w:type="spellStart"/>
      <w:r>
        <w:t>Mercea</w:t>
      </w:r>
      <w:proofErr w:type="spellEnd"/>
      <w:r>
        <w:t>, D. (2011). "Networking Democracy? Social Media Innovations and Participatory Politics." Information, Communication &amp; Society, 14(6), 757-769.</w:t>
      </w:r>
    </w:p>
    <w:p w14:paraId="70A41873" w14:textId="77777777" w:rsidR="00AE7F31" w:rsidRDefault="00000000">
      <w:pPr>
        <w:spacing w:after="200"/>
      </w:pPr>
      <w:r>
        <w:t>Lutz, G. (2006). "Swiss Democracy: Possible Solutions to Conflict in Multicultural Societies." International Journal on Multicultural Societies, 8(2), 245-264.</w:t>
      </w:r>
    </w:p>
    <w:p w14:paraId="624AEA3D" w14:textId="77777777" w:rsidR="00AE7F31" w:rsidRDefault="00000000">
      <w:pPr>
        <w:spacing w:after="200"/>
      </w:pPr>
      <w:r>
        <w:lastRenderedPageBreak/>
        <w:t>Norris, P. (2011). Democratic Deficit: Critical Citizens Revisited. Cambridge University Press.</w:t>
      </w:r>
    </w:p>
    <w:p w14:paraId="6F0906BD" w14:textId="77777777" w:rsidR="00AE7F31" w:rsidRDefault="00000000">
      <w:pPr>
        <w:spacing w:after="200"/>
      </w:pPr>
      <w:r>
        <w:t>O’Connell, R. (2018). "Codified Constitutions and Democratic Accountability." Legal Studies, 38(2), 241-260.</w:t>
      </w:r>
    </w:p>
    <w:p w14:paraId="48548608" w14:textId="77777777" w:rsidR="00AE7F31" w:rsidRDefault="00000000">
      <w:pPr>
        <w:spacing w:after="200"/>
      </w:pPr>
      <w:r>
        <w:t>Qvortrup, M. (2013). Referendums and Ethnic Conflict. University of Pennsylvania Press.</w:t>
      </w:r>
    </w:p>
    <w:p w14:paraId="6DA6C708" w14:textId="77777777" w:rsidR="00AE7F31" w:rsidRDefault="00000000">
      <w:pPr>
        <w:spacing w:after="200"/>
      </w:pPr>
      <w:r>
        <w:t xml:space="preserve">Renwick, A. (2011). A Citizen's Guide to Electoral Reform. </w:t>
      </w:r>
      <w:proofErr w:type="spellStart"/>
      <w:r>
        <w:t>Biteback</w:t>
      </w:r>
      <w:proofErr w:type="spellEnd"/>
      <w:r>
        <w:t xml:space="preserve"> Publishing.</w:t>
      </w:r>
    </w:p>
    <w:p w14:paraId="322E6DDA" w14:textId="77777777" w:rsidR="00AE7F31" w:rsidRDefault="00000000">
      <w:pPr>
        <w:spacing w:after="200"/>
      </w:pPr>
      <w:r>
        <w:t>Tomkins, A. (2013). "Public Law." Oxford University Press.</w:t>
      </w:r>
    </w:p>
    <w:p w14:paraId="3A39060F" w14:textId="77777777" w:rsidR="00AE7F31" w:rsidRDefault="00AE7F31">
      <w:pPr>
        <w:spacing w:after="200"/>
      </w:pPr>
    </w:p>
    <w:p w14:paraId="38AA3A54" w14:textId="77777777" w:rsidR="00AE7F31" w:rsidRDefault="00AE7F31">
      <w:pPr>
        <w:spacing w:after="200"/>
      </w:pPr>
    </w:p>
    <w:sectPr w:rsidR="00AE7F3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7F31"/>
    <w:rsid w:val="00315AD5"/>
    <w:rsid w:val="00884776"/>
    <w:rsid w:val="00AE7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B15D9"/>
  <w15:docId w15:val="{5394C80F-FFD5-4A2F-A9ED-994BB8C9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4"/>
        <w:szCs w:val="24"/>
        <w:lang w:val="en-GB"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9</Pages>
  <Words>1903</Words>
  <Characters>11421</Characters>
  <Application>Microsoft Office Word</Application>
  <DocSecurity>0</DocSecurity>
  <Lines>201</Lines>
  <Paragraphs>75</Paragraphs>
  <ScaleCrop>false</ScaleCrop>
  <Company/>
  <LinksUpToDate>false</LinksUpToDate>
  <CharactersWithSpaces>13246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Skalkosova</cp:lastModifiedBy>
  <cp:revision>2</cp:revision>
  <dcterms:created xsi:type="dcterms:W3CDTF">2024-06-21T14:14:00Z</dcterms:created>
  <dcterms:modified xsi:type="dcterms:W3CDTF">2024-06-21T14:14:00Z</dcterms:modified>
</cp:coreProperties>
</file>