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officedocument/2006/relationships/metadata/core-properties" Target="docProps/core0.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Hlk240078041"/>
    <w:bookmarkEnd w:id="0"/>
    <w:p w14:paraId="059E7DDE" w14:textId="77777777" w:rsidR="00D8014E" w:rsidRDefault="00232011">
      <w:pPr>
        <w:spacing w:line="360" w:lineRule="auto"/>
        <w:jc w:val="center"/>
        <w:rPr>
          <w:rFonts w:cs="Arial"/>
          <w:b/>
          <w:bCs/>
          <w:sz w:val="28"/>
          <w:szCs w:val="24"/>
        </w:rPr>
      </w:pPr>
      <w:r>
        <w:rPr>
          <w:rFonts w:cs="Arial"/>
          <w:b/>
          <w:bCs/>
          <w:noProof/>
          <w:sz w:val="28"/>
          <w:szCs w:val="24"/>
        </w:rPr>
        <mc:AlternateContent>
          <mc:Choice Requires="wps">
            <w:drawing>
              <wp:anchor distT="0" distB="0" distL="114300" distR="114300" simplePos="0" relativeHeight="5" behindDoc="0" locked="0" layoutInCell="0" allowOverlap="1" wp14:anchorId="6D46315D" wp14:editId="38E0BDE4">
                <wp:simplePos x="0" y="0"/>
                <wp:positionH relativeFrom="margin">
                  <wp:align>center</wp:align>
                </wp:positionH>
                <wp:positionV relativeFrom="paragraph">
                  <wp:posOffset>635</wp:posOffset>
                </wp:positionV>
                <wp:extent cx="3454400" cy="1145540"/>
                <wp:effectExtent l="0" t="0" r="0" b="0"/>
                <wp:wrapTopAndBottom/>
                <wp:docPr id="1" name="Picture 1967843545"/>
                <wp:cNvGraphicFramePr/>
                <a:graphic xmlns:a="http://schemas.openxmlformats.org/drawingml/2006/main">
                  <a:graphicData uri="http://schemas.openxmlformats.org/drawingml/2006/picture">
                    <pic:pic xmlns:pic="http://schemas.openxmlformats.org/drawingml/2006/picture">
                      <pic:nvPicPr>
                        <pic:cNvPr id="2" name="Picture 1967843545"/>
                        <pic:cNvPicPr/>
                      </pic:nvPicPr>
                      <pic:blipFill>
                        <a:blip r:embed="rId8">
                          <a:extLst>
                            <a:ext uri="{BEBA8EAE-BF5A-486C-A8C5-ECC9F3942E4B}">
                              <a14:imgProps xmlns:a14="http://schemas.microsoft.com/office/drawing/2010/main">
                                <a14:imgLayer r:embed="rId9">
                                  <a14:imgEffect>
                                    <a14:colorTemperature colorTemp="8800"/>
                                  </a14:imgEffect>
                                </a14:imgLayer>
                              </a14:imgProps>
                            </a:ext>
                          </a:extLst>
                        </a:blip>
                        <a:stretch/>
                      </pic:blipFill>
                      <pic:spPr>
                        <a:xfrm>
                          <a:off x="0" y="0"/>
                          <a:ext cx="3454560" cy="1145520"/>
                        </a:xfrm>
                        <a:prstGeom prst="rect">
                          <a:avLst/>
                        </a:prstGeom>
                        <a:noFill/>
                        <a:ln w="0">
                          <a:noFill/>
                        </a:ln>
                      </pic:spPr>
                    </pic:pic>
                  </a:graphicData>
                </a:graphic>
              </wp:anchor>
            </w:drawing>
          </mc:Choice>
          <mc:Fallback xmlns:oel="http://schemas.microsoft.com/office/2019/extlst" xmlns:pic="http://schemas.openxmlformats.org/drawingml/2006/pictur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Picture 1967843545" stroked="f" o:allowincell="f" style="position:absolute;margin-left:98pt;margin-top:0pt;width:271.95pt;height:90.15pt;mso-wrap-style:none;v-text-anchor:middle;mso-position-horizontal:center;mso-position-horizontal-relative:margin" wp14:anchorId="1A28A5ED" type="_x0000_t75">
                <v:imagedata r:id="rId10" o:detectmouseclick="t"/>
                <v:stroke color="#3465a4" joinstyle="round" endcap="flat"/>
                <w10:wrap type="topAndBottom"/>
              </v:shape>
            </w:pict>
          </mc:Fallback>
        </mc:AlternateContent>
      </w:r>
    </w:p>
    <w:p w14:paraId="2C4F6A1E" w14:textId="77777777" w:rsidR="00D8014E" w:rsidRPr="00877242" w:rsidRDefault="00232011">
      <w:pPr>
        <w:spacing w:line="360" w:lineRule="auto"/>
        <w:jc w:val="center"/>
        <w:rPr>
          <w:rFonts w:cs="Arial"/>
          <w:b/>
          <w:bCs/>
          <w:sz w:val="32"/>
          <w:szCs w:val="24"/>
        </w:rPr>
      </w:pPr>
      <w:r w:rsidRPr="00877242">
        <w:rPr>
          <w:rFonts w:cs="Arial"/>
          <w:b/>
          <w:bCs/>
          <w:sz w:val="32"/>
          <w:szCs w:val="24"/>
        </w:rPr>
        <w:t>Master of Business Administration</w:t>
      </w:r>
    </w:p>
    <w:p w14:paraId="7DA6CAC6" w14:textId="77777777" w:rsidR="00D8014E" w:rsidRPr="00877242" w:rsidRDefault="00232011" w:rsidP="00877242">
      <w:pPr>
        <w:spacing w:after="0" w:line="360" w:lineRule="auto"/>
        <w:jc w:val="center"/>
        <w:rPr>
          <w:rFonts w:cs="Arial"/>
          <w:b/>
          <w:bCs/>
          <w:szCs w:val="24"/>
        </w:rPr>
      </w:pPr>
      <w:r w:rsidRPr="00877242">
        <w:rPr>
          <w:rFonts w:cs="Arial"/>
          <w:b/>
          <w:bCs/>
          <w:szCs w:val="24"/>
        </w:rPr>
        <w:t>Student Name: Jowher Ahmed</w:t>
      </w:r>
    </w:p>
    <w:p w14:paraId="02BE11E2" w14:textId="77777777" w:rsidR="00D8014E" w:rsidRPr="00877242" w:rsidRDefault="00232011" w:rsidP="00877242">
      <w:pPr>
        <w:spacing w:after="0" w:line="360" w:lineRule="auto"/>
        <w:jc w:val="center"/>
        <w:rPr>
          <w:rFonts w:cs="Arial"/>
          <w:b/>
          <w:bCs/>
          <w:szCs w:val="24"/>
        </w:rPr>
      </w:pPr>
      <w:r w:rsidRPr="00877242">
        <w:rPr>
          <w:rFonts w:cs="Arial"/>
          <w:b/>
          <w:bCs/>
          <w:szCs w:val="24"/>
        </w:rPr>
        <w:t>Student Number:</w:t>
      </w:r>
      <w:r w:rsidRPr="00877242">
        <w:rPr>
          <w:rFonts w:cs="Arial"/>
          <w:szCs w:val="24"/>
        </w:rPr>
        <w:t xml:space="preserve"> </w:t>
      </w:r>
      <w:r w:rsidRPr="00877242">
        <w:rPr>
          <w:rFonts w:cs="Arial"/>
          <w:b/>
          <w:bCs/>
          <w:szCs w:val="24"/>
        </w:rPr>
        <w:t>2437456</w:t>
      </w:r>
    </w:p>
    <w:p w14:paraId="50C0B9A2" w14:textId="77777777" w:rsidR="00877242" w:rsidRDefault="00877242">
      <w:pPr>
        <w:spacing w:line="360" w:lineRule="auto"/>
        <w:jc w:val="center"/>
        <w:rPr>
          <w:rFonts w:cs="Arial"/>
          <w:b/>
          <w:bCs/>
          <w:sz w:val="28"/>
          <w:szCs w:val="24"/>
        </w:rPr>
      </w:pPr>
    </w:p>
    <w:p w14:paraId="0C9E4DFB" w14:textId="77777777" w:rsidR="00D8014E" w:rsidRDefault="00877242">
      <w:pPr>
        <w:spacing w:line="360" w:lineRule="auto"/>
        <w:jc w:val="center"/>
        <w:rPr>
          <w:rFonts w:cs="Arial"/>
          <w:b/>
          <w:bCs/>
          <w:sz w:val="28"/>
          <w:szCs w:val="24"/>
        </w:rPr>
      </w:pPr>
      <w:r>
        <w:rPr>
          <w:rFonts w:cs="Arial"/>
          <w:b/>
          <w:bCs/>
          <w:sz w:val="28"/>
          <w:szCs w:val="24"/>
        </w:rPr>
        <w:t>Module C</w:t>
      </w:r>
      <w:r w:rsidR="00232011">
        <w:rPr>
          <w:rFonts w:cs="Arial"/>
          <w:b/>
          <w:bCs/>
          <w:sz w:val="28"/>
          <w:szCs w:val="24"/>
        </w:rPr>
        <w:t>ode: LCMB7035</w:t>
      </w:r>
    </w:p>
    <w:p w14:paraId="30223D4C" w14:textId="77777777" w:rsidR="00D8014E" w:rsidRDefault="00877242">
      <w:pPr>
        <w:spacing w:line="360" w:lineRule="auto"/>
        <w:jc w:val="center"/>
        <w:rPr>
          <w:rFonts w:cs="Arial"/>
          <w:b/>
          <w:bCs/>
          <w:sz w:val="28"/>
          <w:szCs w:val="24"/>
        </w:rPr>
      </w:pPr>
      <w:r>
        <w:rPr>
          <w:rFonts w:cs="Arial"/>
          <w:b/>
          <w:bCs/>
          <w:sz w:val="28"/>
          <w:szCs w:val="24"/>
        </w:rPr>
        <w:t>Module Name: Dissertation</w:t>
      </w:r>
    </w:p>
    <w:p w14:paraId="2C965F68" w14:textId="77777777" w:rsidR="00877242" w:rsidRDefault="00877242">
      <w:pPr>
        <w:spacing w:line="360" w:lineRule="auto"/>
        <w:jc w:val="center"/>
        <w:rPr>
          <w:rFonts w:cs="Arial"/>
          <w:b/>
          <w:bCs/>
          <w:sz w:val="28"/>
          <w:szCs w:val="24"/>
        </w:rPr>
      </w:pPr>
    </w:p>
    <w:p w14:paraId="1FD6E79C" w14:textId="3062B08B" w:rsidR="00D8014E" w:rsidRPr="00E90EB9" w:rsidRDefault="00232011">
      <w:pPr>
        <w:spacing w:line="360" w:lineRule="auto"/>
        <w:jc w:val="center"/>
        <w:rPr>
          <w:rFonts w:cs="Arial"/>
          <w:b/>
          <w:bCs/>
          <w:i/>
          <w:iCs/>
          <w:sz w:val="28"/>
          <w:szCs w:val="24"/>
        </w:rPr>
      </w:pPr>
      <w:r>
        <w:rPr>
          <w:rFonts w:cs="Arial"/>
          <w:b/>
          <w:bCs/>
          <w:sz w:val="28"/>
          <w:szCs w:val="24"/>
        </w:rPr>
        <w:t>Title</w:t>
      </w:r>
      <w:r w:rsidRPr="007A6E2E">
        <w:rPr>
          <w:rFonts w:cs="Arial"/>
          <w:b/>
          <w:bCs/>
          <w:sz w:val="28"/>
          <w:szCs w:val="24"/>
        </w:rPr>
        <w:t xml:space="preserve">: </w:t>
      </w:r>
      <w:r w:rsidRPr="007A6E2E">
        <w:rPr>
          <w:b/>
          <w:bCs/>
        </w:rPr>
        <w:t>"</w:t>
      </w:r>
      <w:r w:rsidR="00E90EB9" w:rsidRPr="007A6E2E">
        <w:rPr>
          <w:b/>
          <w:bCs/>
        </w:rPr>
        <w:t xml:space="preserve">Assessing </w:t>
      </w:r>
      <w:r w:rsidR="007A6E2E" w:rsidRPr="007A6E2E">
        <w:rPr>
          <w:b/>
          <w:bCs/>
        </w:rPr>
        <w:t>the</w:t>
      </w:r>
      <w:r w:rsidRPr="007A6E2E">
        <w:rPr>
          <w:b/>
          <w:bCs/>
        </w:rPr>
        <w:t xml:space="preserve"> Impact of Cross-Cultural International Marketing on Consumer Brand Loyalty:</w:t>
      </w:r>
      <w:r w:rsidRPr="00526E87">
        <w:rPr>
          <w:rFonts w:cs="Arial"/>
          <w:i/>
          <w:iCs/>
          <w:szCs w:val="24"/>
        </w:rPr>
        <w:t xml:space="preserve"> </w:t>
      </w:r>
      <w:r w:rsidRPr="00E90EB9">
        <w:rPr>
          <w:rFonts w:cs="Arial"/>
          <w:b/>
          <w:bCs/>
          <w:i/>
          <w:iCs/>
          <w:szCs w:val="24"/>
        </w:rPr>
        <w:t>A Comparative Study of Starbucks and Costa Coffee in the UK Market"</w:t>
      </w:r>
    </w:p>
    <w:p w14:paraId="12800273" w14:textId="77777777" w:rsidR="00877242" w:rsidRDefault="00877242">
      <w:pPr>
        <w:spacing w:line="360" w:lineRule="auto"/>
        <w:jc w:val="center"/>
        <w:rPr>
          <w:rFonts w:cs="Arial"/>
          <w:b/>
          <w:bCs/>
          <w:sz w:val="28"/>
          <w:szCs w:val="24"/>
        </w:rPr>
      </w:pPr>
    </w:p>
    <w:p w14:paraId="53EAA0C9" w14:textId="32CC7CA9" w:rsidR="00D8014E" w:rsidRPr="00646B06" w:rsidRDefault="00232011">
      <w:pPr>
        <w:spacing w:line="360" w:lineRule="auto"/>
        <w:jc w:val="center"/>
        <w:rPr>
          <w:rFonts w:cs="Arial"/>
          <w:b/>
          <w:bCs/>
          <w:i/>
          <w:iCs/>
          <w:sz w:val="28"/>
          <w:szCs w:val="28"/>
        </w:rPr>
      </w:pPr>
      <w:r w:rsidRPr="00646B06">
        <w:rPr>
          <w:b/>
          <w:sz w:val="28"/>
          <w:szCs w:val="28"/>
        </w:rPr>
        <w:t>Word Count:</w:t>
      </w:r>
      <w:r w:rsidR="00646B06" w:rsidRPr="00646B06">
        <w:rPr>
          <w:b/>
          <w:sz w:val="28"/>
          <w:szCs w:val="28"/>
        </w:rPr>
        <w:t xml:space="preserve"> </w:t>
      </w:r>
      <w:r w:rsidR="00526E87">
        <w:rPr>
          <w:b/>
          <w:sz w:val="28"/>
          <w:szCs w:val="28"/>
        </w:rPr>
        <w:t>1</w:t>
      </w:r>
      <w:r w:rsidR="00976A80">
        <w:rPr>
          <w:b/>
          <w:sz w:val="28"/>
          <w:szCs w:val="28"/>
        </w:rPr>
        <w:t>5721</w:t>
      </w:r>
    </w:p>
    <w:p w14:paraId="6B2722E6" w14:textId="77777777" w:rsidR="00D8014E" w:rsidRDefault="00D8014E"/>
    <w:p w14:paraId="5772B043" w14:textId="77777777" w:rsidR="00877242" w:rsidRDefault="00877242">
      <w:pPr>
        <w:spacing w:after="0" w:line="240" w:lineRule="auto"/>
        <w:jc w:val="left"/>
        <w:rPr>
          <w:rFonts w:eastAsiaTheme="majorEastAsia" w:cstheme="majorBidi"/>
          <w:b/>
          <w:sz w:val="32"/>
          <w:szCs w:val="32"/>
        </w:rPr>
      </w:pPr>
      <w:bookmarkStart w:id="1" w:name="_Toc239604292"/>
      <w:r>
        <w:br w:type="page"/>
      </w:r>
    </w:p>
    <w:p w14:paraId="65E0EAF4" w14:textId="77777777" w:rsidR="00D8014E" w:rsidRDefault="00232011" w:rsidP="005C5AA4">
      <w:pPr>
        <w:pStyle w:val="Heading1"/>
      </w:pPr>
      <w:bookmarkStart w:id="2" w:name="_Toc240989696"/>
      <w:r>
        <w:lastRenderedPageBreak/>
        <w:t>Acknowledgements</w:t>
      </w:r>
      <w:bookmarkEnd w:id="1"/>
      <w:bookmarkEnd w:id="2"/>
    </w:p>
    <w:p w14:paraId="00A29312" w14:textId="50B449AE" w:rsidR="00D8014E" w:rsidRDefault="00FD740B">
      <w:pPr>
        <w:spacing w:line="360" w:lineRule="auto"/>
      </w:pPr>
      <w:r w:rsidRPr="00F36699">
        <w:rPr>
          <w:rFonts w:cs="Arial"/>
          <w:szCs w:val="24"/>
        </w:rPr>
        <w:t xml:space="preserve">I am thankful for the academic supervision and constructive criticism given in this MBA dissertations. I also recognize the support that was provided by the </w:t>
      </w:r>
      <w:proofErr w:type="spellStart"/>
      <w:r w:rsidRPr="00F36699">
        <w:rPr>
          <w:rFonts w:cs="Arial"/>
          <w:szCs w:val="24"/>
        </w:rPr>
        <w:t>programme</w:t>
      </w:r>
      <w:proofErr w:type="spellEnd"/>
      <w:r w:rsidRPr="00F36699">
        <w:rPr>
          <w:rFonts w:cs="Arial"/>
          <w:szCs w:val="24"/>
        </w:rPr>
        <w:t xml:space="preserve"> team and library/digital learning services, which provided access to scholarly and professional evidence. This study was motivated by the comparative focus that was found in the work of the various researchers, public bodies and </w:t>
      </w:r>
      <w:proofErr w:type="spellStart"/>
      <w:r w:rsidRPr="00F36699">
        <w:rPr>
          <w:rFonts w:cs="Arial"/>
          <w:szCs w:val="24"/>
        </w:rPr>
        <w:t>organisations</w:t>
      </w:r>
      <w:proofErr w:type="spellEnd"/>
      <w:r w:rsidRPr="00F36699">
        <w:rPr>
          <w:rFonts w:cs="Arial"/>
          <w:szCs w:val="24"/>
        </w:rPr>
        <w:t xml:space="preserve"> mentioned in the references. The final interpretation, analysis and presentation of the dissertation is my own</w:t>
      </w:r>
      <w:r w:rsidR="00232011">
        <w:t>.</w:t>
      </w:r>
    </w:p>
    <w:p w14:paraId="77F0D9C0" w14:textId="77777777" w:rsidR="00D8014E" w:rsidRDefault="00D8014E"/>
    <w:p w14:paraId="6DDE8E23" w14:textId="77777777" w:rsidR="00D8014E" w:rsidRDefault="00D8014E"/>
    <w:p w14:paraId="0DFFD5F8" w14:textId="77777777" w:rsidR="00D8014E" w:rsidRDefault="00D8014E"/>
    <w:p w14:paraId="2AC04B4F" w14:textId="77777777" w:rsidR="00D8014E" w:rsidRDefault="00232011">
      <w:pPr>
        <w:rPr>
          <w:rFonts w:cs="Arial"/>
          <w:b/>
          <w:bCs/>
          <w:szCs w:val="24"/>
        </w:rPr>
      </w:pPr>
      <w:r>
        <w:rPr>
          <w:rFonts w:cs="Arial"/>
          <w:b/>
          <w:bCs/>
          <w:szCs w:val="24"/>
        </w:rPr>
        <w:t>Jowher Ahmed</w:t>
      </w:r>
    </w:p>
    <w:p w14:paraId="2E15E2BA" w14:textId="77777777" w:rsidR="00D8014E" w:rsidRDefault="00232011">
      <w:pPr>
        <w:rPr>
          <w:szCs w:val="24"/>
        </w:rPr>
      </w:pPr>
      <w:r>
        <w:rPr>
          <w:rFonts w:cs="Arial"/>
          <w:b/>
          <w:bCs/>
          <w:szCs w:val="24"/>
        </w:rPr>
        <w:t>2437456</w:t>
      </w:r>
    </w:p>
    <w:p w14:paraId="18A7C8EC" w14:textId="77777777" w:rsidR="00D8014E" w:rsidRDefault="00D8014E"/>
    <w:p w14:paraId="77D3C6EB" w14:textId="77777777" w:rsidR="00D8014E" w:rsidRDefault="00D8014E"/>
    <w:p w14:paraId="128326A0" w14:textId="77777777" w:rsidR="00D8014E" w:rsidRDefault="00D8014E"/>
    <w:p w14:paraId="4C6D8857" w14:textId="77777777" w:rsidR="00D8014E" w:rsidRDefault="00D8014E"/>
    <w:p w14:paraId="21143EA2" w14:textId="77777777" w:rsidR="00D8014E" w:rsidRDefault="00D8014E"/>
    <w:p w14:paraId="20B39C34" w14:textId="77777777" w:rsidR="00D8014E" w:rsidRDefault="00D8014E"/>
    <w:p w14:paraId="257C3815" w14:textId="77777777" w:rsidR="00D8014E" w:rsidRDefault="00D8014E"/>
    <w:p w14:paraId="29803228" w14:textId="77777777" w:rsidR="00D8014E" w:rsidRDefault="00D8014E"/>
    <w:p w14:paraId="3610E8AC" w14:textId="77777777" w:rsidR="00D8014E" w:rsidRDefault="00D8014E"/>
    <w:p w14:paraId="41BAD48B" w14:textId="77777777" w:rsidR="00D8014E" w:rsidRDefault="00D8014E"/>
    <w:p w14:paraId="3778ABF8" w14:textId="77777777" w:rsidR="00D8014E" w:rsidRDefault="00D8014E"/>
    <w:p w14:paraId="2B6A09E9" w14:textId="77777777" w:rsidR="00D8014E" w:rsidRDefault="00D8014E"/>
    <w:p w14:paraId="1E0AE7B1" w14:textId="77777777" w:rsidR="005C5AA4" w:rsidRDefault="005C5AA4">
      <w:pPr>
        <w:spacing w:after="0" w:line="240" w:lineRule="auto"/>
        <w:jc w:val="left"/>
        <w:rPr>
          <w:rFonts w:eastAsiaTheme="majorEastAsia" w:cstheme="majorBidi"/>
          <w:b/>
          <w:sz w:val="32"/>
          <w:szCs w:val="32"/>
        </w:rPr>
      </w:pPr>
      <w:bookmarkStart w:id="3" w:name="_Toc239604293"/>
      <w:r>
        <w:br w:type="page"/>
      </w:r>
    </w:p>
    <w:p w14:paraId="2367460C" w14:textId="77777777" w:rsidR="00D8014E" w:rsidRDefault="00232011" w:rsidP="005C5AA4">
      <w:pPr>
        <w:pStyle w:val="Heading1"/>
        <w:spacing w:line="360" w:lineRule="auto"/>
      </w:pPr>
      <w:bookmarkStart w:id="4" w:name="_Toc240989697"/>
      <w:r>
        <w:lastRenderedPageBreak/>
        <w:t>Abstract</w:t>
      </w:r>
      <w:bookmarkEnd w:id="3"/>
      <w:bookmarkEnd w:id="4"/>
    </w:p>
    <w:p w14:paraId="4BF6FE8B" w14:textId="1EEC5A91" w:rsidR="00D8014E" w:rsidRPr="00365991" w:rsidRDefault="00FD740B" w:rsidP="005C5AA4">
      <w:pPr>
        <w:spacing w:line="360" w:lineRule="auto"/>
        <w:rPr>
          <w:rFonts w:cs="Arial"/>
          <w:szCs w:val="24"/>
        </w:rPr>
      </w:pPr>
      <w:r w:rsidRPr="00F36699">
        <w:rPr>
          <w:rFonts w:cs="Arial"/>
          <w:szCs w:val="24"/>
        </w:rPr>
        <w:t xml:space="preserve">This dissertation critically explores the relationship between cross-cultural international marketing strategies and consumer brand loyalty of branded coffee-shops Starbucks and Costa Coffee in the UK. It has an </w:t>
      </w:r>
      <w:proofErr w:type="spellStart"/>
      <w:r w:rsidRPr="00F36699">
        <w:rPr>
          <w:rFonts w:cs="Arial"/>
          <w:szCs w:val="24"/>
        </w:rPr>
        <w:t>interpretivist</w:t>
      </w:r>
      <w:proofErr w:type="spellEnd"/>
      <w:r w:rsidRPr="00F36699">
        <w:rPr>
          <w:rFonts w:cs="Arial"/>
          <w:szCs w:val="24"/>
        </w:rPr>
        <w:t xml:space="preserve"> and qualitative comparative case design, and it is purely secondary data design. A structured integrative review resulted in a verified corpus of 90 sources, including 67 peer-reviewed journal articles, nine scholarly books and 14 official, statistical and specialist-industry sources. The evidence was </w:t>
      </w:r>
      <w:proofErr w:type="spellStart"/>
      <w:r w:rsidRPr="00F36699">
        <w:rPr>
          <w:rFonts w:cs="Arial"/>
          <w:szCs w:val="24"/>
        </w:rPr>
        <w:t>analysed</w:t>
      </w:r>
      <w:proofErr w:type="spellEnd"/>
      <w:r w:rsidRPr="00F36699">
        <w:rPr>
          <w:rFonts w:cs="Arial"/>
          <w:szCs w:val="24"/>
        </w:rPr>
        <w:t xml:space="preserve"> using the six phase process of </w:t>
      </w:r>
      <w:proofErr w:type="spellStart"/>
      <w:r w:rsidRPr="00F36699">
        <w:rPr>
          <w:rFonts w:cs="Arial"/>
          <w:szCs w:val="24"/>
        </w:rPr>
        <w:t>thematics</w:t>
      </w:r>
      <w:proofErr w:type="spellEnd"/>
      <w:r w:rsidRPr="00F36699">
        <w:rPr>
          <w:rFonts w:cs="Arial"/>
          <w:szCs w:val="24"/>
        </w:rPr>
        <w:t xml:space="preserve"> analysis by Braun and Clarke and the conditions of provenance, setting, independence and transferability were taken into account. Four themes were found: ‘</w:t>
      </w:r>
      <w:proofErr w:type="spellStart"/>
      <w:r w:rsidRPr="00F36699">
        <w:rPr>
          <w:rFonts w:cs="Arial"/>
          <w:szCs w:val="24"/>
        </w:rPr>
        <w:t>glocal</w:t>
      </w:r>
      <w:proofErr w:type="spellEnd"/>
      <w:r w:rsidRPr="00F36699">
        <w:rPr>
          <w:rFonts w:cs="Arial"/>
          <w:szCs w:val="24"/>
        </w:rPr>
        <w:t xml:space="preserve"> identity and cultural legitimacy'; ‘culturally legible customer experience'; ‘digitally mediated convenience and reciprocity'; and ‘credible communication, inclusion and responsibility'. The synthesis indicates that adaptation does not necessarily lead to loyalty; it becomes loyalty-relevant if it is perceived as useful and authentic, reliable and inclusive, and fosters trust, satisfaction, identification and commitment of consumers. They are influenced by price, quality, location and convenience, consumption occasion and competition. Starbucks is taking a global approach to consistency and convenience, while also building relationships in the UK, and Costa is embracing its London heritage and familiarity while also taking steps towards digital and sustainability initiatives. Given that there is only limited recent direct comparative consumer research in the UK, an overall ranking of loyalty is not defensible given the available evidence. The dissertation thus calls for easy-to-understand customer-journey standards and for the appropriate local discretion, the establishment of clear reward systems and the </w:t>
      </w:r>
      <w:proofErr w:type="spellStart"/>
      <w:r w:rsidRPr="00F36699">
        <w:rPr>
          <w:rFonts w:cs="Arial"/>
          <w:szCs w:val="24"/>
        </w:rPr>
        <w:t>personalisation</w:t>
      </w:r>
      <w:proofErr w:type="spellEnd"/>
      <w:r w:rsidRPr="00F36699">
        <w:rPr>
          <w:rFonts w:cs="Arial"/>
          <w:szCs w:val="24"/>
        </w:rPr>
        <w:t xml:space="preserve"> of communication based on the consent of customers, for the sustainability reporting with evidence and a loyalty dashboard for all cultures. The construct that is created is related to cultural interpretation, relationship quality, and attitudinal and </w:t>
      </w:r>
      <w:proofErr w:type="spellStart"/>
      <w:r w:rsidRPr="00F36699">
        <w:rPr>
          <w:rFonts w:cs="Arial"/>
          <w:szCs w:val="24"/>
        </w:rPr>
        <w:t>behavioural</w:t>
      </w:r>
      <w:proofErr w:type="spellEnd"/>
      <w:r w:rsidRPr="00F36699">
        <w:rPr>
          <w:rFonts w:cs="Arial"/>
          <w:szCs w:val="24"/>
        </w:rPr>
        <w:t xml:space="preserve"> loyalty, but has distinct boundaries for causal interpretation</w:t>
      </w:r>
      <w:r w:rsidR="00232011">
        <w:t>.</w:t>
      </w:r>
    </w:p>
    <w:p w14:paraId="5D8FFF93" w14:textId="77777777" w:rsidR="00D8014E" w:rsidRDefault="00D8014E">
      <w:pPr>
        <w:spacing w:line="276" w:lineRule="auto"/>
      </w:pPr>
    </w:p>
    <w:p w14:paraId="784C8583" w14:textId="77777777" w:rsidR="00D8014E" w:rsidRDefault="00232011">
      <w:pPr>
        <w:sectPr w:rsidR="00D8014E">
          <w:footerReference w:type="default" r:id="rId11"/>
          <w:footerReference w:type="first" r:id="rId12"/>
          <w:pgSz w:w="12240" w:h="15840"/>
          <w:pgMar w:top="1440" w:right="1440" w:bottom="1440" w:left="1440" w:header="0" w:footer="720" w:gutter="0"/>
          <w:pgNumType w:fmt="lowerRoman" w:start="1"/>
          <w:cols w:space="720"/>
          <w:formProt w:val="0"/>
          <w:docGrid w:linePitch="360"/>
        </w:sectPr>
      </w:pPr>
      <w:r>
        <w:rPr>
          <w:b/>
          <w:bCs/>
        </w:rPr>
        <w:t>Keywords:</w:t>
      </w:r>
      <w:r>
        <w:t xml:space="preserve"> </w:t>
      </w:r>
      <w:r>
        <w:rPr>
          <w:i/>
          <w:iCs/>
        </w:rPr>
        <w:t xml:space="preserve">cross-cultural marketing; </w:t>
      </w:r>
      <w:proofErr w:type="spellStart"/>
      <w:r>
        <w:rPr>
          <w:i/>
          <w:iCs/>
        </w:rPr>
        <w:t>glocalisation</w:t>
      </w:r>
      <w:proofErr w:type="spellEnd"/>
      <w:r>
        <w:rPr>
          <w:i/>
          <w:iCs/>
        </w:rPr>
        <w:t>; brand loyalty; Starbuck</w:t>
      </w:r>
      <w:r w:rsidR="005C5AA4">
        <w:rPr>
          <w:i/>
          <w:iCs/>
        </w:rPr>
        <w:t>s; Costa Coffee; United Kingdom</w:t>
      </w:r>
    </w:p>
    <w:sdt>
      <w:sdtPr>
        <w:rPr>
          <w:rFonts w:ascii="Arial" w:eastAsiaTheme="minorHAnsi" w:hAnsi="Arial" w:cstheme="minorBidi"/>
          <w:b w:val="0"/>
          <w:color w:val="auto"/>
          <w:sz w:val="24"/>
          <w:szCs w:val="22"/>
        </w:rPr>
        <w:id w:val="-1170251222"/>
        <w:docPartObj>
          <w:docPartGallery w:val="Table of Contents"/>
          <w:docPartUnique/>
        </w:docPartObj>
      </w:sdtPr>
      <w:sdtContent>
        <w:p w14:paraId="2AAAEE00" w14:textId="77777777" w:rsidR="00D8014E" w:rsidRPr="00565A21" w:rsidRDefault="00232011" w:rsidP="005C5AA4">
          <w:pPr>
            <w:pStyle w:val="TOCHeading"/>
            <w:spacing w:line="360" w:lineRule="auto"/>
            <w:jc w:val="center"/>
            <w:rPr>
              <w:rFonts w:ascii="Arial" w:hAnsi="Arial" w:cs="Arial"/>
              <w:bCs/>
              <w:color w:val="auto"/>
            </w:rPr>
          </w:pPr>
          <w:r w:rsidRPr="00565A21">
            <w:rPr>
              <w:rFonts w:ascii="Arial" w:hAnsi="Arial" w:cs="Arial"/>
              <w:bCs/>
              <w:color w:val="auto"/>
            </w:rPr>
            <w:t>Table of Contents</w:t>
          </w:r>
        </w:p>
        <w:p w14:paraId="24252DB4" w14:textId="56E5510A" w:rsidR="007F08CB" w:rsidRDefault="00232011">
          <w:pPr>
            <w:pStyle w:val="TOC1"/>
            <w:tabs>
              <w:tab w:val="right" w:leader="dot" w:pos="9350"/>
            </w:tabs>
            <w:rPr>
              <w:rFonts w:asciiTheme="minorHAnsi" w:eastAsiaTheme="minorEastAsia" w:hAnsiTheme="minorHAnsi"/>
              <w:noProof/>
              <w:sz w:val="22"/>
            </w:rPr>
          </w:pPr>
          <w:r>
            <w:fldChar w:fldCharType="begin"/>
          </w:r>
          <w:r>
            <w:rPr>
              <w:rStyle w:val="IndexLink"/>
              <w:webHidden/>
            </w:rPr>
            <w:instrText xml:space="preserve"> TOC \z \o "1-3" \u \h</w:instrText>
          </w:r>
          <w:r>
            <w:rPr>
              <w:rStyle w:val="IndexLink"/>
            </w:rPr>
            <w:fldChar w:fldCharType="separate"/>
          </w:r>
          <w:hyperlink w:anchor="_Toc240989696" w:history="1">
            <w:r w:rsidR="007F08CB" w:rsidRPr="00C315DB">
              <w:rPr>
                <w:rStyle w:val="Hyperlink"/>
                <w:noProof/>
              </w:rPr>
              <w:t>Acknowledgements</w:t>
            </w:r>
            <w:r w:rsidR="007F08CB">
              <w:rPr>
                <w:noProof/>
                <w:webHidden/>
              </w:rPr>
              <w:tab/>
            </w:r>
            <w:r w:rsidR="007F08CB">
              <w:rPr>
                <w:noProof/>
                <w:webHidden/>
              </w:rPr>
              <w:fldChar w:fldCharType="begin"/>
            </w:r>
            <w:r w:rsidR="007F08CB">
              <w:rPr>
                <w:noProof/>
                <w:webHidden/>
              </w:rPr>
              <w:instrText xml:space="preserve"> PAGEREF _Toc240989696 \h </w:instrText>
            </w:r>
            <w:r w:rsidR="007F08CB">
              <w:rPr>
                <w:noProof/>
                <w:webHidden/>
              </w:rPr>
            </w:r>
            <w:r w:rsidR="007F08CB">
              <w:rPr>
                <w:noProof/>
                <w:webHidden/>
              </w:rPr>
              <w:fldChar w:fldCharType="separate"/>
            </w:r>
            <w:r w:rsidR="007F08CB">
              <w:rPr>
                <w:noProof/>
                <w:webHidden/>
              </w:rPr>
              <w:t>ii</w:t>
            </w:r>
            <w:r w:rsidR="007F08CB">
              <w:rPr>
                <w:noProof/>
                <w:webHidden/>
              </w:rPr>
              <w:fldChar w:fldCharType="end"/>
            </w:r>
          </w:hyperlink>
        </w:p>
        <w:p w14:paraId="4157196C" w14:textId="62EC2B9E" w:rsidR="007F08CB" w:rsidRDefault="00D27030">
          <w:pPr>
            <w:pStyle w:val="TOC1"/>
            <w:tabs>
              <w:tab w:val="right" w:leader="dot" w:pos="9350"/>
            </w:tabs>
            <w:rPr>
              <w:rFonts w:asciiTheme="minorHAnsi" w:eastAsiaTheme="minorEastAsia" w:hAnsiTheme="minorHAnsi"/>
              <w:noProof/>
              <w:sz w:val="22"/>
            </w:rPr>
          </w:pPr>
          <w:hyperlink w:anchor="_Toc240989697" w:history="1">
            <w:r w:rsidR="007F08CB" w:rsidRPr="00C315DB">
              <w:rPr>
                <w:rStyle w:val="Hyperlink"/>
                <w:noProof/>
              </w:rPr>
              <w:t>Abstract</w:t>
            </w:r>
            <w:r w:rsidR="007F08CB">
              <w:rPr>
                <w:noProof/>
                <w:webHidden/>
              </w:rPr>
              <w:tab/>
            </w:r>
            <w:r w:rsidR="007F08CB">
              <w:rPr>
                <w:noProof/>
                <w:webHidden/>
              </w:rPr>
              <w:fldChar w:fldCharType="begin"/>
            </w:r>
            <w:r w:rsidR="007F08CB">
              <w:rPr>
                <w:noProof/>
                <w:webHidden/>
              </w:rPr>
              <w:instrText xml:space="preserve"> PAGEREF _Toc240989697 \h </w:instrText>
            </w:r>
            <w:r w:rsidR="007F08CB">
              <w:rPr>
                <w:noProof/>
                <w:webHidden/>
              </w:rPr>
            </w:r>
            <w:r w:rsidR="007F08CB">
              <w:rPr>
                <w:noProof/>
                <w:webHidden/>
              </w:rPr>
              <w:fldChar w:fldCharType="separate"/>
            </w:r>
            <w:r w:rsidR="007F08CB">
              <w:rPr>
                <w:noProof/>
                <w:webHidden/>
              </w:rPr>
              <w:t>iii</w:t>
            </w:r>
            <w:r w:rsidR="007F08CB">
              <w:rPr>
                <w:noProof/>
                <w:webHidden/>
              </w:rPr>
              <w:fldChar w:fldCharType="end"/>
            </w:r>
          </w:hyperlink>
        </w:p>
        <w:p w14:paraId="45772591" w14:textId="60C725B7" w:rsidR="007F08CB" w:rsidRDefault="00D27030">
          <w:pPr>
            <w:pStyle w:val="TOC1"/>
            <w:tabs>
              <w:tab w:val="right" w:leader="dot" w:pos="9350"/>
            </w:tabs>
            <w:rPr>
              <w:rFonts w:asciiTheme="minorHAnsi" w:eastAsiaTheme="minorEastAsia" w:hAnsiTheme="minorHAnsi"/>
              <w:noProof/>
              <w:sz w:val="22"/>
            </w:rPr>
          </w:pPr>
          <w:hyperlink w:anchor="_Toc240989698" w:history="1">
            <w:r w:rsidR="007F08CB" w:rsidRPr="00C315DB">
              <w:rPr>
                <w:rStyle w:val="Hyperlink"/>
                <w:noProof/>
              </w:rPr>
              <w:t>Chapter 1: Introduction</w:t>
            </w:r>
            <w:r w:rsidR="007F08CB">
              <w:rPr>
                <w:noProof/>
                <w:webHidden/>
              </w:rPr>
              <w:tab/>
            </w:r>
            <w:r w:rsidR="007F08CB">
              <w:rPr>
                <w:noProof/>
                <w:webHidden/>
              </w:rPr>
              <w:fldChar w:fldCharType="begin"/>
            </w:r>
            <w:r w:rsidR="007F08CB">
              <w:rPr>
                <w:noProof/>
                <w:webHidden/>
              </w:rPr>
              <w:instrText xml:space="preserve"> PAGEREF _Toc240989698 \h </w:instrText>
            </w:r>
            <w:r w:rsidR="007F08CB">
              <w:rPr>
                <w:noProof/>
                <w:webHidden/>
              </w:rPr>
            </w:r>
            <w:r w:rsidR="007F08CB">
              <w:rPr>
                <w:noProof/>
                <w:webHidden/>
              </w:rPr>
              <w:fldChar w:fldCharType="separate"/>
            </w:r>
            <w:r w:rsidR="007F08CB">
              <w:rPr>
                <w:noProof/>
                <w:webHidden/>
              </w:rPr>
              <w:t>1</w:t>
            </w:r>
            <w:r w:rsidR="007F08CB">
              <w:rPr>
                <w:noProof/>
                <w:webHidden/>
              </w:rPr>
              <w:fldChar w:fldCharType="end"/>
            </w:r>
          </w:hyperlink>
        </w:p>
        <w:p w14:paraId="06E903A5" w14:textId="45F486C7" w:rsidR="007F08CB" w:rsidRDefault="00D27030">
          <w:pPr>
            <w:pStyle w:val="TOC2"/>
            <w:tabs>
              <w:tab w:val="right" w:leader="dot" w:pos="9350"/>
            </w:tabs>
            <w:rPr>
              <w:rFonts w:asciiTheme="minorHAnsi" w:eastAsiaTheme="minorEastAsia" w:hAnsiTheme="minorHAnsi"/>
              <w:noProof/>
              <w:sz w:val="22"/>
            </w:rPr>
          </w:pPr>
          <w:hyperlink w:anchor="_Toc240989699" w:history="1">
            <w:r w:rsidR="007F08CB" w:rsidRPr="00C315DB">
              <w:rPr>
                <w:rStyle w:val="Hyperlink"/>
                <w:noProof/>
              </w:rPr>
              <w:t>1.1 Background and context</w:t>
            </w:r>
            <w:r w:rsidR="007F08CB">
              <w:rPr>
                <w:noProof/>
                <w:webHidden/>
              </w:rPr>
              <w:tab/>
            </w:r>
            <w:r w:rsidR="007F08CB">
              <w:rPr>
                <w:noProof/>
                <w:webHidden/>
              </w:rPr>
              <w:fldChar w:fldCharType="begin"/>
            </w:r>
            <w:r w:rsidR="007F08CB">
              <w:rPr>
                <w:noProof/>
                <w:webHidden/>
              </w:rPr>
              <w:instrText xml:space="preserve"> PAGEREF _Toc240989699 \h </w:instrText>
            </w:r>
            <w:r w:rsidR="007F08CB">
              <w:rPr>
                <w:noProof/>
                <w:webHidden/>
              </w:rPr>
            </w:r>
            <w:r w:rsidR="007F08CB">
              <w:rPr>
                <w:noProof/>
                <w:webHidden/>
              </w:rPr>
              <w:fldChar w:fldCharType="separate"/>
            </w:r>
            <w:r w:rsidR="007F08CB">
              <w:rPr>
                <w:noProof/>
                <w:webHidden/>
              </w:rPr>
              <w:t>1</w:t>
            </w:r>
            <w:r w:rsidR="007F08CB">
              <w:rPr>
                <w:noProof/>
                <w:webHidden/>
              </w:rPr>
              <w:fldChar w:fldCharType="end"/>
            </w:r>
          </w:hyperlink>
        </w:p>
        <w:p w14:paraId="343D8DDC" w14:textId="12113CF6" w:rsidR="007F08CB" w:rsidRDefault="00D27030">
          <w:pPr>
            <w:pStyle w:val="TOC2"/>
            <w:tabs>
              <w:tab w:val="right" w:leader="dot" w:pos="9350"/>
            </w:tabs>
            <w:rPr>
              <w:rFonts w:asciiTheme="minorHAnsi" w:eastAsiaTheme="minorEastAsia" w:hAnsiTheme="minorHAnsi"/>
              <w:noProof/>
              <w:sz w:val="22"/>
            </w:rPr>
          </w:pPr>
          <w:hyperlink w:anchor="_Toc240989700" w:history="1">
            <w:r w:rsidR="007F08CB" w:rsidRPr="00C315DB">
              <w:rPr>
                <w:rStyle w:val="Hyperlink"/>
                <w:noProof/>
              </w:rPr>
              <w:t>1.2 Rationale of the study</w:t>
            </w:r>
            <w:r w:rsidR="007F08CB">
              <w:rPr>
                <w:noProof/>
                <w:webHidden/>
              </w:rPr>
              <w:tab/>
            </w:r>
            <w:r w:rsidR="007F08CB">
              <w:rPr>
                <w:noProof/>
                <w:webHidden/>
              </w:rPr>
              <w:fldChar w:fldCharType="begin"/>
            </w:r>
            <w:r w:rsidR="007F08CB">
              <w:rPr>
                <w:noProof/>
                <w:webHidden/>
              </w:rPr>
              <w:instrText xml:space="preserve"> PAGEREF _Toc240989700 \h </w:instrText>
            </w:r>
            <w:r w:rsidR="007F08CB">
              <w:rPr>
                <w:noProof/>
                <w:webHidden/>
              </w:rPr>
            </w:r>
            <w:r w:rsidR="007F08CB">
              <w:rPr>
                <w:noProof/>
                <w:webHidden/>
              </w:rPr>
              <w:fldChar w:fldCharType="separate"/>
            </w:r>
            <w:r w:rsidR="007F08CB">
              <w:rPr>
                <w:noProof/>
                <w:webHidden/>
              </w:rPr>
              <w:t>2</w:t>
            </w:r>
            <w:r w:rsidR="007F08CB">
              <w:rPr>
                <w:noProof/>
                <w:webHidden/>
              </w:rPr>
              <w:fldChar w:fldCharType="end"/>
            </w:r>
          </w:hyperlink>
        </w:p>
        <w:p w14:paraId="3877FE40" w14:textId="538BFB4F" w:rsidR="007F08CB" w:rsidRDefault="00D27030">
          <w:pPr>
            <w:pStyle w:val="TOC2"/>
            <w:tabs>
              <w:tab w:val="right" w:leader="dot" w:pos="9350"/>
            </w:tabs>
            <w:rPr>
              <w:rFonts w:asciiTheme="minorHAnsi" w:eastAsiaTheme="minorEastAsia" w:hAnsiTheme="minorHAnsi"/>
              <w:noProof/>
              <w:sz w:val="22"/>
            </w:rPr>
          </w:pPr>
          <w:hyperlink w:anchor="_Toc240989701" w:history="1">
            <w:r w:rsidR="007F08CB" w:rsidRPr="00C315DB">
              <w:rPr>
                <w:rStyle w:val="Hyperlink"/>
                <w:noProof/>
              </w:rPr>
              <w:t>1.3 Research Aim</w:t>
            </w:r>
            <w:r w:rsidR="007F08CB">
              <w:rPr>
                <w:noProof/>
                <w:webHidden/>
              </w:rPr>
              <w:tab/>
            </w:r>
            <w:r w:rsidR="007F08CB">
              <w:rPr>
                <w:noProof/>
                <w:webHidden/>
              </w:rPr>
              <w:fldChar w:fldCharType="begin"/>
            </w:r>
            <w:r w:rsidR="007F08CB">
              <w:rPr>
                <w:noProof/>
                <w:webHidden/>
              </w:rPr>
              <w:instrText xml:space="preserve"> PAGEREF _Toc240989701 \h </w:instrText>
            </w:r>
            <w:r w:rsidR="007F08CB">
              <w:rPr>
                <w:noProof/>
                <w:webHidden/>
              </w:rPr>
            </w:r>
            <w:r w:rsidR="007F08CB">
              <w:rPr>
                <w:noProof/>
                <w:webHidden/>
              </w:rPr>
              <w:fldChar w:fldCharType="separate"/>
            </w:r>
            <w:r w:rsidR="007F08CB">
              <w:rPr>
                <w:noProof/>
                <w:webHidden/>
              </w:rPr>
              <w:t>3</w:t>
            </w:r>
            <w:r w:rsidR="007F08CB">
              <w:rPr>
                <w:noProof/>
                <w:webHidden/>
              </w:rPr>
              <w:fldChar w:fldCharType="end"/>
            </w:r>
          </w:hyperlink>
        </w:p>
        <w:p w14:paraId="6E61A21B" w14:textId="61579629" w:rsidR="007F08CB" w:rsidRDefault="00D27030">
          <w:pPr>
            <w:pStyle w:val="TOC2"/>
            <w:tabs>
              <w:tab w:val="right" w:leader="dot" w:pos="9350"/>
            </w:tabs>
            <w:rPr>
              <w:rFonts w:asciiTheme="minorHAnsi" w:eastAsiaTheme="minorEastAsia" w:hAnsiTheme="minorHAnsi"/>
              <w:noProof/>
              <w:sz w:val="22"/>
            </w:rPr>
          </w:pPr>
          <w:hyperlink w:anchor="_Toc240989702" w:history="1">
            <w:r w:rsidR="007F08CB" w:rsidRPr="00C315DB">
              <w:rPr>
                <w:rStyle w:val="Hyperlink"/>
                <w:noProof/>
              </w:rPr>
              <w:t>1.4 Research Objectives</w:t>
            </w:r>
            <w:r w:rsidR="007F08CB">
              <w:rPr>
                <w:noProof/>
                <w:webHidden/>
              </w:rPr>
              <w:tab/>
            </w:r>
            <w:r w:rsidR="007F08CB">
              <w:rPr>
                <w:noProof/>
                <w:webHidden/>
              </w:rPr>
              <w:fldChar w:fldCharType="begin"/>
            </w:r>
            <w:r w:rsidR="007F08CB">
              <w:rPr>
                <w:noProof/>
                <w:webHidden/>
              </w:rPr>
              <w:instrText xml:space="preserve"> PAGEREF _Toc240989702 \h </w:instrText>
            </w:r>
            <w:r w:rsidR="007F08CB">
              <w:rPr>
                <w:noProof/>
                <w:webHidden/>
              </w:rPr>
            </w:r>
            <w:r w:rsidR="007F08CB">
              <w:rPr>
                <w:noProof/>
                <w:webHidden/>
              </w:rPr>
              <w:fldChar w:fldCharType="separate"/>
            </w:r>
            <w:r w:rsidR="007F08CB">
              <w:rPr>
                <w:noProof/>
                <w:webHidden/>
              </w:rPr>
              <w:t>3</w:t>
            </w:r>
            <w:r w:rsidR="007F08CB">
              <w:rPr>
                <w:noProof/>
                <w:webHidden/>
              </w:rPr>
              <w:fldChar w:fldCharType="end"/>
            </w:r>
          </w:hyperlink>
        </w:p>
        <w:p w14:paraId="3294E33D" w14:textId="67159408" w:rsidR="007F08CB" w:rsidRDefault="00D27030">
          <w:pPr>
            <w:pStyle w:val="TOC2"/>
            <w:tabs>
              <w:tab w:val="right" w:leader="dot" w:pos="9350"/>
            </w:tabs>
            <w:rPr>
              <w:rFonts w:asciiTheme="minorHAnsi" w:eastAsiaTheme="minorEastAsia" w:hAnsiTheme="minorHAnsi"/>
              <w:noProof/>
              <w:sz w:val="22"/>
            </w:rPr>
          </w:pPr>
          <w:hyperlink w:anchor="_Toc240989703" w:history="1">
            <w:r w:rsidR="007F08CB" w:rsidRPr="00C315DB">
              <w:rPr>
                <w:rStyle w:val="Hyperlink"/>
                <w:noProof/>
              </w:rPr>
              <w:t>1.5 Research Questions</w:t>
            </w:r>
            <w:r w:rsidR="007F08CB">
              <w:rPr>
                <w:noProof/>
                <w:webHidden/>
              </w:rPr>
              <w:tab/>
            </w:r>
            <w:r w:rsidR="007F08CB">
              <w:rPr>
                <w:noProof/>
                <w:webHidden/>
              </w:rPr>
              <w:fldChar w:fldCharType="begin"/>
            </w:r>
            <w:r w:rsidR="007F08CB">
              <w:rPr>
                <w:noProof/>
                <w:webHidden/>
              </w:rPr>
              <w:instrText xml:space="preserve"> PAGEREF _Toc240989703 \h </w:instrText>
            </w:r>
            <w:r w:rsidR="007F08CB">
              <w:rPr>
                <w:noProof/>
                <w:webHidden/>
              </w:rPr>
            </w:r>
            <w:r w:rsidR="007F08CB">
              <w:rPr>
                <w:noProof/>
                <w:webHidden/>
              </w:rPr>
              <w:fldChar w:fldCharType="separate"/>
            </w:r>
            <w:r w:rsidR="007F08CB">
              <w:rPr>
                <w:noProof/>
                <w:webHidden/>
              </w:rPr>
              <w:t>4</w:t>
            </w:r>
            <w:r w:rsidR="007F08CB">
              <w:rPr>
                <w:noProof/>
                <w:webHidden/>
              </w:rPr>
              <w:fldChar w:fldCharType="end"/>
            </w:r>
          </w:hyperlink>
        </w:p>
        <w:p w14:paraId="14DE77B3" w14:textId="0064322C" w:rsidR="007F08CB" w:rsidRDefault="00D27030">
          <w:pPr>
            <w:pStyle w:val="TOC2"/>
            <w:tabs>
              <w:tab w:val="right" w:leader="dot" w:pos="9350"/>
            </w:tabs>
            <w:rPr>
              <w:rFonts w:asciiTheme="minorHAnsi" w:eastAsiaTheme="minorEastAsia" w:hAnsiTheme="minorHAnsi"/>
              <w:noProof/>
              <w:sz w:val="22"/>
            </w:rPr>
          </w:pPr>
          <w:hyperlink w:anchor="_Toc240989704" w:history="1">
            <w:r w:rsidR="007F08CB" w:rsidRPr="00C315DB">
              <w:rPr>
                <w:rStyle w:val="Hyperlink"/>
                <w:noProof/>
              </w:rPr>
              <w:t>1.6 Scope of the Study</w:t>
            </w:r>
            <w:r w:rsidR="007F08CB">
              <w:rPr>
                <w:noProof/>
                <w:webHidden/>
              </w:rPr>
              <w:tab/>
            </w:r>
            <w:r w:rsidR="007F08CB">
              <w:rPr>
                <w:noProof/>
                <w:webHidden/>
              </w:rPr>
              <w:fldChar w:fldCharType="begin"/>
            </w:r>
            <w:r w:rsidR="007F08CB">
              <w:rPr>
                <w:noProof/>
                <w:webHidden/>
              </w:rPr>
              <w:instrText xml:space="preserve"> PAGEREF _Toc240989704 \h </w:instrText>
            </w:r>
            <w:r w:rsidR="007F08CB">
              <w:rPr>
                <w:noProof/>
                <w:webHidden/>
              </w:rPr>
            </w:r>
            <w:r w:rsidR="007F08CB">
              <w:rPr>
                <w:noProof/>
                <w:webHidden/>
              </w:rPr>
              <w:fldChar w:fldCharType="separate"/>
            </w:r>
            <w:r w:rsidR="007F08CB">
              <w:rPr>
                <w:noProof/>
                <w:webHidden/>
              </w:rPr>
              <w:t>4</w:t>
            </w:r>
            <w:r w:rsidR="007F08CB">
              <w:rPr>
                <w:noProof/>
                <w:webHidden/>
              </w:rPr>
              <w:fldChar w:fldCharType="end"/>
            </w:r>
          </w:hyperlink>
        </w:p>
        <w:p w14:paraId="35A2CE04" w14:textId="42E9565C" w:rsidR="007F08CB" w:rsidRDefault="00D27030">
          <w:pPr>
            <w:pStyle w:val="TOC1"/>
            <w:tabs>
              <w:tab w:val="right" w:leader="dot" w:pos="9350"/>
            </w:tabs>
            <w:rPr>
              <w:rFonts w:asciiTheme="minorHAnsi" w:eastAsiaTheme="minorEastAsia" w:hAnsiTheme="minorHAnsi"/>
              <w:noProof/>
              <w:sz w:val="22"/>
            </w:rPr>
          </w:pPr>
          <w:hyperlink w:anchor="_Toc240989705" w:history="1">
            <w:r w:rsidR="007F08CB" w:rsidRPr="00C315DB">
              <w:rPr>
                <w:rStyle w:val="Hyperlink"/>
                <w:noProof/>
              </w:rPr>
              <w:t>Chapter 2: Literature Review</w:t>
            </w:r>
            <w:r w:rsidR="007F08CB">
              <w:rPr>
                <w:noProof/>
                <w:webHidden/>
              </w:rPr>
              <w:tab/>
            </w:r>
            <w:r w:rsidR="007F08CB">
              <w:rPr>
                <w:noProof/>
                <w:webHidden/>
              </w:rPr>
              <w:fldChar w:fldCharType="begin"/>
            </w:r>
            <w:r w:rsidR="007F08CB">
              <w:rPr>
                <w:noProof/>
                <w:webHidden/>
              </w:rPr>
              <w:instrText xml:space="preserve"> PAGEREF _Toc240989705 \h </w:instrText>
            </w:r>
            <w:r w:rsidR="007F08CB">
              <w:rPr>
                <w:noProof/>
                <w:webHidden/>
              </w:rPr>
            </w:r>
            <w:r w:rsidR="007F08CB">
              <w:rPr>
                <w:noProof/>
                <w:webHidden/>
              </w:rPr>
              <w:fldChar w:fldCharType="separate"/>
            </w:r>
            <w:r w:rsidR="007F08CB">
              <w:rPr>
                <w:noProof/>
                <w:webHidden/>
              </w:rPr>
              <w:t>6</w:t>
            </w:r>
            <w:r w:rsidR="007F08CB">
              <w:rPr>
                <w:noProof/>
                <w:webHidden/>
              </w:rPr>
              <w:fldChar w:fldCharType="end"/>
            </w:r>
          </w:hyperlink>
        </w:p>
        <w:p w14:paraId="41C64DF0" w14:textId="37B53F97" w:rsidR="007F08CB" w:rsidRDefault="00D27030">
          <w:pPr>
            <w:pStyle w:val="TOC2"/>
            <w:tabs>
              <w:tab w:val="right" w:leader="dot" w:pos="9350"/>
            </w:tabs>
            <w:rPr>
              <w:rFonts w:asciiTheme="minorHAnsi" w:eastAsiaTheme="minorEastAsia" w:hAnsiTheme="minorHAnsi"/>
              <w:noProof/>
              <w:sz w:val="22"/>
            </w:rPr>
          </w:pPr>
          <w:hyperlink w:anchor="_Toc240989706" w:history="1">
            <w:r w:rsidR="007F08CB" w:rsidRPr="00C315DB">
              <w:rPr>
                <w:rStyle w:val="Hyperlink"/>
                <w:noProof/>
              </w:rPr>
              <w:t>2.1 Introduction</w:t>
            </w:r>
            <w:r w:rsidR="007F08CB">
              <w:rPr>
                <w:noProof/>
                <w:webHidden/>
              </w:rPr>
              <w:tab/>
            </w:r>
            <w:r w:rsidR="007F08CB">
              <w:rPr>
                <w:noProof/>
                <w:webHidden/>
              </w:rPr>
              <w:fldChar w:fldCharType="begin"/>
            </w:r>
            <w:r w:rsidR="007F08CB">
              <w:rPr>
                <w:noProof/>
                <w:webHidden/>
              </w:rPr>
              <w:instrText xml:space="preserve"> PAGEREF _Toc240989706 \h </w:instrText>
            </w:r>
            <w:r w:rsidR="007F08CB">
              <w:rPr>
                <w:noProof/>
                <w:webHidden/>
              </w:rPr>
            </w:r>
            <w:r w:rsidR="007F08CB">
              <w:rPr>
                <w:noProof/>
                <w:webHidden/>
              </w:rPr>
              <w:fldChar w:fldCharType="separate"/>
            </w:r>
            <w:r w:rsidR="007F08CB">
              <w:rPr>
                <w:noProof/>
                <w:webHidden/>
              </w:rPr>
              <w:t>6</w:t>
            </w:r>
            <w:r w:rsidR="007F08CB">
              <w:rPr>
                <w:noProof/>
                <w:webHidden/>
              </w:rPr>
              <w:fldChar w:fldCharType="end"/>
            </w:r>
          </w:hyperlink>
        </w:p>
        <w:p w14:paraId="6FA8CBE6" w14:textId="1F0D8B2E" w:rsidR="007F08CB" w:rsidRDefault="00D27030">
          <w:pPr>
            <w:pStyle w:val="TOC2"/>
            <w:tabs>
              <w:tab w:val="right" w:leader="dot" w:pos="9350"/>
            </w:tabs>
            <w:rPr>
              <w:rFonts w:asciiTheme="minorHAnsi" w:eastAsiaTheme="minorEastAsia" w:hAnsiTheme="minorHAnsi"/>
              <w:noProof/>
              <w:sz w:val="22"/>
            </w:rPr>
          </w:pPr>
          <w:hyperlink w:anchor="_Toc240989707" w:history="1">
            <w:r w:rsidR="007F08CB" w:rsidRPr="00C315DB">
              <w:rPr>
                <w:rStyle w:val="Hyperlink"/>
                <w:noProof/>
              </w:rPr>
              <w:t>2.2 Cross-cultural international marketing: coordination and adaptation</w:t>
            </w:r>
            <w:r w:rsidR="007F08CB">
              <w:rPr>
                <w:noProof/>
                <w:webHidden/>
              </w:rPr>
              <w:tab/>
            </w:r>
            <w:r w:rsidR="007F08CB">
              <w:rPr>
                <w:noProof/>
                <w:webHidden/>
              </w:rPr>
              <w:fldChar w:fldCharType="begin"/>
            </w:r>
            <w:r w:rsidR="007F08CB">
              <w:rPr>
                <w:noProof/>
                <w:webHidden/>
              </w:rPr>
              <w:instrText xml:space="preserve"> PAGEREF _Toc240989707 \h </w:instrText>
            </w:r>
            <w:r w:rsidR="007F08CB">
              <w:rPr>
                <w:noProof/>
                <w:webHidden/>
              </w:rPr>
            </w:r>
            <w:r w:rsidR="007F08CB">
              <w:rPr>
                <w:noProof/>
                <w:webHidden/>
              </w:rPr>
              <w:fldChar w:fldCharType="separate"/>
            </w:r>
            <w:r w:rsidR="007F08CB">
              <w:rPr>
                <w:noProof/>
                <w:webHidden/>
              </w:rPr>
              <w:t>6</w:t>
            </w:r>
            <w:r w:rsidR="007F08CB">
              <w:rPr>
                <w:noProof/>
                <w:webHidden/>
              </w:rPr>
              <w:fldChar w:fldCharType="end"/>
            </w:r>
          </w:hyperlink>
        </w:p>
        <w:p w14:paraId="39A31CFB" w14:textId="412D8E26" w:rsidR="007F08CB" w:rsidRDefault="00D27030">
          <w:pPr>
            <w:pStyle w:val="TOC2"/>
            <w:tabs>
              <w:tab w:val="right" w:leader="dot" w:pos="9350"/>
            </w:tabs>
            <w:rPr>
              <w:rFonts w:asciiTheme="minorHAnsi" w:eastAsiaTheme="minorEastAsia" w:hAnsiTheme="minorHAnsi"/>
              <w:noProof/>
              <w:sz w:val="22"/>
            </w:rPr>
          </w:pPr>
          <w:hyperlink w:anchor="_Toc240989708" w:history="1">
            <w:r w:rsidR="007F08CB" w:rsidRPr="00C315DB">
              <w:rPr>
                <w:rStyle w:val="Hyperlink"/>
                <w:noProof/>
              </w:rPr>
              <w:t>2.3 Theoretical lenses</w:t>
            </w:r>
            <w:r w:rsidR="007F08CB">
              <w:rPr>
                <w:noProof/>
                <w:webHidden/>
              </w:rPr>
              <w:tab/>
            </w:r>
            <w:r w:rsidR="007F08CB">
              <w:rPr>
                <w:noProof/>
                <w:webHidden/>
              </w:rPr>
              <w:fldChar w:fldCharType="begin"/>
            </w:r>
            <w:r w:rsidR="007F08CB">
              <w:rPr>
                <w:noProof/>
                <w:webHidden/>
              </w:rPr>
              <w:instrText xml:space="preserve"> PAGEREF _Toc240989708 \h </w:instrText>
            </w:r>
            <w:r w:rsidR="007F08CB">
              <w:rPr>
                <w:noProof/>
                <w:webHidden/>
              </w:rPr>
            </w:r>
            <w:r w:rsidR="007F08CB">
              <w:rPr>
                <w:noProof/>
                <w:webHidden/>
              </w:rPr>
              <w:fldChar w:fldCharType="separate"/>
            </w:r>
            <w:r w:rsidR="007F08CB">
              <w:rPr>
                <w:noProof/>
                <w:webHidden/>
              </w:rPr>
              <w:t>8</w:t>
            </w:r>
            <w:r w:rsidR="007F08CB">
              <w:rPr>
                <w:noProof/>
                <w:webHidden/>
              </w:rPr>
              <w:fldChar w:fldCharType="end"/>
            </w:r>
          </w:hyperlink>
        </w:p>
        <w:p w14:paraId="419BAEB6" w14:textId="36FEF952" w:rsidR="007F08CB" w:rsidRDefault="00D27030">
          <w:pPr>
            <w:pStyle w:val="TOC3"/>
            <w:tabs>
              <w:tab w:val="right" w:leader="dot" w:pos="9350"/>
            </w:tabs>
            <w:rPr>
              <w:rFonts w:asciiTheme="minorHAnsi" w:eastAsiaTheme="minorEastAsia" w:hAnsiTheme="minorHAnsi"/>
              <w:noProof/>
              <w:sz w:val="22"/>
            </w:rPr>
          </w:pPr>
          <w:hyperlink w:anchor="_Toc240989709" w:history="1">
            <w:r w:rsidR="007F08CB" w:rsidRPr="00C315DB">
              <w:rPr>
                <w:rStyle w:val="Hyperlink"/>
                <w:noProof/>
              </w:rPr>
              <w:t>2.3.1 Hofstede's cultural dimensions</w:t>
            </w:r>
            <w:r w:rsidR="007F08CB">
              <w:rPr>
                <w:noProof/>
                <w:webHidden/>
              </w:rPr>
              <w:tab/>
            </w:r>
            <w:r w:rsidR="007F08CB">
              <w:rPr>
                <w:noProof/>
                <w:webHidden/>
              </w:rPr>
              <w:fldChar w:fldCharType="begin"/>
            </w:r>
            <w:r w:rsidR="007F08CB">
              <w:rPr>
                <w:noProof/>
                <w:webHidden/>
              </w:rPr>
              <w:instrText xml:space="preserve"> PAGEREF _Toc240989709 \h </w:instrText>
            </w:r>
            <w:r w:rsidR="007F08CB">
              <w:rPr>
                <w:noProof/>
                <w:webHidden/>
              </w:rPr>
            </w:r>
            <w:r w:rsidR="007F08CB">
              <w:rPr>
                <w:noProof/>
                <w:webHidden/>
              </w:rPr>
              <w:fldChar w:fldCharType="separate"/>
            </w:r>
            <w:r w:rsidR="007F08CB">
              <w:rPr>
                <w:noProof/>
                <w:webHidden/>
              </w:rPr>
              <w:t>8</w:t>
            </w:r>
            <w:r w:rsidR="007F08CB">
              <w:rPr>
                <w:noProof/>
                <w:webHidden/>
              </w:rPr>
              <w:fldChar w:fldCharType="end"/>
            </w:r>
          </w:hyperlink>
        </w:p>
        <w:p w14:paraId="0C8A5AAE" w14:textId="28490250" w:rsidR="007F08CB" w:rsidRDefault="00D27030">
          <w:pPr>
            <w:pStyle w:val="TOC3"/>
            <w:tabs>
              <w:tab w:val="right" w:leader="dot" w:pos="9350"/>
            </w:tabs>
            <w:rPr>
              <w:rFonts w:asciiTheme="minorHAnsi" w:eastAsiaTheme="minorEastAsia" w:hAnsiTheme="minorHAnsi"/>
              <w:noProof/>
              <w:sz w:val="22"/>
            </w:rPr>
          </w:pPr>
          <w:hyperlink w:anchor="_Toc240989710" w:history="1">
            <w:r w:rsidR="007F08CB" w:rsidRPr="00C315DB">
              <w:rPr>
                <w:rStyle w:val="Hyperlink"/>
                <w:noProof/>
              </w:rPr>
              <w:t>2.3.2 Consumer Culture Theory</w:t>
            </w:r>
            <w:r w:rsidR="007F08CB">
              <w:rPr>
                <w:noProof/>
                <w:webHidden/>
              </w:rPr>
              <w:tab/>
            </w:r>
            <w:r w:rsidR="007F08CB">
              <w:rPr>
                <w:noProof/>
                <w:webHidden/>
              </w:rPr>
              <w:fldChar w:fldCharType="begin"/>
            </w:r>
            <w:r w:rsidR="007F08CB">
              <w:rPr>
                <w:noProof/>
                <w:webHidden/>
              </w:rPr>
              <w:instrText xml:space="preserve"> PAGEREF _Toc240989710 \h </w:instrText>
            </w:r>
            <w:r w:rsidR="007F08CB">
              <w:rPr>
                <w:noProof/>
                <w:webHidden/>
              </w:rPr>
            </w:r>
            <w:r w:rsidR="007F08CB">
              <w:rPr>
                <w:noProof/>
                <w:webHidden/>
              </w:rPr>
              <w:fldChar w:fldCharType="separate"/>
            </w:r>
            <w:r w:rsidR="007F08CB">
              <w:rPr>
                <w:noProof/>
                <w:webHidden/>
              </w:rPr>
              <w:t>8</w:t>
            </w:r>
            <w:r w:rsidR="007F08CB">
              <w:rPr>
                <w:noProof/>
                <w:webHidden/>
              </w:rPr>
              <w:fldChar w:fldCharType="end"/>
            </w:r>
          </w:hyperlink>
        </w:p>
        <w:p w14:paraId="32C58188" w14:textId="383396C6" w:rsidR="007F08CB" w:rsidRDefault="00D27030">
          <w:pPr>
            <w:pStyle w:val="TOC3"/>
            <w:tabs>
              <w:tab w:val="right" w:leader="dot" w:pos="9350"/>
            </w:tabs>
            <w:rPr>
              <w:rFonts w:asciiTheme="minorHAnsi" w:eastAsiaTheme="minorEastAsia" w:hAnsiTheme="minorHAnsi"/>
              <w:noProof/>
              <w:sz w:val="22"/>
            </w:rPr>
          </w:pPr>
          <w:hyperlink w:anchor="_Toc240989711" w:history="1">
            <w:r w:rsidR="007F08CB" w:rsidRPr="00C315DB">
              <w:rPr>
                <w:rStyle w:val="Hyperlink"/>
                <w:noProof/>
              </w:rPr>
              <w:t>2.3.3 Relationship Marketing Theory</w:t>
            </w:r>
            <w:r w:rsidR="007F08CB">
              <w:rPr>
                <w:noProof/>
                <w:webHidden/>
              </w:rPr>
              <w:tab/>
            </w:r>
            <w:r w:rsidR="007F08CB">
              <w:rPr>
                <w:noProof/>
                <w:webHidden/>
              </w:rPr>
              <w:fldChar w:fldCharType="begin"/>
            </w:r>
            <w:r w:rsidR="007F08CB">
              <w:rPr>
                <w:noProof/>
                <w:webHidden/>
              </w:rPr>
              <w:instrText xml:space="preserve"> PAGEREF _Toc240989711 \h </w:instrText>
            </w:r>
            <w:r w:rsidR="007F08CB">
              <w:rPr>
                <w:noProof/>
                <w:webHidden/>
              </w:rPr>
            </w:r>
            <w:r w:rsidR="007F08CB">
              <w:rPr>
                <w:noProof/>
                <w:webHidden/>
              </w:rPr>
              <w:fldChar w:fldCharType="separate"/>
            </w:r>
            <w:r w:rsidR="007F08CB">
              <w:rPr>
                <w:noProof/>
                <w:webHidden/>
              </w:rPr>
              <w:t>9</w:t>
            </w:r>
            <w:r w:rsidR="007F08CB">
              <w:rPr>
                <w:noProof/>
                <w:webHidden/>
              </w:rPr>
              <w:fldChar w:fldCharType="end"/>
            </w:r>
          </w:hyperlink>
        </w:p>
        <w:p w14:paraId="5E06FA59" w14:textId="1563AA8A" w:rsidR="007F08CB" w:rsidRDefault="00D27030">
          <w:pPr>
            <w:pStyle w:val="TOC3"/>
            <w:tabs>
              <w:tab w:val="right" w:leader="dot" w:pos="9350"/>
            </w:tabs>
            <w:rPr>
              <w:rFonts w:asciiTheme="minorHAnsi" w:eastAsiaTheme="minorEastAsia" w:hAnsiTheme="minorHAnsi"/>
              <w:noProof/>
              <w:sz w:val="22"/>
            </w:rPr>
          </w:pPr>
          <w:hyperlink w:anchor="_Toc240989712" w:history="1">
            <w:r w:rsidR="007F08CB" w:rsidRPr="00C315DB">
              <w:rPr>
                <w:rStyle w:val="Hyperlink"/>
                <w:noProof/>
              </w:rPr>
              <w:t>2.3.4 Brand Loyalty Theory</w:t>
            </w:r>
            <w:r w:rsidR="007F08CB">
              <w:rPr>
                <w:noProof/>
                <w:webHidden/>
              </w:rPr>
              <w:tab/>
            </w:r>
            <w:r w:rsidR="007F08CB">
              <w:rPr>
                <w:noProof/>
                <w:webHidden/>
              </w:rPr>
              <w:fldChar w:fldCharType="begin"/>
            </w:r>
            <w:r w:rsidR="007F08CB">
              <w:rPr>
                <w:noProof/>
                <w:webHidden/>
              </w:rPr>
              <w:instrText xml:space="preserve"> PAGEREF _Toc240989712 \h </w:instrText>
            </w:r>
            <w:r w:rsidR="007F08CB">
              <w:rPr>
                <w:noProof/>
                <w:webHidden/>
              </w:rPr>
            </w:r>
            <w:r w:rsidR="007F08CB">
              <w:rPr>
                <w:noProof/>
                <w:webHidden/>
              </w:rPr>
              <w:fldChar w:fldCharType="separate"/>
            </w:r>
            <w:r w:rsidR="007F08CB">
              <w:rPr>
                <w:noProof/>
                <w:webHidden/>
              </w:rPr>
              <w:t>9</w:t>
            </w:r>
            <w:r w:rsidR="007F08CB">
              <w:rPr>
                <w:noProof/>
                <w:webHidden/>
              </w:rPr>
              <w:fldChar w:fldCharType="end"/>
            </w:r>
          </w:hyperlink>
        </w:p>
        <w:p w14:paraId="4CBF0E29" w14:textId="5CC7E87B" w:rsidR="007F08CB" w:rsidRDefault="00D27030">
          <w:pPr>
            <w:pStyle w:val="TOC2"/>
            <w:tabs>
              <w:tab w:val="right" w:leader="dot" w:pos="9350"/>
            </w:tabs>
            <w:rPr>
              <w:rFonts w:asciiTheme="minorHAnsi" w:eastAsiaTheme="minorEastAsia" w:hAnsiTheme="minorHAnsi"/>
              <w:noProof/>
              <w:sz w:val="22"/>
            </w:rPr>
          </w:pPr>
          <w:hyperlink w:anchor="_Toc240989713" w:history="1">
            <w:r w:rsidR="007F08CB" w:rsidRPr="00C315DB">
              <w:rPr>
                <w:rStyle w:val="Hyperlink"/>
                <w:noProof/>
              </w:rPr>
              <w:t>2.4 Perceived globalness, localness and cultural legitimacy</w:t>
            </w:r>
            <w:r w:rsidR="007F08CB">
              <w:rPr>
                <w:noProof/>
                <w:webHidden/>
              </w:rPr>
              <w:tab/>
            </w:r>
            <w:r w:rsidR="007F08CB">
              <w:rPr>
                <w:noProof/>
                <w:webHidden/>
              </w:rPr>
              <w:fldChar w:fldCharType="begin"/>
            </w:r>
            <w:r w:rsidR="007F08CB">
              <w:rPr>
                <w:noProof/>
                <w:webHidden/>
              </w:rPr>
              <w:instrText xml:space="preserve"> PAGEREF _Toc240989713 \h </w:instrText>
            </w:r>
            <w:r w:rsidR="007F08CB">
              <w:rPr>
                <w:noProof/>
                <w:webHidden/>
              </w:rPr>
            </w:r>
            <w:r w:rsidR="007F08CB">
              <w:rPr>
                <w:noProof/>
                <w:webHidden/>
              </w:rPr>
              <w:fldChar w:fldCharType="separate"/>
            </w:r>
            <w:r w:rsidR="007F08CB">
              <w:rPr>
                <w:noProof/>
                <w:webHidden/>
              </w:rPr>
              <w:t>11</w:t>
            </w:r>
            <w:r w:rsidR="007F08CB">
              <w:rPr>
                <w:noProof/>
                <w:webHidden/>
              </w:rPr>
              <w:fldChar w:fldCharType="end"/>
            </w:r>
          </w:hyperlink>
        </w:p>
        <w:p w14:paraId="588F0EF7" w14:textId="13056F61" w:rsidR="007F08CB" w:rsidRDefault="00D27030">
          <w:pPr>
            <w:pStyle w:val="TOC2"/>
            <w:tabs>
              <w:tab w:val="right" w:leader="dot" w:pos="9350"/>
            </w:tabs>
            <w:rPr>
              <w:rFonts w:asciiTheme="minorHAnsi" w:eastAsiaTheme="minorEastAsia" w:hAnsiTheme="minorHAnsi"/>
              <w:noProof/>
              <w:sz w:val="22"/>
            </w:rPr>
          </w:pPr>
          <w:hyperlink w:anchor="_Toc240989714" w:history="1">
            <w:r w:rsidR="007F08CB" w:rsidRPr="00C315DB">
              <w:rPr>
                <w:rStyle w:val="Hyperlink"/>
                <w:noProof/>
              </w:rPr>
              <w:t>2.5 Customer experience, servicescape and the third place</w:t>
            </w:r>
            <w:r w:rsidR="007F08CB">
              <w:rPr>
                <w:noProof/>
                <w:webHidden/>
              </w:rPr>
              <w:tab/>
            </w:r>
            <w:r w:rsidR="007F08CB">
              <w:rPr>
                <w:noProof/>
                <w:webHidden/>
              </w:rPr>
              <w:fldChar w:fldCharType="begin"/>
            </w:r>
            <w:r w:rsidR="007F08CB">
              <w:rPr>
                <w:noProof/>
                <w:webHidden/>
              </w:rPr>
              <w:instrText xml:space="preserve"> PAGEREF _Toc240989714 \h </w:instrText>
            </w:r>
            <w:r w:rsidR="007F08CB">
              <w:rPr>
                <w:noProof/>
                <w:webHidden/>
              </w:rPr>
            </w:r>
            <w:r w:rsidR="007F08CB">
              <w:rPr>
                <w:noProof/>
                <w:webHidden/>
              </w:rPr>
              <w:fldChar w:fldCharType="separate"/>
            </w:r>
            <w:r w:rsidR="007F08CB">
              <w:rPr>
                <w:noProof/>
                <w:webHidden/>
              </w:rPr>
              <w:t>12</w:t>
            </w:r>
            <w:r w:rsidR="007F08CB">
              <w:rPr>
                <w:noProof/>
                <w:webHidden/>
              </w:rPr>
              <w:fldChar w:fldCharType="end"/>
            </w:r>
          </w:hyperlink>
        </w:p>
        <w:p w14:paraId="033DEBEE" w14:textId="28784992" w:rsidR="007F08CB" w:rsidRDefault="00D27030">
          <w:pPr>
            <w:pStyle w:val="TOC2"/>
            <w:tabs>
              <w:tab w:val="right" w:leader="dot" w:pos="9350"/>
            </w:tabs>
            <w:rPr>
              <w:rFonts w:asciiTheme="minorHAnsi" w:eastAsiaTheme="minorEastAsia" w:hAnsiTheme="minorHAnsi"/>
              <w:noProof/>
              <w:sz w:val="22"/>
            </w:rPr>
          </w:pPr>
          <w:hyperlink w:anchor="_Toc240989715" w:history="1">
            <w:r w:rsidR="007F08CB" w:rsidRPr="00C315DB">
              <w:rPr>
                <w:rStyle w:val="Hyperlink"/>
                <w:noProof/>
              </w:rPr>
              <w:t>2.6 Digital engagement, personalisation and loyalty programmes</w:t>
            </w:r>
            <w:r w:rsidR="007F08CB">
              <w:rPr>
                <w:noProof/>
                <w:webHidden/>
              </w:rPr>
              <w:tab/>
            </w:r>
            <w:r w:rsidR="007F08CB">
              <w:rPr>
                <w:noProof/>
                <w:webHidden/>
              </w:rPr>
              <w:fldChar w:fldCharType="begin"/>
            </w:r>
            <w:r w:rsidR="007F08CB">
              <w:rPr>
                <w:noProof/>
                <w:webHidden/>
              </w:rPr>
              <w:instrText xml:space="preserve"> PAGEREF _Toc240989715 \h </w:instrText>
            </w:r>
            <w:r w:rsidR="007F08CB">
              <w:rPr>
                <w:noProof/>
                <w:webHidden/>
              </w:rPr>
            </w:r>
            <w:r w:rsidR="007F08CB">
              <w:rPr>
                <w:noProof/>
                <w:webHidden/>
              </w:rPr>
              <w:fldChar w:fldCharType="separate"/>
            </w:r>
            <w:r w:rsidR="007F08CB">
              <w:rPr>
                <w:noProof/>
                <w:webHidden/>
              </w:rPr>
              <w:t>14</w:t>
            </w:r>
            <w:r w:rsidR="007F08CB">
              <w:rPr>
                <w:noProof/>
                <w:webHidden/>
              </w:rPr>
              <w:fldChar w:fldCharType="end"/>
            </w:r>
          </w:hyperlink>
        </w:p>
        <w:p w14:paraId="7990C6E6" w14:textId="2EA99671" w:rsidR="007F08CB" w:rsidRDefault="00D27030">
          <w:pPr>
            <w:pStyle w:val="TOC2"/>
            <w:tabs>
              <w:tab w:val="right" w:leader="dot" w:pos="9350"/>
            </w:tabs>
            <w:rPr>
              <w:rFonts w:asciiTheme="minorHAnsi" w:eastAsiaTheme="minorEastAsia" w:hAnsiTheme="minorHAnsi"/>
              <w:noProof/>
              <w:sz w:val="22"/>
            </w:rPr>
          </w:pPr>
          <w:hyperlink w:anchor="_Toc240989716" w:history="1">
            <w:r w:rsidR="007F08CB" w:rsidRPr="00C315DB">
              <w:rPr>
                <w:rStyle w:val="Hyperlink"/>
                <w:noProof/>
              </w:rPr>
              <w:t>2.7 Authenticity, sustainability and inclusive communication</w:t>
            </w:r>
            <w:r w:rsidR="007F08CB">
              <w:rPr>
                <w:noProof/>
                <w:webHidden/>
              </w:rPr>
              <w:tab/>
            </w:r>
            <w:r w:rsidR="007F08CB">
              <w:rPr>
                <w:noProof/>
                <w:webHidden/>
              </w:rPr>
              <w:fldChar w:fldCharType="begin"/>
            </w:r>
            <w:r w:rsidR="007F08CB">
              <w:rPr>
                <w:noProof/>
                <w:webHidden/>
              </w:rPr>
              <w:instrText xml:space="preserve"> PAGEREF _Toc240989716 \h </w:instrText>
            </w:r>
            <w:r w:rsidR="007F08CB">
              <w:rPr>
                <w:noProof/>
                <w:webHidden/>
              </w:rPr>
            </w:r>
            <w:r w:rsidR="007F08CB">
              <w:rPr>
                <w:noProof/>
                <w:webHidden/>
              </w:rPr>
              <w:fldChar w:fldCharType="separate"/>
            </w:r>
            <w:r w:rsidR="007F08CB">
              <w:rPr>
                <w:noProof/>
                <w:webHidden/>
              </w:rPr>
              <w:t>15</w:t>
            </w:r>
            <w:r w:rsidR="007F08CB">
              <w:rPr>
                <w:noProof/>
                <w:webHidden/>
              </w:rPr>
              <w:fldChar w:fldCharType="end"/>
            </w:r>
          </w:hyperlink>
        </w:p>
        <w:p w14:paraId="422B63A9" w14:textId="18B8792C" w:rsidR="007F08CB" w:rsidRDefault="00D27030">
          <w:pPr>
            <w:pStyle w:val="TOC2"/>
            <w:tabs>
              <w:tab w:val="right" w:leader="dot" w:pos="9350"/>
            </w:tabs>
            <w:rPr>
              <w:rFonts w:asciiTheme="minorHAnsi" w:eastAsiaTheme="minorEastAsia" w:hAnsiTheme="minorHAnsi"/>
              <w:noProof/>
              <w:sz w:val="22"/>
            </w:rPr>
          </w:pPr>
          <w:hyperlink w:anchor="_Toc240989717" w:history="1">
            <w:r w:rsidR="007F08CB" w:rsidRPr="00C315DB">
              <w:rPr>
                <w:rStyle w:val="Hyperlink"/>
                <w:noProof/>
              </w:rPr>
              <w:t>2.8 Comparative expectations and research gap</w:t>
            </w:r>
            <w:r w:rsidR="007F08CB">
              <w:rPr>
                <w:noProof/>
                <w:webHidden/>
              </w:rPr>
              <w:tab/>
            </w:r>
            <w:r w:rsidR="007F08CB">
              <w:rPr>
                <w:noProof/>
                <w:webHidden/>
              </w:rPr>
              <w:fldChar w:fldCharType="begin"/>
            </w:r>
            <w:r w:rsidR="007F08CB">
              <w:rPr>
                <w:noProof/>
                <w:webHidden/>
              </w:rPr>
              <w:instrText xml:space="preserve"> PAGEREF _Toc240989717 \h </w:instrText>
            </w:r>
            <w:r w:rsidR="007F08CB">
              <w:rPr>
                <w:noProof/>
                <w:webHidden/>
              </w:rPr>
            </w:r>
            <w:r w:rsidR="007F08CB">
              <w:rPr>
                <w:noProof/>
                <w:webHidden/>
              </w:rPr>
              <w:fldChar w:fldCharType="separate"/>
            </w:r>
            <w:r w:rsidR="007F08CB">
              <w:rPr>
                <w:noProof/>
                <w:webHidden/>
              </w:rPr>
              <w:t>16</w:t>
            </w:r>
            <w:r w:rsidR="007F08CB">
              <w:rPr>
                <w:noProof/>
                <w:webHidden/>
              </w:rPr>
              <w:fldChar w:fldCharType="end"/>
            </w:r>
          </w:hyperlink>
        </w:p>
        <w:p w14:paraId="159B2FC7" w14:textId="32FE1935" w:rsidR="007F08CB" w:rsidRDefault="00D27030">
          <w:pPr>
            <w:pStyle w:val="TOC1"/>
            <w:tabs>
              <w:tab w:val="right" w:leader="dot" w:pos="9350"/>
            </w:tabs>
            <w:rPr>
              <w:rFonts w:asciiTheme="minorHAnsi" w:eastAsiaTheme="minorEastAsia" w:hAnsiTheme="minorHAnsi"/>
              <w:noProof/>
              <w:sz w:val="22"/>
            </w:rPr>
          </w:pPr>
          <w:hyperlink w:anchor="_Toc240989718" w:history="1">
            <w:r w:rsidR="007F08CB" w:rsidRPr="00C315DB">
              <w:rPr>
                <w:rStyle w:val="Hyperlink"/>
                <w:noProof/>
              </w:rPr>
              <w:t>Chapter 3: Research Methodology</w:t>
            </w:r>
            <w:r w:rsidR="007F08CB">
              <w:rPr>
                <w:noProof/>
                <w:webHidden/>
              </w:rPr>
              <w:tab/>
            </w:r>
            <w:r w:rsidR="007F08CB">
              <w:rPr>
                <w:noProof/>
                <w:webHidden/>
              </w:rPr>
              <w:fldChar w:fldCharType="begin"/>
            </w:r>
            <w:r w:rsidR="007F08CB">
              <w:rPr>
                <w:noProof/>
                <w:webHidden/>
              </w:rPr>
              <w:instrText xml:space="preserve"> PAGEREF _Toc240989718 \h </w:instrText>
            </w:r>
            <w:r w:rsidR="007F08CB">
              <w:rPr>
                <w:noProof/>
                <w:webHidden/>
              </w:rPr>
            </w:r>
            <w:r w:rsidR="007F08CB">
              <w:rPr>
                <w:noProof/>
                <w:webHidden/>
              </w:rPr>
              <w:fldChar w:fldCharType="separate"/>
            </w:r>
            <w:r w:rsidR="007F08CB">
              <w:rPr>
                <w:noProof/>
                <w:webHidden/>
              </w:rPr>
              <w:t>19</w:t>
            </w:r>
            <w:r w:rsidR="007F08CB">
              <w:rPr>
                <w:noProof/>
                <w:webHidden/>
              </w:rPr>
              <w:fldChar w:fldCharType="end"/>
            </w:r>
          </w:hyperlink>
        </w:p>
        <w:p w14:paraId="7D848F8D" w14:textId="5A14C12A" w:rsidR="007F08CB" w:rsidRDefault="00D27030">
          <w:pPr>
            <w:pStyle w:val="TOC2"/>
            <w:tabs>
              <w:tab w:val="right" w:leader="dot" w:pos="9350"/>
            </w:tabs>
            <w:rPr>
              <w:rFonts w:asciiTheme="minorHAnsi" w:eastAsiaTheme="minorEastAsia" w:hAnsiTheme="minorHAnsi"/>
              <w:noProof/>
              <w:sz w:val="22"/>
            </w:rPr>
          </w:pPr>
          <w:hyperlink w:anchor="_Toc240989719" w:history="1">
            <w:r w:rsidR="007F08CB" w:rsidRPr="00C315DB">
              <w:rPr>
                <w:rStyle w:val="Hyperlink"/>
                <w:noProof/>
              </w:rPr>
              <w:t>3.1 Research philosophy and design</w:t>
            </w:r>
            <w:r w:rsidR="007F08CB">
              <w:rPr>
                <w:noProof/>
                <w:webHidden/>
              </w:rPr>
              <w:tab/>
            </w:r>
            <w:r w:rsidR="007F08CB">
              <w:rPr>
                <w:noProof/>
                <w:webHidden/>
              </w:rPr>
              <w:fldChar w:fldCharType="begin"/>
            </w:r>
            <w:r w:rsidR="007F08CB">
              <w:rPr>
                <w:noProof/>
                <w:webHidden/>
              </w:rPr>
              <w:instrText xml:space="preserve"> PAGEREF _Toc240989719 \h </w:instrText>
            </w:r>
            <w:r w:rsidR="007F08CB">
              <w:rPr>
                <w:noProof/>
                <w:webHidden/>
              </w:rPr>
            </w:r>
            <w:r w:rsidR="007F08CB">
              <w:rPr>
                <w:noProof/>
                <w:webHidden/>
              </w:rPr>
              <w:fldChar w:fldCharType="separate"/>
            </w:r>
            <w:r w:rsidR="007F08CB">
              <w:rPr>
                <w:noProof/>
                <w:webHidden/>
              </w:rPr>
              <w:t>19</w:t>
            </w:r>
            <w:r w:rsidR="007F08CB">
              <w:rPr>
                <w:noProof/>
                <w:webHidden/>
              </w:rPr>
              <w:fldChar w:fldCharType="end"/>
            </w:r>
          </w:hyperlink>
        </w:p>
        <w:p w14:paraId="6183FF25" w14:textId="0A085739" w:rsidR="007F08CB" w:rsidRDefault="00D27030">
          <w:pPr>
            <w:pStyle w:val="TOC2"/>
            <w:tabs>
              <w:tab w:val="right" w:leader="dot" w:pos="9350"/>
            </w:tabs>
            <w:rPr>
              <w:rFonts w:asciiTheme="minorHAnsi" w:eastAsiaTheme="minorEastAsia" w:hAnsiTheme="minorHAnsi"/>
              <w:noProof/>
              <w:sz w:val="22"/>
            </w:rPr>
          </w:pPr>
          <w:hyperlink w:anchor="_Toc240989720" w:history="1">
            <w:r w:rsidR="007F08CB" w:rsidRPr="00C315DB">
              <w:rPr>
                <w:rStyle w:val="Hyperlink"/>
                <w:noProof/>
              </w:rPr>
              <w:t>3.2 Secondary-data strategy</w:t>
            </w:r>
            <w:r w:rsidR="007F08CB">
              <w:rPr>
                <w:noProof/>
                <w:webHidden/>
              </w:rPr>
              <w:tab/>
            </w:r>
            <w:r w:rsidR="007F08CB">
              <w:rPr>
                <w:noProof/>
                <w:webHidden/>
              </w:rPr>
              <w:fldChar w:fldCharType="begin"/>
            </w:r>
            <w:r w:rsidR="007F08CB">
              <w:rPr>
                <w:noProof/>
                <w:webHidden/>
              </w:rPr>
              <w:instrText xml:space="preserve"> PAGEREF _Toc240989720 \h </w:instrText>
            </w:r>
            <w:r w:rsidR="007F08CB">
              <w:rPr>
                <w:noProof/>
                <w:webHidden/>
              </w:rPr>
            </w:r>
            <w:r w:rsidR="007F08CB">
              <w:rPr>
                <w:noProof/>
                <w:webHidden/>
              </w:rPr>
              <w:fldChar w:fldCharType="separate"/>
            </w:r>
            <w:r w:rsidR="007F08CB">
              <w:rPr>
                <w:noProof/>
                <w:webHidden/>
              </w:rPr>
              <w:t>20</w:t>
            </w:r>
            <w:r w:rsidR="007F08CB">
              <w:rPr>
                <w:noProof/>
                <w:webHidden/>
              </w:rPr>
              <w:fldChar w:fldCharType="end"/>
            </w:r>
          </w:hyperlink>
        </w:p>
        <w:p w14:paraId="1FE01013" w14:textId="51B3BFCF" w:rsidR="007F08CB" w:rsidRDefault="00D27030">
          <w:pPr>
            <w:pStyle w:val="TOC2"/>
            <w:tabs>
              <w:tab w:val="right" w:leader="dot" w:pos="9350"/>
            </w:tabs>
            <w:rPr>
              <w:rFonts w:asciiTheme="minorHAnsi" w:eastAsiaTheme="minorEastAsia" w:hAnsiTheme="minorHAnsi"/>
              <w:noProof/>
              <w:sz w:val="22"/>
            </w:rPr>
          </w:pPr>
          <w:hyperlink w:anchor="_Toc240989721" w:history="1">
            <w:r w:rsidR="007F08CB" w:rsidRPr="00C315DB">
              <w:rPr>
                <w:rStyle w:val="Hyperlink"/>
                <w:noProof/>
              </w:rPr>
              <w:t>3.3 Selection, verification and corpus profile</w:t>
            </w:r>
            <w:r w:rsidR="007F08CB">
              <w:rPr>
                <w:noProof/>
                <w:webHidden/>
              </w:rPr>
              <w:tab/>
            </w:r>
            <w:r w:rsidR="007F08CB">
              <w:rPr>
                <w:noProof/>
                <w:webHidden/>
              </w:rPr>
              <w:fldChar w:fldCharType="begin"/>
            </w:r>
            <w:r w:rsidR="007F08CB">
              <w:rPr>
                <w:noProof/>
                <w:webHidden/>
              </w:rPr>
              <w:instrText xml:space="preserve"> PAGEREF _Toc240989721 \h </w:instrText>
            </w:r>
            <w:r w:rsidR="007F08CB">
              <w:rPr>
                <w:noProof/>
                <w:webHidden/>
              </w:rPr>
            </w:r>
            <w:r w:rsidR="007F08CB">
              <w:rPr>
                <w:noProof/>
                <w:webHidden/>
              </w:rPr>
              <w:fldChar w:fldCharType="separate"/>
            </w:r>
            <w:r w:rsidR="007F08CB">
              <w:rPr>
                <w:noProof/>
                <w:webHidden/>
              </w:rPr>
              <w:t>22</w:t>
            </w:r>
            <w:r w:rsidR="007F08CB">
              <w:rPr>
                <w:noProof/>
                <w:webHidden/>
              </w:rPr>
              <w:fldChar w:fldCharType="end"/>
            </w:r>
          </w:hyperlink>
        </w:p>
        <w:p w14:paraId="71D57660" w14:textId="15B54073" w:rsidR="007F08CB" w:rsidRDefault="00D27030">
          <w:pPr>
            <w:pStyle w:val="TOC2"/>
            <w:tabs>
              <w:tab w:val="right" w:leader="dot" w:pos="9350"/>
            </w:tabs>
            <w:rPr>
              <w:rFonts w:asciiTheme="minorHAnsi" w:eastAsiaTheme="minorEastAsia" w:hAnsiTheme="minorHAnsi"/>
              <w:noProof/>
              <w:sz w:val="22"/>
            </w:rPr>
          </w:pPr>
          <w:hyperlink w:anchor="_Toc240989722" w:history="1">
            <w:r w:rsidR="007F08CB" w:rsidRPr="00C315DB">
              <w:rPr>
                <w:rStyle w:val="Hyperlink"/>
                <w:noProof/>
              </w:rPr>
              <w:t>3.4 Data extraction and thematic analysis</w:t>
            </w:r>
            <w:r w:rsidR="007F08CB">
              <w:rPr>
                <w:noProof/>
                <w:webHidden/>
              </w:rPr>
              <w:tab/>
            </w:r>
            <w:r w:rsidR="007F08CB">
              <w:rPr>
                <w:noProof/>
                <w:webHidden/>
              </w:rPr>
              <w:fldChar w:fldCharType="begin"/>
            </w:r>
            <w:r w:rsidR="007F08CB">
              <w:rPr>
                <w:noProof/>
                <w:webHidden/>
              </w:rPr>
              <w:instrText xml:space="preserve"> PAGEREF _Toc240989722 \h </w:instrText>
            </w:r>
            <w:r w:rsidR="007F08CB">
              <w:rPr>
                <w:noProof/>
                <w:webHidden/>
              </w:rPr>
            </w:r>
            <w:r w:rsidR="007F08CB">
              <w:rPr>
                <w:noProof/>
                <w:webHidden/>
              </w:rPr>
              <w:fldChar w:fldCharType="separate"/>
            </w:r>
            <w:r w:rsidR="007F08CB">
              <w:rPr>
                <w:noProof/>
                <w:webHidden/>
              </w:rPr>
              <w:t>24</w:t>
            </w:r>
            <w:r w:rsidR="007F08CB">
              <w:rPr>
                <w:noProof/>
                <w:webHidden/>
              </w:rPr>
              <w:fldChar w:fldCharType="end"/>
            </w:r>
          </w:hyperlink>
        </w:p>
        <w:p w14:paraId="252B3A09" w14:textId="33A76A4D" w:rsidR="007F08CB" w:rsidRDefault="00D27030">
          <w:pPr>
            <w:pStyle w:val="TOC2"/>
            <w:tabs>
              <w:tab w:val="right" w:leader="dot" w:pos="9350"/>
            </w:tabs>
            <w:rPr>
              <w:rFonts w:asciiTheme="minorHAnsi" w:eastAsiaTheme="minorEastAsia" w:hAnsiTheme="minorHAnsi"/>
              <w:noProof/>
              <w:sz w:val="22"/>
            </w:rPr>
          </w:pPr>
          <w:hyperlink w:anchor="_Toc240989723" w:history="1">
            <w:r w:rsidR="007F08CB" w:rsidRPr="00C315DB">
              <w:rPr>
                <w:rStyle w:val="Hyperlink"/>
                <w:noProof/>
              </w:rPr>
              <w:t>3.5 Quality, reflexivity and ethics</w:t>
            </w:r>
            <w:r w:rsidR="007F08CB">
              <w:rPr>
                <w:noProof/>
                <w:webHidden/>
              </w:rPr>
              <w:tab/>
            </w:r>
            <w:r w:rsidR="007F08CB">
              <w:rPr>
                <w:noProof/>
                <w:webHidden/>
              </w:rPr>
              <w:fldChar w:fldCharType="begin"/>
            </w:r>
            <w:r w:rsidR="007F08CB">
              <w:rPr>
                <w:noProof/>
                <w:webHidden/>
              </w:rPr>
              <w:instrText xml:space="preserve"> PAGEREF _Toc240989723 \h </w:instrText>
            </w:r>
            <w:r w:rsidR="007F08CB">
              <w:rPr>
                <w:noProof/>
                <w:webHidden/>
              </w:rPr>
            </w:r>
            <w:r w:rsidR="007F08CB">
              <w:rPr>
                <w:noProof/>
                <w:webHidden/>
              </w:rPr>
              <w:fldChar w:fldCharType="separate"/>
            </w:r>
            <w:r w:rsidR="007F08CB">
              <w:rPr>
                <w:noProof/>
                <w:webHidden/>
              </w:rPr>
              <w:t>25</w:t>
            </w:r>
            <w:r w:rsidR="007F08CB">
              <w:rPr>
                <w:noProof/>
                <w:webHidden/>
              </w:rPr>
              <w:fldChar w:fldCharType="end"/>
            </w:r>
          </w:hyperlink>
        </w:p>
        <w:p w14:paraId="065E3A2C" w14:textId="0DB02621" w:rsidR="007F08CB" w:rsidRDefault="00D27030">
          <w:pPr>
            <w:pStyle w:val="TOC2"/>
            <w:tabs>
              <w:tab w:val="right" w:leader="dot" w:pos="9350"/>
            </w:tabs>
            <w:rPr>
              <w:rFonts w:asciiTheme="minorHAnsi" w:eastAsiaTheme="minorEastAsia" w:hAnsiTheme="minorHAnsi"/>
              <w:noProof/>
              <w:sz w:val="22"/>
            </w:rPr>
          </w:pPr>
          <w:hyperlink w:anchor="_Toc240989724" w:history="1">
            <w:r w:rsidR="007F08CB" w:rsidRPr="00C315DB">
              <w:rPr>
                <w:rStyle w:val="Hyperlink"/>
                <w:noProof/>
              </w:rPr>
              <w:t>3.6 Methodological limitations</w:t>
            </w:r>
            <w:r w:rsidR="007F08CB">
              <w:rPr>
                <w:noProof/>
                <w:webHidden/>
              </w:rPr>
              <w:tab/>
            </w:r>
            <w:r w:rsidR="007F08CB">
              <w:rPr>
                <w:noProof/>
                <w:webHidden/>
              </w:rPr>
              <w:fldChar w:fldCharType="begin"/>
            </w:r>
            <w:r w:rsidR="007F08CB">
              <w:rPr>
                <w:noProof/>
                <w:webHidden/>
              </w:rPr>
              <w:instrText xml:space="preserve"> PAGEREF _Toc240989724 \h </w:instrText>
            </w:r>
            <w:r w:rsidR="007F08CB">
              <w:rPr>
                <w:noProof/>
                <w:webHidden/>
              </w:rPr>
            </w:r>
            <w:r w:rsidR="007F08CB">
              <w:rPr>
                <w:noProof/>
                <w:webHidden/>
              </w:rPr>
              <w:fldChar w:fldCharType="separate"/>
            </w:r>
            <w:r w:rsidR="007F08CB">
              <w:rPr>
                <w:noProof/>
                <w:webHidden/>
              </w:rPr>
              <w:t>26</w:t>
            </w:r>
            <w:r w:rsidR="007F08CB">
              <w:rPr>
                <w:noProof/>
                <w:webHidden/>
              </w:rPr>
              <w:fldChar w:fldCharType="end"/>
            </w:r>
          </w:hyperlink>
        </w:p>
        <w:p w14:paraId="67EA67B9" w14:textId="333A57ED" w:rsidR="007F08CB" w:rsidRDefault="00D27030">
          <w:pPr>
            <w:pStyle w:val="TOC1"/>
            <w:tabs>
              <w:tab w:val="right" w:leader="dot" w:pos="9350"/>
            </w:tabs>
            <w:rPr>
              <w:rFonts w:asciiTheme="minorHAnsi" w:eastAsiaTheme="minorEastAsia" w:hAnsiTheme="minorHAnsi"/>
              <w:noProof/>
              <w:sz w:val="22"/>
            </w:rPr>
          </w:pPr>
          <w:hyperlink w:anchor="_Toc240989725" w:history="1">
            <w:r w:rsidR="007F08CB" w:rsidRPr="00C315DB">
              <w:rPr>
                <w:rStyle w:val="Hyperlink"/>
                <w:noProof/>
              </w:rPr>
              <w:t>Chapter 4: Data Analysis and Findings</w:t>
            </w:r>
            <w:r w:rsidR="007F08CB">
              <w:rPr>
                <w:noProof/>
                <w:webHidden/>
              </w:rPr>
              <w:tab/>
            </w:r>
            <w:r w:rsidR="007F08CB">
              <w:rPr>
                <w:noProof/>
                <w:webHidden/>
              </w:rPr>
              <w:fldChar w:fldCharType="begin"/>
            </w:r>
            <w:r w:rsidR="007F08CB">
              <w:rPr>
                <w:noProof/>
                <w:webHidden/>
              </w:rPr>
              <w:instrText xml:space="preserve"> PAGEREF _Toc240989725 \h </w:instrText>
            </w:r>
            <w:r w:rsidR="007F08CB">
              <w:rPr>
                <w:noProof/>
                <w:webHidden/>
              </w:rPr>
            </w:r>
            <w:r w:rsidR="007F08CB">
              <w:rPr>
                <w:noProof/>
                <w:webHidden/>
              </w:rPr>
              <w:fldChar w:fldCharType="separate"/>
            </w:r>
            <w:r w:rsidR="007F08CB">
              <w:rPr>
                <w:noProof/>
                <w:webHidden/>
              </w:rPr>
              <w:t>27</w:t>
            </w:r>
            <w:r w:rsidR="007F08CB">
              <w:rPr>
                <w:noProof/>
                <w:webHidden/>
              </w:rPr>
              <w:fldChar w:fldCharType="end"/>
            </w:r>
          </w:hyperlink>
        </w:p>
        <w:p w14:paraId="269A17D3" w14:textId="16DA9904" w:rsidR="007F08CB" w:rsidRDefault="00D27030">
          <w:pPr>
            <w:pStyle w:val="TOC2"/>
            <w:tabs>
              <w:tab w:val="right" w:leader="dot" w:pos="9350"/>
            </w:tabs>
            <w:rPr>
              <w:rFonts w:asciiTheme="minorHAnsi" w:eastAsiaTheme="minorEastAsia" w:hAnsiTheme="minorHAnsi"/>
              <w:noProof/>
              <w:sz w:val="22"/>
            </w:rPr>
          </w:pPr>
          <w:hyperlink w:anchor="_Toc240989726" w:history="1">
            <w:r w:rsidR="007F08CB" w:rsidRPr="00C315DB">
              <w:rPr>
                <w:rStyle w:val="Hyperlink"/>
                <w:noProof/>
              </w:rPr>
              <w:t>4.1 Analytical overview</w:t>
            </w:r>
            <w:r w:rsidR="007F08CB">
              <w:rPr>
                <w:noProof/>
                <w:webHidden/>
              </w:rPr>
              <w:tab/>
            </w:r>
            <w:r w:rsidR="007F08CB">
              <w:rPr>
                <w:noProof/>
                <w:webHidden/>
              </w:rPr>
              <w:fldChar w:fldCharType="begin"/>
            </w:r>
            <w:r w:rsidR="007F08CB">
              <w:rPr>
                <w:noProof/>
                <w:webHidden/>
              </w:rPr>
              <w:instrText xml:space="preserve"> PAGEREF _Toc240989726 \h </w:instrText>
            </w:r>
            <w:r w:rsidR="007F08CB">
              <w:rPr>
                <w:noProof/>
                <w:webHidden/>
              </w:rPr>
            </w:r>
            <w:r w:rsidR="007F08CB">
              <w:rPr>
                <w:noProof/>
                <w:webHidden/>
              </w:rPr>
              <w:fldChar w:fldCharType="separate"/>
            </w:r>
            <w:r w:rsidR="007F08CB">
              <w:rPr>
                <w:noProof/>
                <w:webHidden/>
              </w:rPr>
              <w:t>27</w:t>
            </w:r>
            <w:r w:rsidR="007F08CB">
              <w:rPr>
                <w:noProof/>
                <w:webHidden/>
              </w:rPr>
              <w:fldChar w:fldCharType="end"/>
            </w:r>
          </w:hyperlink>
        </w:p>
        <w:p w14:paraId="0090B78C" w14:textId="36A0734F" w:rsidR="007F08CB" w:rsidRDefault="00D27030">
          <w:pPr>
            <w:pStyle w:val="TOC2"/>
            <w:tabs>
              <w:tab w:val="right" w:leader="dot" w:pos="9350"/>
            </w:tabs>
            <w:rPr>
              <w:rFonts w:asciiTheme="minorHAnsi" w:eastAsiaTheme="minorEastAsia" w:hAnsiTheme="minorHAnsi"/>
              <w:noProof/>
              <w:sz w:val="22"/>
            </w:rPr>
          </w:pPr>
          <w:hyperlink w:anchor="_Toc240989727" w:history="1">
            <w:r w:rsidR="007F08CB" w:rsidRPr="00C315DB">
              <w:rPr>
                <w:rStyle w:val="Hyperlink"/>
                <w:noProof/>
              </w:rPr>
              <w:t>4.2 Theme 1: glocal identity and cultural legitimacy</w:t>
            </w:r>
            <w:r w:rsidR="007F08CB">
              <w:rPr>
                <w:noProof/>
                <w:webHidden/>
              </w:rPr>
              <w:tab/>
            </w:r>
            <w:r w:rsidR="007F08CB">
              <w:rPr>
                <w:noProof/>
                <w:webHidden/>
              </w:rPr>
              <w:fldChar w:fldCharType="begin"/>
            </w:r>
            <w:r w:rsidR="007F08CB">
              <w:rPr>
                <w:noProof/>
                <w:webHidden/>
              </w:rPr>
              <w:instrText xml:space="preserve"> PAGEREF _Toc240989727 \h </w:instrText>
            </w:r>
            <w:r w:rsidR="007F08CB">
              <w:rPr>
                <w:noProof/>
                <w:webHidden/>
              </w:rPr>
            </w:r>
            <w:r w:rsidR="007F08CB">
              <w:rPr>
                <w:noProof/>
                <w:webHidden/>
              </w:rPr>
              <w:fldChar w:fldCharType="separate"/>
            </w:r>
            <w:r w:rsidR="007F08CB">
              <w:rPr>
                <w:noProof/>
                <w:webHidden/>
              </w:rPr>
              <w:t>28</w:t>
            </w:r>
            <w:r w:rsidR="007F08CB">
              <w:rPr>
                <w:noProof/>
                <w:webHidden/>
              </w:rPr>
              <w:fldChar w:fldCharType="end"/>
            </w:r>
          </w:hyperlink>
        </w:p>
        <w:p w14:paraId="4ADE2AAF" w14:textId="2AE2B42B" w:rsidR="007F08CB" w:rsidRDefault="00D27030">
          <w:pPr>
            <w:pStyle w:val="TOC2"/>
            <w:tabs>
              <w:tab w:val="right" w:leader="dot" w:pos="9350"/>
            </w:tabs>
            <w:rPr>
              <w:rFonts w:asciiTheme="minorHAnsi" w:eastAsiaTheme="minorEastAsia" w:hAnsiTheme="minorHAnsi"/>
              <w:noProof/>
              <w:sz w:val="22"/>
            </w:rPr>
          </w:pPr>
          <w:hyperlink w:anchor="_Toc240989728" w:history="1">
            <w:r w:rsidR="007F08CB" w:rsidRPr="00C315DB">
              <w:rPr>
                <w:rStyle w:val="Hyperlink"/>
                <w:noProof/>
              </w:rPr>
              <w:t>4.3 Theme 2: culturally legible customer experience</w:t>
            </w:r>
            <w:r w:rsidR="007F08CB">
              <w:rPr>
                <w:noProof/>
                <w:webHidden/>
              </w:rPr>
              <w:tab/>
            </w:r>
            <w:r w:rsidR="007F08CB">
              <w:rPr>
                <w:noProof/>
                <w:webHidden/>
              </w:rPr>
              <w:fldChar w:fldCharType="begin"/>
            </w:r>
            <w:r w:rsidR="007F08CB">
              <w:rPr>
                <w:noProof/>
                <w:webHidden/>
              </w:rPr>
              <w:instrText xml:space="preserve"> PAGEREF _Toc240989728 \h </w:instrText>
            </w:r>
            <w:r w:rsidR="007F08CB">
              <w:rPr>
                <w:noProof/>
                <w:webHidden/>
              </w:rPr>
            </w:r>
            <w:r w:rsidR="007F08CB">
              <w:rPr>
                <w:noProof/>
                <w:webHidden/>
              </w:rPr>
              <w:fldChar w:fldCharType="separate"/>
            </w:r>
            <w:r w:rsidR="007F08CB">
              <w:rPr>
                <w:noProof/>
                <w:webHidden/>
              </w:rPr>
              <w:t>30</w:t>
            </w:r>
            <w:r w:rsidR="007F08CB">
              <w:rPr>
                <w:noProof/>
                <w:webHidden/>
              </w:rPr>
              <w:fldChar w:fldCharType="end"/>
            </w:r>
          </w:hyperlink>
        </w:p>
        <w:p w14:paraId="48185796" w14:textId="5EC17878" w:rsidR="007F08CB" w:rsidRDefault="00D27030">
          <w:pPr>
            <w:pStyle w:val="TOC2"/>
            <w:tabs>
              <w:tab w:val="right" w:leader="dot" w:pos="9350"/>
            </w:tabs>
            <w:rPr>
              <w:rFonts w:asciiTheme="minorHAnsi" w:eastAsiaTheme="minorEastAsia" w:hAnsiTheme="minorHAnsi"/>
              <w:noProof/>
              <w:sz w:val="22"/>
            </w:rPr>
          </w:pPr>
          <w:hyperlink w:anchor="_Toc240989729" w:history="1">
            <w:r w:rsidR="007F08CB" w:rsidRPr="00C315DB">
              <w:rPr>
                <w:rStyle w:val="Hyperlink"/>
                <w:noProof/>
              </w:rPr>
              <w:t>4.4 Theme 3: digitally mediated convenience and reciprocity</w:t>
            </w:r>
            <w:r w:rsidR="007F08CB">
              <w:rPr>
                <w:noProof/>
                <w:webHidden/>
              </w:rPr>
              <w:tab/>
            </w:r>
            <w:r w:rsidR="007F08CB">
              <w:rPr>
                <w:noProof/>
                <w:webHidden/>
              </w:rPr>
              <w:fldChar w:fldCharType="begin"/>
            </w:r>
            <w:r w:rsidR="007F08CB">
              <w:rPr>
                <w:noProof/>
                <w:webHidden/>
              </w:rPr>
              <w:instrText xml:space="preserve"> PAGEREF _Toc240989729 \h </w:instrText>
            </w:r>
            <w:r w:rsidR="007F08CB">
              <w:rPr>
                <w:noProof/>
                <w:webHidden/>
              </w:rPr>
            </w:r>
            <w:r w:rsidR="007F08CB">
              <w:rPr>
                <w:noProof/>
                <w:webHidden/>
              </w:rPr>
              <w:fldChar w:fldCharType="separate"/>
            </w:r>
            <w:r w:rsidR="007F08CB">
              <w:rPr>
                <w:noProof/>
                <w:webHidden/>
              </w:rPr>
              <w:t>32</w:t>
            </w:r>
            <w:r w:rsidR="007F08CB">
              <w:rPr>
                <w:noProof/>
                <w:webHidden/>
              </w:rPr>
              <w:fldChar w:fldCharType="end"/>
            </w:r>
          </w:hyperlink>
        </w:p>
        <w:p w14:paraId="68E4FCE4" w14:textId="1104A90E" w:rsidR="007F08CB" w:rsidRDefault="00D27030">
          <w:pPr>
            <w:pStyle w:val="TOC2"/>
            <w:tabs>
              <w:tab w:val="right" w:leader="dot" w:pos="9350"/>
            </w:tabs>
            <w:rPr>
              <w:rFonts w:asciiTheme="minorHAnsi" w:eastAsiaTheme="minorEastAsia" w:hAnsiTheme="minorHAnsi"/>
              <w:noProof/>
              <w:sz w:val="22"/>
            </w:rPr>
          </w:pPr>
          <w:hyperlink w:anchor="_Toc240989730" w:history="1">
            <w:r w:rsidR="007F08CB" w:rsidRPr="00C315DB">
              <w:rPr>
                <w:rStyle w:val="Hyperlink"/>
                <w:noProof/>
              </w:rPr>
              <w:t>4.5 Theme 4: credible communication, inclusion and responsibility</w:t>
            </w:r>
            <w:r w:rsidR="007F08CB">
              <w:rPr>
                <w:noProof/>
                <w:webHidden/>
              </w:rPr>
              <w:tab/>
            </w:r>
            <w:r w:rsidR="007F08CB">
              <w:rPr>
                <w:noProof/>
                <w:webHidden/>
              </w:rPr>
              <w:fldChar w:fldCharType="begin"/>
            </w:r>
            <w:r w:rsidR="007F08CB">
              <w:rPr>
                <w:noProof/>
                <w:webHidden/>
              </w:rPr>
              <w:instrText xml:space="preserve"> PAGEREF _Toc240989730 \h </w:instrText>
            </w:r>
            <w:r w:rsidR="007F08CB">
              <w:rPr>
                <w:noProof/>
                <w:webHidden/>
              </w:rPr>
            </w:r>
            <w:r w:rsidR="007F08CB">
              <w:rPr>
                <w:noProof/>
                <w:webHidden/>
              </w:rPr>
              <w:fldChar w:fldCharType="separate"/>
            </w:r>
            <w:r w:rsidR="007F08CB">
              <w:rPr>
                <w:noProof/>
                <w:webHidden/>
              </w:rPr>
              <w:t>34</w:t>
            </w:r>
            <w:r w:rsidR="007F08CB">
              <w:rPr>
                <w:noProof/>
                <w:webHidden/>
              </w:rPr>
              <w:fldChar w:fldCharType="end"/>
            </w:r>
          </w:hyperlink>
        </w:p>
        <w:p w14:paraId="33C6AA25" w14:textId="6D4AC6A6" w:rsidR="007F08CB" w:rsidRDefault="00D27030">
          <w:pPr>
            <w:pStyle w:val="TOC2"/>
            <w:tabs>
              <w:tab w:val="right" w:leader="dot" w:pos="9350"/>
            </w:tabs>
            <w:rPr>
              <w:rFonts w:asciiTheme="minorHAnsi" w:eastAsiaTheme="minorEastAsia" w:hAnsiTheme="minorHAnsi"/>
              <w:noProof/>
              <w:sz w:val="22"/>
            </w:rPr>
          </w:pPr>
          <w:hyperlink w:anchor="_Toc240989731" w:history="1">
            <w:r w:rsidR="007F08CB" w:rsidRPr="00C315DB">
              <w:rPr>
                <w:rStyle w:val="Hyperlink"/>
                <w:noProof/>
              </w:rPr>
              <w:t>4.6 Cross-case synthesis</w:t>
            </w:r>
            <w:r w:rsidR="007F08CB">
              <w:rPr>
                <w:noProof/>
                <w:webHidden/>
              </w:rPr>
              <w:tab/>
            </w:r>
            <w:r w:rsidR="007F08CB">
              <w:rPr>
                <w:noProof/>
                <w:webHidden/>
              </w:rPr>
              <w:fldChar w:fldCharType="begin"/>
            </w:r>
            <w:r w:rsidR="007F08CB">
              <w:rPr>
                <w:noProof/>
                <w:webHidden/>
              </w:rPr>
              <w:instrText xml:space="preserve"> PAGEREF _Toc240989731 \h </w:instrText>
            </w:r>
            <w:r w:rsidR="007F08CB">
              <w:rPr>
                <w:noProof/>
                <w:webHidden/>
              </w:rPr>
            </w:r>
            <w:r w:rsidR="007F08CB">
              <w:rPr>
                <w:noProof/>
                <w:webHidden/>
              </w:rPr>
              <w:fldChar w:fldCharType="separate"/>
            </w:r>
            <w:r w:rsidR="007F08CB">
              <w:rPr>
                <w:noProof/>
                <w:webHidden/>
              </w:rPr>
              <w:t>36</w:t>
            </w:r>
            <w:r w:rsidR="007F08CB">
              <w:rPr>
                <w:noProof/>
                <w:webHidden/>
              </w:rPr>
              <w:fldChar w:fldCharType="end"/>
            </w:r>
          </w:hyperlink>
        </w:p>
        <w:p w14:paraId="677A15D2" w14:textId="11FF9DC9" w:rsidR="007F08CB" w:rsidRDefault="00D27030">
          <w:pPr>
            <w:pStyle w:val="TOC1"/>
            <w:tabs>
              <w:tab w:val="right" w:leader="dot" w:pos="9350"/>
            </w:tabs>
            <w:rPr>
              <w:rFonts w:asciiTheme="minorHAnsi" w:eastAsiaTheme="minorEastAsia" w:hAnsiTheme="minorHAnsi"/>
              <w:noProof/>
              <w:sz w:val="22"/>
            </w:rPr>
          </w:pPr>
          <w:hyperlink w:anchor="_Toc240989732" w:history="1">
            <w:r w:rsidR="007F08CB" w:rsidRPr="00C315DB">
              <w:rPr>
                <w:rStyle w:val="Hyperlink"/>
                <w:noProof/>
              </w:rPr>
              <w:t>Chapter 5: Discussion</w:t>
            </w:r>
            <w:r w:rsidR="007F08CB">
              <w:rPr>
                <w:noProof/>
                <w:webHidden/>
              </w:rPr>
              <w:tab/>
            </w:r>
            <w:r w:rsidR="007F08CB">
              <w:rPr>
                <w:noProof/>
                <w:webHidden/>
              </w:rPr>
              <w:fldChar w:fldCharType="begin"/>
            </w:r>
            <w:r w:rsidR="007F08CB">
              <w:rPr>
                <w:noProof/>
                <w:webHidden/>
              </w:rPr>
              <w:instrText xml:space="preserve"> PAGEREF _Toc240989732 \h </w:instrText>
            </w:r>
            <w:r w:rsidR="007F08CB">
              <w:rPr>
                <w:noProof/>
                <w:webHidden/>
              </w:rPr>
            </w:r>
            <w:r w:rsidR="007F08CB">
              <w:rPr>
                <w:noProof/>
                <w:webHidden/>
              </w:rPr>
              <w:fldChar w:fldCharType="separate"/>
            </w:r>
            <w:r w:rsidR="007F08CB">
              <w:rPr>
                <w:noProof/>
                <w:webHidden/>
              </w:rPr>
              <w:t>38</w:t>
            </w:r>
            <w:r w:rsidR="007F08CB">
              <w:rPr>
                <w:noProof/>
                <w:webHidden/>
              </w:rPr>
              <w:fldChar w:fldCharType="end"/>
            </w:r>
          </w:hyperlink>
        </w:p>
        <w:p w14:paraId="51A404F6" w14:textId="30ED610E" w:rsidR="007F08CB" w:rsidRDefault="00D27030">
          <w:pPr>
            <w:pStyle w:val="TOC2"/>
            <w:tabs>
              <w:tab w:val="right" w:leader="dot" w:pos="9350"/>
            </w:tabs>
            <w:rPr>
              <w:rFonts w:asciiTheme="minorHAnsi" w:eastAsiaTheme="minorEastAsia" w:hAnsiTheme="minorHAnsi"/>
              <w:noProof/>
              <w:sz w:val="22"/>
            </w:rPr>
          </w:pPr>
          <w:hyperlink w:anchor="_Toc240989733" w:history="1">
            <w:r w:rsidR="007F08CB" w:rsidRPr="00C315DB">
              <w:rPr>
                <w:rStyle w:val="Hyperlink"/>
                <w:noProof/>
              </w:rPr>
              <w:t>5.1 Answer to the overarching research question</w:t>
            </w:r>
            <w:r w:rsidR="007F08CB">
              <w:rPr>
                <w:noProof/>
                <w:webHidden/>
              </w:rPr>
              <w:tab/>
            </w:r>
            <w:r w:rsidR="007F08CB">
              <w:rPr>
                <w:noProof/>
                <w:webHidden/>
              </w:rPr>
              <w:fldChar w:fldCharType="begin"/>
            </w:r>
            <w:r w:rsidR="007F08CB">
              <w:rPr>
                <w:noProof/>
                <w:webHidden/>
              </w:rPr>
              <w:instrText xml:space="preserve"> PAGEREF _Toc240989733 \h </w:instrText>
            </w:r>
            <w:r w:rsidR="007F08CB">
              <w:rPr>
                <w:noProof/>
                <w:webHidden/>
              </w:rPr>
            </w:r>
            <w:r w:rsidR="007F08CB">
              <w:rPr>
                <w:noProof/>
                <w:webHidden/>
              </w:rPr>
              <w:fldChar w:fldCharType="separate"/>
            </w:r>
            <w:r w:rsidR="007F08CB">
              <w:rPr>
                <w:noProof/>
                <w:webHidden/>
              </w:rPr>
              <w:t>38</w:t>
            </w:r>
            <w:r w:rsidR="007F08CB">
              <w:rPr>
                <w:noProof/>
                <w:webHidden/>
              </w:rPr>
              <w:fldChar w:fldCharType="end"/>
            </w:r>
          </w:hyperlink>
        </w:p>
        <w:p w14:paraId="1C5F2BE2" w14:textId="230D4BD0" w:rsidR="007F08CB" w:rsidRDefault="00D27030">
          <w:pPr>
            <w:pStyle w:val="TOC2"/>
            <w:tabs>
              <w:tab w:val="right" w:leader="dot" w:pos="9350"/>
            </w:tabs>
            <w:rPr>
              <w:rFonts w:asciiTheme="minorHAnsi" w:eastAsiaTheme="minorEastAsia" w:hAnsiTheme="minorHAnsi"/>
              <w:noProof/>
              <w:sz w:val="22"/>
            </w:rPr>
          </w:pPr>
          <w:hyperlink w:anchor="_Toc240989734" w:history="1">
            <w:r w:rsidR="007F08CB" w:rsidRPr="00C315DB">
              <w:rPr>
                <w:rStyle w:val="Hyperlink"/>
                <w:noProof/>
              </w:rPr>
              <w:t>5.2 Key aspects of cross-cultural international marketing</w:t>
            </w:r>
            <w:r w:rsidR="007F08CB">
              <w:rPr>
                <w:noProof/>
                <w:webHidden/>
              </w:rPr>
              <w:tab/>
            </w:r>
            <w:r w:rsidR="007F08CB">
              <w:rPr>
                <w:noProof/>
                <w:webHidden/>
              </w:rPr>
              <w:fldChar w:fldCharType="begin"/>
            </w:r>
            <w:r w:rsidR="007F08CB">
              <w:rPr>
                <w:noProof/>
                <w:webHidden/>
              </w:rPr>
              <w:instrText xml:space="preserve"> PAGEREF _Toc240989734 \h </w:instrText>
            </w:r>
            <w:r w:rsidR="007F08CB">
              <w:rPr>
                <w:noProof/>
                <w:webHidden/>
              </w:rPr>
            </w:r>
            <w:r w:rsidR="007F08CB">
              <w:rPr>
                <w:noProof/>
                <w:webHidden/>
              </w:rPr>
              <w:fldChar w:fldCharType="separate"/>
            </w:r>
            <w:r w:rsidR="007F08CB">
              <w:rPr>
                <w:noProof/>
                <w:webHidden/>
              </w:rPr>
              <w:t>39</w:t>
            </w:r>
            <w:r w:rsidR="007F08CB">
              <w:rPr>
                <w:noProof/>
                <w:webHidden/>
              </w:rPr>
              <w:fldChar w:fldCharType="end"/>
            </w:r>
          </w:hyperlink>
        </w:p>
        <w:p w14:paraId="0A2340C4" w14:textId="16BB61F5" w:rsidR="007F08CB" w:rsidRDefault="00D27030">
          <w:pPr>
            <w:pStyle w:val="TOC2"/>
            <w:tabs>
              <w:tab w:val="right" w:leader="dot" w:pos="9350"/>
            </w:tabs>
            <w:rPr>
              <w:rFonts w:asciiTheme="minorHAnsi" w:eastAsiaTheme="minorEastAsia" w:hAnsiTheme="minorHAnsi"/>
              <w:noProof/>
              <w:sz w:val="22"/>
            </w:rPr>
          </w:pPr>
          <w:hyperlink w:anchor="_Toc240989735" w:history="1">
            <w:r w:rsidR="007F08CB" w:rsidRPr="00C315DB">
              <w:rPr>
                <w:rStyle w:val="Hyperlink"/>
                <w:noProof/>
              </w:rPr>
              <w:t>5.3 How the brands align with UK expectations</w:t>
            </w:r>
            <w:r w:rsidR="007F08CB">
              <w:rPr>
                <w:noProof/>
                <w:webHidden/>
              </w:rPr>
              <w:tab/>
            </w:r>
            <w:r w:rsidR="007F08CB">
              <w:rPr>
                <w:noProof/>
                <w:webHidden/>
              </w:rPr>
              <w:fldChar w:fldCharType="begin"/>
            </w:r>
            <w:r w:rsidR="007F08CB">
              <w:rPr>
                <w:noProof/>
                <w:webHidden/>
              </w:rPr>
              <w:instrText xml:space="preserve"> PAGEREF _Toc240989735 \h </w:instrText>
            </w:r>
            <w:r w:rsidR="007F08CB">
              <w:rPr>
                <w:noProof/>
                <w:webHidden/>
              </w:rPr>
            </w:r>
            <w:r w:rsidR="007F08CB">
              <w:rPr>
                <w:noProof/>
                <w:webHidden/>
              </w:rPr>
              <w:fldChar w:fldCharType="separate"/>
            </w:r>
            <w:r w:rsidR="007F08CB">
              <w:rPr>
                <w:noProof/>
                <w:webHidden/>
              </w:rPr>
              <w:t>41</w:t>
            </w:r>
            <w:r w:rsidR="007F08CB">
              <w:rPr>
                <w:noProof/>
                <w:webHidden/>
              </w:rPr>
              <w:fldChar w:fldCharType="end"/>
            </w:r>
          </w:hyperlink>
        </w:p>
        <w:p w14:paraId="05785382" w14:textId="547B9CCA" w:rsidR="007F08CB" w:rsidRDefault="00D27030">
          <w:pPr>
            <w:pStyle w:val="TOC2"/>
            <w:tabs>
              <w:tab w:val="right" w:leader="dot" w:pos="9350"/>
            </w:tabs>
            <w:rPr>
              <w:rFonts w:asciiTheme="minorHAnsi" w:eastAsiaTheme="minorEastAsia" w:hAnsiTheme="minorHAnsi"/>
              <w:noProof/>
              <w:sz w:val="22"/>
            </w:rPr>
          </w:pPr>
          <w:hyperlink w:anchor="_Toc240989736" w:history="1">
            <w:r w:rsidR="007F08CB" w:rsidRPr="00C315DB">
              <w:rPr>
                <w:rStyle w:val="Hyperlink"/>
                <w:noProof/>
              </w:rPr>
              <w:t>5.4 Practices most relevant to trust, satisfaction and loyalty</w:t>
            </w:r>
            <w:r w:rsidR="007F08CB">
              <w:rPr>
                <w:noProof/>
                <w:webHidden/>
              </w:rPr>
              <w:tab/>
            </w:r>
            <w:r w:rsidR="007F08CB">
              <w:rPr>
                <w:noProof/>
                <w:webHidden/>
              </w:rPr>
              <w:fldChar w:fldCharType="begin"/>
            </w:r>
            <w:r w:rsidR="007F08CB">
              <w:rPr>
                <w:noProof/>
                <w:webHidden/>
              </w:rPr>
              <w:instrText xml:space="preserve"> PAGEREF _Toc240989736 \h </w:instrText>
            </w:r>
            <w:r w:rsidR="007F08CB">
              <w:rPr>
                <w:noProof/>
                <w:webHidden/>
              </w:rPr>
            </w:r>
            <w:r w:rsidR="007F08CB">
              <w:rPr>
                <w:noProof/>
                <w:webHidden/>
              </w:rPr>
              <w:fldChar w:fldCharType="separate"/>
            </w:r>
            <w:r w:rsidR="007F08CB">
              <w:rPr>
                <w:noProof/>
                <w:webHidden/>
              </w:rPr>
              <w:t>42</w:t>
            </w:r>
            <w:r w:rsidR="007F08CB">
              <w:rPr>
                <w:noProof/>
                <w:webHidden/>
              </w:rPr>
              <w:fldChar w:fldCharType="end"/>
            </w:r>
          </w:hyperlink>
        </w:p>
        <w:p w14:paraId="74284D75" w14:textId="5E01803A" w:rsidR="007F08CB" w:rsidRDefault="00D27030">
          <w:pPr>
            <w:pStyle w:val="TOC2"/>
            <w:tabs>
              <w:tab w:val="right" w:leader="dot" w:pos="9350"/>
            </w:tabs>
            <w:rPr>
              <w:rFonts w:asciiTheme="minorHAnsi" w:eastAsiaTheme="minorEastAsia" w:hAnsiTheme="minorHAnsi"/>
              <w:noProof/>
              <w:sz w:val="22"/>
            </w:rPr>
          </w:pPr>
          <w:hyperlink w:anchor="_Toc240989737" w:history="1">
            <w:r w:rsidR="007F08CB" w:rsidRPr="00C315DB">
              <w:rPr>
                <w:rStyle w:val="Hyperlink"/>
                <w:noProof/>
              </w:rPr>
              <w:t>5.5 Similarities, differences and comparative effectiveness</w:t>
            </w:r>
            <w:r w:rsidR="007F08CB">
              <w:rPr>
                <w:noProof/>
                <w:webHidden/>
              </w:rPr>
              <w:tab/>
            </w:r>
            <w:r w:rsidR="007F08CB">
              <w:rPr>
                <w:noProof/>
                <w:webHidden/>
              </w:rPr>
              <w:fldChar w:fldCharType="begin"/>
            </w:r>
            <w:r w:rsidR="007F08CB">
              <w:rPr>
                <w:noProof/>
                <w:webHidden/>
              </w:rPr>
              <w:instrText xml:space="preserve"> PAGEREF _Toc240989737 \h </w:instrText>
            </w:r>
            <w:r w:rsidR="007F08CB">
              <w:rPr>
                <w:noProof/>
                <w:webHidden/>
              </w:rPr>
            </w:r>
            <w:r w:rsidR="007F08CB">
              <w:rPr>
                <w:noProof/>
                <w:webHidden/>
              </w:rPr>
              <w:fldChar w:fldCharType="separate"/>
            </w:r>
            <w:r w:rsidR="007F08CB">
              <w:rPr>
                <w:noProof/>
                <w:webHidden/>
              </w:rPr>
              <w:t>43</w:t>
            </w:r>
            <w:r w:rsidR="007F08CB">
              <w:rPr>
                <w:noProof/>
                <w:webHidden/>
              </w:rPr>
              <w:fldChar w:fldCharType="end"/>
            </w:r>
          </w:hyperlink>
        </w:p>
        <w:p w14:paraId="49307A4A" w14:textId="0ACDF653" w:rsidR="007F08CB" w:rsidRDefault="00D27030">
          <w:pPr>
            <w:pStyle w:val="TOC2"/>
            <w:tabs>
              <w:tab w:val="right" w:leader="dot" w:pos="9350"/>
            </w:tabs>
            <w:rPr>
              <w:rFonts w:asciiTheme="minorHAnsi" w:eastAsiaTheme="minorEastAsia" w:hAnsiTheme="minorHAnsi"/>
              <w:noProof/>
              <w:sz w:val="22"/>
            </w:rPr>
          </w:pPr>
          <w:hyperlink w:anchor="_Toc240989738" w:history="1">
            <w:r w:rsidR="007F08CB" w:rsidRPr="00C315DB">
              <w:rPr>
                <w:rStyle w:val="Hyperlink"/>
                <w:noProof/>
              </w:rPr>
              <w:t>5.6 Theoretical contribution and rival explanations</w:t>
            </w:r>
            <w:r w:rsidR="007F08CB">
              <w:rPr>
                <w:noProof/>
                <w:webHidden/>
              </w:rPr>
              <w:tab/>
            </w:r>
            <w:r w:rsidR="007F08CB">
              <w:rPr>
                <w:noProof/>
                <w:webHidden/>
              </w:rPr>
              <w:fldChar w:fldCharType="begin"/>
            </w:r>
            <w:r w:rsidR="007F08CB">
              <w:rPr>
                <w:noProof/>
                <w:webHidden/>
              </w:rPr>
              <w:instrText xml:space="preserve"> PAGEREF _Toc240989738 \h </w:instrText>
            </w:r>
            <w:r w:rsidR="007F08CB">
              <w:rPr>
                <w:noProof/>
                <w:webHidden/>
              </w:rPr>
            </w:r>
            <w:r w:rsidR="007F08CB">
              <w:rPr>
                <w:noProof/>
                <w:webHidden/>
              </w:rPr>
              <w:fldChar w:fldCharType="separate"/>
            </w:r>
            <w:r w:rsidR="007F08CB">
              <w:rPr>
                <w:noProof/>
                <w:webHidden/>
              </w:rPr>
              <w:t>45</w:t>
            </w:r>
            <w:r w:rsidR="007F08CB">
              <w:rPr>
                <w:noProof/>
                <w:webHidden/>
              </w:rPr>
              <w:fldChar w:fldCharType="end"/>
            </w:r>
          </w:hyperlink>
        </w:p>
        <w:p w14:paraId="63D03B3A" w14:textId="7DF160C8" w:rsidR="007F08CB" w:rsidRDefault="00D27030">
          <w:pPr>
            <w:pStyle w:val="TOC2"/>
            <w:tabs>
              <w:tab w:val="right" w:leader="dot" w:pos="9350"/>
            </w:tabs>
            <w:rPr>
              <w:rFonts w:asciiTheme="minorHAnsi" w:eastAsiaTheme="minorEastAsia" w:hAnsiTheme="minorHAnsi"/>
              <w:noProof/>
              <w:sz w:val="22"/>
            </w:rPr>
          </w:pPr>
          <w:hyperlink w:anchor="_Toc240989739" w:history="1">
            <w:r w:rsidR="007F08CB" w:rsidRPr="00C315DB">
              <w:rPr>
                <w:rStyle w:val="Hyperlink"/>
                <w:noProof/>
              </w:rPr>
              <w:t>5.7 Strategic meaning of the findings</w:t>
            </w:r>
            <w:r w:rsidR="007F08CB">
              <w:rPr>
                <w:noProof/>
                <w:webHidden/>
              </w:rPr>
              <w:tab/>
            </w:r>
            <w:r w:rsidR="007F08CB">
              <w:rPr>
                <w:noProof/>
                <w:webHidden/>
              </w:rPr>
              <w:fldChar w:fldCharType="begin"/>
            </w:r>
            <w:r w:rsidR="007F08CB">
              <w:rPr>
                <w:noProof/>
                <w:webHidden/>
              </w:rPr>
              <w:instrText xml:space="preserve"> PAGEREF _Toc240989739 \h </w:instrText>
            </w:r>
            <w:r w:rsidR="007F08CB">
              <w:rPr>
                <w:noProof/>
                <w:webHidden/>
              </w:rPr>
            </w:r>
            <w:r w:rsidR="007F08CB">
              <w:rPr>
                <w:noProof/>
                <w:webHidden/>
              </w:rPr>
              <w:fldChar w:fldCharType="separate"/>
            </w:r>
            <w:r w:rsidR="007F08CB">
              <w:rPr>
                <w:noProof/>
                <w:webHidden/>
              </w:rPr>
              <w:t>46</w:t>
            </w:r>
            <w:r w:rsidR="007F08CB">
              <w:rPr>
                <w:noProof/>
                <w:webHidden/>
              </w:rPr>
              <w:fldChar w:fldCharType="end"/>
            </w:r>
          </w:hyperlink>
        </w:p>
        <w:p w14:paraId="467D11D0" w14:textId="298245F4" w:rsidR="007F08CB" w:rsidRDefault="00D27030">
          <w:pPr>
            <w:pStyle w:val="TOC1"/>
            <w:tabs>
              <w:tab w:val="right" w:leader="dot" w:pos="9350"/>
            </w:tabs>
            <w:rPr>
              <w:rFonts w:asciiTheme="minorHAnsi" w:eastAsiaTheme="minorEastAsia" w:hAnsiTheme="minorHAnsi"/>
              <w:noProof/>
              <w:sz w:val="22"/>
            </w:rPr>
          </w:pPr>
          <w:hyperlink w:anchor="_Toc240989740" w:history="1">
            <w:r w:rsidR="007F08CB" w:rsidRPr="00C315DB">
              <w:rPr>
                <w:rStyle w:val="Hyperlink"/>
                <w:noProof/>
              </w:rPr>
              <w:t>Chapter 6: Recommendations</w:t>
            </w:r>
            <w:r w:rsidR="007F08CB">
              <w:rPr>
                <w:noProof/>
                <w:webHidden/>
              </w:rPr>
              <w:tab/>
            </w:r>
            <w:r w:rsidR="007F08CB">
              <w:rPr>
                <w:noProof/>
                <w:webHidden/>
              </w:rPr>
              <w:fldChar w:fldCharType="begin"/>
            </w:r>
            <w:r w:rsidR="007F08CB">
              <w:rPr>
                <w:noProof/>
                <w:webHidden/>
              </w:rPr>
              <w:instrText xml:space="preserve"> PAGEREF _Toc240989740 \h </w:instrText>
            </w:r>
            <w:r w:rsidR="007F08CB">
              <w:rPr>
                <w:noProof/>
                <w:webHidden/>
              </w:rPr>
            </w:r>
            <w:r w:rsidR="007F08CB">
              <w:rPr>
                <w:noProof/>
                <w:webHidden/>
              </w:rPr>
              <w:fldChar w:fldCharType="separate"/>
            </w:r>
            <w:r w:rsidR="007F08CB">
              <w:rPr>
                <w:noProof/>
                <w:webHidden/>
              </w:rPr>
              <w:t>47</w:t>
            </w:r>
            <w:r w:rsidR="007F08CB">
              <w:rPr>
                <w:noProof/>
                <w:webHidden/>
              </w:rPr>
              <w:fldChar w:fldCharType="end"/>
            </w:r>
          </w:hyperlink>
        </w:p>
        <w:p w14:paraId="47212810" w14:textId="08BE0BCD" w:rsidR="007F08CB" w:rsidRDefault="00D27030">
          <w:pPr>
            <w:pStyle w:val="TOC2"/>
            <w:tabs>
              <w:tab w:val="right" w:leader="dot" w:pos="9350"/>
            </w:tabs>
            <w:rPr>
              <w:rFonts w:asciiTheme="minorHAnsi" w:eastAsiaTheme="minorEastAsia" w:hAnsiTheme="minorHAnsi"/>
              <w:noProof/>
              <w:sz w:val="22"/>
            </w:rPr>
          </w:pPr>
          <w:hyperlink w:anchor="_Toc240989741" w:history="1">
            <w:r w:rsidR="007F08CB" w:rsidRPr="00C315DB">
              <w:rPr>
                <w:rStyle w:val="Hyperlink"/>
                <w:noProof/>
              </w:rPr>
              <w:t>6.1 Strategic principle</w:t>
            </w:r>
            <w:r w:rsidR="007F08CB">
              <w:rPr>
                <w:noProof/>
                <w:webHidden/>
              </w:rPr>
              <w:tab/>
            </w:r>
            <w:r w:rsidR="007F08CB">
              <w:rPr>
                <w:noProof/>
                <w:webHidden/>
              </w:rPr>
              <w:fldChar w:fldCharType="begin"/>
            </w:r>
            <w:r w:rsidR="007F08CB">
              <w:rPr>
                <w:noProof/>
                <w:webHidden/>
              </w:rPr>
              <w:instrText xml:space="preserve"> PAGEREF _Toc240989741 \h </w:instrText>
            </w:r>
            <w:r w:rsidR="007F08CB">
              <w:rPr>
                <w:noProof/>
                <w:webHidden/>
              </w:rPr>
            </w:r>
            <w:r w:rsidR="007F08CB">
              <w:rPr>
                <w:noProof/>
                <w:webHidden/>
              </w:rPr>
              <w:fldChar w:fldCharType="separate"/>
            </w:r>
            <w:r w:rsidR="007F08CB">
              <w:rPr>
                <w:noProof/>
                <w:webHidden/>
              </w:rPr>
              <w:t>47</w:t>
            </w:r>
            <w:r w:rsidR="007F08CB">
              <w:rPr>
                <w:noProof/>
                <w:webHidden/>
              </w:rPr>
              <w:fldChar w:fldCharType="end"/>
            </w:r>
          </w:hyperlink>
        </w:p>
        <w:p w14:paraId="5E0ABCEF" w14:textId="7ACD6C82" w:rsidR="007F08CB" w:rsidRDefault="00D27030">
          <w:pPr>
            <w:pStyle w:val="TOC2"/>
            <w:tabs>
              <w:tab w:val="right" w:leader="dot" w:pos="9350"/>
            </w:tabs>
            <w:rPr>
              <w:rFonts w:asciiTheme="minorHAnsi" w:eastAsiaTheme="minorEastAsia" w:hAnsiTheme="minorHAnsi"/>
              <w:noProof/>
              <w:sz w:val="22"/>
            </w:rPr>
          </w:pPr>
          <w:hyperlink w:anchor="_Toc240989742" w:history="1">
            <w:r w:rsidR="007F08CB" w:rsidRPr="00C315DB">
              <w:rPr>
                <w:rStyle w:val="Hyperlink"/>
                <w:noProof/>
              </w:rPr>
              <w:t>6.2 Recommendations for Starbucks</w:t>
            </w:r>
            <w:r w:rsidR="007F08CB">
              <w:rPr>
                <w:noProof/>
                <w:webHidden/>
              </w:rPr>
              <w:tab/>
            </w:r>
            <w:r w:rsidR="007F08CB">
              <w:rPr>
                <w:noProof/>
                <w:webHidden/>
              </w:rPr>
              <w:fldChar w:fldCharType="begin"/>
            </w:r>
            <w:r w:rsidR="007F08CB">
              <w:rPr>
                <w:noProof/>
                <w:webHidden/>
              </w:rPr>
              <w:instrText xml:space="preserve"> PAGEREF _Toc240989742 \h </w:instrText>
            </w:r>
            <w:r w:rsidR="007F08CB">
              <w:rPr>
                <w:noProof/>
                <w:webHidden/>
              </w:rPr>
            </w:r>
            <w:r w:rsidR="007F08CB">
              <w:rPr>
                <w:noProof/>
                <w:webHidden/>
              </w:rPr>
              <w:fldChar w:fldCharType="separate"/>
            </w:r>
            <w:r w:rsidR="007F08CB">
              <w:rPr>
                <w:noProof/>
                <w:webHidden/>
              </w:rPr>
              <w:t>48</w:t>
            </w:r>
            <w:r w:rsidR="007F08CB">
              <w:rPr>
                <w:noProof/>
                <w:webHidden/>
              </w:rPr>
              <w:fldChar w:fldCharType="end"/>
            </w:r>
          </w:hyperlink>
        </w:p>
        <w:p w14:paraId="5CFF15D5" w14:textId="5D0DDD87" w:rsidR="007F08CB" w:rsidRDefault="00D27030">
          <w:pPr>
            <w:pStyle w:val="TOC2"/>
            <w:tabs>
              <w:tab w:val="right" w:leader="dot" w:pos="9350"/>
            </w:tabs>
            <w:rPr>
              <w:rFonts w:asciiTheme="minorHAnsi" w:eastAsiaTheme="minorEastAsia" w:hAnsiTheme="minorHAnsi"/>
              <w:noProof/>
              <w:sz w:val="22"/>
            </w:rPr>
          </w:pPr>
          <w:hyperlink w:anchor="_Toc240989743" w:history="1">
            <w:r w:rsidR="007F08CB" w:rsidRPr="00C315DB">
              <w:rPr>
                <w:rStyle w:val="Hyperlink"/>
                <w:noProof/>
              </w:rPr>
              <w:t>6.3 Recommendations for Costa Coffee</w:t>
            </w:r>
            <w:r w:rsidR="007F08CB">
              <w:rPr>
                <w:noProof/>
                <w:webHidden/>
              </w:rPr>
              <w:tab/>
            </w:r>
            <w:r w:rsidR="007F08CB">
              <w:rPr>
                <w:noProof/>
                <w:webHidden/>
              </w:rPr>
              <w:fldChar w:fldCharType="begin"/>
            </w:r>
            <w:r w:rsidR="007F08CB">
              <w:rPr>
                <w:noProof/>
                <w:webHidden/>
              </w:rPr>
              <w:instrText xml:space="preserve"> PAGEREF _Toc240989743 \h </w:instrText>
            </w:r>
            <w:r w:rsidR="007F08CB">
              <w:rPr>
                <w:noProof/>
                <w:webHidden/>
              </w:rPr>
            </w:r>
            <w:r w:rsidR="007F08CB">
              <w:rPr>
                <w:noProof/>
                <w:webHidden/>
              </w:rPr>
              <w:fldChar w:fldCharType="separate"/>
            </w:r>
            <w:r w:rsidR="007F08CB">
              <w:rPr>
                <w:noProof/>
                <w:webHidden/>
              </w:rPr>
              <w:t>48</w:t>
            </w:r>
            <w:r w:rsidR="007F08CB">
              <w:rPr>
                <w:noProof/>
                <w:webHidden/>
              </w:rPr>
              <w:fldChar w:fldCharType="end"/>
            </w:r>
          </w:hyperlink>
        </w:p>
        <w:p w14:paraId="40F573A1" w14:textId="70B491EE" w:rsidR="007F08CB" w:rsidRDefault="00D27030">
          <w:pPr>
            <w:pStyle w:val="TOC2"/>
            <w:tabs>
              <w:tab w:val="right" w:leader="dot" w:pos="9350"/>
            </w:tabs>
            <w:rPr>
              <w:rFonts w:asciiTheme="minorHAnsi" w:eastAsiaTheme="minorEastAsia" w:hAnsiTheme="minorHAnsi"/>
              <w:noProof/>
              <w:sz w:val="22"/>
            </w:rPr>
          </w:pPr>
          <w:hyperlink w:anchor="_Toc240989744" w:history="1">
            <w:r w:rsidR="007F08CB" w:rsidRPr="00C315DB">
              <w:rPr>
                <w:rStyle w:val="Hyperlink"/>
                <w:noProof/>
              </w:rPr>
              <w:t>6.4 Joint implementation and measurement</w:t>
            </w:r>
            <w:r w:rsidR="007F08CB">
              <w:rPr>
                <w:noProof/>
                <w:webHidden/>
              </w:rPr>
              <w:tab/>
            </w:r>
            <w:r w:rsidR="007F08CB">
              <w:rPr>
                <w:noProof/>
                <w:webHidden/>
              </w:rPr>
              <w:fldChar w:fldCharType="begin"/>
            </w:r>
            <w:r w:rsidR="007F08CB">
              <w:rPr>
                <w:noProof/>
                <w:webHidden/>
              </w:rPr>
              <w:instrText xml:space="preserve"> PAGEREF _Toc240989744 \h </w:instrText>
            </w:r>
            <w:r w:rsidR="007F08CB">
              <w:rPr>
                <w:noProof/>
                <w:webHidden/>
              </w:rPr>
            </w:r>
            <w:r w:rsidR="007F08CB">
              <w:rPr>
                <w:noProof/>
                <w:webHidden/>
              </w:rPr>
              <w:fldChar w:fldCharType="separate"/>
            </w:r>
            <w:r w:rsidR="007F08CB">
              <w:rPr>
                <w:noProof/>
                <w:webHidden/>
              </w:rPr>
              <w:t>49</w:t>
            </w:r>
            <w:r w:rsidR="007F08CB">
              <w:rPr>
                <w:noProof/>
                <w:webHidden/>
              </w:rPr>
              <w:fldChar w:fldCharType="end"/>
            </w:r>
          </w:hyperlink>
        </w:p>
        <w:p w14:paraId="2361CCDE" w14:textId="1C5A645B" w:rsidR="007F08CB" w:rsidRDefault="00D27030">
          <w:pPr>
            <w:pStyle w:val="TOC1"/>
            <w:tabs>
              <w:tab w:val="right" w:leader="dot" w:pos="9350"/>
            </w:tabs>
            <w:rPr>
              <w:rFonts w:asciiTheme="minorHAnsi" w:eastAsiaTheme="minorEastAsia" w:hAnsiTheme="minorHAnsi"/>
              <w:noProof/>
              <w:sz w:val="22"/>
            </w:rPr>
          </w:pPr>
          <w:hyperlink w:anchor="_Toc240989745" w:history="1">
            <w:r w:rsidR="007F08CB" w:rsidRPr="00C315DB">
              <w:rPr>
                <w:rStyle w:val="Hyperlink"/>
                <w:noProof/>
              </w:rPr>
              <w:t>Conclusion</w:t>
            </w:r>
            <w:r w:rsidR="007F08CB">
              <w:rPr>
                <w:noProof/>
                <w:webHidden/>
              </w:rPr>
              <w:tab/>
            </w:r>
            <w:r w:rsidR="007F08CB">
              <w:rPr>
                <w:noProof/>
                <w:webHidden/>
              </w:rPr>
              <w:fldChar w:fldCharType="begin"/>
            </w:r>
            <w:r w:rsidR="007F08CB">
              <w:rPr>
                <w:noProof/>
                <w:webHidden/>
              </w:rPr>
              <w:instrText xml:space="preserve"> PAGEREF _Toc240989745 \h </w:instrText>
            </w:r>
            <w:r w:rsidR="007F08CB">
              <w:rPr>
                <w:noProof/>
                <w:webHidden/>
              </w:rPr>
            </w:r>
            <w:r w:rsidR="007F08CB">
              <w:rPr>
                <w:noProof/>
                <w:webHidden/>
              </w:rPr>
              <w:fldChar w:fldCharType="separate"/>
            </w:r>
            <w:r w:rsidR="007F08CB">
              <w:rPr>
                <w:noProof/>
                <w:webHidden/>
              </w:rPr>
              <w:t>51</w:t>
            </w:r>
            <w:r w:rsidR="007F08CB">
              <w:rPr>
                <w:noProof/>
                <w:webHidden/>
              </w:rPr>
              <w:fldChar w:fldCharType="end"/>
            </w:r>
          </w:hyperlink>
        </w:p>
        <w:p w14:paraId="79FD3145" w14:textId="09EFC13E" w:rsidR="007F08CB" w:rsidRDefault="00D27030">
          <w:pPr>
            <w:pStyle w:val="TOC1"/>
            <w:tabs>
              <w:tab w:val="right" w:leader="dot" w:pos="9350"/>
            </w:tabs>
            <w:rPr>
              <w:rFonts w:asciiTheme="minorHAnsi" w:eastAsiaTheme="minorEastAsia" w:hAnsiTheme="minorHAnsi"/>
              <w:noProof/>
              <w:sz w:val="22"/>
            </w:rPr>
          </w:pPr>
          <w:hyperlink w:anchor="_Toc240989746" w:history="1">
            <w:r w:rsidR="007F08CB" w:rsidRPr="00C315DB">
              <w:rPr>
                <w:rStyle w:val="Hyperlink"/>
                <w:noProof/>
              </w:rPr>
              <w:t>References</w:t>
            </w:r>
            <w:r w:rsidR="007F08CB">
              <w:rPr>
                <w:noProof/>
                <w:webHidden/>
              </w:rPr>
              <w:tab/>
            </w:r>
            <w:r w:rsidR="007F08CB">
              <w:rPr>
                <w:noProof/>
                <w:webHidden/>
              </w:rPr>
              <w:fldChar w:fldCharType="begin"/>
            </w:r>
            <w:r w:rsidR="007F08CB">
              <w:rPr>
                <w:noProof/>
                <w:webHidden/>
              </w:rPr>
              <w:instrText xml:space="preserve"> PAGEREF _Toc240989746 \h </w:instrText>
            </w:r>
            <w:r w:rsidR="007F08CB">
              <w:rPr>
                <w:noProof/>
                <w:webHidden/>
              </w:rPr>
            </w:r>
            <w:r w:rsidR="007F08CB">
              <w:rPr>
                <w:noProof/>
                <w:webHidden/>
              </w:rPr>
              <w:fldChar w:fldCharType="separate"/>
            </w:r>
            <w:r w:rsidR="007F08CB">
              <w:rPr>
                <w:noProof/>
                <w:webHidden/>
              </w:rPr>
              <w:t>53</w:t>
            </w:r>
            <w:r w:rsidR="007F08CB">
              <w:rPr>
                <w:noProof/>
                <w:webHidden/>
              </w:rPr>
              <w:fldChar w:fldCharType="end"/>
            </w:r>
          </w:hyperlink>
        </w:p>
        <w:p w14:paraId="12F5E9A6" w14:textId="01580EFE" w:rsidR="00D8014E" w:rsidRDefault="00232011">
          <w:pPr>
            <w:pStyle w:val="TOC1"/>
            <w:tabs>
              <w:tab w:val="right" w:leader="dot" w:pos="9359"/>
            </w:tabs>
          </w:pPr>
          <w:r>
            <w:rPr>
              <w:rStyle w:val="IndexLink"/>
            </w:rPr>
            <w:fldChar w:fldCharType="end"/>
          </w:r>
        </w:p>
        <w:p w14:paraId="7F11539A" w14:textId="77777777" w:rsidR="00D8014E" w:rsidRDefault="00D27030">
          <w:pPr>
            <w:sectPr w:rsidR="00D8014E">
              <w:footerReference w:type="even" r:id="rId13"/>
              <w:footerReference w:type="default" r:id="rId14"/>
              <w:footerReference w:type="first" r:id="rId15"/>
              <w:pgSz w:w="12240" w:h="15840"/>
              <w:pgMar w:top="1440" w:right="1440" w:bottom="1440" w:left="1440" w:header="0" w:footer="720" w:gutter="0"/>
              <w:cols w:space="720"/>
              <w:formProt w:val="0"/>
              <w:docGrid w:linePitch="360"/>
            </w:sectPr>
          </w:pPr>
        </w:p>
      </w:sdtContent>
    </w:sdt>
    <w:p w14:paraId="56C13407" w14:textId="77777777" w:rsidR="00D8014E" w:rsidRDefault="00232011" w:rsidP="005C5AA4">
      <w:pPr>
        <w:spacing w:line="360" w:lineRule="auto"/>
        <w:jc w:val="center"/>
        <w:rPr>
          <w:b/>
          <w:bCs/>
          <w:sz w:val="32"/>
          <w:szCs w:val="32"/>
        </w:rPr>
      </w:pPr>
      <w:bookmarkStart w:id="5" w:name="h_List_of_Figures_and_Ta_e2bc3b15"/>
      <w:r>
        <w:rPr>
          <w:b/>
          <w:bCs/>
          <w:sz w:val="32"/>
          <w:szCs w:val="32"/>
        </w:rPr>
        <w:lastRenderedPageBreak/>
        <w:t>List of Figures and Tables</w:t>
      </w:r>
      <w:bookmarkEnd w:id="5"/>
    </w:p>
    <w:p w14:paraId="4CF5DEC3" w14:textId="77777777" w:rsidR="00D8014E" w:rsidRPr="005C5AA4" w:rsidRDefault="00232011">
      <w:pPr>
        <w:spacing w:after="100"/>
        <w:rPr>
          <w:rFonts w:cs="Arial"/>
          <w:szCs w:val="20"/>
        </w:rPr>
      </w:pPr>
      <w:r w:rsidRPr="005C5AA4">
        <w:rPr>
          <w:rFonts w:eastAsia="Calibri" w:cs="Arial"/>
          <w:b/>
          <w:szCs w:val="20"/>
        </w:rPr>
        <w:t>Figures</w:t>
      </w:r>
    </w:p>
    <w:p w14:paraId="0F6FC01A" w14:textId="2B1BAEE3" w:rsidR="00D8014E" w:rsidRDefault="00232011">
      <w:pPr>
        <w:tabs>
          <w:tab w:val="right" w:leader="dot" w:pos="9000"/>
        </w:tabs>
        <w:spacing w:after="80"/>
        <w:rPr>
          <w:rFonts w:cs="Arial"/>
          <w:sz w:val="20"/>
          <w:szCs w:val="20"/>
        </w:rPr>
      </w:pPr>
      <w:r>
        <w:t>Figure 1. Conceptual framework for cross-cultural marketing and loyalty</w:t>
      </w:r>
      <w:r>
        <w:tab/>
        <w:t>1</w:t>
      </w:r>
      <w:r w:rsidR="007F08CB">
        <w:t>7</w:t>
      </w:r>
    </w:p>
    <w:p w14:paraId="4D295014" w14:textId="77777777" w:rsidR="00D8014E" w:rsidRDefault="00232011">
      <w:pPr>
        <w:tabs>
          <w:tab w:val="right" w:leader="dot" w:pos="9000"/>
        </w:tabs>
        <w:spacing w:after="80"/>
      </w:pPr>
      <w:r>
        <w:t>Figure 2. Evidence selection and analysis flow</w:t>
      </w:r>
      <w:r>
        <w:tab/>
        <w:t>23</w:t>
      </w:r>
    </w:p>
    <w:p w14:paraId="3B386FE4" w14:textId="0CC1500F" w:rsidR="00BA36AF" w:rsidRPr="00BA36AF" w:rsidRDefault="00BA36AF">
      <w:pPr>
        <w:tabs>
          <w:tab w:val="right" w:leader="dot" w:pos="9000"/>
        </w:tabs>
        <w:spacing w:after="80"/>
        <w:rPr>
          <w:rFonts w:cs="Arial"/>
          <w:szCs w:val="24"/>
        </w:rPr>
      </w:pPr>
      <w:r w:rsidRPr="00BA36AF">
        <w:rPr>
          <w:rFonts w:cs="Arial"/>
          <w:szCs w:val="24"/>
        </w:rPr>
        <w:t xml:space="preserve">Figure 3. Composition of the Evidence </w:t>
      </w:r>
      <w:proofErr w:type="gramStart"/>
      <w:r w:rsidRPr="00BA36AF">
        <w:rPr>
          <w:rFonts w:cs="Arial"/>
          <w:szCs w:val="24"/>
        </w:rPr>
        <w:t>Corpus ........................................................</w:t>
      </w:r>
      <w:proofErr w:type="gramEnd"/>
      <w:r w:rsidRPr="00BA36AF">
        <w:rPr>
          <w:rFonts w:cs="Arial"/>
          <w:szCs w:val="24"/>
        </w:rPr>
        <w:t xml:space="preserve"> 27</w:t>
      </w:r>
    </w:p>
    <w:p w14:paraId="5D478E5E" w14:textId="33B22C9D" w:rsidR="00BA36AF" w:rsidRPr="00BA36AF" w:rsidRDefault="00BA36AF" w:rsidP="00BA36AF">
      <w:pPr>
        <w:tabs>
          <w:tab w:val="right" w:leader="dot" w:pos="9000"/>
        </w:tabs>
        <w:spacing w:after="80"/>
        <w:rPr>
          <w:rFonts w:cs="Arial"/>
          <w:szCs w:val="24"/>
        </w:rPr>
      </w:pPr>
      <w:r w:rsidRPr="00BA36AF">
        <w:rPr>
          <w:rFonts w:cs="Arial"/>
          <w:szCs w:val="24"/>
        </w:rPr>
        <w:t>Figure 4. Reported UK Branded Coffee-Shop Outlets, January 2025 ...................... 28</w:t>
      </w:r>
    </w:p>
    <w:p w14:paraId="1D2D9E57" w14:textId="065F52E3" w:rsidR="00BA36AF" w:rsidRPr="00BA36AF" w:rsidRDefault="00BA36AF" w:rsidP="00BA36AF">
      <w:pPr>
        <w:tabs>
          <w:tab w:val="right" w:leader="dot" w:pos="9000"/>
        </w:tabs>
        <w:spacing w:after="80"/>
        <w:rPr>
          <w:rFonts w:cs="Arial"/>
          <w:szCs w:val="24"/>
        </w:rPr>
      </w:pPr>
      <w:r w:rsidRPr="00BA36AF">
        <w:rPr>
          <w:rFonts w:cs="Arial"/>
          <w:szCs w:val="24"/>
        </w:rPr>
        <w:t>Figure 5. Thematic Structure of the Cross-Case Analysis ........................................ 3</w:t>
      </w:r>
      <w:r w:rsidR="007F08CB">
        <w:rPr>
          <w:rFonts w:cs="Arial"/>
          <w:szCs w:val="24"/>
        </w:rPr>
        <w:t>4</w:t>
      </w:r>
    </w:p>
    <w:p w14:paraId="7A20428C" w14:textId="79FFC46F" w:rsidR="00BA36AF" w:rsidRPr="00BA36AF" w:rsidRDefault="00BA36AF" w:rsidP="00BA36AF">
      <w:pPr>
        <w:tabs>
          <w:tab w:val="right" w:leader="dot" w:pos="9000"/>
        </w:tabs>
        <w:spacing w:after="80"/>
        <w:rPr>
          <w:rFonts w:cs="Arial"/>
          <w:szCs w:val="24"/>
        </w:rPr>
      </w:pPr>
      <w:r>
        <w:t>Figure 6. Proposed Cross-Cultural Marketing-to-Loyalty Pathway ........................... 3</w:t>
      </w:r>
      <w:r w:rsidR="007F08CB">
        <w:t>6</w:t>
      </w:r>
      <w:r>
        <w:br/>
        <w:t>Figure 7. Integrated cross-cultural loyalty pathway .............................................. 39</w:t>
      </w:r>
    </w:p>
    <w:p w14:paraId="44F1F6AB" w14:textId="77777777" w:rsidR="00D8014E" w:rsidRPr="00BA36AF" w:rsidRDefault="00D8014E">
      <w:pPr>
        <w:spacing w:before="180" w:after="100"/>
        <w:rPr>
          <w:rFonts w:eastAsia="Calibri" w:cs="Arial"/>
          <w:szCs w:val="24"/>
        </w:rPr>
      </w:pPr>
    </w:p>
    <w:p w14:paraId="1190CB13" w14:textId="77777777" w:rsidR="00D8014E" w:rsidRPr="005C5AA4" w:rsidRDefault="00232011">
      <w:pPr>
        <w:spacing w:before="180" w:after="100"/>
        <w:rPr>
          <w:rFonts w:cs="Arial"/>
          <w:szCs w:val="20"/>
        </w:rPr>
      </w:pPr>
      <w:r w:rsidRPr="005C5AA4">
        <w:rPr>
          <w:rFonts w:eastAsia="Calibri" w:cs="Arial"/>
          <w:b/>
          <w:szCs w:val="20"/>
        </w:rPr>
        <w:t>Tables</w:t>
      </w:r>
    </w:p>
    <w:p w14:paraId="7ACB6048" w14:textId="3392B4EF" w:rsidR="00D8014E" w:rsidRDefault="00232011">
      <w:pPr>
        <w:tabs>
          <w:tab w:val="right" w:leader="dot" w:pos="9000"/>
        </w:tabs>
        <w:spacing w:after="80"/>
        <w:rPr>
          <w:rFonts w:cs="Arial"/>
          <w:sz w:val="20"/>
          <w:szCs w:val="20"/>
        </w:rPr>
      </w:pPr>
      <w:r>
        <w:t>Table 1. Structured search and selection protocol</w:t>
      </w:r>
      <w:r>
        <w:tab/>
        <w:t>2</w:t>
      </w:r>
      <w:r w:rsidR="007F08CB">
        <w:t>1</w:t>
      </w:r>
    </w:p>
    <w:p w14:paraId="673995D3" w14:textId="4B1E2438" w:rsidR="00D8014E" w:rsidRDefault="00232011">
      <w:pPr>
        <w:tabs>
          <w:tab w:val="right" w:leader="dot" w:pos="9000"/>
        </w:tabs>
        <w:spacing w:after="80"/>
        <w:rPr>
          <w:rFonts w:cs="Arial"/>
          <w:sz w:val="20"/>
          <w:szCs w:val="20"/>
        </w:rPr>
      </w:pPr>
      <w:r>
        <w:t>Table 2. Evidence corpus profile</w:t>
      </w:r>
      <w:r>
        <w:tab/>
        <w:t>2</w:t>
      </w:r>
      <w:r w:rsidR="007F08CB">
        <w:t>3</w:t>
      </w:r>
    </w:p>
    <w:p w14:paraId="2735C09B" w14:textId="1C6A128F" w:rsidR="00D8014E" w:rsidRDefault="00232011">
      <w:pPr>
        <w:tabs>
          <w:tab w:val="right" w:leader="dot" w:pos="9000"/>
        </w:tabs>
        <w:spacing w:after="80"/>
        <w:rPr>
          <w:rFonts w:cs="Arial"/>
          <w:sz w:val="20"/>
          <w:szCs w:val="20"/>
        </w:rPr>
      </w:pPr>
      <w:r>
        <w:t>Table 3. Cross-case thematic comparison</w:t>
      </w:r>
      <w:r>
        <w:tab/>
        <w:t>3</w:t>
      </w:r>
      <w:r w:rsidR="007F08CB">
        <w:t>6</w:t>
      </w:r>
      <w:r>
        <w:br/>
        <w:t>Table 4. Recommendations roadmap</w:t>
      </w:r>
      <w:r>
        <w:tab/>
        <w:t>4</w:t>
      </w:r>
      <w:r w:rsidR="007F08CB">
        <w:t>7</w:t>
      </w:r>
    </w:p>
    <w:p w14:paraId="542AC4F0" w14:textId="77777777" w:rsidR="00D8014E" w:rsidRDefault="00232011">
      <w:pPr>
        <w:rPr>
          <w:rFonts w:cs="Arial"/>
          <w:sz w:val="20"/>
          <w:szCs w:val="20"/>
        </w:rPr>
        <w:sectPr w:rsidR="00D8014E">
          <w:footerReference w:type="even" r:id="rId16"/>
          <w:footerReference w:type="default" r:id="rId17"/>
          <w:footerReference w:type="first" r:id="rId18"/>
          <w:pgSz w:w="12240" w:h="15840"/>
          <w:pgMar w:top="1440" w:right="1440" w:bottom="1440" w:left="1440" w:header="0" w:footer="720" w:gutter="0"/>
          <w:cols w:space="720"/>
          <w:formProt w:val="0"/>
          <w:docGrid w:linePitch="360"/>
        </w:sectPr>
      </w:pPr>
      <w:r>
        <w:br w:type="page"/>
      </w:r>
    </w:p>
    <w:p w14:paraId="07D201BC" w14:textId="77777777" w:rsidR="00D8014E" w:rsidRDefault="00232011" w:rsidP="005C5AA4">
      <w:pPr>
        <w:pStyle w:val="Heading1"/>
      </w:pPr>
      <w:bookmarkStart w:id="6" w:name="_Toc239604294"/>
      <w:bookmarkStart w:id="7" w:name="_Toc240989698"/>
      <w:r>
        <w:lastRenderedPageBreak/>
        <w:t>Chapter 1: Introduction</w:t>
      </w:r>
      <w:bookmarkEnd w:id="6"/>
      <w:bookmarkEnd w:id="7"/>
    </w:p>
    <w:p w14:paraId="1E9934E8" w14:textId="77777777" w:rsidR="00D8014E" w:rsidRDefault="00232011">
      <w:pPr>
        <w:pStyle w:val="Heading2"/>
      </w:pPr>
      <w:bookmarkStart w:id="8" w:name="_Toc239604295"/>
      <w:bookmarkStart w:id="9" w:name="_Toc240989699"/>
      <w:r>
        <w:t>1.1 Background and context</w:t>
      </w:r>
      <w:bookmarkEnd w:id="8"/>
      <w:bookmarkEnd w:id="9"/>
    </w:p>
    <w:p w14:paraId="27814F7E" w14:textId="77777777" w:rsidR="00365991" w:rsidRPr="00F36699" w:rsidRDefault="00365991" w:rsidP="00365991">
      <w:pPr>
        <w:spacing w:line="360" w:lineRule="auto"/>
        <w:rPr>
          <w:rFonts w:cs="Arial"/>
          <w:szCs w:val="24"/>
        </w:rPr>
      </w:pPr>
      <w:r w:rsidRPr="00F36699">
        <w:rPr>
          <w:rFonts w:cs="Arial"/>
          <w:szCs w:val="24"/>
        </w:rPr>
        <w:t xml:space="preserve">Branded coffee consumption is not only about the coffee itself, but also about interactions with service providers, the </w:t>
      </w:r>
      <w:proofErr w:type="spellStart"/>
      <w:r w:rsidRPr="00F36699">
        <w:rPr>
          <w:rFonts w:cs="Arial"/>
          <w:szCs w:val="24"/>
        </w:rPr>
        <w:t>touchpoints</w:t>
      </w:r>
      <w:proofErr w:type="spellEnd"/>
      <w:r w:rsidRPr="00F36699">
        <w:rPr>
          <w:rFonts w:cs="Arial"/>
          <w:szCs w:val="24"/>
        </w:rPr>
        <w:t xml:space="preserve"> of brand presence, as well as the social experiences of consumption (Lemon and </w:t>
      </w:r>
      <w:proofErr w:type="spellStart"/>
      <w:r w:rsidRPr="00F36699">
        <w:rPr>
          <w:rFonts w:cs="Arial"/>
          <w:szCs w:val="24"/>
        </w:rPr>
        <w:t>Verhoef</w:t>
      </w:r>
      <w:proofErr w:type="spellEnd"/>
      <w:r w:rsidRPr="00F36699">
        <w:rPr>
          <w:rFonts w:cs="Arial"/>
          <w:szCs w:val="24"/>
        </w:rPr>
        <w:t xml:space="preserve">, 2016; Becker and </w:t>
      </w:r>
      <w:proofErr w:type="spellStart"/>
      <w:r w:rsidRPr="00F36699">
        <w:rPr>
          <w:rFonts w:cs="Arial"/>
          <w:szCs w:val="24"/>
        </w:rPr>
        <w:t>Jaakkola</w:t>
      </w:r>
      <w:proofErr w:type="spellEnd"/>
      <w:r w:rsidRPr="00F36699">
        <w:rPr>
          <w:rFonts w:cs="Arial"/>
          <w:szCs w:val="24"/>
        </w:rPr>
        <w:t xml:space="preserve">, 2020; </w:t>
      </w:r>
      <w:proofErr w:type="spellStart"/>
      <w:r w:rsidRPr="00F36699">
        <w:rPr>
          <w:rFonts w:cs="Arial"/>
          <w:szCs w:val="24"/>
        </w:rPr>
        <w:t>Samoggia</w:t>
      </w:r>
      <w:proofErr w:type="spellEnd"/>
      <w:r w:rsidRPr="00F36699">
        <w:rPr>
          <w:rFonts w:cs="Arial"/>
          <w:szCs w:val="24"/>
        </w:rPr>
        <w:t xml:space="preserve"> and Riedel, 2019). For multinational brands this poses a strategic challenge as they want to have assets that are </w:t>
      </w:r>
      <w:proofErr w:type="spellStart"/>
      <w:r w:rsidRPr="00F36699">
        <w:rPr>
          <w:rFonts w:cs="Arial"/>
          <w:szCs w:val="24"/>
        </w:rPr>
        <w:t>recognisable</w:t>
      </w:r>
      <w:proofErr w:type="spellEnd"/>
      <w:r w:rsidRPr="00F36699">
        <w:rPr>
          <w:rFonts w:cs="Arial"/>
          <w:szCs w:val="24"/>
        </w:rPr>
        <w:t xml:space="preserve"> to global brands, while also wishing to tweak aspects of the offer to the local market. The research on international marketing reveals that the right degree of </w:t>
      </w:r>
      <w:proofErr w:type="spellStart"/>
      <w:r w:rsidRPr="00F36699">
        <w:rPr>
          <w:rFonts w:cs="Arial"/>
          <w:szCs w:val="24"/>
        </w:rPr>
        <w:t>standardisation</w:t>
      </w:r>
      <w:proofErr w:type="spellEnd"/>
      <w:r w:rsidRPr="00F36699">
        <w:rPr>
          <w:rFonts w:cs="Arial"/>
          <w:szCs w:val="24"/>
        </w:rPr>
        <w:t>/adaptation varies not only from element to element, but also from consumer segment to consumer segment and from institutional environment to institutional environment and not on a one-size-fits-all basis (</w:t>
      </w:r>
      <w:proofErr w:type="spellStart"/>
      <w:r w:rsidRPr="00F36699">
        <w:rPr>
          <w:rFonts w:cs="Arial"/>
          <w:szCs w:val="24"/>
        </w:rPr>
        <w:t>Theodosiou</w:t>
      </w:r>
      <w:proofErr w:type="spellEnd"/>
      <w:r w:rsidRPr="00F36699">
        <w:rPr>
          <w:rFonts w:cs="Arial"/>
          <w:szCs w:val="24"/>
        </w:rPr>
        <w:t xml:space="preserve"> and </w:t>
      </w:r>
      <w:proofErr w:type="spellStart"/>
      <w:r w:rsidRPr="00F36699">
        <w:rPr>
          <w:rFonts w:cs="Arial"/>
          <w:szCs w:val="24"/>
        </w:rPr>
        <w:t>Leonidou</w:t>
      </w:r>
      <w:proofErr w:type="spellEnd"/>
      <w:r w:rsidRPr="00F36699">
        <w:rPr>
          <w:rFonts w:cs="Arial"/>
          <w:szCs w:val="24"/>
        </w:rPr>
        <w:t xml:space="preserve">, 2003; </w:t>
      </w:r>
      <w:proofErr w:type="spellStart"/>
      <w:r w:rsidRPr="00F36699">
        <w:rPr>
          <w:rFonts w:cs="Arial"/>
          <w:szCs w:val="24"/>
        </w:rPr>
        <w:t>Steenkamp</w:t>
      </w:r>
      <w:proofErr w:type="spellEnd"/>
      <w:r w:rsidRPr="00F36699">
        <w:rPr>
          <w:rFonts w:cs="Arial"/>
          <w:szCs w:val="24"/>
        </w:rPr>
        <w:t>, 2017). Brand loyalty in the case of branded coffee retail can be driven by consistent brand resources on the global level and experiences that have local meaning for the consumer (</w:t>
      </w:r>
      <w:proofErr w:type="spellStart"/>
      <w:r w:rsidRPr="00F36699">
        <w:rPr>
          <w:rFonts w:cs="Arial"/>
          <w:szCs w:val="24"/>
        </w:rPr>
        <w:t>Samoggia</w:t>
      </w:r>
      <w:proofErr w:type="spellEnd"/>
      <w:r w:rsidRPr="00F36699">
        <w:rPr>
          <w:rFonts w:cs="Arial"/>
          <w:szCs w:val="24"/>
        </w:rPr>
        <w:t xml:space="preserve"> and Riedel, 2019; </w:t>
      </w:r>
      <w:proofErr w:type="spellStart"/>
      <w:r w:rsidRPr="00F36699">
        <w:rPr>
          <w:rFonts w:cs="Arial"/>
          <w:szCs w:val="24"/>
        </w:rPr>
        <w:t>Xie</w:t>
      </w:r>
      <w:proofErr w:type="spellEnd"/>
      <w:r w:rsidRPr="00F36699">
        <w:rPr>
          <w:rFonts w:cs="Arial"/>
          <w:szCs w:val="24"/>
        </w:rPr>
        <w:t xml:space="preserve"> et al., 2015).</w:t>
      </w:r>
    </w:p>
    <w:p w14:paraId="26D36792" w14:textId="77777777" w:rsidR="00365991" w:rsidRPr="00F36699" w:rsidRDefault="00365991" w:rsidP="00365991">
      <w:pPr>
        <w:spacing w:line="360" w:lineRule="auto"/>
        <w:rPr>
          <w:rFonts w:cs="Arial"/>
          <w:szCs w:val="24"/>
        </w:rPr>
      </w:pPr>
      <w:r w:rsidRPr="00F36699">
        <w:rPr>
          <w:rFonts w:cs="Arial"/>
          <w:szCs w:val="24"/>
        </w:rPr>
        <w:t xml:space="preserve">The UK is a relevant setting for exploring the phenomenon of global brand </w:t>
      </w:r>
      <w:proofErr w:type="spellStart"/>
      <w:r w:rsidRPr="00F36699">
        <w:rPr>
          <w:rFonts w:cs="Arial"/>
          <w:szCs w:val="24"/>
        </w:rPr>
        <w:t>standardisation</w:t>
      </w:r>
      <w:proofErr w:type="spellEnd"/>
      <w:r w:rsidRPr="00F36699">
        <w:rPr>
          <w:rFonts w:cs="Arial"/>
          <w:szCs w:val="24"/>
        </w:rPr>
        <w:t xml:space="preserve"> and local cultural responsiveness, as it is a place where there is a high number of branded coffee-shops and a culturally diverse population (World Coffee Portal, 2025; Office for National Statistics, 2022). World Coffee Portal (2025) projected the value for UK branded coffee-shop sector to be £6.1 billion in January 2025 and that outlets had grown to 11,456 whilst consumers are becoming more 'value conscious'. The same industry source names Costa Coffee and Starbucks as the big brand coffee-shop operators in the UK, with Starbucks Corporation (2025) and Costa Limited (2025) having brand specific data on their operations in the UK (although it is not directly comparable due to different reporting dates and definitions). This competitive market context should therefore be taken into account in addition to diversity of demographic. The proportion of people in England and Wales reporting within the high level White category has decreased from 86.0 per cent in Census 2011 to 81.7 per cent in Census 2021 and the detailed data reveal 287 ethnic groups (Office for National Statistics, 2022). These market and demographic factors form the basis for the study's focus on cultural heterogeneity and not viewing the UK consumers as a culturally homogeneous mass.</w:t>
      </w:r>
    </w:p>
    <w:p w14:paraId="2B8B362E" w14:textId="17391ADE" w:rsidR="00D8014E" w:rsidRDefault="00365991" w:rsidP="00365991">
      <w:pPr>
        <w:spacing w:line="360" w:lineRule="auto"/>
      </w:pPr>
      <w:r w:rsidRPr="00F36699">
        <w:rPr>
          <w:rFonts w:cs="Arial"/>
          <w:szCs w:val="24"/>
        </w:rPr>
        <w:lastRenderedPageBreak/>
        <w:t xml:space="preserve">Starbucks and Costa Coffee were chosen as they are well established companies in the UK, with different histories and positioning cues of the same market. Starbucks is an American based global brand which has </w:t>
      </w:r>
      <w:proofErr w:type="spellStart"/>
      <w:r w:rsidRPr="00F36699">
        <w:rPr>
          <w:rFonts w:cs="Arial"/>
          <w:szCs w:val="24"/>
        </w:rPr>
        <w:t>recognisable</w:t>
      </w:r>
      <w:proofErr w:type="spellEnd"/>
      <w:r w:rsidRPr="00F36699">
        <w:rPr>
          <w:rFonts w:cs="Arial"/>
          <w:szCs w:val="24"/>
        </w:rPr>
        <w:t xml:space="preserve"> brand and digital elements across markets (Starbucks Corporation, 2025). In comparison, Costa Coffee was established in London in 1971 by the Costa brothers and still has heritage elements in the Mocha Italia blend (Costa Coffee, no date c). Starbucks Rewards and Costa Club are the two brands' loyalty </w:t>
      </w:r>
      <w:proofErr w:type="spellStart"/>
      <w:r w:rsidRPr="00F36699">
        <w:rPr>
          <w:rFonts w:cs="Arial"/>
          <w:szCs w:val="24"/>
        </w:rPr>
        <w:t>programmes</w:t>
      </w:r>
      <w:proofErr w:type="spellEnd"/>
      <w:r w:rsidRPr="00F36699">
        <w:rPr>
          <w:rFonts w:cs="Arial"/>
          <w:szCs w:val="24"/>
        </w:rPr>
        <w:t xml:space="preserve"> in the UK, while both brands discuss their sustainability efforts within their company </w:t>
      </w:r>
      <w:proofErr w:type="spellStart"/>
      <w:r w:rsidRPr="00F36699">
        <w:rPr>
          <w:rFonts w:cs="Arial"/>
          <w:szCs w:val="24"/>
        </w:rPr>
        <w:t>programmes</w:t>
      </w:r>
      <w:proofErr w:type="spellEnd"/>
      <w:r w:rsidRPr="00F36699">
        <w:rPr>
          <w:rFonts w:cs="Arial"/>
          <w:szCs w:val="24"/>
        </w:rPr>
        <w:t xml:space="preserve"> and reports (Starbucks Coffee Company (UK) Limited, 2025; Starbucks, 2025; Costa Coffee, no date a; Costa Coffee, 2022). Therefore, by comparing the two cases this study can investigate the relationship between different levels of </w:t>
      </w:r>
      <w:proofErr w:type="spellStart"/>
      <w:r w:rsidRPr="00F36699">
        <w:rPr>
          <w:rFonts w:cs="Arial"/>
          <w:szCs w:val="24"/>
        </w:rPr>
        <w:t>globalness</w:t>
      </w:r>
      <w:proofErr w:type="spellEnd"/>
      <w:r w:rsidRPr="00F36699">
        <w:rPr>
          <w:rFonts w:cs="Arial"/>
          <w:szCs w:val="24"/>
        </w:rPr>
        <w:t xml:space="preserve"> and localness and customer experience/communication, and how this can be correlated with repeat purchase without assuming that the repeat purchase can be achieved by means of any specific campaign or </w:t>
      </w:r>
      <w:proofErr w:type="spellStart"/>
      <w:r w:rsidRPr="00F36699">
        <w:rPr>
          <w:rFonts w:cs="Arial"/>
          <w:szCs w:val="24"/>
        </w:rPr>
        <w:t>programme</w:t>
      </w:r>
      <w:proofErr w:type="spellEnd"/>
      <w:r w:rsidR="00232011">
        <w:t>.</w:t>
      </w:r>
    </w:p>
    <w:p w14:paraId="16AA40AE" w14:textId="77777777" w:rsidR="00D8014E" w:rsidRDefault="00232011">
      <w:pPr>
        <w:pStyle w:val="Heading2"/>
      </w:pPr>
      <w:bookmarkStart w:id="10" w:name="_Toc239604296"/>
      <w:bookmarkStart w:id="11" w:name="_Toc240989700"/>
      <w:r>
        <w:t>1.2 Rationale of the study</w:t>
      </w:r>
      <w:bookmarkEnd w:id="10"/>
      <w:bookmarkEnd w:id="11"/>
    </w:p>
    <w:p w14:paraId="0050AEC2" w14:textId="77777777" w:rsidR="00365991" w:rsidRPr="00F36699" w:rsidRDefault="00365991" w:rsidP="00365991">
      <w:pPr>
        <w:spacing w:line="360" w:lineRule="auto"/>
        <w:rPr>
          <w:rFonts w:cs="Arial"/>
          <w:szCs w:val="24"/>
        </w:rPr>
      </w:pPr>
      <w:r w:rsidRPr="00F36699">
        <w:rPr>
          <w:rFonts w:cs="Arial"/>
          <w:szCs w:val="24"/>
        </w:rPr>
        <w:t xml:space="preserve">Don't assume that visible adaptation is loyalty per se. Brand-loyalty research also differentiates between </w:t>
      </w:r>
      <w:proofErr w:type="spellStart"/>
      <w:r w:rsidRPr="00F36699">
        <w:rPr>
          <w:rFonts w:cs="Arial"/>
          <w:szCs w:val="24"/>
        </w:rPr>
        <w:t>behavioural</w:t>
      </w:r>
      <w:proofErr w:type="spellEnd"/>
      <w:r w:rsidRPr="00F36699">
        <w:rPr>
          <w:rFonts w:cs="Arial"/>
          <w:szCs w:val="24"/>
        </w:rPr>
        <w:t xml:space="preserve"> repeat purchase and attitudinal preference and commitment, and loyalty-</w:t>
      </w:r>
      <w:proofErr w:type="spellStart"/>
      <w:r w:rsidRPr="00F36699">
        <w:rPr>
          <w:rFonts w:cs="Arial"/>
          <w:szCs w:val="24"/>
        </w:rPr>
        <w:t>programme</w:t>
      </w:r>
      <w:proofErr w:type="spellEnd"/>
      <w:r w:rsidRPr="00F36699">
        <w:rPr>
          <w:rFonts w:cs="Arial"/>
          <w:szCs w:val="24"/>
        </w:rPr>
        <w:t xml:space="preserve"> research indicates that it may be as much an incentive, a convenience or even self-selection as it is a loyalty to the brand (Dick and </w:t>
      </w:r>
      <w:proofErr w:type="spellStart"/>
      <w:r w:rsidRPr="00F36699">
        <w:rPr>
          <w:rFonts w:cs="Arial"/>
          <w:szCs w:val="24"/>
        </w:rPr>
        <w:t>Basu</w:t>
      </w:r>
      <w:proofErr w:type="spellEnd"/>
      <w:r w:rsidRPr="00F36699">
        <w:rPr>
          <w:rFonts w:cs="Arial"/>
          <w:szCs w:val="24"/>
        </w:rPr>
        <w:t xml:space="preserve">, 1994; Oliver, 1999; Liu, 2007; </w:t>
      </w:r>
      <w:proofErr w:type="spellStart"/>
      <w:r w:rsidRPr="00F36699">
        <w:rPr>
          <w:rFonts w:cs="Arial"/>
          <w:szCs w:val="24"/>
        </w:rPr>
        <w:t>Dorotic</w:t>
      </w:r>
      <w:proofErr w:type="spellEnd"/>
      <w:r w:rsidRPr="00F36699">
        <w:rPr>
          <w:rFonts w:cs="Arial"/>
          <w:szCs w:val="24"/>
        </w:rPr>
        <w:t xml:space="preserve"> et al., 2012). Similarly, language or ideas around sustainability and communication that have been adapted to local cultures can only help to build trust if the consumers believe them to be true and if they are implemented in practice (</w:t>
      </w:r>
      <w:proofErr w:type="spellStart"/>
      <w:r w:rsidRPr="00F36699">
        <w:rPr>
          <w:rFonts w:cs="Arial"/>
          <w:szCs w:val="24"/>
        </w:rPr>
        <w:t>Nyilasy</w:t>
      </w:r>
      <w:proofErr w:type="spellEnd"/>
      <w:r w:rsidRPr="00F36699">
        <w:rPr>
          <w:rFonts w:cs="Arial"/>
          <w:szCs w:val="24"/>
        </w:rPr>
        <w:t xml:space="preserve"> et al., 2014; Szabo and Webster, 2021). Consequently, a high level of frequency of transactions could be interpreted as either loyalty or simple repetition of </w:t>
      </w:r>
      <w:proofErr w:type="spellStart"/>
      <w:r w:rsidRPr="00F36699">
        <w:rPr>
          <w:rFonts w:cs="Arial"/>
          <w:szCs w:val="24"/>
        </w:rPr>
        <w:t>behaviour</w:t>
      </w:r>
      <w:proofErr w:type="spellEnd"/>
      <w:r w:rsidRPr="00F36699">
        <w:rPr>
          <w:rFonts w:cs="Arial"/>
          <w:szCs w:val="24"/>
        </w:rPr>
        <w:t xml:space="preserve">, since it is also possible that the customers are not really loyal to the brand, but are merely repeating the same </w:t>
      </w:r>
      <w:proofErr w:type="spellStart"/>
      <w:r w:rsidRPr="00F36699">
        <w:rPr>
          <w:rFonts w:cs="Arial"/>
          <w:szCs w:val="24"/>
        </w:rPr>
        <w:t>behaviour</w:t>
      </w:r>
      <w:proofErr w:type="spellEnd"/>
      <w:r w:rsidRPr="00F36699">
        <w:rPr>
          <w:rFonts w:cs="Arial"/>
          <w:szCs w:val="24"/>
        </w:rPr>
        <w:t xml:space="preserve"> (Dick and </w:t>
      </w:r>
      <w:proofErr w:type="spellStart"/>
      <w:r w:rsidRPr="00F36699">
        <w:rPr>
          <w:rFonts w:cs="Arial"/>
          <w:szCs w:val="24"/>
        </w:rPr>
        <w:t>Basu</w:t>
      </w:r>
      <w:proofErr w:type="spellEnd"/>
      <w:r w:rsidRPr="00F36699">
        <w:rPr>
          <w:rFonts w:cs="Arial"/>
          <w:szCs w:val="24"/>
        </w:rPr>
        <w:t>, 1994; Oliver, 1999).</w:t>
      </w:r>
    </w:p>
    <w:p w14:paraId="77CC7140" w14:textId="2969E0B6" w:rsidR="00D8014E" w:rsidRDefault="00365991" w:rsidP="00365991">
      <w:pPr>
        <w:spacing w:line="360" w:lineRule="auto"/>
      </w:pPr>
      <w:r w:rsidRPr="00F36699">
        <w:rPr>
          <w:rFonts w:cs="Arial"/>
          <w:szCs w:val="24"/>
        </w:rPr>
        <w:t xml:space="preserve">Several complementary explanations, but only partial, are given in the relevant literature. International marketing research is about </w:t>
      </w:r>
      <w:proofErr w:type="spellStart"/>
      <w:r w:rsidRPr="00F36699">
        <w:rPr>
          <w:rFonts w:cs="Arial"/>
          <w:szCs w:val="24"/>
        </w:rPr>
        <w:t>standardisation</w:t>
      </w:r>
      <w:proofErr w:type="spellEnd"/>
      <w:r w:rsidRPr="00F36699">
        <w:rPr>
          <w:rFonts w:cs="Arial"/>
          <w:szCs w:val="24"/>
        </w:rPr>
        <w:t xml:space="preserve"> and adaptation, the customer-experience research is about customer journeys and </w:t>
      </w:r>
      <w:proofErr w:type="spellStart"/>
      <w:r w:rsidRPr="00F36699">
        <w:rPr>
          <w:rFonts w:cs="Arial"/>
          <w:szCs w:val="24"/>
        </w:rPr>
        <w:t>touchpoints</w:t>
      </w:r>
      <w:proofErr w:type="spellEnd"/>
      <w:r w:rsidRPr="00F36699">
        <w:rPr>
          <w:rFonts w:cs="Arial"/>
          <w:szCs w:val="24"/>
        </w:rPr>
        <w:t xml:space="preserve">, and the brand-loyalty theory is about attitudinal and </w:t>
      </w:r>
      <w:proofErr w:type="spellStart"/>
      <w:r w:rsidRPr="00F36699">
        <w:rPr>
          <w:rFonts w:cs="Arial"/>
          <w:szCs w:val="24"/>
        </w:rPr>
        <w:t>behavioural</w:t>
      </w:r>
      <w:proofErr w:type="spellEnd"/>
      <w:r w:rsidRPr="00F36699">
        <w:rPr>
          <w:rFonts w:cs="Arial"/>
          <w:szCs w:val="24"/>
        </w:rPr>
        <w:t xml:space="preserve"> results, and relationship-marketing theory is </w:t>
      </w:r>
      <w:r w:rsidRPr="00F36699">
        <w:rPr>
          <w:rFonts w:cs="Arial"/>
          <w:szCs w:val="24"/>
        </w:rPr>
        <w:lastRenderedPageBreak/>
        <w:t>about trust and commitment (</w:t>
      </w:r>
      <w:proofErr w:type="spellStart"/>
      <w:r w:rsidRPr="00F36699">
        <w:rPr>
          <w:rFonts w:cs="Arial"/>
          <w:szCs w:val="24"/>
        </w:rPr>
        <w:t>Theodosiou</w:t>
      </w:r>
      <w:proofErr w:type="spellEnd"/>
      <w:r w:rsidRPr="00F36699">
        <w:rPr>
          <w:rFonts w:cs="Arial"/>
          <w:szCs w:val="24"/>
        </w:rPr>
        <w:t xml:space="preserve"> and </w:t>
      </w:r>
      <w:proofErr w:type="spellStart"/>
      <w:r w:rsidRPr="00F36699">
        <w:rPr>
          <w:rFonts w:cs="Arial"/>
          <w:szCs w:val="24"/>
        </w:rPr>
        <w:t>Leonidou</w:t>
      </w:r>
      <w:proofErr w:type="spellEnd"/>
      <w:r w:rsidRPr="00F36699">
        <w:rPr>
          <w:rFonts w:cs="Arial"/>
          <w:szCs w:val="24"/>
        </w:rPr>
        <w:t xml:space="preserve">, 2003; </w:t>
      </w:r>
      <w:proofErr w:type="spellStart"/>
      <w:r w:rsidRPr="00F36699">
        <w:rPr>
          <w:rFonts w:cs="Arial"/>
          <w:szCs w:val="24"/>
        </w:rPr>
        <w:t>Steenkamp</w:t>
      </w:r>
      <w:proofErr w:type="spellEnd"/>
      <w:r w:rsidRPr="00F36699">
        <w:rPr>
          <w:rFonts w:cs="Arial"/>
          <w:szCs w:val="24"/>
        </w:rPr>
        <w:t xml:space="preserve"> et al., 2003; </w:t>
      </w:r>
      <w:proofErr w:type="spellStart"/>
      <w:r w:rsidRPr="00F36699">
        <w:rPr>
          <w:rFonts w:cs="Arial"/>
          <w:szCs w:val="24"/>
        </w:rPr>
        <w:t>Xie</w:t>
      </w:r>
      <w:proofErr w:type="spellEnd"/>
      <w:r w:rsidRPr="00F36699">
        <w:rPr>
          <w:rFonts w:cs="Arial"/>
          <w:szCs w:val="24"/>
        </w:rPr>
        <w:t xml:space="preserve"> et al., 2015; Dick and </w:t>
      </w:r>
      <w:proofErr w:type="spellStart"/>
      <w:r w:rsidRPr="00F36699">
        <w:rPr>
          <w:rFonts w:cs="Arial"/>
          <w:szCs w:val="24"/>
        </w:rPr>
        <w:t>Basu</w:t>
      </w:r>
      <w:proofErr w:type="spellEnd"/>
      <w:r w:rsidRPr="00F36699">
        <w:rPr>
          <w:rFonts w:cs="Arial"/>
          <w:szCs w:val="24"/>
        </w:rPr>
        <w:t xml:space="preserve">, 1994; Oliver, 1999). The structured review for this dissertation, as shown in the corpus profile in Table 2, found only a few recent studies directly comparing Starbucks and Costa Coffee in the UK and numerous coffee-shop studies were based outside of the UK. This provides the context for a comparative synthesis that situates non-UK evidence in a contextually bounded manner and provides an analysis of whether practices of both brands align with identified mechanisms in the wider literature. The topic is relevant in the UK market, where there is pressure on price and a fierce competitive landscape (World Coffee Portal, 2025). Some other issues present in the broad literature are digital service, inclusive customer experience and environmental credibility (Grewal et al., 2020; Hoyer et al., 2020; </w:t>
      </w:r>
      <w:proofErr w:type="spellStart"/>
      <w:r w:rsidRPr="00F36699">
        <w:rPr>
          <w:rFonts w:cs="Arial"/>
          <w:szCs w:val="24"/>
        </w:rPr>
        <w:t>Licsandru</w:t>
      </w:r>
      <w:proofErr w:type="spellEnd"/>
      <w:r w:rsidRPr="00F36699">
        <w:rPr>
          <w:rFonts w:cs="Arial"/>
          <w:szCs w:val="24"/>
        </w:rPr>
        <w:t xml:space="preserve"> and Cui, 2018; de </w:t>
      </w:r>
      <w:proofErr w:type="spellStart"/>
      <w:r w:rsidRPr="00F36699">
        <w:rPr>
          <w:rFonts w:cs="Arial"/>
          <w:szCs w:val="24"/>
        </w:rPr>
        <w:t>Freitas</w:t>
      </w:r>
      <w:proofErr w:type="spellEnd"/>
      <w:r w:rsidRPr="00F36699">
        <w:rPr>
          <w:rFonts w:cs="Arial"/>
          <w:szCs w:val="24"/>
        </w:rPr>
        <w:t xml:space="preserve"> </w:t>
      </w:r>
      <w:proofErr w:type="spellStart"/>
      <w:r w:rsidRPr="00F36699">
        <w:rPr>
          <w:rFonts w:cs="Arial"/>
          <w:szCs w:val="24"/>
        </w:rPr>
        <w:t>Netto</w:t>
      </w:r>
      <w:proofErr w:type="spellEnd"/>
      <w:r w:rsidRPr="00F36699">
        <w:rPr>
          <w:rFonts w:cs="Arial"/>
          <w:szCs w:val="24"/>
        </w:rPr>
        <w:t xml:space="preserve"> et al., 2020)</w:t>
      </w:r>
      <w:r w:rsidR="00232011">
        <w:t>.</w:t>
      </w:r>
    </w:p>
    <w:p w14:paraId="7921A6EC" w14:textId="77777777" w:rsidR="00D8014E" w:rsidRDefault="00232011">
      <w:pPr>
        <w:pStyle w:val="Heading2"/>
      </w:pPr>
      <w:bookmarkStart w:id="12" w:name="_Toc239604297"/>
      <w:bookmarkStart w:id="13" w:name="_Toc234801588"/>
      <w:bookmarkStart w:id="14" w:name="_Toc240989701"/>
      <w:r>
        <w:rPr>
          <w:rFonts w:eastAsiaTheme="minorHAnsi"/>
        </w:rPr>
        <w:t>1.3 Research Aim</w:t>
      </w:r>
      <w:bookmarkEnd w:id="12"/>
      <w:bookmarkEnd w:id="13"/>
      <w:bookmarkEnd w:id="14"/>
    </w:p>
    <w:p w14:paraId="1B0DA38C" w14:textId="77777777" w:rsidR="00D8014E" w:rsidRDefault="00232011">
      <w:pPr>
        <w:spacing w:line="360" w:lineRule="auto"/>
      </w:pPr>
      <w:r>
        <w:t>The aim of this research is to critically examine how cross-cultural international marketing strategies are associated with consumer brand loyalty by comparing Starbucks and Costa Coffee in the UK market through qualitative secondary-data analysis.</w:t>
      </w:r>
    </w:p>
    <w:p w14:paraId="7547F66A" w14:textId="77777777" w:rsidR="00D8014E" w:rsidRDefault="00232011">
      <w:pPr>
        <w:pStyle w:val="Heading2"/>
        <w:rPr>
          <w:rFonts w:eastAsiaTheme="minorHAnsi"/>
        </w:rPr>
      </w:pPr>
      <w:bookmarkStart w:id="15" w:name="_Toc239604298"/>
      <w:bookmarkStart w:id="16" w:name="_Toc234801589"/>
      <w:bookmarkStart w:id="17" w:name="_Toc240989702"/>
      <w:r>
        <w:rPr>
          <w:rFonts w:eastAsiaTheme="minorHAnsi"/>
        </w:rPr>
        <w:t>1.4 Research Objectives</w:t>
      </w:r>
      <w:bookmarkEnd w:id="15"/>
      <w:bookmarkEnd w:id="16"/>
      <w:bookmarkEnd w:id="17"/>
    </w:p>
    <w:p w14:paraId="64C5486D" w14:textId="77777777" w:rsidR="00D8014E" w:rsidRDefault="00232011">
      <w:pPr>
        <w:pStyle w:val="ListParagraph"/>
        <w:numPr>
          <w:ilvl w:val="0"/>
          <w:numId w:val="1"/>
        </w:numPr>
        <w:spacing w:line="360" w:lineRule="auto"/>
      </w:pPr>
      <w:r>
        <w:t>To critically review cross-cultural international marketing and its relevance to multinational coffee retailers.</w:t>
      </w:r>
    </w:p>
    <w:p w14:paraId="7F786A9D" w14:textId="77777777" w:rsidR="00D8014E" w:rsidRDefault="00232011">
      <w:pPr>
        <w:pStyle w:val="ListParagraph"/>
        <w:numPr>
          <w:ilvl w:val="0"/>
          <w:numId w:val="1"/>
        </w:numPr>
        <w:spacing w:line="360" w:lineRule="auto"/>
      </w:pPr>
      <w:r>
        <w:t xml:space="preserve">To </w:t>
      </w:r>
      <w:proofErr w:type="spellStart"/>
      <w:r>
        <w:t>analyse</w:t>
      </w:r>
      <w:proofErr w:type="spellEnd"/>
      <w:r>
        <w:t xml:space="preserve"> the international marketing strategies of Starbucks and Costa Coffee in the UK market.</w:t>
      </w:r>
    </w:p>
    <w:p w14:paraId="499F1440" w14:textId="77777777" w:rsidR="00D8014E" w:rsidRDefault="00232011">
      <w:pPr>
        <w:pStyle w:val="ListParagraph"/>
        <w:numPr>
          <w:ilvl w:val="0"/>
          <w:numId w:val="1"/>
        </w:numPr>
        <w:spacing w:line="360" w:lineRule="auto"/>
      </w:pPr>
      <w:r>
        <w:t>To examine how cultural adaptation, customer experience and brand communication may shape consumer trust, satisfaction and brand loyalty.</w:t>
      </w:r>
    </w:p>
    <w:p w14:paraId="76D8C7F8" w14:textId="77777777" w:rsidR="00D8014E" w:rsidRDefault="00232011">
      <w:pPr>
        <w:pStyle w:val="ListParagraph"/>
        <w:numPr>
          <w:ilvl w:val="0"/>
          <w:numId w:val="1"/>
        </w:numPr>
        <w:spacing w:line="360" w:lineRule="auto"/>
      </w:pPr>
      <w:r>
        <w:t xml:space="preserve">To </w:t>
      </w:r>
      <w:proofErr w:type="spellStart"/>
      <w:r>
        <w:t>analyse</w:t>
      </w:r>
      <w:proofErr w:type="spellEnd"/>
      <w:r>
        <w:t xml:space="preserve"> and compare how the international marketing strategies of Starbucks and Costa Coffee relate to consumer-loyalty mechanisms in the UK market.</w:t>
      </w:r>
    </w:p>
    <w:p w14:paraId="757C646F" w14:textId="77777777" w:rsidR="00D8014E" w:rsidRDefault="00232011">
      <w:pPr>
        <w:pStyle w:val="ListParagraph"/>
        <w:numPr>
          <w:ilvl w:val="0"/>
          <w:numId w:val="1"/>
        </w:numPr>
        <w:spacing w:line="360" w:lineRule="auto"/>
      </w:pPr>
      <w:r>
        <w:t>To propose evidence-based improvements to cross-cultural international marketing strategies that may support long-term customer loyalty in the UK coffee-retail sector.</w:t>
      </w:r>
    </w:p>
    <w:p w14:paraId="4025F388" w14:textId="77777777" w:rsidR="00D8014E" w:rsidRDefault="00232011">
      <w:pPr>
        <w:pStyle w:val="Heading2"/>
        <w:rPr>
          <w:rFonts w:eastAsiaTheme="minorHAnsi"/>
        </w:rPr>
      </w:pPr>
      <w:bookmarkStart w:id="18" w:name="_Toc239604299"/>
      <w:bookmarkStart w:id="19" w:name="_Toc234801590"/>
      <w:bookmarkStart w:id="20" w:name="_Toc240989703"/>
      <w:r>
        <w:rPr>
          <w:rFonts w:eastAsiaTheme="minorHAnsi"/>
        </w:rPr>
        <w:lastRenderedPageBreak/>
        <w:t>1.5 Research Questions</w:t>
      </w:r>
      <w:bookmarkEnd w:id="18"/>
      <w:bookmarkEnd w:id="19"/>
      <w:bookmarkEnd w:id="20"/>
    </w:p>
    <w:p w14:paraId="0AFC6FF7" w14:textId="77777777" w:rsidR="00D8014E" w:rsidRDefault="00232011">
      <w:pPr>
        <w:spacing w:line="276" w:lineRule="auto"/>
        <w:rPr>
          <w:b/>
          <w:bCs/>
        </w:rPr>
      </w:pPr>
      <w:r>
        <w:t>Overarching Research Question</w:t>
      </w:r>
    </w:p>
    <w:p w14:paraId="11601C1E" w14:textId="77777777" w:rsidR="001C018E" w:rsidRDefault="001C018E">
      <w:pPr>
        <w:spacing w:line="276" w:lineRule="auto"/>
      </w:pPr>
      <w:r w:rsidRPr="001C018E">
        <w:t>How do international marketing strategies affect customer loyalty towards Starbucks and Costa Coffee in the UK?</w:t>
      </w:r>
    </w:p>
    <w:p w14:paraId="2F236605" w14:textId="77777777" w:rsidR="00D8014E" w:rsidRPr="001C018E" w:rsidRDefault="00232011">
      <w:pPr>
        <w:spacing w:line="276" w:lineRule="auto"/>
        <w:rPr>
          <w:b/>
          <w:bCs/>
        </w:rPr>
      </w:pPr>
      <w:r w:rsidRPr="001C018E">
        <w:rPr>
          <w:b/>
        </w:rPr>
        <w:t>Research Sub-questions</w:t>
      </w:r>
    </w:p>
    <w:p w14:paraId="7C0D8D5A" w14:textId="77777777" w:rsidR="001C018E" w:rsidRPr="001C018E" w:rsidRDefault="001C018E" w:rsidP="001C018E">
      <w:pPr>
        <w:pStyle w:val="NormalWeb"/>
        <w:numPr>
          <w:ilvl w:val="0"/>
          <w:numId w:val="4"/>
        </w:numPr>
        <w:spacing w:line="360" w:lineRule="auto"/>
        <w:jc w:val="both"/>
        <w:rPr>
          <w:rFonts w:ascii="Arial" w:eastAsiaTheme="minorHAnsi" w:hAnsi="Arial" w:cs="Arial"/>
        </w:rPr>
      </w:pPr>
      <w:bookmarkStart w:id="21" w:name="_Toc239604300"/>
      <w:r w:rsidRPr="001C018E">
        <w:rPr>
          <w:rFonts w:ascii="Arial" w:eastAsiaTheme="minorHAnsi" w:hAnsi="Arial" w:cs="Arial"/>
        </w:rPr>
        <w:t>What are the main elements of international marketing in the coffee industry?</w:t>
      </w:r>
    </w:p>
    <w:p w14:paraId="2EF4B719" w14:textId="77777777" w:rsidR="001C018E" w:rsidRPr="001C018E" w:rsidRDefault="001C018E" w:rsidP="001C018E">
      <w:pPr>
        <w:pStyle w:val="NormalWeb"/>
        <w:numPr>
          <w:ilvl w:val="0"/>
          <w:numId w:val="4"/>
        </w:numPr>
        <w:spacing w:line="360" w:lineRule="auto"/>
        <w:jc w:val="both"/>
        <w:rPr>
          <w:rFonts w:ascii="Arial" w:eastAsiaTheme="minorHAnsi" w:hAnsi="Arial" w:cs="Arial"/>
        </w:rPr>
      </w:pPr>
      <w:r w:rsidRPr="001C018E">
        <w:rPr>
          <w:rFonts w:ascii="Arial" w:eastAsiaTheme="minorHAnsi" w:hAnsi="Arial" w:cs="Arial"/>
        </w:rPr>
        <w:t>How do Starbucks and Costa Coffee adjust their marketing strategies for UK customers?</w:t>
      </w:r>
    </w:p>
    <w:p w14:paraId="7D21083B" w14:textId="77777777" w:rsidR="001C018E" w:rsidRPr="001C018E" w:rsidRDefault="001C018E" w:rsidP="001C018E">
      <w:pPr>
        <w:pStyle w:val="NormalWeb"/>
        <w:numPr>
          <w:ilvl w:val="0"/>
          <w:numId w:val="4"/>
        </w:numPr>
        <w:spacing w:line="360" w:lineRule="auto"/>
        <w:jc w:val="both"/>
        <w:rPr>
          <w:rFonts w:ascii="Arial" w:eastAsiaTheme="minorHAnsi" w:hAnsi="Arial" w:cs="Arial"/>
        </w:rPr>
      </w:pPr>
      <w:r w:rsidRPr="001C018E">
        <w:rPr>
          <w:rFonts w:ascii="Arial" w:eastAsiaTheme="minorHAnsi" w:hAnsi="Arial" w:cs="Arial"/>
        </w:rPr>
        <w:t>Which marketing strategies help build customer trust, satisfaction, and loyalty?</w:t>
      </w:r>
    </w:p>
    <w:p w14:paraId="7745AA94" w14:textId="77777777" w:rsidR="001C018E" w:rsidRPr="001C018E" w:rsidRDefault="001C018E" w:rsidP="001C018E">
      <w:pPr>
        <w:pStyle w:val="NormalWeb"/>
        <w:numPr>
          <w:ilvl w:val="0"/>
          <w:numId w:val="4"/>
        </w:numPr>
        <w:spacing w:line="360" w:lineRule="auto"/>
        <w:jc w:val="both"/>
        <w:rPr>
          <w:rFonts w:ascii="Arial" w:eastAsiaTheme="minorHAnsi" w:hAnsi="Arial" w:cs="Arial"/>
        </w:rPr>
      </w:pPr>
      <w:r w:rsidRPr="001C018E">
        <w:rPr>
          <w:rFonts w:ascii="Arial" w:eastAsiaTheme="minorHAnsi" w:hAnsi="Arial" w:cs="Arial"/>
        </w:rPr>
        <w:t>What are the similarities and differences between Starbucks and Costa Coffee’s marketing strategies?</w:t>
      </w:r>
    </w:p>
    <w:p w14:paraId="46ADE661" w14:textId="77777777" w:rsidR="001C018E" w:rsidRPr="001C018E" w:rsidRDefault="001C018E" w:rsidP="001C018E">
      <w:pPr>
        <w:pStyle w:val="NormalWeb"/>
        <w:numPr>
          <w:ilvl w:val="0"/>
          <w:numId w:val="4"/>
        </w:numPr>
        <w:spacing w:line="360" w:lineRule="auto"/>
        <w:jc w:val="both"/>
        <w:rPr>
          <w:rFonts w:ascii="Arial" w:eastAsiaTheme="minorHAnsi" w:hAnsi="Arial" w:cs="Arial"/>
          <w:b/>
        </w:rPr>
      </w:pPr>
      <w:r w:rsidRPr="001C018E">
        <w:rPr>
          <w:rFonts w:ascii="Arial" w:eastAsiaTheme="minorHAnsi" w:hAnsi="Arial" w:cs="Arial"/>
        </w:rPr>
        <w:t>What strategies can help coffee brands improve customer loyalty in the UK market?</w:t>
      </w:r>
    </w:p>
    <w:p w14:paraId="186BDF66" w14:textId="77777777" w:rsidR="00D8014E" w:rsidRDefault="00232011" w:rsidP="001C018E">
      <w:pPr>
        <w:pStyle w:val="Heading2"/>
      </w:pPr>
      <w:bookmarkStart w:id="22" w:name="_Toc240989704"/>
      <w:r>
        <w:t>1.6 Scope of the Study</w:t>
      </w:r>
      <w:bookmarkEnd w:id="21"/>
      <w:bookmarkEnd w:id="22"/>
    </w:p>
    <w:p w14:paraId="7D65FC74" w14:textId="77777777" w:rsidR="00D8014E" w:rsidRDefault="00232011">
      <w:pPr>
        <w:spacing w:line="360" w:lineRule="auto"/>
      </w:pPr>
      <w:r>
        <w:t xml:space="preserve">Consistent with case-study design, which requires a clearly specified unit of analysis and permits the use of multiple forms of evidence (Yin, 2018), this dissertation treats the international-marketing configuration of each brand in the UK as the unit of analysis rather than individual consumers or the corporations as a whole. Evidence is drawn from peer-reviewed scholarship, scholarly books, official company materials, statutory filings, official statistics and reputable specialist market sources. Because the study relies on document analysis rather than newly collected participant data, it is a qualitative secondary-data study with no interviews, questionnaires or direct observations (Bowen, 2009; Saunders et al., 2023). For this dissertation, cross-cultural international marketing is </w:t>
      </w:r>
      <w:proofErr w:type="spellStart"/>
      <w:r>
        <w:t>operationalised</w:t>
      </w:r>
      <w:proofErr w:type="spellEnd"/>
      <w:r>
        <w:t xml:space="preserve"> as the coordination of brand identity across markets while adapting product, communication, service and inclusion practices to culturally patterned meanings, norms and consumption practices in the UK. Cultural adaptation is examined only where a practice is documented and can be interpreted in relation to the UK market; it is not used to imply that all members of a national population share the same values (de </w:t>
      </w:r>
      <w:proofErr w:type="spellStart"/>
      <w:r>
        <w:t>Mooij</w:t>
      </w:r>
      <w:proofErr w:type="spellEnd"/>
      <w:r>
        <w:t xml:space="preserve">, 2021; </w:t>
      </w:r>
      <w:proofErr w:type="spellStart"/>
      <w:r>
        <w:t>Kipnis</w:t>
      </w:r>
      <w:proofErr w:type="spellEnd"/>
      <w:r>
        <w:t xml:space="preserve"> et al., 2019).</w:t>
      </w:r>
    </w:p>
    <w:p w14:paraId="4C92FB61" w14:textId="77777777" w:rsidR="00D8014E" w:rsidRDefault="00232011">
      <w:pPr>
        <w:spacing w:line="360" w:lineRule="auto"/>
      </w:pPr>
      <w:r>
        <w:lastRenderedPageBreak/>
        <w:t xml:space="preserve">The evidence search </w:t>
      </w:r>
      <w:proofErr w:type="spellStart"/>
      <w:r>
        <w:t>prioritised</w:t>
      </w:r>
      <w:proofErr w:type="spellEnd"/>
      <w:r>
        <w:t xml:space="preserve"> sources published between 2020 and the evidence cut-off date of 8 August 2026. Earlier seminal works were retained only where they established a foundational construct, theory or continuing debate. The geographical focus is the UK. International studies are used only to illuminate plausible mechanisms and are explicitly identified as non-UK evidence rather than treated as direct evidence of UK consumer response. Company publications are used to document </w:t>
      </w:r>
      <w:proofErr w:type="spellStart"/>
      <w:r>
        <w:t>programme</w:t>
      </w:r>
      <w:proofErr w:type="spellEnd"/>
      <w:r>
        <w:t xml:space="preserve"> design, stated commitments and reported performance, while market reports provide contextual estimates; neither is treated as independent causal evidence of consumer loyalty. These boundaries are intended to prevent corporate intention from being presented as consumer outcome and to avoid unqualified transfer of findings from one cultural setting to another.</w:t>
      </w:r>
      <w:r w:rsidR="005C5AA4">
        <w:t xml:space="preserve"> </w:t>
      </w:r>
      <w:r>
        <w:t xml:space="preserve">The analysis further distinguishes adaptation from responsiveness. In this study, adaptation refers to a documented change in an offer, message, service or inclusion practice that is visible to customers, whereas responsiveness refers to the continuing </w:t>
      </w:r>
      <w:proofErr w:type="spellStart"/>
      <w:r>
        <w:t>organisational</w:t>
      </w:r>
      <w:proofErr w:type="spellEnd"/>
      <w:r>
        <w:t xml:space="preserve"> capacity to learn from culturally diverse customers and adjust the broader experience. This distinction supports the study's longer-term perspective on loyalty: as digital journeys and community expectations change, feedback, governance and </w:t>
      </w:r>
      <w:proofErr w:type="spellStart"/>
      <w:r>
        <w:t>organisational</w:t>
      </w:r>
      <w:proofErr w:type="spellEnd"/>
      <w:r>
        <w:t xml:space="preserve"> learning become relevant to maintaining brand consistency while allowing local decisions to remain transparent, testable and reversible (Kotler et al., 2022). The comparison therefore evaluates how the two brands combine unified brand assets with locally responsive practices; it does not assess coffee taste, conduct a supply-chain audit or assign a monetary value to brand equity except where such issues provide context for marketing claims or rival explanations.</w:t>
      </w:r>
    </w:p>
    <w:p w14:paraId="3DC2A137" w14:textId="77777777" w:rsidR="00D8014E" w:rsidRDefault="00232011">
      <w:pPr>
        <w:spacing w:line="360" w:lineRule="auto"/>
      </w:pPr>
      <w:r>
        <w:t xml:space="preserve">In this dissertation, customer experience (CX) refers to consumers' responses across direct and indirect </w:t>
      </w:r>
      <w:proofErr w:type="spellStart"/>
      <w:r>
        <w:t>touchpoints</w:t>
      </w:r>
      <w:proofErr w:type="spellEnd"/>
      <w:r>
        <w:t xml:space="preserve"> rather than to the store interior alone (Lemon and </w:t>
      </w:r>
      <w:proofErr w:type="spellStart"/>
      <w:r>
        <w:t>Verhoef</w:t>
      </w:r>
      <w:proofErr w:type="spellEnd"/>
      <w:r>
        <w:t xml:space="preserve">, 2016; Becker and </w:t>
      </w:r>
      <w:proofErr w:type="spellStart"/>
      <w:r>
        <w:t>Jaakkola</w:t>
      </w:r>
      <w:proofErr w:type="spellEnd"/>
      <w:r>
        <w:t xml:space="preserve">, 2020). Brand communication is treated as the set of promotional, relational, digital, social and responsibility-related signals through which the brand presents and sustains its value proposition and relationships with consumers (Kotler et al., 2022; </w:t>
      </w:r>
      <w:proofErr w:type="spellStart"/>
      <w:r>
        <w:t>Hollebeek</w:t>
      </w:r>
      <w:proofErr w:type="spellEnd"/>
      <w:r>
        <w:t xml:space="preserve"> and </w:t>
      </w:r>
      <w:proofErr w:type="spellStart"/>
      <w:r>
        <w:t>Macky</w:t>
      </w:r>
      <w:proofErr w:type="spellEnd"/>
      <w:r>
        <w:t>, 2019).</w:t>
      </w:r>
      <w:r>
        <w:br w:type="page"/>
      </w:r>
    </w:p>
    <w:p w14:paraId="6EAF80D0" w14:textId="77777777" w:rsidR="00D8014E" w:rsidRDefault="00232011" w:rsidP="005C5AA4">
      <w:pPr>
        <w:pStyle w:val="Heading1"/>
      </w:pPr>
      <w:bookmarkStart w:id="23" w:name="_Toc239604301"/>
      <w:bookmarkStart w:id="24" w:name="_Toc240989705"/>
      <w:bookmarkStart w:id="25" w:name="_Hlk240983858"/>
      <w:r>
        <w:lastRenderedPageBreak/>
        <w:t>Chapter 2: Literature Review</w:t>
      </w:r>
      <w:bookmarkEnd w:id="23"/>
      <w:bookmarkEnd w:id="24"/>
    </w:p>
    <w:p w14:paraId="5DED907D" w14:textId="77777777" w:rsidR="00D8014E" w:rsidRDefault="00232011">
      <w:pPr>
        <w:pStyle w:val="Heading2"/>
      </w:pPr>
      <w:bookmarkStart w:id="26" w:name="_Toc239604302"/>
      <w:bookmarkStart w:id="27" w:name="_Toc240989706"/>
      <w:r>
        <w:t>2.1 Introduction</w:t>
      </w:r>
      <w:bookmarkEnd w:id="26"/>
      <w:bookmarkEnd w:id="27"/>
    </w:p>
    <w:p w14:paraId="7DCCFF05" w14:textId="766C5839" w:rsidR="00D8014E" w:rsidRDefault="00365991">
      <w:pPr>
        <w:spacing w:line="360" w:lineRule="auto"/>
      </w:pPr>
      <w:r w:rsidRPr="00F36699">
        <w:rPr>
          <w:rFonts w:cs="Arial"/>
          <w:szCs w:val="24"/>
        </w:rPr>
        <w:t xml:space="preserve">This chapter builds the literature base that are needed to address the overarching research question and the five sub-questions. Section 2.2 reviews the concepts of </w:t>
      </w:r>
      <w:proofErr w:type="spellStart"/>
      <w:r w:rsidRPr="00F36699">
        <w:rPr>
          <w:rFonts w:cs="Arial"/>
          <w:szCs w:val="24"/>
        </w:rPr>
        <w:t>standardisation</w:t>
      </w:r>
      <w:proofErr w:type="spellEnd"/>
      <w:r w:rsidRPr="00F36699">
        <w:rPr>
          <w:rFonts w:cs="Arial"/>
          <w:szCs w:val="24"/>
        </w:rPr>
        <w:t xml:space="preserve">, adaptation and </w:t>
      </w:r>
      <w:proofErr w:type="spellStart"/>
      <w:r w:rsidRPr="00F36699">
        <w:rPr>
          <w:rFonts w:cs="Arial"/>
          <w:szCs w:val="24"/>
        </w:rPr>
        <w:t>glocalisation</w:t>
      </w:r>
      <w:proofErr w:type="spellEnd"/>
      <w:r w:rsidRPr="00F36699">
        <w:rPr>
          <w:rFonts w:cs="Arial"/>
          <w:szCs w:val="24"/>
        </w:rPr>
        <w:t xml:space="preserve">, which will form the basis for Sub-questions 1 and 2. Hofstede's cultural dimensions and Consumer Culture Theory (CCT); Relationship Marketing Theory and Brand Loyalty Theory are explored in Section 2.3 as they form the foundation for investigating cultural meaning, trust, satisfaction and loyalty applicable to Sub-question 3. Seeking evidence to compare Starbucks vs. Costa Coffee, global / local brand perceptions, customer experience, digital engagement, authenticity and sustainability, inclusive communication is then explored in sections 2.4-2.7. Section 2.8 brings together these streams, creates a research gap and lays the foundation for the strategic recommendations presented in Sub-question 5. The aim is therefore not to draw up a list of variables but to link culturally meaningful practices of marketing to a believable chain of relationships to attitudinal or </w:t>
      </w:r>
      <w:proofErr w:type="spellStart"/>
      <w:r w:rsidRPr="00F36699">
        <w:rPr>
          <w:rFonts w:cs="Arial"/>
          <w:szCs w:val="24"/>
        </w:rPr>
        <w:t>behavioural</w:t>
      </w:r>
      <w:proofErr w:type="spellEnd"/>
      <w:r w:rsidRPr="00F36699">
        <w:rPr>
          <w:rFonts w:cs="Arial"/>
          <w:szCs w:val="24"/>
        </w:rPr>
        <w:t xml:space="preserve"> loyalty</w:t>
      </w:r>
      <w:r w:rsidR="00232011">
        <w:t>.</w:t>
      </w:r>
    </w:p>
    <w:p w14:paraId="3C606D6F" w14:textId="77777777" w:rsidR="00D8014E" w:rsidRDefault="00232011">
      <w:pPr>
        <w:pStyle w:val="Heading2"/>
      </w:pPr>
      <w:bookmarkStart w:id="28" w:name="_Toc239604303"/>
      <w:bookmarkStart w:id="29" w:name="_Toc240989707"/>
      <w:r>
        <w:t>2.2 Cross-cultural international marketing: coordination and adaptation</w:t>
      </w:r>
      <w:bookmarkEnd w:id="28"/>
      <w:bookmarkEnd w:id="29"/>
    </w:p>
    <w:p w14:paraId="01E7403A" w14:textId="77777777" w:rsidR="00365991" w:rsidRPr="00F36699" w:rsidRDefault="00365991" w:rsidP="00365991">
      <w:pPr>
        <w:spacing w:line="360" w:lineRule="auto"/>
        <w:rPr>
          <w:rFonts w:cs="Arial"/>
          <w:szCs w:val="24"/>
        </w:rPr>
      </w:pPr>
      <w:r w:rsidRPr="00F36699">
        <w:rPr>
          <w:rFonts w:cs="Arial"/>
          <w:szCs w:val="24"/>
        </w:rPr>
        <w:t xml:space="preserve">International marketing strategy involves a choice as to which aspects of value creation to keep the same and which to change when selling in different markets. </w:t>
      </w:r>
      <w:proofErr w:type="spellStart"/>
      <w:r w:rsidRPr="00F36699">
        <w:rPr>
          <w:rFonts w:cs="Arial"/>
          <w:szCs w:val="24"/>
        </w:rPr>
        <w:t>Theodosiou</w:t>
      </w:r>
      <w:proofErr w:type="spellEnd"/>
      <w:r w:rsidRPr="00F36699">
        <w:rPr>
          <w:rFonts w:cs="Arial"/>
          <w:szCs w:val="24"/>
        </w:rPr>
        <w:t xml:space="preserve"> and </w:t>
      </w:r>
      <w:proofErr w:type="spellStart"/>
      <w:r w:rsidRPr="00F36699">
        <w:rPr>
          <w:rFonts w:cs="Arial"/>
          <w:szCs w:val="24"/>
        </w:rPr>
        <w:t>Leonidou</w:t>
      </w:r>
      <w:proofErr w:type="spellEnd"/>
      <w:r w:rsidRPr="00F36699">
        <w:rPr>
          <w:rFonts w:cs="Arial"/>
          <w:szCs w:val="24"/>
        </w:rPr>
        <w:t xml:space="preserve"> (2003) indicate that there are environmental and </w:t>
      </w:r>
      <w:proofErr w:type="spellStart"/>
      <w:r w:rsidRPr="00F36699">
        <w:rPr>
          <w:rFonts w:cs="Arial"/>
          <w:szCs w:val="24"/>
        </w:rPr>
        <w:t>organisational</w:t>
      </w:r>
      <w:proofErr w:type="spellEnd"/>
      <w:r w:rsidRPr="00F36699">
        <w:rPr>
          <w:rFonts w:cs="Arial"/>
          <w:szCs w:val="24"/>
        </w:rPr>
        <w:t xml:space="preserve"> contingencies that need to be taken into consideration because of the need to balance between </w:t>
      </w:r>
      <w:proofErr w:type="spellStart"/>
      <w:r w:rsidRPr="00F36699">
        <w:rPr>
          <w:rFonts w:cs="Arial"/>
          <w:szCs w:val="24"/>
        </w:rPr>
        <w:t>standardisation</w:t>
      </w:r>
      <w:proofErr w:type="spellEnd"/>
      <w:r w:rsidRPr="00F36699">
        <w:rPr>
          <w:rFonts w:cs="Arial"/>
          <w:szCs w:val="24"/>
        </w:rPr>
        <w:t xml:space="preserve"> and adaptation, with </w:t>
      </w:r>
      <w:proofErr w:type="spellStart"/>
      <w:r w:rsidRPr="00F36699">
        <w:rPr>
          <w:rFonts w:cs="Arial"/>
          <w:szCs w:val="24"/>
        </w:rPr>
        <w:t>standardisation</w:t>
      </w:r>
      <w:proofErr w:type="spellEnd"/>
      <w:r w:rsidRPr="00F36699">
        <w:rPr>
          <w:rFonts w:cs="Arial"/>
          <w:szCs w:val="24"/>
        </w:rPr>
        <w:t xml:space="preserve"> serving to enhance consistency and efficiency, while adaptation will enhance fit with the local market and institutional environment. </w:t>
      </w:r>
      <w:proofErr w:type="spellStart"/>
      <w:r w:rsidRPr="00F36699">
        <w:rPr>
          <w:rFonts w:cs="Arial"/>
          <w:szCs w:val="24"/>
        </w:rPr>
        <w:t>Zou</w:t>
      </w:r>
      <w:proofErr w:type="spellEnd"/>
      <w:r w:rsidRPr="00F36699">
        <w:rPr>
          <w:rFonts w:cs="Arial"/>
          <w:szCs w:val="24"/>
        </w:rPr>
        <w:t xml:space="preserve"> and </w:t>
      </w:r>
      <w:proofErr w:type="spellStart"/>
      <w:r w:rsidRPr="00F36699">
        <w:rPr>
          <w:rFonts w:cs="Arial"/>
          <w:szCs w:val="24"/>
        </w:rPr>
        <w:t>Çavuşgil</w:t>
      </w:r>
      <w:proofErr w:type="spellEnd"/>
      <w:r w:rsidRPr="00F36699">
        <w:rPr>
          <w:rFonts w:cs="Arial"/>
          <w:szCs w:val="24"/>
        </w:rPr>
        <w:t xml:space="preserve"> (2002) also view global marketing strategy as a configuration and integration of the elements and as coordinated rather than unified. These are important aspects in branded coffee retail as consumer assessment is influenced not only by the brand information that is carried along with the coffee, but also by the various elements of the customer experience, such as price, service encounters, convenience and social consumption (</w:t>
      </w:r>
      <w:proofErr w:type="spellStart"/>
      <w:r w:rsidRPr="00F36699">
        <w:rPr>
          <w:rFonts w:cs="Arial"/>
          <w:szCs w:val="24"/>
        </w:rPr>
        <w:t>Shavitt</w:t>
      </w:r>
      <w:proofErr w:type="spellEnd"/>
      <w:r w:rsidRPr="00F36699">
        <w:rPr>
          <w:rFonts w:cs="Arial"/>
          <w:szCs w:val="24"/>
        </w:rPr>
        <w:t xml:space="preserve"> and Barnes, 2020; </w:t>
      </w:r>
      <w:proofErr w:type="spellStart"/>
      <w:r w:rsidRPr="00F36699">
        <w:rPr>
          <w:rFonts w:cs="Arial"/>
          <w:szCs w:val="24"/>
        </w:rPr>
        <w:t>Samoggia</w:t>
      </w:r>
      <w:proofErr w:type="spellEnd"/>
      <w:r w:rsidRPr="00F36699">
        <w:rPr>
          <w:rFonts w:cs="Arial"/>
          <w:szCs w:val="24"/>
        </w:rPr>
        <w:t xml:space="preserve"> and Riedel, 2019; Lemon and </w:t>
      </w:r>
      <w:proofErr w:type="spellStart"/>
      <w:r w:rsidRPr="00F36699">
        <w:rPr>
          <w:rFonts w:cs="Arial"/>
          <w:szCs w:val="24"/>
        </w:rPr>
        <w:t>Verhoef</w:t>
      </w:r>
      <w:proofErr w:type="spellEnd"/>
      <w:r w:rsidRPr="00F36699">
        <w:rPr>
          <w:rFonts w:cs="Arial"/>
          <w:szCs w:val="24"/>
        </w:rPr>
        <w:t>, 2016).</w:t>
      </w:r>
    </w:p>
    <w:p w14:paraId="1F97B22F" w14:textId="77777777" w:rsidR="00365991" w:rsidRPr="00F36699" w:rsidRDefault="00365991" w:rsidP="00365991">
      <w:pPr>
        <w:spacing w:line="360" w:lineRule="auto"/>
        <w:rPr>
          <w:rFonts w:cs="Arial"/>
          <w:szCs w:val="24"/>
        </w:rPr>
      </w:pPr>
      <w:r w:rsidRPr="00F36699">
        <w:rPr>
          <w:rFonts w:cs="Arial"/>
          <w:szCs w:val="24"/>
        </w:rPr>
        <w:lastRenderedPageBreak/>
        <w:t xml:space="preserve">In this debate, </w:t>
      </w:r>
      <w:proofErr w:type="spellStart"/>
      <w:r w:rsidRPr="00F36699">
        <w:rPr>
          <w:rFonts w:cs="Arial"/>
          <w:szCs w:val="24"/>
        </w:rPr>
        <w:t>glocalisation</w:t>
      </w:r>
      <w:proofErr w:type="spellEnd"/>
      <w:r w:rsidRPr="00F36699">
        <w:rPr>
          <w:rFonts w:cs="Arial"/>
          <w:szCs w:val="24"/>
        </w:rPr>
        <w:t xml:space="preserve"> is a good term to describe the in-</w:t>
      </w:r>
      <w:proofErr w:type="spellStart"/>
      <w:r w:rsidRPr="00F36699">
        <w:rPr>
          <w:rFonts w:cs="Arial"/>
          <w:szCs w:val="24"/>
        </w:rPr>
        <w:t>betweenness</w:t>
      </w:r>
      <w:proofErr w:type="spellEnd"/>
      <w:r w:rsidRPr="00F36699">
        <w:rPr>
          <w:rFonts w:cs="Arial"/>
          <w:szCs w:val="24"/>
        </w:rPr>
        <w:t xml:space="preserve"> of seeking global coherence and local meaning. Excessive </w:t>
      </w:r>
      <w:proofErr w:type="spellStart"/>
      <w:r w:rsidRPr="00F36699">
        <w:rPr>
          <w:rFonts w:cs="Arial"/>
          <w:szCs w:val="24"/>
        </w:rPr>
        <w:t>standardisation</w:t>
      </w:r>
      <w:proofErr w:type="spellEnd"/>
      <w:r w:rsidRPr="00F36699">
        <w:rPr>
          <w:rFonts w:cs="Arial"/>
          <w:szCs w:val="24"/>
        </w:rPr>
        <w:t xml:space="preserve"> creates a risk of a loss of local relevance and poorly adapted becomes a risk of an inconsistent or culturally stereotyped execution (</w:t>
      </w:r>
      <w:proofErr w:type="spellStart"/>
      <w:r w:rsidRPr="00F36699">
        <w:rPr>
          <w:rFonts w:cs="Arial"/>
          <w:szCs w:val="24"/>
        </w:rPr>
        <w:t>Theodosiou</w:t>
      </w:r>
      <w:proofErr w:type="spellEnd"/>
      <w:r w:rsidRPr="00F36699">
        <w:rPr>
          <w:rFonts w:cs="Arial"/>
          <w:szCs w:val="24"/>
        </w:rPr>
        <w:t xml:space="preserve"> and </w:t>
      </w:r>
      <w:proofErr w:type="spellStart"/>
      <w:r w:rsidRPr="00F36699">
        <w:rPr>
          <w:rFonts w:cs="Arial"/>
          <w:szCs w:val="24"/>
        </w:rPr>
        <w:t>Leonidou</w:t>
      </w:r>
      <w:proofErr w:type="spellEnd"/>
      <w:r w:rsidRPr="00F36699">
        <w:rPr>
          <w:rFonts w:cs="Arial"/>
          <w:szCs w:val="24"/>
        </w:rPr>
        <w:t xml:space="preserve">, 2003; </w:t>
      </w:r>
      <w:proofErr w:type="spellStart"/>
      <w:r w:rsidRPr="00F36699">
        <w:rPr>
          <w:rFonts w:cs="Arial"/>
          <w:szCs w:val="24"/>
        </w:rPr>
        <w:t>Steenkamp</w:t>
      </w:r>
      <w:proofErr w:type="spellEnd"/>
      <w:r w:rsidRPr="00F36699">
        <w:rPr>
          <w:rFonts w:cs="Arial"/>
          <w:szCs w:val="24"/>
        </w:rPr>
        <w:t xml:space="preserve">, 2017; de </w:t>
      </w:r>
      <w:proofErr w:type="spellStart"/>
      <w:r w:rsidRPr="00F36699">
        <w:rPr>
          <w:rFonts w:cs="Arial"/>
          <w:szCs w:val="24"/>
        </w:rPr>
        <w:t>Mooij</w:t>
      </w:r>
      <w:proofErr w:type="spellEnd"/>
      <w:r w:rsidRPr="00F36699">
        <w:rPr>
          <w:rFonts w:cs="Arial"/>
          <w:szCs w:val="24"/>
        </w:rPr>
        <w:t xml:space="preserve">, 2021). Thompson and </w:t>
      </w:r>
      <w:proofErr w:type="spellStart"/>
      <w:r w:rsidRPr="00F36699">
        <w:rPr>
          <w:rFonts w:cs="Arial"/>
          <w:szCs w:val="24"/>
        </w:rPr>
        <w:t>Arsel's</w:t>
      </w:r>
      <w:proofErr w:type="spellEnd"/>
      <w:r w:rsidRPr="00F36699">
        <w:rPr>
          <w:rFonts w:cs="Arial"/>
          <w:szCs w:val="24"/>
        </w:rPr>
        <w:t xml:space="preserve"> (2004) ethnographic research also on the Starbucks '</w:t>
      </w:r>
      <w:proofErr w:type="spellStart"/>
      <w:r w:rsidRPr="00F36699">
        <w:rPr>
          <w:rFonts w:cs="Arial"/>
          <w:szCs w:val="24"/>
        </w:rPr>
        <w:t>brandscape</w:t>
      </w:r>
      <w:proofErr w:type="spellEnd"/>
      <w:r w:rsidRPr="00F36699">
        <w:rPr>
          <w:rFonts w:cs="Arial"/>
          <w:szCs w:val="24"/>
        </w:rPr>
        <w:t xml:space="preserve">' illustrates that consumers interpret and in some cases negate the meanings imbued to a global corporate brand. Since this study is not set in the UK market in its current state, it is utilized here as evidence of a potential interpretive mechanism and not as direct evidence of consumer reaction in the UK market. What is at stake is a question central to the dissertation – how can </w:t>
      </w:r>
      <w:proofErr w:type="spellStart"/>
      <w:r w:rsidRPr="00F36699">
        <w:rPr>
          <w:rFonts w:cs="Arial"/>
          <w:szCs w:val="24"/>
        </w:rPr>
        <w:t>standardised</w:t>
      </w:r>
      <w:proofErr w:type="spellEnd"/>
      <w:r w:rsidRPr="00F36699">
        <w:rPr>
          <w:rFonts w:cs="Arial"/>
          <w:szCs w:val="24"/>
        </w:rPr>
        <w:t xml:space="preserve"> brand visibility enable continuity and at the same time culturally legitimate local interpretation?</w:t>
      </w:r>
    </w:p>
    <w:p w14:paraId="199B8900" w14:textId="77777777" w:rsidR="00365991" w:rsidRPr="00F36699" w:rsidRDefault="00365991" w:rsidP="00365991">
      <w:pPr>
        <w:spacing w:line="360" w:lineRule="auto"/>
        <w:rPr>
          <w:rFonts w:cs="Arial"/>
          <w:szCs w:val="24"/>
        </w:rPr>
      </w:pPr>
      <w:r w:rsidRPr="00F36699">
        <w:rPr>
          <w:rFonts w:cs="Arial"/>
          <w:szCs w:val="24"/>
        </w:rPr>
        <w:t xml:space="preserve">But cross-cultural adaptation is not limited to the promotion images and is part of the entire customer journey. The studies by </w:t>
      </w:r>
      <w:proofErr w:type="spellStart"/>
      <w:r w:rsidRPr="00F36699">
        <w:rPr>
          <w:rFonts w:cs="Arial"/>
          <w:szCs w:val="24"/>
        </w:rPr>
        <w:t>Shavitt</w:t>
      </w:r>
      <w:proofErr w:type="spellEnd"/>
      <w:r w:rsidRPr="00F36699">
        <w:rPr>
          <w:rFonts w:cs="Arial"/>
          <w:szCs w:val="24"/>
        </w:rPr>
        <w:t xml:space="preserve"> and Barnes (2020) demonstrate that culture can affect information search, evaluation and encounters before and after purchase, and de </w:t>
      </w:r>
      <w:proofErr w:type="spellStart"/>
      <w:r w:rsidRPr="00F36699">
        <w:rPr>
          <w:rFonts w:cs="Arial"/>
          <w:szCs w:val="24"/>
        </w:rPr>
        <w:t>Mooij</w:t>
      </w:r>
      <w:proofErr w:type="spellEnd"/>
      <w:r w:rsidRPr="00F36699">
        <w:rPr>
          <w:rFonts w:cs="Arial"/>
          <w:szCs w:val="24"/>
        </w:rPr>
        <w:t xml:space="preserve"> (2021) states that motives and meaning systems should be considered as part of international communication, which are culturally patterned. In a multicultural market, however, cultural responsiveness cannot be averaged out to a single national average. To therefore define cross-cultural effectiveness for this dissertation, is to retain a </w:t>
      </w:r>
      <w:proofErr w:type="spellStart"/>
      <w:r w:rsidRPr="00F36699">
        <w:rPr>
          <w:rFonts w:cs="Arial"/>
          <w:szCs w:val="24"/>
        </w:rPr>
        <w:t>recognisable</w:t>
      </w:r>
      <w:proofErr w:type="spellEnd"/>
      <w:r w:rsidRPr="00F36699">
        <w:rPr>
          <w:rFonts w:cs="Arial"/>
          <w:szCs w:val="24"/>
        </w:rPr>
        <w:t xml:space="preserve"> continuity of the brand and to have different UK consumers feel relevant, respected and valued at each touch point.</w:t>
      </w:r>
    </w:p>
    <w:p w14:paraId="2DE9B97A" w14:textId="7EE379E5" w:rsidR="00D8014E" w:rsidRDefault="00365991" w:rsidP="00365991">
      <w:pPr>
        <w:spacing w:line="360" w:lineRule="auto"/>
      </w:pPr>
      <w:r w:rsidRPr="00F36699">
        <w:rPr>
          <w:rFonts w:cs="Arial"/>
          <w:szCs w:val="24"/>
        </w:rPr>
        <w:t xml:space="preserve">The marketing mix elements do not necessarily have to be at the same point on the </w:t>
      </w:r>
      <w:proofErr w:type="spellStart"/>
      <w:r w:rsidRPr="00F36699">
        <w:rPr>
          <w:rFonts w:cs="Arial"/>
          <w:szCs w:val="24"/>
        </w:rPr>
        <w:t>standardisation</w:t>
      </w:r>
      <w:proofErr w:type="spellEnd"/>
      <w:r w:rsidRPr="00F36699">
        <w:rPr>
          <w:rFonts w:cs="Arial"/>
          <w:szCs w:val="24"/>
        </w:rPr>
        <w:t>-adaptation continuum. Selective adaptation involves adapting specific products, communication or service formats to local conditions while the core brand assets are kept the same (</w:t>
      </w:r>
      <w:proofErr w:type="spellStart"/>
      <w:r w:rsidRPr="00F36699">
        <w:rPr>
          <w:rFonts w:cs="Arial"/>
          <w:szCs w:val="24"/>
        </w:rPr>
        <w:t>Theodosiou</w:t>
      </w:r>
      <w:proofErr w:type="spellEnd"/>
      <w:r w:rsidRPr="00F36699">
        <w:rPr>
          <w:rFonts w:cs="Arial"/>
          <w:szCs w:val="24"/>
        </w:rPr>
        <w:t xml:space="preserve"> and </w:t>
      </w:r>
      <w:proofErr w:type="spellStart"/>
      <w:r w:rsidRPr="00F36699">
        <w:rPr>
          <w:rFonts w:cs="Arial"/>
          <w:szCs w:val="24"/>
        </w:rPr>
        <w:t>Leonidou</w:t>
      </w:r>
      <w:proofErr w:type="spellEnd"/>
      <w:r w:rsidRPr="00F36699">
        <w:rPr>
          <w:rFonts w:cs="Arial"/>
          <w:szCs w:val="24"/>
        </w:rPr>
        <w:t xml:space="preserve">, 2003; </w:t>
      </w:r>
      <w:proofErr w:type="spellStart"/>
      <w:r w:rsidRPr="00F36699">
        <w:rPr>
          <w:rFonts w:cs="Arial"/>
          <w:szCs w:val="24"/>
        </w:rPr>
        <w:t>Steenkamp</w:t>
      </w:r>
      <w:proofErr w:type="spellEnd"/>
      <w:r w:rsidRPr="00F36699">
        <w:rPr>
          <w:rFonts w:cs="Arial"/>
          <w:szCs w:val="24"/>
        </w:rPr>
        <w:t xml:space="preserve">, 2017). This can allow for global coherence and local learning to drive some outputs in a modular approach. However, for it to be effective there needs to be </w:t>
      </w:r>
      <w:proofErr w:type="spellStart"/>
      <w:r w:rsidRPr="00F36699">
        <w:rPr>
          <w:rFonts w:cs="Arial"/>
          <w:szCs w:val="24"/>
        </w:rPr>
        <w:t>organisational</w:t>
      </w:r>
      <w:proofErr w:type="spellEnd"/>
      <w:r w:rsidRPr="00F36699">
        <w:rPr>
          <w:rFonts w:cs="Arial"/>
          <w:szCs w:val="24"/>
        </w:rPr>
        <w:t xml:space="preserve"> alignment – if the message is culturally resonant but either service delivery or operational capability or complaints handling is not, it won't be sustained. Cooperation is therefore needed among insight, operations, governance and communications for marketing execution (Kotler et al., 2022)</w:t>
      </w:r>
      <w:r w:rsidR="00232011">
        <w:t>.</w:t>
      </w:r>
    </w:p>
    <w:p w14:paraId="7A7D4F5D" w14:textId="77777777" w:rsidR="00D8014E" w:rsidRDefault="00232011">
      <w:pPr>
        <w:pStyle w:val="Heading2"/>
      </w:pPr>
      <w:bookmarkStart w:id="30" w:name="_Toc239604304"/>
      <w:bookmarkStart w:id="31" w:name="_Toc240989708"/>
      <w:r>
        <w:lastRenderedPageBreak/>
        <w:t>2.3 Theoretical lenses</w:t>
      </w:r>
      <w:bookmarkEnd w:id="30"/>
      <w:bookmarkEnd w:id="31"/>
    </w:p>
    <w:p w14:paraId="345A9F04" w14:textId="77777777" w:rsidR="00D8014E" w:rsidRDefault="00232011">
      <w:pPr>
        <w:pStyle w:val="Heading3"/>
      </w:pPr>
      <w:bookmarkStart w:id="32" w:name="_Toc239604305"/>
      <w:bookmarkStart w:id="33" w:name="_Toc240989709"/>
      <w:r>
        <w:t>2.3.1 Hofstede's cultural dimensions</w:t>
      </w:r>
      <w:bookmarkEnd w:id="32"/>
      <w:bookmarkEnd w:id="33"/>
    </w:p>
    <w:p w14:paraId="638A8A5E" w14:textId="77777777" w:rsidR="00365991" w:rsidRPr="00F36699" w:rsidRDefault="00365991" w:rsidP="00365991">
      <w:pPr>
        <w:spacing w:line="360" w:lineRule="auto"/>
        <w:rPr>
          <w:rFonts w:cs="Arial"/>
          <w:szCs w:val="24"/>
        </w:rPr>
      </w:pPr>
      <w:r w:rsidRPr="00F36699">
        <w:rPr>
          <w:rFonts w:cs="Arial"/>
          <w:szCs w:val="24"/>
        </w:rPr>
        <w:t xml:space="preserve">Hofstede's framework is based on 6 broad dimensions of the comparison between national </w:t>
      </w:r>
      <w:proofErr w:type="gramStart"/>
      <w:r w:rsidRPr="00F36699">
        <w:rPr>
          <w:rFonts w:cs="Arial"/>
          <w:szCs w:val="24"/>
        </w:rPr>
        <w:t>culture</w:t>
      </w:r>
      <w:proofErr w:type="gramEnd"/>
      <w:r w:rsidRPr="00F36699">
        <w:rPr>
          <w:rFonts w:cs="Arial"/>
          <w:szCs w:val="24"/>
        </w:rPr>
        <w:t xml:space="preserve">: power distance, individualism vs collectivism, masculinity vs femininity, uncertainty avoidance, long term orientation vs short term normative orientation, indulgence vs restraint (Hofstede et al., 2010). The framework can inform the analysis of marketing research and </w:t>
      </w:r>
      <w:proofErr w:type="spellStart"/>
      <w:r w:rsidRPr="00F36699">
        <w:rPr>
          <w:rFonts w:cs="Arial"/>
          <w:szCs w:val="24"/>
        </w:rPr>
        <w:t>sensitise</w:t>
      </w:r>
      <w:proofErr w:type="spellEnd"/>
      <w:r w:rsidRPr="00F36699">
        <w:rPr>
          <w:rFonts w:cs="Arial"/>
          <w:szCs w:val="24"/>
        </w:rPr>
        <w:t xml:space="preserve"> it to potential differences in appeals, risk reduction, interpersonal expectations and temporal orientations (de </w:t>
      </w:r>
      <w:proofErr w:type="spellStart"/>
      <w:r w:rsidRPr="00F36699">
        <w:rPr>
          <w:rFonts w:cs="Arial"/>
          <w:szCs w:val="24"/>
        </w:rPr>
        <w:t>Mooij</w:t>
      </w:r>
      <w:proofErr w:type="spellEnd"/>
      <w:r w:rsidRPr="00F36699">
        <w:rPr>
          <w:rFonts w:cs="Arial"/>
          <w:szCs w:val="24"/>
        </w:rPr>
        <w:t xml:space="preserve"> and Hofstede, 2010). For instance, questions may be raised concerning the importance of clear information and predictable processes with uncertainty avoidance, the importance of self-expression and communal use with individual or collective orientations. In this dissertation these dimensions are not regarded as predictions of individual consumers but rather as analytical prompts.</w:t>
      </w:r>
    </w:p>
    <w:p w14:paraId="1288220F" w14:textId="54EB325B" w:rsidR="00D8014E" w:rsidRDefault="00365991" w:rsidP="00365991">
      <w:pPr>
        <w:spacing w:line="360" w:lineRule="auto"/>
      </w:pPr>
      <w:r w:rsidRPr="00F36699">
        <w:rPr>
          <w:rFonts w:cs="Arial"/>
          <w:szCs w:val="24"/>
        </w:rPr>
        <w:t xml:space="preserve">One of the big drawbacks is ecological fallacy. Responses are aggregated scores and are not given to individuals within a country score, as this may mask generational, class, migration and identity differences as well as regional differences. This is particularly relevant in the context of the culturally diverse UK (Office for National Statistics, 2022). Hofstede's framework is thus used here not as a deterministic, but rather as a </w:t>
      </w:r>
      <w:proofErr w:type="spellStart"/>
      <w:r w:rsidRPr="00F36699">
        <w:rPr>
          <w:rFonts w:cs="Arial"/>
          <w:szCs w:val="24"/>
        </w:rPr>
        <w:t>sensitising</w:t>
      </w:r>
      <w:proofErr w:type="spellEnd"/>
      <w:r w:rsidRPr="00F36699">
        <w:rPr>
          <w:rFonts w:cs="Arial"/>
          <w:szCs w:val="24"/>
        </w:rPr>
        <w:t xml:space="preserve"> lens. A documented company practice that does not have relevant evidence of customer-experience, relationship or loyalty is not considered culturally effective</w:t>
      </w:r>
      <w:r w:rsidR="00232011">
        <w:t>.</w:t>
      </w:r>
    </w:p>
    <w:p w14:paraId="0B8F4B94" w14:textId="77777777" w:rsidR="00D8014E" w:rsidRDefault="00232011">
      <w:pPr>
        <w:pStyle w:val="Heading3"/>
      </w:pPr>
      <w:bookmarkStart w:id="34" w:name="_Toc239604306"/>
      <w:bookmarkStart w:id="35" w:name="_Toc240989710"/>
      <w:r>
        <w:t>2.3.2 Consumer Culture Theory</w:t>
      </w:r>
      <w:bookmarkEnd w:id="34"/>
      <w:bookmarkEnd w:id="35"/>
    </w:p>
    <w:p w14:paraId="265C0C66" w14:textId="77777777" w:rsidR="00365991" w:rsidRPr="00F36699" w:rsidRDefault="00365991" w:rsidP="00365991">
      <w:pPr>
        <w:spacing w:line="360" w:lineRule="auto"/>
        <w:rPr>
          <w:rFonts w:cs="Arial"/>
          <w:szCs w:val="24"/>
        </w:rPr>
      </w:pPr>
      <w:r w:rsidRPr="00F36699">
        <w:rPr>
          <w:rFonts w:cs="Arial"/>
          <w:szCs w:val="24"/>
        </w:rPr>
        <w:t xml:space="preserve">Consumer Culture Theory (CCT) sees consumption as a culturally and socially shaped activity of meaning-making and not only as a reaction to an isolated stimulus. According to </w:t>
      </w:r>
      <w:proofErr w:type="spellStart"/>
      <w:r w:rsidRPr="00F36699">
        <w:rPr>
          <w:rFonts w:cs="Arial"/>
          <w:szCs w:val="24"/>
        </w:rPr>
        <w:t>Arnould</w:t>
      </w:r>
      <w:proofErr w:type="spellEnd"/>
      <w:r w:rsidRPr="00F36699">
        <w:rPr>
          <w:rFonts w:cs="Arial"/>
          <w:szCs w:val="24"/>
        </w:rPr>
        <w:t xml:space="preserve"> and Thompson (2005), there are four main focus areas for consumer research</w:t>
      </w:r>
      <w:r>
        <w:rPr>
          <w:rFonts w:cs="Arial"/>
          <w:szCs w:val="24"/>
        </w:rPr>
        <w:t xml:space="preserve">; </w:t>
      </w:r>
      <w:r w:rsidRPr="00F36699">
        <w:rPr>
          <w:rFonts w:cs="Arial"/>
          <w:szCs w:val="24"/>
        </w:rPr>
        <w:t xml:space="preserve">consumer identity projects, marketplace cultures, </w:t>
      </w:r>
      <w:proofErr w:type="spellStart"/>
      <w:r w:rsidRPr="00F36699">
        <w:rPr>
          <w:rFonts w:cs="Arial"/>
          <w:szCs w:val="24"/>
        </w:rPr>
        <w:t>sociohistorical</w:t>
      </w:r>
      <w:proofErr w:type="spellEnd"/>
      <w:r w:rsidRPr="00F36699">
        <w:rPr>
          <w:rFonts w:cs="Arial"/>
          <w:szCs w:val="24"/>
        </w:rPr>
        <w:t xml:space="preserve"> patterning and mass-mediated ideologies. Coffeehouses are thus not only selling points, but also working, socializing, cheapening, universalizing and/or resisting spaces. Consumers practice the same </w:t>
      </w:r>
      <w:proofErr w:type="spellStart"/>
      <w:r w:rsidRPr="00F36699">
        <w:rPr>
          <w:rFonts w:cs="Arial"/>
          <w:szCs w:val="24"/>
        </w:rPr>
        <w:t>standardised</w:t>
      </w:r>
      <w:proofErr w:type="spellEnd"/>
      <w:r w:rsidRPr="00F36699">
        <w:rPr>
          <w:rFonts w:cs="Arial"/>
          <w:szCs w:val="24"/>
        </w:rPr>
        <w:t xml:space="preserve"> product, which then can have different meanings. There are also differences with regard to orientation towards global consumer culture: Cleveland and </w:t>
      </w:r>
      <w:proofErr w:type="spellStart"/>
      <w:r w:rsidRPr="00F36699">
        <w:rPr>
          <w:rFonts w:cs="Arial"/>
          <w:szCs w:val="24"/>
        </w:rPr>
        <w:lastRenderedPageBreak/>
        <w:t>Laroche</w:t>
      </w:r>
      <w:proofErr w:type="spellEnd"/>
      <w:r w:rsidRPr="00F36699">
        <w:rPr>
          <w:rFonts w:cs="Arial"/>
          <w:szCs w:val="24"/>
        </w:rPr>
        <w:t xml:space="preserve"> (2007) demonstrate that the orientation is multidimensional, and </w:t>
      </w:r>
      <w:proofErr w:type="spellStart"/>
      <w:r w:rsidRPr="00F36699">
        <w:rPr>
          <w:rFonts w:cs="Arial"/>
          <w:szCs w:val="24"/>
        </w:rPr>
        <w:t>Riefler</w:t>
      </w:r>
      <w:proofErr w:type="spellEnd"/>
      <w:r w:rsidRPr="00F36699">
        <w:rPr>
          <w:rFonts w:cs="Arial"/>
          <w:szCs w:val="24"/>
        </w:rPr>
        <w:t xml:space="preserve"> (2012) reveals that attitudes towards </w:t>
      </w:r>
      <w:proofErr w:type="spellStart"/>
      <w:r w:rsidRPr="00F36699">
        <w:rPr>
          <w:rFonts w:cs="Arial"/>
          <w:szCs w:val="24"/>
        </w:rPr>
        <w:t>globalisation</w:t>
      </w:r>
      <w:proofErr w:type="spellEnd"/>
      <w:r w:rsidRPr="00F36699">
        <w:rPr>
          <w:rFonts w:cs="Arial"/>
          <w:szCs w:val="24"/>
        </w:rPr>
        <w:t xml:space="preserve"> influence responses towards global brands.</w:t>
      </w:r>
    </w:p>
    <w:p w14:paraId="7A0279EC" w14:textId="0218AF2E" w:rsidR="00D8014E" w:rsidRDefault="00365991" w:rsidP="00365991">
      <w:pPr>
        <w:spacing w:line="360" w:lineRule="auto"/>
      </w:pPr>
      <w:r w:rsidRPr="00F36699">
        <w:rPr>
          <w:rFonts w:cs="Arial"/>
          <w:szCs w:val="24"/>
        </w:rPr>
        <w:t>Additionally, the concept of multicultural identity research helps to question binary segmentation. Consumers can have multiple cultural identities and the importance of these identities can change depending on the context (</w:t>
      </w:r>
      <w:proofErr w:type="spellStart"/>
      <w:r w:rsidRPr="00F36699">
        <w:rPr>
          <w:rFonts w:cs="Arial"/>
          <w:szCs w:val="24"/>
        </w:rPr>
        <w:t>Kipnis</w:t>
      </w:r>
      <w:proofErr w:type="spellEnd"/>
      <w:r w:rsidRPr="00F36699">
        <w:rPr>
          <w:rFonts w:cs="Arial"/>
          <w:szCs w:val="24"/>
        </w:rPr>
        <w:t xml:space="preserve"> et al., 2019). Thus, marketing for social inclusion goes beyond representation to recognition, and access/participation (</w:t>
      </w:r>
      <w:proofErr w:type="spellStart"/>
      <w:r w:rsidRPr="00F36699">
        <w:rPr>
          <w:rFonts w:cs="Arial"/>
          <w:szCs w:val="24"/>
        </w:rPr>
        <w:t>Licsandru</w:t>
      </w:r>
      <w:proofErr w:type="spellEnd"/>
      <w:r w:rsidRPr="00F36699">
        <w:rPr>
          <w:rFonts w:cs="Arial"/>
          <w:szCs w:val="24"/>
        </w:rPr>
        <w:t xml:space="preserve"> and Cui, 2018). CCT is a comp</w:t>
      </w:r>
      <w:r w:rsidR="00D27030">
        <w:rPr>
          <w:rFonts w:cs="Arial"/>
          <w:szCs w:val="24"/>
        </w:rPr>
        <w:t xml:space="preserve">lement to Hofstede that </w:t>
      </w:r>
      <w:proofErr w:type="spellStart"/>
      <w:r w:rsidR="00D27030">
        <w:rPr>
          <w:rFonts w:cs="Arial"/>
          <w:szCs w:val="24"/>
        </w:rPr>
        <w:t>emphasis</w:t>
      </w:r>
      <w:r w:rsidRPr="00F36699">
        <w:rPr>
          <w:rFonts w:cs="Arial"/>
          <w:szCs w:val="24"/>
        </w:rPr>
        <w:t>es</w:t>
      </w:r>
      <w:proofErr w:type="spellEnd"/>
      <w:r w:rsidRPr="00F36699">
        <w:rPr>
          <w:rFonts w:cs="Arial"/>
          <w:szCs w:val="24"/>
        </w:rPr>
        <w:t xml:space="preserve"> practices in context and negotiated identities. In this piece of research it is applied to infer believable meanings in relation to Starbucks and Costa Coffee, and to confine any conclusions to the evidence that is provided</w:t>
      </w:r>
      <w:r w:rsidR="00232011">
        <w:t>.</w:t>
      </w:r>
    </w:p>
    <w:p w14:paraId="4C0C4094" w14:textId="77777777" w:rsidR="00D8014E" w:rsidRDefault="00232011">
      <w:pPr>
        <w:pStyle w:val="Heading3"/>
      </w:pPr>
      <w:bookmarkStart w:id="36" w:name="_Toc239604307"/>
      <w:bookmarkStart w:id="37" w:name="_Toc240989711"/>
      <w:r>
        <w:t>2.3.3 Relationship Marketing Theory</w:t>
      </w:r>
      <w:bookmarkEnd w:id="36"/>
      <w:bookmarkEnd w:id="37"/>
    </w:p>
    <w:p w14:paraId="72A73C01" w14:textId="77777777" w:rsidR="000771AD" w:rsidRPr="00F36699" w:rsidRDefault="000771AD" w:rsidP="000771AD">
      <w:pPr>
        <w:spacing w:line="360" w:lineRule="auto"/>
        <w:rPr>
          <w:rFonts w:cs="Arial"/>
          <w:szCs w:val="24"/>
        </w:rPr>
      </w:pPr>
      <w:r w:rsidRPr="00F36699">
        <w:rPr>
          <w:rFonts w:cs="Arial"/>
          <w:szCs w:val="24"/>
        </w:rPr>
        <w:t xml:space="preserve">The Relationship Marketing Theory is that trust and commitment are key to sustaining exchange relationships. They are important mediating constructs as identified by Morgan and Hunt (1994) and are connected with trust and perceived value by </w:t>
      </w:r>
      <w:proofErr w:type="spellStart"/>
      <w:r w:rsidRPr="00F36699">
        <w:rPr>
          <w:rFonts w:cs="Arial"/>
          <w:szCs w:val="24"/>
        </w:rPr>
        <w:t>Sirdeshmukh</w:t>
      </w:r>
      <w:proofErr w:type="spellEnd"/>
      <w:r w:rsidRPr="00F36699">
        <w:rPr>
          <w:rFonts w:cs="Arial"/>
          <w:szCs w:val="24"/>
        </w:rPr>
        <w:t xml:space="preserve"> et al. (2002) and with loyalty. In the coffee retail sector, consistency, payment and data practices, and respectful service and sourcing claims can be factors that influence trust. When people perceive value consistently and they have a reason to retain the buyer-seller relationship, commitment is more likely to result.</w:t>
      </w:r>
    </w:p>
    <w:p w14:paraId="2C6F43D7" w14:textId="14B5DF3D" w:rsidR="00D8014E" w:rsidRDefault="000771AD" w:rsidP="000771AD">
      <w:pPr>
        <w:spacing w:line="360" w:lineRule="auto"/>
      </w:pPr>
      <w:r w:rsidRPr="00F36699">
        <w:rPr>
          <w:rFonts w:cs="Arial"/>
          <w:szCs w:val="24"/>
        </w:rPr>
        <w:t xml:space="preserve">These relationship mechanisms are not outside of culture. </w:t>
      </w:r>
      <w:proofErr w:type="spellStart"/>
      <w:r w:rsidRPr="00F36699">
        <w:rPr>
          <w:rFonts w:cs="Arial"/>
          <w:szCs w:val="24"/>
        </w:rPr>
        <w:t>Samaha</w:t>
      </w:r>
      <w:proofErr w:type="spellEnd"/>
      <w:r w:rsidRPr="00F36699">
        <w:rPr>
          <w:rFonts w:cs="Arial"/>
          <w:szCs w:val="24"/>
        </w:rPr>
        <w:t xml:space="preserve">, Beck and </w:t>
      </w:r>
      <w:proofErr w:type="spellStart"/>
      <w:r w:rsidRPr="00F36699">
        <w:rPr>
          <w:rFonts w:cs="Arial"/>
          <w:szCs w:val="24"/>
        </w:rPr>
        <w:t>Palmatier</w:t>
      </w:r>
      <w:proofErr w:type="spellEnd"/>
      <w:r w:rsidRPr="00F36699">
        <w:rPr>
          <w:rFonts w:cs="Arial"/>
          <w:szCs w:val="24"/>
        </w:rPr>
        <w:t xml:space="preserve"> (2014) demonstrate that cultural context can shape the effectiveness of the investments in relationship-marketing. Digital channels offer benefits of dialogue and </w:t>
      </w:r>
      <w:proofErr w:type="spellStart"/>
      <w:r w:rsidRPr="00F36699">
        <w:rPr>
          <w:rFonts w:cs="Arial"/>
          <w:szCs w:val="24"/>
        </w:rPr>
        <w:t>individualised</w:t>
      </w:r>
      <w:proofErr w:type="spellEnd"/>
      <w:r w:rsidRPr="00F36699">
        <w:rPr>
          <w:rFonts w:cs="Arial"/>
          <w:szCs w:val="24"/>
        </w:rPr>
        <w:t xml:space="preserve"> added value, but also raise questions of surveillance and control, and thus come with risks (Steinhoff et al., 2019). Trust and commitment thus has to be taken into account in conjunction with situational purchase, structural convenience, price, access and habit</w:t>
      </w:r>
      <w:r w:rsidR="00232011">
        <w:t>.</w:t>
      </w:r>
    </w:p>
    <w:p w14:paraId="438A6C64" w14:textId="77777777" w:rsidR="00D8014E" w:rsidRDefault="00232011">
      <w:pPr>
        <w:pStyle w:val="Heading3"/>
      </w:pPr>
      <w:bookmarkStart w:id="38" w:name="_Toc239604308"/>
      <w:bookmarkStart w:id="39" w:name="_Toc240989712"/>
      <w:r>
        <w:t>2.3.4 Brand Loyalty Theory</w:t>
      </w:r>
      <w:bookmarkEnd w:id="38"/>
      <w:bookmarkEnd w:id="39"/>
    </w:p>
    <w:p w14:paraId="1E577A76" w14:textId="77777777" w:rsidR="000771AD" w:rsidRPr="00F36699" w:rsidRDefault="000771AD" w:rsidP="000771AD">
      <w:pPr>
        <w:spacing w:line="360" w:lineRule="auto"/>
        <w:rPr>
          <w:rFonts w:cs="Arial"/>
          <w:szCs w:val="24"/>
        </w:rPr>
      </w:pPr>
      <w:r w:rsidRPr="00F36699">
        <w:rPr>
          <w:rFonts w:cs="Arial"/>
          <w:szCs w:val="24"/>
        </w:rPr>
        <w:t xml:space="preserve">Brand loyalty is different from repeat purchases. Dick and </w:t>
      </w:r>
      <w:proofErr w:type="spellStart"/>
      <w:r w:rsidRPr="00F36699">
        <w:rPr>
          <w:rFonts w:cs="Arial"/>
          <w:szCs w:val="24"/>
        </w:rPr>
        <w:t>Basu</w:t>
      </w:r>
      <w:proofErr w:type="spellEnd"/>
      <w:r w:rsidRPr="00F36699">
        <w:rPr>
          <w:rFonts w:cs="Arial"/>
          <w:szCs w:val="24"/>
        </w:rPr>
        <w:t xml:space="preserve"> (1994) use a mix of relative attitude and patronage </w:t>
      </w:r>
      <w:proofErr w:type="spellStart"/>
      <w:r w:rsidRPr="00F36699">
        <w:rPr>
          <w:rFonts w:cs="Arial"/>
          <w:szCs w:val="24"/>
        </w:rPr>
        <w:t>behaviour</w:t>
      </w:r>
      <w:proofErr w:type="spellEnd"/>
      <w:r w:rsidRPr="00F36699">
        <w:rPr>
          <w:rFonts w:cs="Arial"/>
          <w:szCs w:val="24"/>
        </w:rPr>
        <w:t xml:space="preserve"> to differentiate between genuine, latent, spurious and absent loyalty. Oliver (1999) outlines a sequence of cognitive to affective and conative commitment and finally action, with a recognition of situational and competitive influences. These models do not assume that app usage, or the frequency of </w:t>
      </w:r>
      <w:r w:rsidRPr="00F36699">
        <w:rPr>
          <w:rFonts w:cs="Arial"/>
          <w:szCs w:val="24"/>
        </w:rPr>
        <w:lastRenderedPageBreak/>
        <w:t>store visits or purchases, are indicative of emotional attachment. When the coffee market is concentrated, repeated purchase may indicate outlet availability or promotions or commuting patterns when the level of brand preference is low.</w:t>
      </w:r>
    </w:p>
    <w:p w14:paraId="1D01C3DB" w14:textId="77777777" w:rsidR="000771AD" w:rsidRPr="00F36699" w:rsidRDefault="000771AD" w:rsidP="000771AD">
      <w:pPr>
        <w:spacing w:line="360" w:lineRule="auto"/>
        <w:rPr>
          <w:rFonts w:cs="Arial"/>
          <w:szCs w:val="24"/>
        </w:rPr>
      </w:pPr>
      <w:r w:rsidRPr="00F36699">
        <w:rPr>
          <w:rFonts w:cs="Arial"/>
          <w:szCs w:val="24"/>
        </w:rPr>
        <w:t xml:space="preserve">Another explanation of the antecedents of loyalty is through the lens of brand-equity and relationship research. Keller (1993) believes that </w:t>
      </w:r>
      <w:proofErr w:type="spellStart"/>
      <w:r w:rsidRPr="00F36699">
        <w:rPr>
          <w:rFonts w:cs="Arial"/>
          <w:szCs w:val="24"/>
        </w:rPr>
        <w:t>favourable</w:t>
      </w:r>
      <w:proofErr w:type="spellEnd"/>
      <w:r w:rsidRPr="00F36699">
        <w:rPr>
          <w:rFonts w:cs="Arial"/>
          <w:szCs w:val="24"/>
        </w:rPr>
        <w:t xml:space="preserve">, strong, and unique brand associations influence the consumer's response and </w:t>
      </w:r>
      <w:proofErr w:type="spellStart"/>
      <w:r w:rsidRPr="00F36699">
        <w:rPr>
          <w:rFonts w:cs="Arial"/>
          <w:szCs w:val="24"/>
        </w:rPr>
        <w:t>Chaudhuri</w:t>
      </w:r>
      <w:proofErr w:type="spellEnd"/>
      <w:r w:rsidRPr="00F36699">
        <w:rPr>
          <w:rFonts w:cs="Arial"/>
          <w:szCs w:val="24"/>
        </w:rPr>
        <w:t xml:space="preserve"> and Holbrook (2001) correlate brand trust and brand affect with purchase and attitudinal loyalty. As demonstrated by Watson et al. (2015), loyalty antecedents, measures and financial outcomes are different in different contexts. A study of chain coffee shops in South Korea by Han et al. (2018) identified satisfaction as an important predictor of loyalty, which is a plausible link between positive emotions and loyalty, as this cannot be applied directly to the UK setting. </w:t>
      </w:r>
      <w:proofErr w:type="spellStart"/>
      <w:r w:rsidRPr="00F36699">
        <w:rPr>
          <w:rFonts w:cs="Arial"/>
          <w:szCs w:val="24"/>
        </w:rPr>
        <w:t>Aaker's</w:t>
      </w:r>
      <w:proofErr w:type="spellEnd"/>
      <w:r w:rsidRPr="00F36699">
        <w:rPr>
          <w:rFonts w:cs="Arial"/>
          <w:szCs w:val="24"/>
        </w:rPr>
        <w:t xml:space="preserve"> (1996) brand-equity view takes into account perceived quality and associations, however these concepts should not replace explanations based on the experience.</w:t>
      </w:r>
    </w:p>
    <w:p w14:paraId="67C36ADE" w14:textId="77777777" w:rsidR="000771AD" w:rsidRPr="00F36699" w:rsidRDefault="000771AD" w:rsidP="000771AD">
      <w:pPr>
        <w:spacing w:line="360" w:lineRule="auto"/>
        <w:rPr>
          <w:rFonts w:cs="Arial"/>
          <w:szCs w:val="24"/>
        </w:rPr>
      </w:pPr>
      <w:r w:rsidRPr="00F36699">
        <w:rPr>
          <w:rFonts w:cs="Arial"/>
          <w:szCs w:val="24"/>
        </w:rPr>
        <w:t xml:space="preserve">The four lenses complement each other. Hofstede </w:t>
      </w:r>
      <w:proofErr w:type="spellStart"/>
      <w:r w:rsidRPr="00F36699">
        <w:rPr>
          <w:rFonts w:cs="Arial"/>
          <w:szCs w:val="24"/>
        </w:rPr>
        <w:t>sensitises</w:t>
      </w:r>
      <w:proofErr w:type="spellEnd"/>
      <w:r w:rsidRPr="00F36699">
        <w:rPr>
          <w:rFonts w:cs="Arial"/>
          <w:szCs w:val="24"/>
        </w:rPr>
        <w:t xml:space="preserve"> to patterned expectations, CCT makes sense of situated meaning and identity, Relationship Marketing Theory gives emphasis to relational mechanisms such as trust and commitment and Brand Loyalty Theory differentiates attitudinal from </w:t>
      </w:r>
      <w:proofErr w:type="spellStart"/>
      <w:r w:rsidRPr="00F36699">
        <w:rPr>
          <w:rFonts w:cs="Arial"/>
          <w:szCs w:val="24"/>
        </w:rPr>
        <w:t>behavioural</w:t>
      </w:r>
      <w:proofErr w:type="spellEnd"/>
      <w:r w:rsidRPr="00F36699">
        <w:rPr>
          <w:rFonts w:cs="Arial"/>
          <w:szCs w:val="24"/>
        </w:rPr>
        <w:t xml:space="preserve"> outcomes. They also discipline the notion of inference: cultural adaptation is not a loyalty outcome or guarantee for itself. It can only be loyalty relevant if it is perceived as relevant and authentic, if it helps to create a satisfactory service experience or relational confidence, if these judgments help to build preference and continuity or advocacy.</w:t>
      </w:r>
    </w:p>
    <w:p w14:paraId="4EE7BD56" w14:textId="4BE324C1" w:rsidR="000771AD" w:rsidRPr="00F36699" w:rsidRDefault="000771AD" w:rsidP="000771AD">
      <w:pPr>
        <w:spacing w:line="360" w:lineRule="auto"/>
        <w:rPr>
          <w:rFonts w:cs="Arial"/>
          <w:szCs w:val="24"/>
        </w:rPr>
      </w:pPr>
      <w:r w:rsidRPr="00F36699">
        <w:rPr>
          <w:rFonts w:cs="Arial"/>
          <w:szCs w:val="24"/>
        </w:rPr>
        <w:t xml:space="preserve">The lenses also feature productive tensions. Hofstede's analyses are </w:t>
      </w:r>
      <w:r w:rsidR="00D27030" w:rsidRPr="00F36699">
        <w:rPr>
          <w:rFonts w:cs="Arial"/>
          <w:szCs w:val="24"/>
        </w:rPr>
        <w:t>much</w:t>
      </w:r>
      <w:r w:rsidRPr="00F36699">
        <w:rPr>
          <w:rFonts w:cs="Arial"/>
          <w:szCs w:val="24"/>
        </w:rPr>
        <w:t xml:space="preserve"> aggregated at the national level, while the CCT considers meanings fluid and contested. The first focus area, relationship marketing, is focused on building lasting relationships, and the second, loyalty theory, is the concept that people can repeat their </w:t>
      </w:r>
      <w:proofErr w:type="spellStart"/>
      <w:r w:rsidRPr="00F36699">
        <w:rPr>
          <w:rFonts w:cs="Arial"/>
          <w:szCs w:val="24"/>
        </w:rPr>
        <w:t>behaviour</w:t>
      </w:r>
      <w:proofErr w:type="spellEnd"/>
      <w:r w:rsidRPr="00F36699">
        <w:rPr>
          <w:rFonts w:cs="Arial"/>
          <w:szCs w:val="24"/>
        </w:rPr>
        <w:t xml:space="preserve"> when they are not attached. Such tensions help to avoid a circular argument that results in repeat purchase being used to ‘prove’ cultural fit. Rather, analysis is made of observable practice, culturally plausible interpretation, relational response and manifestation of loyalty. Various types of sources provide various types of evidence – company pages </w:t>
      </w:r>
      <w:r w:rsidRPr="00F36699">
        <w:rPr>
          <w:rFonts w:cs="Arial"/>
          <w:szCs w:val="24"/>
        </w:rPr>
        <w:lastRenderedPageBreak/>
        <w:t xml:space="preserve">provide evidence of practice, interpretative studies provide evidence of meaning, surveys provide evidence of association and market evidence provides evidence of </w:t>
      </w:r>
      <w:proofErr w:type="spellStart"/>
      <w:r w:rsidRPr="00F36699">
        <w:rPr>
          <w:rFonts w:cs="Arial"/>
          <w:szCs w:val="24"/>
        </w:rPr>
        <w:t>behaviour</w:t>
      </w:r>
      <w:proofErr w:type="spellEnd"/>
      <w:r w:rsidRPr="00F36699">
        <w:rPr>
          <w:rFonts w:cs="Arial"/>
          <w:szCs w:val="24"/>
        </w:rPr>
        <w:t>. The more they converge, the greater the confidence; the more they diverge, the less.</w:t>
      </w:r>
    </w:p>
    <w:p w14:paraId="526CDABD" w14:textId="2B575B4B" w:rsidR="00D8014E" w:rsidRDefault="000771AD" w:rsidP="000771AD">
      <w:pPr>
        <w:spacing w:line="360" w:lineRule="auto"/>
      </w:pPr>
      <w:r w:rsidRPr="00F36699">
        <w:rPr>
          <w:rFonts w:cs="Arial"/>
          <w:szCs w:val="24"/>
        </w:rPr>
        <w:t xml:space="preserve">The integrated model can also differentiate necessary and sufficient conditions. A culturally inappropriate interaction could be enough to destroy trust, and a culturally appropriate interaction could be just an expectation that is not necessarily a unique loyalty factor. Product quality and value will always remain fundamental; being in a non-convenient place doesn't help with cultural relevance, and being culturally relevant doesn't help with convenience. This is because positive company examples are not turned into presumed effect sizes, due to the asymmetry. Consumer-response studies are the most reliable form of evidence of mechanisms, </w:t>
      </w:r>
      <w:proofErr w:type="spellStart"/>
      <w:r w:rsidRPr="00F36699">
        <w:rPr>
          <w:rFonts w:cs="Arial"/>
          <w:szCs w:val="24"/>
        </w:rPr>
        <w:t>programme</w:t>
      </w:r>
      <w:proofErr w:type="spellEnd"/>
      <w:r w:rsidRPr="00F36699">
        <w:rPr>
          <w:rFonts w:cs="Arial"/>
          <w:szCs w:val="24"/>
        </w:rPr>
        <w:t xml:space="preserve"> rules define the cues consumers are exposed to, and corporate narratives explain the positioning intended. Preference and resistance to alternatives or advocacy evidence more persuasive than reach/participation only evidence. Thus, cultural fit is seen as a conditional mechanism in the broader loyalty path as opposed to an end goal of the process</w:t>
      </w:r>
      <w:r w:rsidR="00232011">
        <w:t>.</w:t>
      </w:r>
    </w:p>
    <w:p w14:paraId="35106EFC" w14:textId="77777777" w:rsidR="00D8014E" w:rsidRDefault="00232011">
      <w:pPr>
        <w:pStyle w:val="Heading2"/>
      </w:pPr>
      <w:bookmarkStart w:id="40" w:name="_Toc239604309"/>
      <w:bookmarkStart w:id="41" w:name="_Toc240989713"/>
      <w:r>
        <w:t xml:space="preserve">2.4 Perceived </w:t>
      </w:r>
      <w:proofErr w:type="spellStart"/>
      <w:r>
        <w:t>globalness</w:t>
      </w:r>
      <w:proofErr w:type="spellEnd"/>
      <w:r>
        <w:t>, localness and cultural legitimacy</w:t>
      </w:r>
      <w:bookmarkEnd w:id="40"/>
      <w:bookmarkEnd w:id="41"/>
    </w:p>
    <w:p w14:paraId="06648FD7" w14:textId="77777777" w:rsidR="000771AD" w:rsidRPr="00F36699" w:rsidRDefault="000771AD" w:rsidP="000771AD">
      <w:pPr>
        <w:spacing w:line="360" w:lineRule="auto"/>
        <w:rPr>
          <w:rFonts w:cs="Arial"/>
          <w:szCs w:val="24"/>
        </w:rPr>
      </w:pPr>
      <w:r w:rsidRPr="00F36699">
        <w:rPr>
          <w:rFonts w:cs="Arial"/>
          <w:szCs w:val="24"/>
        </w:rPr>
        <w:t xml:space="preserve">Consumer response is not only a function of the </w:t>
      </w:r>
      <w:proofErr w:type="spellStart"/>
      <w:r w:rsidRPr="00F36699">
        <w:rPr>
          <w:rFonts w:cs="Arial"/>
          <w:szCs w:val="24"/>
        </w:rPr>
        <w:t>organisation</w:t>
      </w:r>
      <w:proofErr w:type="spellEnd"/>
      <w:r w:rsidRPr="00F36699">
        <w:rPr>
          <w:rFonts w:cs="Arial"/>
          <w:szCs w:val="24"/>
        </w:rPr>
        <w:t xml:space="preserve"> behind a brand but also a function of the brand perception. The perceived brand </w:t>
      </w:r>
      <w:proofErr w:type="spellStart"/>
      <w:r w:rsidRPr="00F36699">
        <w:rPr>
          <w:rFonts w:cs="Arial"/>
          <w:szCs w:val="24"/>
        </w:rPr>
        <w:t>globalness</w:t>
      </w:r>
      <w:proofErr w:type="spellEnd"/>
      <w:r w:rsidRPr="00F36699">
        <w:rPr>
          <w:rFonts w:cs="Arial"/>
          <w:szCs w:val="24"/>
        </w:rPr>
        <w:t xml:space="preserve"> can signal quality, prestige and general acceptance (</w:t>
      </w:r>
      <w:proofErr w:type="spellStart"/>
      <w:r w:rsidRPr="00F36699">
        <w:rPr>
          <w:rFonts w:cs="Arial"/>
          <w:szCs w:val="24"/>
        </w:rPr>
        <w:t>Steenkamp</w:t>
      </w:r>
      <w:proofErr w:type="spellEnd"/>
      <w:r w:rsidRPr="00F36699">
        <w:rPr>
          <w:rFonts w:cs="Arial"/>
          <w:szCs w:val="24"/>
        </w:rPr>
        <w:t xml:space="preserve"> et al., 2003) and the perceived local </w:t>
      </w:r>
      <w:proofErr w:type="spellStart"/>
      <w:r w:rsidRPr="00F36699">
        <w:rPr>
          <w:rFonts w:cs="Arial"/>
          <w:szCs w:val="24"/>
        </w:rPr>
        <w:t>iconicness</w:t>
      </w:r>
      <w:proofErr w:type="spellEnd"/>
      <w:r w:rsidRPr="00F36699">
        <w:rPr>
          <w:rFonts w:cs="Arial"/>
          <w:szCs w:val="24"/>
        </w:rPr>
        <w:t xml:space="preserve"> can signal cultural value and closeness (</w:t>
      </w:r>
      <w:proofErr w:type="spellStart"/>
      <w:r w:rsidRPr="00F36699">
        <w:rPr>
          <w:rFonts w:cs="Arial"/>
          <w:szCs w:val="24"/>
        </w:rPr>
        <w:t>Özsomer</w:t>
      </w:r>
      <w:proofErr w:type="spellEnd"/>
      <w:r w:rsidRPr="00F36699">
        <w:rPr>
          <w:rFonts w:cs="Arial"/>
          <w:szCs w:val="24"/>
        </w:rPr>
        <w:t xml:space="preserve">, 2012). According to </w:t>
      </w:r>
      <w:proofErr w:type="spellStart"/>
      <w:r w:rsidRPr="00F36699">
        <w:rPr>
          <w:rFonts w:cs="Arial"/>
          <w:szCs w:val="24"/>
        </w:rPr>
        <w:t>Xie</w:t>
      </w:r>
      <w:proofErr w:type="spellEnd"/>
      <w:r w:rsidRPr="00F36699">
        <w:rPr>
          <w:rFonts w:cs="Arial"/>
          <w:szCs w:val="24"/>
        </w:rPr>
        <w:t xml:space="preserve"> et al (2015), identity expressiveness, trust and affect are all contributing factors to brand preferences of both global and local. Both global and local cues might thus confer a sense of warmth or belonging as well as risk reduction.</w:t>
      </w:r>
    </w:p>
    <w:p w14:paraId="5AEEEEC4" w14:textId="77777777" w:rsidR="000771AD" w:rsidRPr="00F36699" w:rsidRDefault="000771AD" w:rsidP="000771AD">
      <w:pPr>
        <w:spacing w:line="360" w:lineRule="auto"/>
        <w:rPr>
          <w:rFonts w:cs="Arial"/>
          <w:szCs w:val="24"/>
        </w:rPr>
      </w:pPr>
      <w:r w:rsidRPr="00F36699">
        <w:rPr>
          <w:rFonts w:cs="Arial"/>
          <w:szCs w:val="24"/>
        </w:rPr>
        <w:t xml:space="preserve">Recent studies also warn against conceptualizing </w:t>
      </w:r>
      <w:proofErr w:type="spellStart"/>
      <w:r w:rsidRPr="00F36699">
        <w:rPr>
          <w:rFonts w:cs="Arial"/>
          <w:szCs w:val="24"/>
        </w:rPr>
        <w:t>globalness</w:t>
      </w:r>
      <w:proofErr w:type="spellEnd"/>
      <w:r w:rsidRPr="00F36699">
        <w:rPr>
          <w:rFonts w:cs="Arial"/>
          <w:szCs w:val="24"/>
        </w:rPr>
        <w:t xml:space="preserve"> and localness as easy-to-measure and straightforward constructs. Liu et al. (2021) point out that literature suffers from conceptual and methodological flaws and a need for more attention to context. This is relevant to the comparison in this document because terms like 'global' and 'local' are not necessarily synonymous with a consistent reaction from consumers.</w:t>
      </w:r>
    </w:p>
    <w:p w14:paraId="1B4AAFDE" w14:textId="77777777" w:rsidR="000771AD" w:rsidRPr="00F36699" w:rsidRDefault="000771AD" w:rsidP="000771AD">
      <w:pPr>
        <w:spacing w:line="360" w:lineRule="auto"/>
        <w:rPr>
          <w:rFonts w:cs="Arial"/>
          <w:szCs w:val="24"/>
        </w:rPr>
      </w:pPr>
      <w:r w:rsidRPr="00F36699">
        <w:rPr>
          <w:rFonts w:cs="Arial"/>
          <w:szCs w:val="24"/>
        </w:rPr>
        <w:lastRenderedPageBreak/>
        <w:t xml:space="preserve">Perceived </w:t>
      </w:r>
      <w:proofErr w:type="spellStart"/>
      <w:r w:rsidRPr="00F36699">
        <w:rPr>
          <w:rFonts w:cs="Arial"/>
          <w:szCs w:val="24"/>
        </w:rPr>
        <w:t>globalness</w:t>
      </w:r>
      <w:proofErr w:type="spellEnd"/>
      <w:r w:rsidRPr="00F36699">
        <w:rPr>
          <w:rFonts w:cs="Arial"/>
          <w:szCs w:val="24"/>
        </w:rPr>
        <w:t xml:space="preserve"> and localness can do so in different ways, as demonstrated by </w:t>
      </w:r>
      <w:proofErr w:type="spellStart"/>
      <w:r w:rsidRPr="00F36699">
        <w:rPr>
          <w:rFonts w:cs="Arial"/>
          <w:szCs w:val="24"/>
        </w:rPr>
        <w:t>Mandler</w:t>
      </w:r>
      <w:proofErr w:type="spellEnd"/>
      <w:r w:rsidRPr="00F36699">
        <w:rPr>
          <w:rFonts w:cs="Arial"/>
          <w:szCs w:val="24"/>
        </w:rPr>
        <w:t xml:space="preserve"> et al. (2021). </w:t>
      </w:r>
      <w:proofErr w:type="spellStart"/>
      <w:r w:rsidRPr="00F36699">
        <w:rPr>
          <w:rFonts w:cs="Arial"/>
          <w:szCs w:val="24"/>
        </w:rPr>
        <w:t>Safeer</w:t>
      </w:r>
      <w:proofErr w:type="spellEnd"/>
      <w:r w:rsidRPr="00F36699">
        <w:rPr>
          <w:rFonts w:cs="Arial"/>
          <w:szCs w:val="24"/>
        </w:rPr>
        <w:t xml:space="preserve"> et al. (2022) also reveal a relationship between perceived localness/</w:t>
      </w:r>
      <w:proofErr w:type="spellStart"/>
      <w:r w:rsidRPr="00F36699">
        <w:rPr>
          <w:rFonts w:cs="Arial"/>
          <w:szCs w:val="24"/>
        </w:rPr>
        <w:t>globalness</w:t>
      </w:r>
      <w:proofErr w:type="spellEnd"/>
      <w:r w:rsidRPr="00F36699">
        <w:rPr>
          <w:rFonts w:cs="Arial"/>
          <w:szCs w:val="24"/>
        </w:rPr>
        <w:t>, authenticity and brand attitude in China and Pakistan. These studies should not simply be translated to the present study as local brands are not necessarily more authentic, and global brands do not necessarily signal better quality; the settings are also non-UK.</w:t>
      </w:r>
    </w:p>
    <w:p w14:paraId="1B49A93F" w14:textId="77777777" w:rsidR="000771AD" w:rsidRPr="00F36699" w:rsidRDefault="000771AD" w:rsidP="000771AD">
      <w:pPr>
        <w:spacing w:line="360" w:lineRule="auto"/>
        <w:rPr>
          <w:rFonts w:cs="Arial"/>
          <w:szCs w:val="24"/>
        </w:rPr>
      </w:pPr>
      <w:r w:rsidRPr="00F36699">
        <w:rPr>
          <w:rFonts w:cs="Arial"/>
          <w:szCs w:val="24"/>
        </w:rPr>
        <w:t xml:space="preserve">In the UK, internationally </w:t>
      </w:r>
      <w:proofErr w:type="spellStart"/>
      <w:r w:rsidRPr="00F36699">
        <w:rPr>
          <w:rFonts w:cs="Arial"/>
          <w:szCs w:val="24"/>
        </w:rPr>
        <w:t>recognised</w:t>
      </w:r>
      <w:proofErr w:type="spellEnd"/>
      <w:r w:rsidRPr="00F36699">
        <w:rPr>
          <w:rFonts w:cs="Arial"/>
          <w:szCs w:val="24"/>
        </w:rPr>
        <w:t xml:space="preserve"> stimuli could decrease uncertainty and community and accessibility </w:t>
      </w:r>
      <w:proofErr w:type="spellStart"/>
      <w:r w:rsidRPr="00F36699">
        <w:rPr>
          <w:rFonts w:cs="Arial"/>
          <w:szCs w:val="24"/>
        </w:rPr>
        <w:t>programmes</w:t>
      </w:r>
      <w:proofErr w:type="spellEnd"/>
      <w:r w:rsidRPr="00F36699">
        <w:rPr>
          <w:rFonts w:cs="Arial"/>
          <w:szCs w:val="24"/>
        </w:rPr>
        <w:t xml:space="preserve"> could provide locally relevant stimuli. While perhaps Costa's London origins and Italian heritage may afford some familiarity and category expertise, cultural legitimacy arguably requires coherence between these constructions and lived experience. For </w:t>
      </w:r>
      <w:proofErr w:type="spellStart"/>
      <w:r w:rsidRPr="00F36699">
        <w:rPr>
          <w:rFonts w:cs="Arial"/>
          <w:szCs w:val="24"/>
        </w:rPr>
        <w:t>Steenkamp</w:t>
      </w:r>
      <w:proofErr w:type="spellEnd"/>
      <w:r w:rsidRPr="00F36699">
        <w:rPr>
          <w:rFonts w:cs="Arial"/>
          <w:szCs w:val="24"/>
        </w:rPr>
        <w:t xml:space="preserve"> (2019) this is the warning that </w:t>
      </w:r>
      <w:proofErr w:type="spellStart"/>
      <w:r w:rsidRPr="00F36699">
        <w:rPr>
          <w:rFonts w:cs="Arial"/>
          <w:szCs w:val="24"/>
        </w:rPr>
        <w:t>globalisation</w:t>
      </w:r>
      <w:proofErr w:type="spellEnd"/>
      <w:r w:rsidRPr="00F36699">
        <w:rPr>
          <w:rFonts w:cs="Arial"/>
          <w:szCs w:val="24"/>
        </w:rPr>
        <w:t xml:space="preserve"> is being challenged and that the uncritical cosmopolitan discourse is becoming discredited. The strategic question is not, therefore, what brand does someone describe as, but what cues do consumers see in a specific purchase situation and do they foster trust, relevance and value.</w:t>
      </w:r>
    </w:p>
    <w:p w14:paraId="75CAF0EB" w14:textId="73EEA84E" w:rsidR="00D8014E" w:rsidRDefault="000771AD" w:rsidP="000771AD">
      <w:pPr>
        <w:spacing w:line="360" w:lineRule="auto"/>
      </w:pPr>
      <w:r w:rsidRPr="00F36699">
        <w:rPr>
          <w:rFonts w:cs="Arial"/>
          <w:szCs w:val="24"/>
        </w:rPr>
        <w:t xml:space="preserve">There could also be different levels of </w:t>
      </w:r>
      <w:proofErr w:type="spellStart"/>
      <w:r w:rsidRPr="00F36699">
        <w:rPr>
          <w:rFonts w:cs="Arial"/>
          <w:szCs w:val="24"/>
        </w:rPr>
        <w:t>globalness</w:t>
      </w:r>
      <w:proofErr w:type="spellEnd"/>
      <w:r w:rsidRPr="00F36699">
        <w:rPr>
          <w:rFonts w:cs="Arial"/>
          <w:szCs w:val="24"/>
        </w:rPr>
        <w:t xml:space="preserve"> and localness per segment and per consumption occasion. The low cognitive costs of engaging with a familiar international format could be of more concern to a </w:t>
      </w:r>
      <w:proofErr w:type="spellStart"/>
      <w:r w:rsidRPr="00F36699">
        <w:rPr>
          <w:rFonts w:cs="Arial"/>
          <w:szCs w:val="24"/>
        </w:rPr>
        <w:t>traveller</w:t>
      </w:r>
      <w:proofErr w:type="spellEnd"/>
      <w:r w:rsidRPr="00F36699">
        <w:rPr>
          <w:rFonts w:cs="Arial"/>
          <w:szCs w:val="24"/>
        </w:rPr>
        <w:t xml:space="preserve">, while the </w:t>
      </w:r>
      <w:proofErr w:type="spellStart"/>
      <w:r w:rsidRPr="00F36699">
        <w:rPr>
          <w:rFonts w:cs="Arial"/>
          <w:szCs w:val="24"/>
        </w:rPr>
        <w:t>embeddedness</w:t>
      </w:r>
      <w:proofErr w:type="spellEnd"/>
      <w:r w:rsidRPr="00F36699">
        <w:rPr>
          <w:rFonts w:cs="Arial"/>
          <w:szCs w:val="24"/>
        </w:rPr>
        <w:t xml:space="preserve"> in the local context could be more significant to a </w:t>
      </w:r>
      <w:proofErr w:type="spellStart"/>
      <w:r w:rsidRPr="00F36699">
        <w:rPr>
          <w:rFonts w:cs="Arial"/>
          <w:szCs w:val="24"/>
        </w:rPr>
        <w:t>neighbourhood</w:t>
      </w:r>
      <w:proofErr w:type="spellEnd"/>
      <w:r w:rsidRPr="00F36699">
        <w:rPr>
          <w:rFonts w:cs="Arial"/>
          <w:szCs w:val="24"/>
        </w:rPr>
        <w:t xml:space="preserve"> resident. Cues can have different values to the same consumer at different times. Perceptions are relative: Costa might look more local compared with Starbucks, but more global than a local independent café. Therefore, it is always important to understand the cultural 'fit' within the reference set, occasion and broader value context and not as a fixed brand property</w:t>
      </w:r>
      <w:r w:rsidR="00232011">
        <w:t>.</w:t>
      </w:r>
    </w:p>
    <w:p w14:paraId="058964BB" w14:textId="77777777" w:rsidR="00D8014E" w:rsidRDefault="00232011">
      <w:pPr>
        <w:pStyle w:val="Heading2"/>
      </w:pPr>
      <w:bookmarkStart w:id="42" w:name="_Toc239604310"/>
      <w:bookmarkStart w:id="43" w:name="_Toc240989714"/>
      <w:r>
        <w:t xml:space="preserve">2.5 Customer experience, </w:t>
      </w:r>
      <w:proofErr w:type="spellStart"/>
      <w:r>
        <w:t>servicescape</w:t>
      </w:r>
      <w:proofErr w:type="spellEnd"/>
      <w:r>
        <w:t xml:space="preserve"> and the third place</w:t>
      </w:r>
      <w:bookmarkEnd w:id="42"/>
      <w:bookmarkEnd w:id="43"/>
    </w:p>
    <w:p w14:paraId="364B4630" w14:textId="1994C325" w:rsidR="000771AD" w:rsidRPr="00F36699" w:rsidRDefault="000771AD" w:rsidP="000771AD">
      <w:pPr>
        <w:spacing w:line="360" w:lineRule="auto"/>
        <w:rPr>
          <w:rFonts w:cs="Arial"/>
          <w:szCs w:val="24"/>
        </w:rPr>
      </w:pPr>
      <w:r w:rsidRPr="00F36699">
        <w:rPr>
          <w:rFonts w:cs="Arial"/>
          <w:szCs w:val="24"/>
        </w:rPr>
        <w:t xml:space="preserve">Customer experience is made up of various answers to a number of </w:t>
      </w:r>
      <w:proofErr w:type="spellStart"/>
      <w:r w:rsidRPr="00F36699">
        <w:rPr>
          <w:rFonts w:cs="Arial"/>
          <w:szCs w:val="24"/>
        </w:rPr>
        <w:t>touchpoints</w:t>
      </w:r>
      <w:proofErr w:type="spellEnd"/>
      <w:r>
        <w:rPr>
          <w:rFonts w:cs="Arial"/>
          <w:szCs w:val="24"/>
        </w:rPr>
        <w:t>,</w:t>
      </w:r>
      <w:r w:rsidRPr="00F36699">
        <w:rPr>
          <w:rFonts w:cs="Arial"/>
          <w:szCs w:val="24"/>
        </w:rPr>
        <w:t xml:space="preserve"> both direct and indirect. Lemon and </w:t>
      </w:r>
      <w:proofErr w:type="spellStart"/>
      <w:r w:rsidRPr="00F36699">
        <w:rPr>
          <w:rFonts w:cs="Arial"/>
          <w:szCs w:val="24"/>
        </w:rPr>
        <w:t>Verhoef</w:t>
      </w:r>
      <w:proofErr w:type="spellEnd"/>
      <w:r w:rsidRPr="00F36699">
        <w:rPr>
          <w:rFonts w:cs="Arial"/>
          <w:szCs w:val="24"/>
        </w:rPr>
        <w:t xml:space="preserve"> (2016) identify pre-purchase, purchase and post-purchase phases and Becker and </w:t>
      </w:r>
      <w:proofErr w:type="spellStart"/>
      <w:r w:rsidRPr="00F36699">
        <w:rPr>
          <w:rFonts w:cs="Arial"/>
          <w:szCs w:val="24"/>
        </w:rPr>
        <w:t>Jaakkola</w:t>
      </w:r>
      <w:proofErr w:type="spellEnd"/>
      <w:r w:rsidRPr="00F36699">
        <w:rPr>
          <w:rFonts w:cs="Arial"/>
          <w:szCs w:val="24"/>
        </w:rPr>
        <w:t xml:space="preserve"> (2020) highlight the subjective and contextual nature of experience. De Keyser et al. (2020) also point to </w:t>
      </w:r>
      <w:proofErr w:type="spellStart"/>
      <w:r w:rsidRPr="00F36699">
        <w:rPr>
          <w:rFonts w:cs="Arial"/>
          <w:szCs w:val="24"/>
        </w:rPr>
        <w:t>touchpoints</w:t>
      </w:r>
      <w:proofErr w:type="spellEnd"/>
      <w:r w:rsidRPr="00F36699">
        <w:rPr>
          <w:rFonts w:cs="Arial"/>
          <w:szCs w:val="24"/>
        </w:rPr>
        <w:t xml:space="preserve">, context and experiential qualities as counteracting the company controlled interface as the whole experience. For coffee retail, advertising can be either a positive or negative; as can be </w:t>
      </w:r>
      <w:r w:rsidRPr="00F36699">
        <w:rPr>
          <w:rFonts w:cs="Arial"/>
          <w:szCs w:val="24"/>
        </w:rPr>
        <w:lastRenderedPageBreak/>
        <w:t>queuing, barista interaction, seating, product availability, mobile ordering and social interaction.</w:t>
      </w:r>
    </w:p>
    <w:p w14:paraId="00D06B32" w14:textId="6F1C678A" w:rsidR="000771AD" w:rsidRPr="00F36699" w:rsidRDefault="000771AD" w:rsidP="000771AD">
      <w:pPr>
        <w:spacing w:line="360" w:lineRule="auto"/>
        <w:rPr>
          <w:rFonts w:cs="Arial"/>
          <w:szCs w:val="24"/>
        </w:rPr>
      </w:pPr>
      <w:r w:rsidRPr="00F36699">
        <w:rPr>
          <w:rFonts w:cs="Arial"/>
          <w:szCs w:val="24"/>
        </w:rPr>
        <w:t xml:space="preserve">The third place theory is one way of looking at how commercial spaces can offer more than the home and workplace (Oldenburg, 1999). Commercial third places can be said to strengthen the sense of social attachment (Rosenbaum et al., 2007) and the emergence of cafes constitutes an aspect of the evolution of urban consumption in the UK (Ferreira, 2017). </w:t>
      </w:r>
      <w:proofErr w:type="spellStart"/>
      <w:r w:rsidRPr="00F36699">
        <w:rPr>
          <w:rFonts w:cs="Arial"/>
          <w:szCs w:val="24"/>
        </w:rPr>
        <w:t>Servicescapes</w:t>
      </w:r>
      <w:proofErr w:type="spellEnd"/>
      <w:r w:rsidRPr="00F36699">
        <w:rPr>
          <w:rFonts w:cs="Arial"/>
          <w:szCs w:val="24"/>
        </w:rPr>
        <w:t xml:space="preserve"> can also be '</w:t>
      </w:r>
      <w:proofErr w:type="spellStart"/>
      <w:r w:rsidRPr="00F36699">
        <w:rPr>
          <w:rFonts w:cs="Arial"/>
          <w:szCs w:val="24"/>
        </w:rPr>
        <w:t>consumptionscapes</w:t>
      </w:r>
      <w:proofErr w:type="spellEnd"/>
      <w:r w:rsidRPr="00F36699">
        <w:rPr>
          <w:rFonts w:cs="Arial"/>
          <w:szCs w:val="24"/>
        </w:rPr>
        <w:t xml:space="preserve">' (cited by </w:t>
      </w:r>
      <w:proofErr w:type="spellStart"/>
      <w:r w:rsidRPr="00F36699">
        <w:rPr>
          <w:rFonts w:cs="Arial"/>
          <w:szCs w:val="24"/>
        </w:rPr>
        <w:t>Venkatraman</w:t>
      </w:r>
      <w:proofErr w:type="spellEnd"/>
      <w:r w:rsidRPr="00F36699">
        <w:rPr>
          <w:rFonts w:cs="Arial"/>
          <w:szCs w:val="24"/>
        </w:rPr>
        <w:t xml:space="preserve"> and Nelson 2008) where the meaning is co-created as in the case of Starbucks in China. The following views emphasize the functional, relational and symbolic aspects of space. A fast-collecting store might excel on convenience but lack in ambient and lingering use</w:t>
      </w:r>
      <w:r>
        <w:rPr>
          <w:rFonts w:cs="Arial"/>
          <w:szCs w:val="24"/>
        </w:rPr>
        <w:t xml:space="preserve">, </w:t>
      </w:r>
      <w:r w:rsidRPr="00F36699">
        <w:rPr>
          <w:rFonts w:cs="Arial"/>
          <w:szCs w:val="24"/>
        </w:rPr>
        <w:t>there's no better or worse design for each scenario.</w:t>
      </w:r>
    </w:p>
    <w:p w14:paraId="56AD02C7" w14:textId="77777777" w:rsidR="000771AD" w:rsidRPr="00F36699" w:rsidRDefault="000771AD" w:rsidP="000771AD">
      <w:pPr>
        <w:spacing w:line="360" w:lineRule="auto"/>
        <w:rPr>
          <w:rFonts w:cs="Arial"/>
          <w:szCs w:val="24"/>
        </w:rPr>
      </w:pPr>
      <w:r w:rsidRPr="00F36699">
        <w:rPr>
          <w:rFonts w:cs="Arial"/>
          <w:szCs w:val="24"/>
        </w:rPr>
        <w:t xml:space="preserve">Experience can then be a way of mitigating cultural responsiveness. Preparation can be a sign of competence and service and recovery can be a sign of recognition. </w:t>
      </w:r>
      <w:proofErr w:type="spellStart"/>
      <w:r w:rsidRPr="00F36699">
        <w:rPr>
          <w:rFonts w:cs="Arial"/>
          <w:szCs w:val="24"/>
        </w:rPr>
        <w:t>Standardisation</w:t>
      </w:r>
      <w:proofErr w:type="spellEnd"/>
      <w:r w:rsidRPr="00F36699">
        <w:rPr>
          <w:rFonts w:cs="Arial"/>
          <w:szCs w:val="24"/>
        </w:rPr>
        <w:t xml:space="preserve"> can be culturally relevant as </w:t>
      </w:r>
      <w:proofErr w:type="gramStart"/>
      <w:r w:rsidRPr="00F36699">
        <w:rPr>
          <w:rFonts w:cs="Arial"/>
          <w:szCs w:val="24"/>
        </w:rPr>
        <w:t>consumers</w:t>
      </w:r>
      <w:proofErr w:type="gramEnd"/>
      <w:r w:rsidRPr="00F36699">
        <w:rPr>
          <w:rFonts w:cs="Arial"/>
          <w:szCs w:val="24"/>
        </w:rPr>
        <w:t xml:space="preserve"> desire predictability. Coffee motivations vary between sensory, habit and social, therefore different segments and occasions might appreciate various </w:t>
      </w:r>
      <w:proofErr w:type="spellStart"/>
      <w:r w:rsidRPr="00F36699">
        <w:rPr>
          <w:rFonts w:cs="Arial"/>
          <w:szCs w:val="24"/>
        </w:rPr>
        <w:t>touchpoints</w:t>
      </w:r>
      <w:proofErr w:type="spellEnd"/>
      <w:r w:rsidRPr="00F36699">
        <w:rPr>
          <w:rFonts w:cs="Arial"/>
          <w:szCs w:val="24"/>
        </w:rPr>
        <w:t xml:space="preserve"> (</w:t>
      </w:r>
      <w:proofErr w:type="spellStart"/>
      <w:r w:rsidRPr="00F36699">
        <w:rPr>
          <w:rFonts w:cs="Arial"/>
          <w:szCs w:val="24"/>
        </w:rPr>
        <w:t>Samoggia</w:t>
      </w:r>
      <w:proofErr w:type="spellEnd"/>
      <w:r w:rsidRPr="00F36699">
        <w:rPr>
          <w:rFonts w:cs="Arial"/>
          <w:szCs w:val="24"/>
        </w:rPr>
        <w:t xml:space="preserve"> and Riedel, 2019). Repeated encounters are likely to add up to satisfaction and a salient service failure or contradiction to outweigh symbolic communication.</w:t>
      </w:r>
    </w:p>
    <w:p w14:paraId="797A71E4" w14:textId="46506D2D" w:rsidR="00D8014E" w:rsidRDefault="000771AD" w:rsidP="000771AD">
      <w:pPr>
        <w:spacing w:line="360" w:lineRule="auto"/>
      </w:pPr>
      <w:r w:rsidRPr="00F36699">
        <w:rPr>
          <w:rFonts w:cs="Arial"/>
          <w:szCs w:val="24"/>
        </w:rPr>
        <w:t xml:space="preserve">There is a need for a separation between designed experience and experienced outcome. Companions, time pressure, mobility needs and previous expectations are all factors that are outside of the manager's control, as are music, furniture and the design of queues and greetings. Expectations may be influenced prior to a store visit by media, peer talk, and </w:t>
      </w:r>
      <w:proofErr w:type="spellStart"/>
      <w:r w:rsidRPr="00F36699">
        <w:rPr>
          <w:rFonts w:cs="Arial"/>
          <w:szCs w:val="24"/>
        </w:rPr>
        <w:t>behaviour</w:t>
      </w:r>
      <w:proofErr w:type="spellEnd"/>
      <w:r w:rsidRPr="00F36699">
        <w:rPr>
          <w:rFonts w:cs="Arial"/>
          <w:szCs w:val="24"/>
        </w:rPr>
        <w:t xml:space="preserve"> of the employees. Analytics can combine various sources of experience data, but choices of which aspects to measure are normative: speed might be the most important aspect of experience, but the focus on speed can mask welcome, accessibility or social support. (</w:t>
      </w:r>
      <w:proofErr w:type="spellStart"/>
      <w:r w:rsidRPr="00F36699">
        <w:rPr>
          <w:rFonts w:cs="Arial"/>
          <w:szCs w:val="24"/>
        </w:rPr>
        <w:t>Holmlund</w:t>
      </w:r>
      <w:proofErr w:type="spellEnd"/>
      <w:r w:rsidRPr="00F36699">
        <w:rPr>
          <w:rFonts w:cs="Arial"/>
          <w:szCs w:val="24"/>
        </w:rPr>
        <w:t xml:space="preserve"> et al., 2020) A cross-cultural scorecard should therefore not just capture operational reliability, but also relational and inclusion indicators, and not reduce the experience to a satisfaction measure</w:t>
      </w:r>
      <w:r w:rsidR="00232011">
        <w:t>.</w:t>
      </w:r>
    </w:p>
    <w:p w14:paraId="69702D63" w14:textId="77777777" w:rsidR="00D8014E" w:rsidRDefault="00232011">
      <w:pPr>
        <w:pStyle w:val="Heading2"/>
      </w:pPr>
      <w:bookmarkStart w:id="44" w:name="_Toc239604311"/>
      <w:bookmarkStart w:id="45" w:name="_Toc240989715"/>
      <w:r>
        <w:lastRenderedPageBreak/>
        <w:t xml:space="preserve">2.6 Digital engagement, </w:t>
      </w:r>
      <w:proofErr w:type="spellStart"/>
      <w:r>
        <w:t>personalisation</w:t>
      </w:r>
      <w:proofErr w:type="spellEnd"/>
      <w:r>
        <w:t xml:space="preserve"> and loyalty </w:t>
      </w:r>
      <w:proofErr w:type="spellStart"/>
      <w:r>
        <w:t>programmes</w:t>
      </w:r>
      <w:bookmarkEnd w:id="44"/>
      <w:bookmarkEnd w:id="45"/>
      <w:proofErr w:type="spellEnd"/>
    </w:p>
    <w:p w14:paraId="19C5D17E" w14:textId="77777777" w:rsidR="000771AD" w:rsidRPr="00F36699" w:rsidRDefault="000771AD" w:rsidP="000771AD">
      <w:pPr>
        <w:spacing w:line="360" w:lineRule="auto"/>
        <w:rPr>
          <w:rFonts w:cs="Arial"/>
          <w:szCs w:val="24"/>
        </w:rPr>
      </w:pPr>
      <w:r w:rsidRPr="00F36699">
        <w:rPr>
          <w:rFonts w:cs="Arial"/>
          <w:szCs w:val="24"/>
        </w:rPr>
        <w:t xml:space="preserve">Linkage of digital technology to discovery, ordering, payment, rewards and feedback. </w:t>
      </w:r>
      <w:proofErr w:type="spellStart"/>
      <w:r w:rsidRPr="00F36699">
        <w:rPr>
          <w:rFonts w:cs="Arial"/>
          <w:szCs w:val="24"/>
        </w:rPr>
        <w:t>Omnichannel</w:t>
      </w:r>
      <w:proofErr w:type="spellEnd"/>
      <w:r w:rsidRPr="00F36699">
        <w:rPr>
          <w:rFonts w:cs="Arial"/>
          <w:szCs w:val="24"/>
        </w:rPr>
        <w:t xml:space="preserve"> research reveals that consumers do not assess a channel individually, but measure the continuity between channels (Alexander and Kent, 2022; </w:t>
      </w:r>
      <w:proofErr w:type="spellStart"/>
      <w:r w:rsidRPr="00F36699">
        <w:rPr>
          <w:rFonts w:cs="Arial"/>
          <w:szCs w:val="24"/>
        </w:rPr>
        <w:t>Verhoef</w:t>
      </w:r>
      <w:proofErr w:type="spellEnd"/>
      <w:r w:rsidRPr="00F36699">
        <w:rPr>
          <w:rFonts w:cs="Arial"/>
          <w:szCs w:val="24"/>
        </w:rPr>
        <w:t xml:space="preserve"> et al., 2021). In-store technologies can reduce effort and provide information, however, the value of these technologies relies on their design, adoption and service integration (Grewal et al., 2020; Hoyer et al., 2020). Thus, a coffee app is not only a means of transaction, but also a relational interface, which indicates who gets recognized and under which conditions.</w:t>
      </w:r>
    </w:p>
    <w:p w14:paraId="55028F79" w14:textId="77777777" w:rsidR="000771AD" w:rsidRPr="00F36699" w:rsidRDefault="000771AD" w:rsidP="000771AD">
      <w:pPr>
        <w:spacing w:line="360" w:lineRule="auto"/>
        <w:rPr>
          <w:rFonts w:cs="Arial"/>
          <w:szCs w:val="24"/>
        </w:rPr>
      </w:pPr>
      <w:r w:rsidRPr="00F36699">
        <w:rPr>
          <w:rFonts w:cs="Arial"/>
          <w:szCs w:val="24"/>
        </w:rPr>
        <w:t xml:space="preserve">While loyalty </w:t>
      </w:r>
      <w:proofErr w:type="spellStart"/>
      <w:r w:rsidRPr="00F36699">
        <w:rPr>
          <w:rFonts w:cs="Arial"/>
          <w:szCs w:val="24"/>
        </w:rPr>
        <w:t>programmes</w:t>
      </w:r>
      <w:proofErr w:type="spellEnd"/>
      <w:r w:rsidRPr="00F36699">
        <w:rPr>
          <w:rFonts w:cs="Arial"/>
          <w:szCs w:val="24"/>
        </w:rPr>
        <w:t xml:space="preserve"> have the ability to modify purchase </w:t>
      </w:r>
      <w:proofErr w:type="spellStart"/>
      <w:r w:rsidRPr="00F36699">
        <w:rPr>
          <w:rFonts w:cs="Arial"/>
          <w:szCs w:val="24"/>
        </w:rPr>
        <w:t>behaviour</w:t>
      </w:r>
      <w:proofErr w:type="spellEnd"/>
      <w:r w:rsidRPr="00F36699">
        <w:rPr>
          <w:rFonts w:cs="Arial"/>
          <w:szCs w:val="24"/>
        </w:rPr>
        <w:t xml:space="preserve">, especially lighter buyers, their impacts are varied and can become diluted over time (Liu, 2007). It should be noted, however, that the definition of 'loyalty' is limited by </w:t>
      </w:r>
      <w:proofErr w:type="spellStart"/>
      <w:r w:rsidRPr="00F36699">
        <w:rPr>
          <w:rFonts w:cs="Arial"/>
          <w:szCs w:val="24"/>
        </w:rPr>
        <w:t>programme</w:t>
      </w:r>
      <w:proofErr w:type="spellEnd"/>
      <w:r w:rsidRPr="00F36699">
        <w:rPr>
          <w:rFonts w:cs="Arial"/>
          <w:szCs w:val="24"/>
        </w:rPr>
        <w:t xml:space="preserve"> design, self-selection and measurement (</w:t>
      </w:r>
      <w:proofErr w:type="spellStart"/>
      <w:r w:rsidRPr="00F36699">
        <w:rPr>
          <w:rFonts w:cs="Arial"/>
          <w:szCs w:val="24"/>
        </w:rPr>
        <w:t>Dorotic</w:t>
      </w:r>
      <w:proofErr w:type="spellEnd"/>
      <w:r w:rsidRPr="00F36699">
        <w:rPr>
          <w:rFonts w:cs="Arial"/>
          <w:szCs w:val="24"/>
        </w:rPr>
        <w:t xml:space="preserve"> et al., 2012). A second study carried out in Turkey, which employed a qualitative mobile-application approach to Starbucks, identified that the usage of the mobile application alone was not a significant measure for loyalty and that service, location and product elements were important (</w:t>
      </w:r>
      <w:proofErr w:type="spellStart"/>
      <w:r w:rsidRPr="00F36699">
        <w:rPr>
          <w:rFonts w:cs="Arial"/>
          <w:szCs w:val="24"/>
        </w:rPr>
        <w:t>Çalyan</w:t>
      </w:r>
      <w:proofErr w:type="spellEnd"/>
      <w:r w:rsidRPr="00F36699">
        <w:rPr>
          <w:rFonts w:cs="Arial"/>
          <w:szCs w:val="24"/>
        </w:rPr>
        <w:t xml:space="preserve"> et al., 2021). This offers a good negative case study—a sense of convenience or incentives to participate rather than attachment—and of extreme caution needed in the non-UK setting.</w:t>
      </w:r>
    </w:p>
    <w:p w14:paraId="5E46FC18" w14:textId="77777777" w:rsidR="000771AD" w:rsidRPr="00F36699" w:rsidRDefault="000771AD" w:rsidP="000771AD">
      <w:pPr>
        <w:spacing w:line="360" w:lineRule="auto"/>
        <w:rPr>
          <w:rFonts w:cs="Arial"/>
          <w:szCs w:val="24"/>
        </w:rPr>
      </w:pPr>
      <w:r w:rsidRPr="00F36699">
        <w:rPr>
          <w:rFonts w:cs="Arial"/>
          <w:szCs w:val="24"/>
        </w:rPr>
        <w:t xml:space="preserve">Engagement can increase the consumers' investment of cognitive, emotional and </w:t>
      </w:r>
      <w:proofErr w:type="spellStart"/>
      <w:r w:rsidRPr="00F36699">
        <w:rPr>
          <w:rFonts w:cs="Arial"/>
          <w:szCs w:val="24"/>
        </w:rPr>
        <w:t>behavioural</w:t>
      </w:r>
      <w:proofErr w:type="spellEnd"/>
      <w:r w:rsidRPr="00F36699">
        <w:rPr>
          <w:rFonts w:cs="Arial"/>
          <w:szCs w:val="24"/>
        </w:rPr>
        <w:t xml:space="preserve"> resource, which can, in turn, enhance relations (Brodie et al., 2011). Social media platforms can facilitate interaction, trust and value (</w:t>
      </w:r>
      <w:proofErr w:type="spellStart"/>
      <w:r w:rsidRPr="00F36699">
        <w:rPr>
          <w:rFonts w:cs="Arial"/>
          <w:szCs w:val="24"/>
        </w:rPr>
        <w:t>Hollebeek</w:t>
      </w:r>
      <w:proofErr w:type="spellEnd"/>
      <w:r w:rsidRPr="00F36699">
        <w:rPr>
          <w:rFonts w:cs="Arial"/>
          <w:szCs w:val="24"/>
        </w:rPr>
        <w:t xml:space="preserve"> et al., 2014; </w:t>
      </w:r>
      <w:proofErr w:type="spellStart"/>
      <w:r w:rsidRPr="00F36699">
        <w:rPr>
          <w:rFonts w:cs="Arial"/>
          <w:szCs w:val="24"/>
        </w:rPr>
        <w:t>Hollebeek</w:t>
      </w:r>
      <w:proofErr w:type="spellEnd"/>
      <w:r w:rsidRPr="00F36699">
        <w:rPr>
          <w:rFonts w:cs="Arial"/>
          <w:szCs w:val="24"/>
        </w:rPr>
        <w:t xml:space="preserve"> and </w:t>
      </w:r>
      <w:proofErr w:type="spellStart"/>
      <w:r w:rsidRPr="00F36699">
        <w:rPr>
          <w:rFonts w:cs="Arial"/>
          <w:szCs w:val="24"/>
        </w:rPr>
        <w:t>Macky</w:t>
      </w:r>
      <w:proofErr w:type="spellEnd"/>
      <w:r w:rsidRPr="00F36699">
        <w:rPr>
          <w:rFonts w:cs="Arial"/>
          <w:szCs w:val="24"/>
        </w:rPr>
        <w:t>, 2019) but there are varying impacts based on platform, content and impacts (</w:t>
      </w:r>
      <w:proofErr w:type="spellStart"/>
      <w:r w:rsidRPr="00F36699">
        <w:rPr>
          <w:rFonts w:cs="Arial"/>
          <w:szCs w:val="24"/>
        </w:rPr>
        <w:t>Santini</w:t>
      </w:r>
      <w:proofErr w:type="spellEnd"/>
      <w:r w:rsidRPr="00F36699">
        <w:rPr>
          <w:rFonts w:cs="Arial"/>
          <w:szCs w:val="24"/>
        </w:rPr>
        <w:t xml:space="preserve"> et al., 2020). Kumar and </w:t>
      </w:r>
      <w:proofErr w:type="spellStart"/>
      <w:r w:rsidRPr="00F36699">
        <w:rPr>
          <w:rFonts w:cs="Arial"/>
          <w:szCs w:val="24"/>
        </w:rPr>
        <w:t>Pansari</w:t>
      </w:r>
      <w:proofErr w:type="spellEnd"/>
      <w:r w:rsidRPr="00F36699">
        <w:rPr>
          <w:rFonts w:cs="Arial"/>
          <w:szCs w:val="24"/>
        </w:rPr>
        <w:t xml:space="preserve"> (2016) show that engagement is related to firm advantage, and engagement metrics are not a replacement for loyalty measures. Likes, opens and redemptions are therefore intermediate signals which need to be triangulated with trust, preference and continued </w:t>
      </w:r>
      <w:proofErr w:type="spellStart"/>
      <w:r w:rsidRPr="00F36699">
        <w:rPr>
          <w:rFonts w:cs="Arial"/>
          <w:szCs w:val="24"/>
        </w:rPr>
        <w:t>behaviour</w:t>
      </w:r>
      <w:proofErr w:type="spellEnd"/>
      <w:r w:rsidRPr="00F36699">
        <w:rPr>
          <w:rFonts w:cs="Arial"/>
          <w:szCs w:val="24"/>
        </w:rPr>
        <w:t>.</w:t>
      </w:r>
    </w:p>
    <w:p w14:paraId="644212DD" w14:textId="77777777" w:rsidR="000771AD" w:rsidRPr="00F36699" w:rsidRDefault="000771AD" w:rsidP="000771AD">
      <w:pPr>
        <w:spacing w:line="360" w:lineRule="auto"/>
        <w:rPr>
          <w:rFonts w:cs="Arial"/>
          <w:szCs w:val="24"/>
        </w:rPr>
      </w:pPr>
      <w:r w:rsidRPr="00F36699">
        <w:rPr>
          <w:rFonts w:cs="Arial"/>
          <w:szCs w:val="24"/>
        </w:rPr>
        <w:t xml:space="preserve">The governance question is made more explicit in the context of </w:t>
      </w:r>
      <w:proofErr w:type="spellStart"/>
      <w:r w:rsidRPr="00F36699">
        <w:rPr>
          <w:rFonts w:cs="Arial"/>
          <w:szCs w:val="24"/>
        </w:rPr>
        <w:t>personalisation</w:t>
      </w:r>
      <w:proofErr w:type="spellEnd"/>
      <w:r w:rsidRPr="00F36699">
        <w:rPr>
          <w:rFonts w:cs="Arial"/>
          <w:szCs w:val="24"/>
        </w:rPr>
        <w:t xml:space="preserve">. Data may add to relevance and decrease search work, however, unexpected collection of data may add to perceived vulnerability, and influence response to trust building activities (Aguirre et al., 2015). The focus of data-privacy research is that responsible information </w:t>
      </w:r>
      <w:r w:rsidRPr="00F36699">
        <w:rPr>
          <w:rFonts w:cs="Arial"/>
          <w:szCs w:val="24"/>
        </w:rPr>
        <w:lastRenderedPageBreak/>
        <w:t>use is not just a compliance concern, but a full marketing concern (Martin &amp; Murphy, 2017). AI can expand prediction, recommendation and interaction (Davenport et al., 2020; Huang and Rust, 2021), and consumer agency, identity, and perceived humanness are important factors for the acceptance (</w:t>
      </w:r>
      <w:proofErr w:type="spellStart"/>
      <w:r w:rsidRPr="00F36699">
        <w:rPr>
          <w:rFonts w:cs="Arial"/>
          <w:szCs w:val="24"/>
        </w:rPr>
        <w:t>Puntoni</w:t>
      </w:r>
      <w:proofErr w:type="spellEnd"/>
      <w:r w:rsidRPr="00F36699">
        <w:rPr>
          <w:rFonts w:cs="Arial"/>
          <w:szCs w:val="24"/>
        </w:rPr>
        <w:t xml:space="preserve"> et al., 2021). Therefore, culturally responsive </w:t>
      </w:r>
      <w:proofErr w:type="spellStart"/>
      <w:r w:rsidRPr="00F36699">
        <w:rPr>
          <w:rFonts w:cs="Arial"/>
          <w:szCs w:val="24"/>
        </w:rPr>
        <w:t>personalisation</w:t>
      </w:r>
      <w:proofErr w:type="spellEnd"/>
      <w:r w:rsidRPr="00F36699">
        <w:rPr>
          <w:rFonts w:cs="Arial"/>
          <w:szCs w:val="24"/>
        </w:rPr>
        <w:t xml:space="preserve"> should not be an automatic, demographic stereotyping form of </w:t>
      </w:r>
      <w:proofErr w:type="spellStart"/>
      <w:r w:rsidRPr="00F36699">
        <w:rPr>
          <w:rFonts w:cs="Arial"/>
          <w:szCs w:val="24"/>
        </w:rPr>
        <w:t>personalisation</w:t>
      </w:r>
      <w:proofErr w:type="spellEnd"/>
      <w:r w:rsidRPr="00F36699">
        <w:rPr>
          <w:rFonts w:cs="Arial"/>
          <w:szCs w:val="24"/>
        </w:rPr>
        <w:t>, but instead should be consent-based, explainable and bounded.</w:t>
      </w:r>
    </w:p>
    <w:p w14:paraId="5EBD6F10" w14:textId="55DA8293" w:rsidR="00D8014E" w:rsidRDefault="000771AD" w:rsidP="000771AD">
      <w:pPr>
        <w:spacing w:line="360" w:lineRule="auto"/>
      </w:pPr>
      <w:r w:rsidRPr="00F36699">
        <w:rPr>
          <w:rFonts w:cs="Arial"/>
          <w:szCs w:val="24"/>
        </w:rPr>
        <w:t xml:space="preserve">The fairness aspect of reward design is also covered. Thresholds, expiry periods, app-only offers and differential benefits affect who can </w:t>
      </w:r>
      <w:proofErr w:type="spellStart"/>
      <w:r w:rsidRPr="00F36699">
        <w:rPr>
          <w:rFonts w:cs="Arial"/>
          <w:szCs w:val="24"/>
        </w:rPr>
        <w:t>realise</w:t>
      </w:r>
      <w:proofErr w:type="spellEnd"/>
      <w:r w:rsidRPr="00F36699">
        <w:rPr>
          <w:rFonts w:cs="Arial"/>
          <w:szCs w:val="24"/>
        </w:rPr>
        <w:t xml:space="preserve"> value and can be detrimental to those who do not use the services as frequently, those with limited digital access or consumers with accessibility needs. </w:t>
      </w:r>
      <w:proofErr w:type="spellStart"/>
      <w:r w:rsidRPr="00F36699">
        <w:rPr>
          <w:rFonts w:cs="Arial"/>
          <w:szCs w:val="24"/>
        </w:rPr>
        <w:t>Programme</w:t>
      </w:r>
      <w:proofErr w:type="spellEnd"/>
      <w:r w:rsidRPr="00F36699">
        <w:rPr>
          <w:rFonts w:cs="Arial"/>
          <w:szCs w:val="24"/>
        </w:rPr>
        <w:t xml:space="preserve"> governance should then check the benefits are clear and achievable for relevant segments, and provide clear communication of material conditions and monitor complaints and conversion. Digital convenience is not a transaction of personal data for discount, but is instead, one aspect of loyalty in an overall trusted experience</w:t>
      </w:r>
      <w:r w:rsidR="00232011">
        <w:t>.</w:t>
      </w:r>
    </w:p>
    <w:p w14:paraId="245AAE14" w14:textId="77777777" w:rsidR="00D8014E" w:rsidRDefault="00232011">
      <w:pPr>
        <w:pStyle w:val="Heading2"/>
      </w:pPr>
      <w:bookmarkStart w:id="46" w:name="_Toc239604312"/>
      <w:bookmarkStart w:id="47" w:name="_Toc240989716"/>
      <w:r>
        <w:t>2.7 Authenticity, sustainability and inclusive communication</w:t>
      </w:r>
      <w:bookmarkEnd w:id="46"/>
      <w:bookmarkEnd w:id="47"/>
      <w:r>
        <w:t xml:space="preserve"> </w:t>
      </w:r>
    </w:p>
    <w:p w14:paraId="4F9425DE" w14:textId="77777777" w:rsidR="00980AFB" w:rsidRPr="00F36699" w:rsidRDefault="00980AFB" w:rsidP="00980AFB">
      <w:pPr>
        <w:spacing w:line="360" w:lineRule="auto"/>
        <w:rPr>
          <w:rFonts w:cs="Arial"/>
          <w:szCs w:val="24"/>
        </w:rPr>
      </w:pPr>
      <w:r w:rsidRPr="00F36699">
        <w:rPr>
          <w:rFonts w:cs="Arial"/>
          <w:szCs w:val="24"/>
        </w:rPr>
        <w:t xml:space="preserve">Authenticity is a matter of whether the consumers' apparent values are consistent with a brand's projected values and heritage, and the brand's observed </w:t>
      </w:r>
      <w:proofErr w:type="spellStart"/>
      <w:r w:rsidRPr="00F36699">
        <w:rPr>
          <w:rFonts w:cs="Arial"/>
          <w:szCs w:val="24"/>
        </w:rPr>
        <w:t>behaviour</w:t>
      </w:r>
      <w:proofErr w:type="spellEnd"/>
      <w:r w:rsidRPr="00F36699">
        <w:rPr>
          <w:rFonts w:cs="Arial"/>
          <w:szCs w:val="24"/>
        </w:rPr>
        <w:t xml:space="preserve">. Key dimensions include continuity, credibility, integrity and symbolism as identified by </w:t>
      </w:r>
      <w:proofErr w:type="spellStart"/>
      <w:r w:rsidRPr="00F36699">
        <w:rPr>
          <w:rFonts w:cs="Arial"/>
          <w:szCs w:val="24"/>
        </w:rPr>
        <w:t>Morhart</w:t>
      </w:r>
      <w:proofErr w:type="spellEnd"/>
      <w:r w:rsidRPr="00F36699">
        <w:rPr>
          <w:rFonts w:cs="Arial"/>
          <w:szCs w:val="24"/>
        </w:rPr>
        <w:t xml:space="preserve"> et al. (2015) and a continuum of strategic approaches to building authenticity as identified by Napoli et al. (2016). Portal et al. (2019) relate brand authenticity to trust. From the Starbucks and Costa Coffee examples, origin stories, community </w:t>
      </w:r>
      <w:proofErr w:type="spellStart"/>
      <w:r w:rsidRPr="00F36699">
        <w:rPr>
          <w:rFonts w:cs="Arial"/>
          <w:szCs w:val="24"/>
        </w:rPr>
        <w:t>programmes</w:t>
      </w:r>
      <w:proofErr w:type="spellEnd"/>
      <w:r w:rsidRPr="00F36699">
        <w:rPr>
          <w:rFonts w:cs="Arial"/>
          <w:szCs w:val="24"/>
        </w:rPr>
        <w:t xml:space="preserve"> and sourcing claims can then help build relationships – where they are not, they will represent a risk to trust.</w:t>
      </w:r>
    </w:p>
    <w:p w14:paraId="017DA3B9" w14:textId="77777777" w:rsidR="00980AFB" w:rsidRPr="00F36699" w:rsidRDefault="00980AFB" w:rsidP="00980AFB">
      <w:pPr>
        <w:spacing w:line="360" w:lineRule="auto"/>
        <w:rPr>
          <w:rFonts w:cs="Arial"/>
          <w:szCs w:val="24"/>
        </w:rPr>
      </w:pPr>
      <w:r w:rsidRPr="00F36699">
        <w:rPr>
          <w:rFonts w:cs="Arial"/>
          <w:szCs w:val="24"/>
        </w:rPr>
        <w:t>This is particularly relevant for environmental communication. There is an unequal power-and-value distribution in coffee supply chains (Grabs and Ponte, 2019) and a wide spectrum of corporate sustainability strategies in terms of their scope and implementation (</w:t>
      </w:r>
      <w:proofErr w:type="spellStart"/>
      <w:r w:rsidRPr="00F36699">
        <w:rPr>
          <w:rFonts w:cs="Arial"/>
          <w:szCs w:val="24"/>
        </w:rPr>
        <w:t>Bager</w:t>
      </w:r>
      <w:proofErr w:type="spellEnd"/>
      <w:r w:rsidRPr="00F36699">
        <w:rPr>
          <w:rFonts w:cs="Arial"/>
          <w:szCs w:val="24"/>
        </w:rPr>
        <w:t xml:space="preserve"> and </w:t>
      </w:r>
      <w:proofErr w:type="spellStart"/>
      <w:r w:rsidRPr="00F36699">
        <w:rPr>
          <w:rFonts w:cs="Arial"/>
          <w:szCs w:val="24"/>
        </w:rPr>
        <w:t>Lambin</w:t>
      </w:r>
      <w:proofErr w:type="spellEnd"/>
      <w:r w:rsidRPr="00F36699">
        <w:rPr>
          <w:rFonts w:cs="Arial"/>
          <w:szCs w:val="24"/>
        </w:rPr>
        <w:t xml:space="preserve">, 2020). </w:t>
      </w:r>
      <w:proofErr w:type="spellStart"/>
      <w:r w:rsidRPr="00F36699">
        <w:rPr>
          <w:rFonts w:cs="Arial"/>
          <w:szCs w:val="24"/>
        </w:rPr>
        <w:t>Greenwashing</w:t>
      </w:r>
      <w:proofErr w:type="spellEnd"/>
      <w:r w:rsidRPr="00F36699">
        <w:rPr>
          <w:rFonts w:cs="Arial"/>
          <w:szCs w:val="24"/>
        </w:rPr>
        <w:t xml:space="preserve"> may be manifested through selective disclosure, the use of ambiguous terms or statements that are higher than the actual results (</w:t>
      </w:r>
      <w:proofErr w:type="spellStart"/>
      <w:r w:rsidRPr="00F36699">
        <w:rPr>
          <w:rFonts w:cs="Arial"/>
          <w:szCs w:val="24"/>
        </w:rPr>
        <w:t>Delmas</w:t>
      </w:r>
      <w:proofErr w:type="spellEnd"/>
      <w:r w:rsidRPr="00F36699">
        <w:rPr>
          <w:rFonts w:cs="Arial"/>
          <w:szCs w:val="24"/>
        </w:rPr>
        <w:t xml:space="preserve"> and </w:t>
      </w:r>
      <w:proofErr w:type="spellStart"/>
      <w:r w:rsidRPr="00F36699">
        <w:rPr>
          <w:rFonts w:cs="Arial"/>
          <w:szCs w:val="24"/>
        </w:rPr>
        <w:t>Burbano</w:t>
      </w:r>
      <w:proofErr w:type="spellEnd"/>
      <w:r w:rsidRPr="00F36699">
        <w:rPr>
          <w:rFonts w:cs="Arial"/>
          <w:szCs w:val="24"/>
        </w:rPr>
        <w:t xml:space="preserve">, 2011; de </w:t>
      </w:r>
      <w:proofErr w:type="spellStart"/>
      <w:r w:rsidRPr="00F36699">
        <w:rPr>
          <w:rFonts w:cs="Arial"/>
          <w:szCs w:val="24"/>
        </w:rPr>
        <w:t>Freitas</w:t>
      </w:r>
      <w:proofErr w:type="spellEnd"/>
      <w:r w:rsidRPr="00F36699">
        <w:rPr>
          <w:rFonts w:cs="Arial"/>
          <w:szCs w:val="24"/>
        </w:rPr>
        <w:t xml:space="preserve"> </w:t>
      </w:r>
      <w:proofErr w:type="spellStart"/>
      <w:r w:rsidRPr="00F36699">
        <w:rPr>
          <w:rFonts w:cs="Arial"/>
          <w:szCs w:val="24"/>
        </w:rPr>
        <w:t>Netto</w:t>
      </w:r>
      <w:proofErr w:type="spellEnd"/>
      <w:r w:rsidRPr="00F36699">
        <w:rPr>
          <w:rFonts w:cs="Arial"/>
          <w:szCs w:val="24"/>
        </w:rPr>
        <w:t xml:space="preserve"> et al., 2020). Evidence from experiments reveals that there can be adverse consumer reactions when there is </w:t>
      </w:r>
      <w:r w:rsidRPr="00F36699">
        <w:rPr>
          <w:rFonts w:cs="Arial"/>
          <w:szCs w:val="24"/>
        </w:rPr>
        <w:lastRenderedPageBreak/>
        <w:t>misalignment between communication and environmental performance (</w:t>
      </w:r>
      <w:proofErr w:type="spellStart"/>
      <w:r w:rsidRPr="00F36699">
        <w:rPr>
          <w:rFonts w:cs="Arial"/>
          <w:szCs w:val="24"/>
        </w:rPr>
        <w:t>Nyilasy</w:t>
      </w:r>
      <w:proofErr w:type="spellEnd"/>
      <w:r w:rsidRPr="00F36699">
        <w:rPr>
          <w:rFonts w:cs="Arial"/>
          <w:szCs w:val="24"/>
        </w:rPr>
        <w:t xml:space="preserve"> et al., 2014), and that perceived </w:t>
      </w:r>
      <w:proofErr w:type="spellStart"/>
      <w:r w:rsidRPr="00F36699">
        <w:rPr>
          <w:rFonts w:cs="Arial"/>
          <w:szCs w:val="24"/>
        </w:rPr>
        <w:t>greenwashing</w:t>
      </w:r>
      <w:proofErr w:type="spellEnd"/>
      <w:r w:rsidRPr="00F36699">
        <w:rPr>
          <w:rFonts w:cs="Arial"/>
          <w:szCs w:val="24"/>
        </w:rPr>
        <w:t xml:space="preserve"> can impact environmental and product evaluations (Szabo and Webster, 2021). Clarity about boundaries, baselines and verification and progress are therefore part and parcel of credibility – not moral tone alone.</w:t>
      </w:r>
    </w:p>
    <w:p w14:paraId="4BFE9D2A" w14:textId="77777777" w:rsidR="00980AFB" w:rsidRPr="00F36699" w:rsidRDefault="00980AFB" w:rsidP="00980AFB">
      <w:pPr>
        <w:spacing w:line="360" w:lineRule="auto"/>
        <w:rPr>
          <w:rFonts w:cs="Arial"/>
          <w:szCs w:val="24"/>
        </w:rPr>
      </w:pPr>
      <w:r w:rsidRPr="00F36699">
        <w:rPr>
          <w:rFonts w:cs="Arial"/>
          <w:szCs w:val="24"/>
        </w:rPr>
        <w:t xml:space="preserve">Sustainability communication also needs to be accompanied by measures that are feasible for consumers. Social influence, habit, the individual self, feelings and cognition, and tangibility are the main components of the SHIFT framework (White et al., 2019). Service design and information should, therefore, be accessible in re-usable cup or recycling </w:t>
      </w:r>
      <w:proofErr w:type="spellStart"/>
      <w:r w:rsidRPr="00F36699">
        <w:rPr>
          <w:rFonts w:cs="Arial"/>
          <w:szCs w:val="24"/>
        </w:rPr>
        <w:t>programmes</w:t>
      </w:r>
      <w:proofErr w:type="spellEnd"/>
      <w:r w:rsidRPr="00F36699">
        <w:rPr>
          <w:rFonts w:cs="Arial"/>
          <w:szCs w:val="24"/>
        </w:rPr>
        <w:t>. The same goes for inclusion, as being represented is not enough if consumers are met with barriers at important moments. Relationships are more likely to be supported by cross-cultural communication that is understandable, relevant and respectful and operational delivery is consistent with the message.</w:t>
      </w:r>
    </w:p>
    <w:p w14:paraId="099B2318" w14:textId="01E02D81" w:rsidR="00D8014E" w:rsidRDefault="00980AFB" w:rsidP="00980AFB">
      <w:pPr>
        <w:spacing w:line="360" w:lineRule="auto"/>
      </w:pPr>
      <w:r w:rsidRPr="00F36699">
        <w:rPr>
          <w:rFonts w:cs="Arial"/>
          <w:szCs w:val="24"/>
        </w:rPr>
        <w:t xml:space="preserve">Authenticity is not a single moment but relational, it requires a commitment to be upheld over time. While heritage can help with continuity, selective nostalgia can </w:t>
      </w:r>
      <w:proofErr w:type="spellStart"/>
      <w:r w:rsidRPr="00F36699">
        <w:rPr>
          <w:rFonts w:cs="Arial"/>
          <w:szCs w:val="24"/>
        </w:rPr>
        <w:t>marginalise</w:t>
      </w:r>
      <w:proofErr w:type="spellEnd"/>
      <w:r w:rsidRPr="00F36699">
        <w:rPr>
          <w:rFonts w:cs="Arial"/>
          <w:szCs w:val="24"/>
        </w:rPr>
        <w:t xml:space="preserve"> those consumers whose identities are hybrid or have stronger connections with the UK. The consumers can assess purpose claims in conjunction with packaging, </w:t>
      </w:r>
      <w:proofErr w:type="spellStart"/>
      <w:r w:rsidRPr="00F36699">
        <w:rPr>
          <w:rFonts w:cs="Arial"/>
          <w:szCs w:val="24"/>
        </w:rPr>
        <w:t>labour</w:t>
      </w:r>
      <w:proofErr w:type="spellEnd"/>
      <w:r w:rsidRPr="00F36699">
        <w:rPr>
          <w:rFonts w:cs="Arial"/>
          <w:szCs w:val="24"/>
        </w:rPr>
        <w:t>, accessibility and sourcing information. The credible approach should include admittance of compromises and progress should be stated at fixed periods with respect to a stipulated baseline. Trust is built over time, but can be undermined rapidly if there is a mismatch, so perhaps some form of transparent admission of weakness could be more relationship-building than an unqualified assertion of leadership</w:t>
      </w:r>
      <w:r w:rsidR="00232011">
        <w:t>.</w:t>
      </w:r>
    </w:p>
    <w:p w14:paraId="1F9E055F" w14:textId="77777777" w:rsidR="00D8014E" w:rsidRDefault="00232011">
      <w:pPr>
        <w:pStyle w:val="Heading2"/>
      </w:pPr>
      <w:bookmarkStart w:id="48" w:name="_Toc239604313"/>
      <w:bookmarkStart w:id="49" w:name="_Toc240989717"/>
      <w:r>
        <w:t>2.8 Comparative expectations and research gap</w:t>
      </w:r>
      <w:bookmarkEnd w:id="48"/>
      <w:bookmarkEnd w:id="49"/>
    </w:p>
    <w:p w14:paraId="3BB5C1C7" w14:textId="77777777" w:rsidR="00980AFB" w:rsidRPr="00F36699" w:rsidRDefault="00980AFB" w:rsidP="00980AFB">
      <w:pPr>
        <w:spacing w:line="360" w:lineRule="auto"/>
        <w:rPr>
          <w:rFonts w:cs="Arial"/>
          <w:szCs w:val="24"/>
        </w:rPr>
      </w:pPr>
      <w:r w:rsidRPr="00F36699">
        <w:rPr>
          <w:rFonts w:cs="Arial"/>
          <w:szCs w:val="24"/>
        </w:rPr>
        <w:t xml:space="preserve">This literature thus points to varying interpretations of the two cases. Starbucks could gain from its worldwide fame, by having a virtual and/or on-the-go coffeehouse, but could risk having a </w:t>
      </w:r>
      <w:proofErr w:type="spellStart"/>
      <w:r w:rsidRPr="00F36699">
        <w:rPr>
          <w:rFonts w:cs="Arial"/>
          <w:szCs w:val="24"/>
        </w:rPr>
        <w:t>standardised</w:t>
      </w:r>
      <w:proofErr w:type="spellEnd"/>
      <w:r w:rsidRPr="00F36699">
        <w:rPr>
          <w:rFonts w:cs="Arial"/>
          <w:szCs w:val="24"/>
        </w:rPr>
        <w:t xml:space="preserve"> experience, privacy issues or corporate distance. While Costa might have familiarity and heritage in the United Kingdom, it remains that it needs to continue to create separation between its digital and experiential product. These are expectations to be assessed by the case evidence, and not findings themselves. Consumer response is not dependent on the national origin and a global/local label can be triggered by both brands.</w:t>
      </w:r>
    </w:p>
    <w:p w14:paraId="46D7C862" w14:textId="2FE8FB93" w:rsidR="00980AFB" w:rsidRPr="00F36699" w:rsidRDefault="00980AFB" w:rsidP="00980AFB">
      <w:pPr>
        <w:spacing w:line="360" w:lineRule="auto"/>
        <w:rPr>
          <w:rFonts w:cs="Arial"/>
          <w:szCs w:val="24"/>
        </w:rPr>
      </w:pPr>
      <w:r w:rsidRPr="00F36699">
        <w:rPr>
          <w:rFonts w:cs="Arial"/>
          <w:szCs w:val="24"/>
        </w:rPr>
        <w:lastRenderedPageBreak/>
        <w:t xml:space="preserve">There are three gaps which justify the present study. First, there are inconsistent uses of international-brand, customer-experience and loyalty literatures in coffee-retail research. Second, some evidence assumes that national markets are more homogeneous culturally than they are, and that evidence can simply be translated from one country to another. Thirdly, it is typically easier for companies to report intentions and </w:t>
      </w:r>
      <w:proofErr w:type="spellStart"/>
      <w:r w:rsidRPr="00F36699">
        <w:rPr>
          <w:rFonts w:cs="Arial"/>
          <w:szCs w:val="24"/>
        </w:rPr>
        <w:t>programmes</w:t>
      </w:r>
      <w:proofErr w:type="spellEnd"/>
      <w:r w:rsidRPr="00F36699">
        <w:rPr>
          <w:rFonts w:cs="Arial"/>
          <w:szCs w:val="24"/>
        </w:rPr>
        <w:t xml:space="preserve"> than individual consumer outcomes. This dissertation fills those gaps by means of a systematic comparative synthesis of sources, retaining the source provenance and evaluating alternative explanations. The conceptual suggestion is that cultural adaptation has indirect effects on loyalty by way of perceived relevance, experience quality, authenticity, trust, satisfaction and engagement and that price and convenience, occasion and competitive alternatives are important boundary conditions.</w:t>
      </w:r>
    </w:p>
    <w:p w14:paraId="0CC593B0" w14:textId="77777777" w:rsidR="00980AFB" w:rsidRDefault="00980AFB" w:rsidP="00980AFB">
      <w:pPr>
        <w:pStyle w:val="Heading4"/>
      </w:pPr>
      <w:r>
        <w:t>Figure 1. Conceptual framework for cross-cultural marketing and loyalty</w:t>
      </w:r>
    </w:p>
    <w:p w14:paraId="12BF71F3" w14:textId="77777777" w:rsidR="00980AFB" w:rsidRDefault="00980AFB" w:rsidP="00980AFB">
      <w:pPr>
        <w:keepNext/>
        <w:spacing w:before="100" w:after="40"/>
        <w:jc w:val="center"/>
      </w:pPr>
      <w:r>
        <w:rPr>
          <w:noProof/>
        </w:rPr>
        <w:drawing>
          <wp:inline distT="0" distB="0" distL="0" distR="0" wp14:anchorId="258D2E75" wp14:editId="343C08C2">
            <wp:extent cx="5760720" cy="2640965"/>
            <wp:effectExtent l="0" t="0" r="0" b="0"/>
            <wp:docPr id="3" name="Picture 1" descr="A four-stage pathway links brand resources to responsive practice, consumer evaluation and loyalty outcomes, moderated by UK cultural heterogeneity, price, value, location, convenience, occasion and competition."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four-stage pathway links brand resources to responsive practice, consumer evaluation and loyalty outcomes, moderated by UK cultural heterogeneity, price, value, location, convenience, occasion and competition." title="Figure 1"/>
                    <pic:cNvPicPr>
                      <a:picLocks noChangeAspect="1" noChangeArrowheads="1"/>
                    </pic:cNvPicPr>
                  </pic:nvPicPr>
                  <pic:blipFill>
                    <a:blip r:embed="rId19"/>
                    <a:stretch>
                      <a:fillRect/>
                    </a:stretch>
                  </pic:blipFill>
                  <pic:spPr bwMode="auto">
                    <a:xfrm>
                      <a:off x="0" y="0"/>
                      <a:ext cx="5760720" cy="2640965"/>
                    </a:xfrm>
                    <a:prstGeom prst="rect">
                      <a:avLst/>
                    </a:prstGeom>
                    <a:noFill/>
                  </pic:spPr>
                </pic:pic>
              </a:graphicData>
            </a:graphic>
          </wp:inline>
        </w:drawing>
      </w:r>
    </w:p>
    <w:p w14:paraId="0B91973D" w14:textId="3C0D7620" w:rsidR="00980AFB" w:rsidRPr="00980AFB" w:rsidRDefault="00980AFB" w:rsidP="00980AFB">
      <w:pPr>
        <w:jc w:val="center"/>
        <w:rPr>
          <w:i/>
          <w:iCs/>
        </w:rPr>
      </w:pPr>
      <w:r>
        <w:rPr>
          <w:i/>
          <w:iCs/>
        </w:rPr>
        <w:t>Source: Author's synthesis.</w:t>
      </w:r>
    </w:p>
    <w:p w14:paraId="6B63C7C3" w14:textId="77777777" w:rsidR="00980AFB" w:rsidRPr="00F36699" w:rsidRDefault="00980AFB" w:rsidP="00980AFB">
      <w:pPr>
        <w:spacing w:line="360" w:lineRule="auto"/>
        <w:rPr>
          <w:rFonts w:cs="Arial"/>
          <w:szCs w:val="24"/>
        </w:rPr>
      </w:pPr>
      <w:r w:rsidRPr="00F36699">
        <w:rPr>
          <w:rFonts w:cs="Arial"/>
          <w:szCs w:val="24"/>
        </w:rPr>
        <w:t>The framework spells out two boundaries. Also, cultural heterogeneity suggests that there is no universal relevance to all UK consumers. Second, when there is a convergence of independent studies, market evidence and firm documents, evidential confidence is stronger. The arrows in the framework are intended to denote only theoretically supported pathways that are to be qualified, supported or not decided upon by secondary evidence.</w:t>
      </w:r>
    </w:p>
    <w:p w14:paraId="6DF3846A" w14:textId="77777777" w:rsidR="00980AFB" w:rsidRPr="00F36699" w:rsidRDefault="00980AFB" w:rsidP="00980AFB">
      <w:pPr>
        <w:spacing w:line="360" w:lineRule="auto"/>
        <w:rPr>
          <w:rFonts w:cs="Arial"/>
          <w:szCs w:val="24"/>
        </w:rPr>
      </w:pPr>
      <w:r w:rsidRPr="00F36699">
        <w:rPr>
          <w:rFonts w:cs="Arial"/>
          <w:szCs w:val="24"/>
        </w:rPr>
        <w:t xml:space="preserve">The gap in the study is thus substantive and methodological. The study thus analyzes configurations of practices rather than taking the effect of a single menu item, app feature </w:t>
      </w:r>
      <w:r w:rsidRPr="00F36699">
        <w:rPr>
          <w:rFonts w:cs="Arial"/>
          <w:szCs w:val="24"/>
        </w:rPr>
        <w:lastRenderedPageBreak/>
        <w:t>or campaign as an isolated one. On the methodological level, it is a comparison between evidence of varying degrees of independence, scope and measurement, as the information reported by Starbucks is not the same as that reported by Costa, and independent studies are frequently conducted on different markets or in non-equivalent units. A qualitative comparative case study will not be able to calculate an Average Treatment Effect, but will be able to find patterns, mechanisms and contradictions. The selection of documents, coding and weighting to avoid evidential overstatement are thus explained in the following chapter.</w:t>
      </w:r>
    </w:p>
    <w:p w14:paraId="7E4B68E5" w14:textId="322BCB06" w:rsidR="00D8014E" w:rsidRDefault="00980AFB" w:rsidP="00980AFB">
      <w:pPr>
        <w:spacing w:line="360" w:lineRule="auto"/>
      </w:pPr>
      <w:r w:rsidRPr="00F36699">
        <w:rPr>
          <w:rFonts w:cs="Arial"/>
          <w:szCs w:val="24"/>
        </w:rPr>
        <w:t xml:space="preserve">Market structure also influences all the proposed pathways. Outlet networks and commuting systems as well as promotional competition can generate repeat </w:t>
      </w:r>
      <w:proofErr w:type="spellStart"/>
      <w:r w:rsidRPr="00F36699">
        <w:rPr>
          <w:rFonts w:cs="Arial"/>
          <w:szCs w:val="24"/>
        </w:rPr>
        <w:t>behaviour</w:t>
      </w:r>
      <w:proofErr w:type="spellEnd"/>
      <w:r w:rsidRPr="00F36699">
        <w:rPr>
          <w:rFonts w:cs="Arial"/>
          <w:szCs w:val="24"/>
        </w:rPr>
        <w:t xml:space="preserve"> of situational nature, and price pressure can increase price sensitivity (World Coffee Portal, 2025). Equivalent dates, definitions and units should therefore be taken into account in the competitive comparisons. The analysis makes no attempt at numerical classification of the brands, or to claim consumer level causal relationships, but rather patterns, conditions and tensions are identified in the light of the evidence available</w:t>
      </w:r>
      <w:r w:rsidR="00232011">
        <w:t>.</w:t>
      </w:r>
    </w:p>
    <w:bookmarkEnd w:id="25"/>
    <w:p w14:paraId="2E040E15" w14:textId="77777777" w:rsidR="00D8014E" w:rsidRDefault="00D8014E">
      <w:pPr>
        <w:spacing w:line="360" w:lineRule="auto"/>
      </w:pPr>
    </w:p>
    <w:p w14:paraId="6C9CFCE4" w14:textId="77777777" w:rsidR="00D8014E" w:rsidRDefault="00D8014E">
      <w:pPr>
        <w:spacing w:line="360" w:lineRule="auto"/>
      </w:pPr>
    </w:p>
    <w:p w14:paraId="5D9E98AF" w14:textId="77777777" w:rsidR="00D8014E" w:rsidRDefault="00D8014E">
      <w:pPr>
        <w:spacing w:line="360" w:lineRule="auto"/>
      </w:pPr>
    </w:p>
    <w:p w14:paraId="2854541B" w14:textId="77777777" w:rsidR="00D8014E" w:rsidRDefault="00D8014E">
      <w:pPr>
        <w:spacing w:line="360" w:lineRule="auto"/>
      </w:pPr>
    </w:p>
    <w:p w14:paraId="462B642E" w14:textId="77777777" w:rsidR="00D8014E" w:rsidRDefault="00D8014E">
      <w:pPr>
        <w:spacing w:line="360" w:lineRule="auto"/>
      </w:pPr>
    </w:p>
    <w:p w14:paraId="09AF006C" w14:textId="77777777" w:rsidR="00D8014E" w:rsidRDefault="00D8014E">
      <w:pPr>
        <w:spacing w:line="360" w:lineRule="auto"/>
      </w:pPr>
    </w:p>
    <w:p w14:paraId="19AFDC32" w14:textId="77777777" w:rsidR="00D8014E" w:rsidRDefault="00D8014E">
      <w:pPr>
        <w:spacing w:line="360" w:lineRule="auto"/>
      </w:pPr>
    </w:p>
    <w:p w14:paraId="0A9F1D0B" w14:textId="77777777" w:rsidR="00D8014E" w:rsidRDefault="00D8014E">
      <w:pPr>
        <w:spacing w:line="360" w:lineRule="auto"/>
      </w:pPr>
    </w:p>
    <w:p w14:paraId="1529EF4A" w14:textId="77777777" w:rsidR="00D8014E" w:rsidRDefault="00D8014E">
      <w:pPr>
        <w:spacing w:line="360" w:lineRule="auto"/>
      </w:pPr>
    </w:p>
    <w:p w14:paraId="04CD9785" w14:textId="77777777" w:rsidR="00D8014E" w:rsidRDefault="00D8014E">
      <w:pPr>
        <w:spacing w:line="360" w:lineRule="auto"/>
      </w:pPr>
    </w:p>
    <w:p w14:paraId="47AE127B" w14:textId="77777777" w:rsidR="00D8014E" w:rsidRDefault="00D8014E">
      <w:pPr>
        <w:spacing w:line="360" w:lineRule="auto"/>
      </w:pPr>
    </w:p>
    <w:p w14:paraId="7C07C662" w14:textId="77777777" w:rsidR="00D8014E" w:rsidRDefault="00232011" w:rsidP="005C5AA4">
      <w:pPr>
        <w:pStyle w:val="Heading1"/>
      </w:pPr>
      <w:bookmarkStart w:id="50" w:name="_Toc239604314"/>
      <w:bookmarkStart w:id="51" w:name="_Toc240989718"/>
      <w:bookmarkStart w:id="52" w:name="_Hlk240985874"/>
      <w:r>
        <w:lastRenderedPageBreak/>
        <w:t>Chapter 3: Research Methodology</w:t>
      </w:r>
      <w:bookmarkEnd w:id="50"/>
      <w:bookmarkEnd w:id="51"/>
    </w:p>
    <w:p w14:paraId="5152854D" w14:textId="77777777" w:rsidR="00D8014E" w:rsidRDefault="00232011">
      <w:pPr>
        <w:pStyle w:val="Heading2"/>
      </w:pPr>
      <w:bookmarkStart w:id="53" w:name="_Toc239604315"/>
      <w:bookmarkStart w:id="54" w:name="_Toc240989719"/>
      <w:r>
        <w:t>3.1 Research philosophy and design</w:t>
      </w:r>
      <w:bookmarkEnd w:id="53"/>
      <w:bookmarkEnd w:id="54"/>
    </w:p>
    <w:p w14:paraId="3295413D" w14:textId="77777777" w:rsidR="00496094" w:rsidRPr="006D2C71" w:rsidRDefault="00496094" w:rsidP="00496094">
      <w:pPr>
        <w:spacing w:line="360" w:lineRule="auto"/>
        <w:rPr>
          <w:rFonts w:cs="Arial"/>
          <w:szCs w:val="24"/>
        </w:rPr>
      </w:pPr>
      <w:r w:rsidRPr="006D2C71">
        <w:rPr>
          <w:rFonts w:cs="Arial"/>
          <w:szCs w:val="24"/>
        </w:rPr>
        <w:t xml:space="preserve">An </w:t>
      </w:r>
      <w:proofErr w:type="spellStart"/>
      <w:r w:rsidRPr="006D2C71">
        <w:rPr>
          <w:rFonts w:cs="Arial"/>
          <w:szCs w:val="24"/>
        </w:rPr>
        <w:t>interpretivist</w:t>
      </w:r>
      <w:proofErr w:type="spellEnd"/>
      <w:r w:rsidRPr="006D2C71">
        <w:rPr>
          <w:rFonts w:cs="Arial"/>
          <w:szCs w:val="24"/>
        </w:rPr>
        <w:t xml:space="preserve"> approach has been used in the study due to the meaning being a key factor in determining constructs like cultural relevance, authenticity, trust and loyalty – which are not directly observable properties of a campaign. It should not be used to estimate a causal coefficient, but rather to interpret the published evidence of association of marketing practice and consumer response. The analytical approach was more </w:t>
      </w:r>
      <w:proofErr w:type="spellStart"/>
      <w:r w:rsidRPr="006D2C71">
        <w:rPr>
          <w:rFonts w:cs="Arial"/>
          <w:szCs w:val="24"/>
        </w:rPr>
        <w:t>abductive</w:t>
      </w:r>
      <w:proofErr w:type="spellEnd"/>
      <w:r w:rsidRPr="006D2C71">
        <w:rPr>
          <w:rFonts w:cs="Arial"/>
          <w:szCs w:val="24"/>
        </w:rPr>
        <w:t>, as initial coding was open to the patterns that did emerge in the evidence, and the interpretations developed were continually tested against the theoretical lenses set in Chapter 2. Such an approach is a blend of evidence-based coding and theory-based interpreting, aligning with the type of research described by Saunders et al. (2023).</w:t>
      </w:r>
    </w:p>
    <w:p w14:paraId="22F48BF1" w14:textId="77777777" w:rsidR="00496094" w:rsidRPr="006D2C71" w:rsidRDefault="00496094" w:rsidP="00496094">
      <w:pPr>
        <w:spacing w:line="360" w:lineRule="auto"/>
        <w:rPr>
          <w:rFonts w:cs="Arial"/>
          <w:szCs w:val="24"/>
        </w:rPr>
      </w:pPr>
      <w:r w:rsidRPr="006D2C71">
        <w:rPr>
          <w:rFonts w:cs="Arial"/>
          <w:szCs w:val="24"/>
        </w:rPr>
        <w:t xml:space="preserve">A qualitative comparative-case design was chosen and Starbucks and Costa Coffee were considered as embedded cases in the UK branded coffee-retail market. Case-study design will be suitable as it is used when a phenomenon cannot be easily separated from the context in which it is found; and when multiple forms of evidence are needed (Yin, 2018). The analysis of the comparison gives leverage by identifying patterns common to both brands, which may be driven by category or market conditions, and differences, which can indicate alternative routes to loyalty. The design is not an experiment, a survey of consumers or a financial benchmarking exercise, but rather is a design for analytical </w:t>
      </w:r>
      <w:proofErr w:type="spellStart"/>
      <w:r w:rsidRPr="006D2C71">
        <w:rPr>
          <w:rFonts w:cs="Arial"/>
          <w:szCs w:val="24"/>
        </w:rPr>
        <w:t>generalisation</w:t>
      </w:r>
      <w:proofErr w:type="spellEnd"/>
      <w:r w:rsidRPr="006D2C71">
        <w:rPr>
          <w:rFonts w:cs="Arial"/>
          <w:szCs w:val="24"/>
        </w:rPr>
        <w:t xml:space="preserve"> to mechanisms and propositions, not to statistical </w:t>
      </w:r>
      <w:proofErr w:type="spellStart"/>
      <w:r w:rsidRPr="006D2C71">
        <w:rPr>
          <w:rFonts w:cs="Arial"/>
          <w:szCs w:val="24"/>
        </w:rPr>
        <w:t>generalisation</w:t>
      </w:r>
      <w:proofErr w:type="spellEnd"/>
      <w:r w:rsidRPr="006D2C71">
        <w:rPr>
          <w:rFonts w:cs="Arial"/>
          <w:szCs w:val="24"/>
        </w:rPr>
        <w:t xml:space="preserve"> to all UK coffee consumers.</w:t>
      </w:r>
    </w:p>
    <w:p w14:paraId="7A62CE51" w14:textId="1AA95AAB" w:rsidR="00D8014E" w:rsidRDefault="00496094" w:rsidP="00496094">
      <w:pPr>
        <w:spacing w:line="360" w:lineRule="auto"/>
      </w:pPr>
      <w:r w:rsidRPr="006D2C71">
        <w:rPr>
          <w:rFonts w:cs="Arial"/>
          <w:szCs w:val="24"/>
        </w:rPr>
        <w:t xml:space="preserve">Pattern matching was used for the comparison and not ‘winner takes all' scoring. For every theme, four questions directed interpretation: what event is recorded, what is culturally plausible, what experiential or relational mechanism is supported and what evidence exists for loyalty outcomes? The cultural interpretation was accompanied by various other explanations for the data, including price, product quality, location, habit, promotion and outlet coverage. If more than one explanation was possible, conclusion was qualified. Temporal alignment was also </w:t>
      </w:r>
      <w:proofErr w:type="spellStart"/>
      <w:r w:rsidRPr="006D2C71">
        <w:rPr>
          <w:rFonts w:cs="Arial"/>
          <w:szCs w:val="24"/>
        </w:rPr>
        <w:t>analysed</w:t>
      </w:r>
      <w:proofErr w:type="spellEnd"/>
      <w:r w:rsidRPr="006D2C71">
        <w:rPr>
          <w:rFonts w:cs="Arial"/>
          <w:szCs w:val="24"/>
        </w:rPr>
        <w:t>, to ensure that evidence from one period did not validate contentions from another. Consistent with Yin's (2018) chain-of-</w:t>
      </w:r>
      <w:r w:rsidRPr="006D2C71">
        <w:rPr>
          <w:rFonts w:cs="Arial"/>
          <w:szCs w:val="24"/>
        </w:rPr>
        <w:lastRenderedPageBreak/>
        <w:t>evidence principle, this procedure ensures transparency from source to code, theming and cross-casing. The term “absence of evidence” was coded as “uncertainty” as opposed to “evidence of absence”</w:t>
      </w:r>
      <w:r w:rsidR="00232011">
        <w:t>.</w:t>
      </w:r>
    </w:p>
    <w:p w14:paraId="3B91EC37" w14:textId="77777777" w:rsidR="00D8014E" w:rsidRDefault="00232011">
      <w:pPr>
        <w:pStyle w:val="Heading2"/>
      </w:pPr>
      <w:bookmarkStart w:id="55" w:name="_Toc239604316"/>
      <w:bookmarkStart w:id="56" w:name="_Toc240989720"/>
      <w:r>
        <w:t>3.2 Secondary-data strategy</w:t>
      </w:r>
      <w:bookmarkEnd w:id="55"/>
      <w:bookmarkEnd w:id="56"/>
    </w:p>
    <w:p w14:paraId="698240A8" w14:textId="77777777" w:rsidR="004D6839" w:rsidRPr="006D2C71" w:rsidRDefault="004D6839" w:rsidP="004D6839">
      <w:pPr>
        <w:spacing w:line="360" w:lineRule="auto"/>
        <w:rPr>
          <w:rFonts w:cs="Arial"/>
          <w:szCs w:val="24"/>
        </w:rPr>
      </w:pPr>
      <w:r w:rsidRPr="006D2C71">
        <w:rPr>
          <w:rFonts w:cs="Arial"/>
          <w:szCs w:val="24"/>
        </w:rPr>
        <w:t xml:space="preserve">The data used in the study is only secondary data. Peer-reviewed journal articles give theoretical and empirical evidence, scholarly books give conceptual and methodological frameworks, statutory filings and official company pages give details of activities, </w:t>
      </w:r>
      <w:proofErr w:type="spellStart"/>
      <w:r w:rsidRPr="006D2C71">
        <w:rPr>
          <w:rFonts w:cs="Arial"/>
          <w:szCs w:val="24"/>
        </w:rPr>
        <w:t>programme</w:t>
      </w:r>
      <w:proofErr w:type="spellEnd"/>
      <w:r w:rsidRPr="006D2C71">
        <w:rPr>
          <w:rFonts w:cs="Arial"/>
          <w:szCs w:val="24"/>
        </w:rPr>
        <w:t xml:space="preserve"> rules and strategic context, Office for National Statistics data give details of demographic context and specialist market evidence gives details on sector structure. Document analysis is appropriate for </w:t>
      </w:r>
      <w:proofErr w:type="spellStart"/>
      <w:r w:rsidRPr="006D2C71">
        <w:rPr>
          <w:rFonts w:cs="Arial"/>
          <w:szCs w:val="24"/>
        </w:rPr>
        <w:t>organisational</w:t>
      </w:r>
      <w:proofErr w:type="spellEnd"/>
      <w:r w:rsidRPr="006D2C71">
        <w:rPr>
          <w:rFonts w:cs="Arial"/>
          <w:szCs w:val="24"/>
        </w:rPr>
        <w:t xml:space="preserve"> phenomena which are spread out through different documents, but for which documents have been created for other reasons than the research question (Bowen, 2009). As such each source was evaluated not only on what it said, but also on its intent, definitions, and source and reporting year.</w:t>
      </w:r>
    </w:p>
    <w:p w14:paraId="44F7497E" w14:textId="77777777" w:rsidR="004D6839" w:rsidRPr="006D2C71" w:rsidRDefault="004D6839" w:rsidP="004D6839">
      <w:pPr>
        <w:spacing w:line="360" w:lineRule="auto"/>
        <w:rPr>
          <w:rFonts w:cs="Arial"/>
          <w:szCs w:val="24"/>
        </w:rPr>
      </w:pPr>
      <w:r w:rsidRPr="006D2C71">
        <w:rPr>
          <w:rFonts w:cs="Arial"/>
          <w:szCs w:val="24"/>
        </w:rPr>
        <w:t xml:space="preserve">The cut-off date for the evidence was 8 August 2026. Searches focused on work published in the last six years (2020-2026), although pre-2020 sources were included if they contributed a seminal mechanism, coffee context, or foundational construct. Search terms included: cross cultural and international marketing, </w:t>
      </w:r>
      <w:proofErr w:type="spellStart"/>
      <w:r w:rsidRPr="006D2C71">
        <w:rPr>
          <w:rFonts w:cs="Arial"/>
          <w:szCs w:val="24"/>
        </w:rPr>
        <w:t>globalness</w:t>
      </w:r>
      <w:proofErr w:type="spellEnd"/>
      <w:r w:rsidRPr="006D2C71">
        <w:rPr>
          <w:rFonts w:cs="Arial"/>
          <w:szCs w:val="24"/>
        </w:rPr>
        <w:t xml:space="preserve">/ localness, customer experience, brand communication, trust, satisfaction, authenticity, loyalty </w:t>
      </w:r>
      <w:proofErr w:type="spellStart"/>
      <w:r w:rsidRPr="006D2C71">
        <w:rPr>
          <w:rFonts w:cs="Arial"/>
          <w:szCs w:val="24"/>
        </w:rPr>
        <w:t>programmes</w:t>
      </w:r>
      <w:proofErr w:type="spellEnd"/>
      <w:r w:rsidRPr="006D2C71">
        <w:rPr>
          <w:rFonts w:cs="Arial"/>
          <w:szCs w:val="24"/>
        </w:rPr>
        <w:t>, coffee shops, Starbucks, Costa Coffee and the UK. Academic metadata were verified against publishers and publishers records (where available), and official statistics and company claims were verified against the originators of the statistics and claims and not aggregators.</w:t>
      </w:r>
    </w:p>
    <w:p w14:paraId="5DCB4628" w14:textId="77777777" w:rsidR="004D6839" w:rsidRPr="006D2C71" w:rsidRDefault="004D6839" w:rsidP="004D6839">
      <w:pPr>
        <w:spacing w:line="360" w:lineRule="auto"/>
        <w:rPr>
          <w:rFonts w:cs="Arial"/>
          <w:szCs w:val="24"/>
        </w:rPr>
      </w:pPr>
      <w:r w:rsidRPr="006D2C71">
        <w:rPr>
          <w:rFonts w:cs="Arial"/>
          <w:szCs w:val="24"/>
        </w:rPr>
        <w:t xml:space="preserve">The search string evolved from general terms to more specific terms such as 'cross-cultural marketing AND brand loyalty', 'perceived brand </w:t>
      </w:r>
      <w:proofErr w:type="spellStart"/>
      <w:r w:rsidRPr="006D2C71">
        <w:rPr>
          <w:rFonts w:cs="Arial"/>
          <w:szCs w:val="24"/>
        </w:rPr>
        <w:t>globalness</w:t>
      </w:r>
      <w:proofErr w:type="spellEnd"/>
      <w:r w:rsidRPr="006D2C71">
        <w:rPr>
          <w:rFonts w:cs="Arial"/>
          <w:szCs w:val="24"/>
        </w:rPr>
        <w:t xml:space="preserve"> OR localness', 'coffee shop AND customer experience AND loyalty' and brand names with 'UK', 'rewards', 'sustainability', 'accessibility' and 'annual report'. Searches of academic indexes and publisher pages were undertaken, as well as official corporate, Companies House, SEC, ONS and specialist-market sources. To keep the review within scope of the project, only English was reviewed as reliable translation resources were not available. This might </w:t>
      </w:r>
      <w:r w:rsidRPr="006D2C71">
        <w:rPr>
          <w:rFonts w:cs="Arial"/>
          <w:szCs w:val="24"/>
        </w:rPr>
        <w:lastRenderedPageBreak/>
        <w:t>have been the case of omission of relevant non-English research, but it is possible to make cross-context comparison based on English-language international studies.</w:t>
      </w:r>
    </w:p>
    <w:p w14:paraId="7D78BCDA" w14:textId="77777777" w:rsidR="004D6839" w:rsidRDefault="004D6839" w:rsidP="004D6839">
      <w:pPr>
        <w:pStyle w:val="Heading4"/>
      </w:pPr>
      <w:r>
        <w:t>Table 1. Structured search and selection protocol</w:t>
      </w:r>
    </w:p>
    <w:tbl>
      <w:tblPr>
        <w:tblW w:w="10308" w:type="dxa"/>
        <w:jc w:val="center"/>
        <w:tblBorders>
          <w:top w:val="single" w:sz="4" w:space="0" w:color="AEBBC5"/>
          <w:left w:val="single" w:sz="4" w:space="0" w:color="AEBBC5"/>
          <w:bottom w:val="single" w:sz="4" w:space="0" w:color="auto"/>
          <w:right w:val="single" w:sz="4" w:space="0" w:color="AEBBC5"/>
          <w:insideH w:val="single" w:sz="4" w:space="0" w:color="AEBBC5"/>
          <w:insideV w:val="single" w:sz="4" w:space="0" w:color="AEBBC5"/>
        </w:tblBorders>
        <w:tblLayout w:type="fixed"/>
        <w:tblCellMar>
          <w:top w:w="80" w:type="dxa"/>
          <w:left w:w="90" w:type="dxa"/>
          <w:bottom w:w="80" w:type="dxa"/>
          <w:right w:w="90" w:type="dxa"/>
        </w:tblCellMar>
        <w:tblLook w:val="04A0" w:firstRow="1" w:lastRow="0" w:firstColumn="1" w:lastColumn="0" w:noHBand="0" w:noVBand="1"/>
      </w:tblPr>
      <w:tblGrid>
        <w:gridCol w:w="1156"/>
        <w:gridCol w:w="3305"/>
        <w:gridCol w:w="3028"/>
        <w:gridCol w:w="2819"/>
      </w:tblGrid>
      <w:tr w:rsidR="004D6839" w:rsidRPr="005C5AA4" w14:paraId="29A67B45" w14:textId="77777777" w:rsidTr="00D27030">
        <w:trPr>
          <w:cantSplit/>
          <w:trHeight w:val="416"/>
          <w:tblHeader/>
          <w:jc w:val="center"/>
        </w:trPr>
        <w:tc>
          <w:tcPr>
            <w:tcW w:w="1155" w:type="dxa"/>
            <w:shd w:val="clear" w:color="auto" w:fill="153B56"/>
            <w:vAlign w:val="center"/>
          </w:tcPr>
          <w:p w14:paraId="1BF1E8AD" w14:textId="77777777" w:rsidR="004D6839" w:rsidRPr="005C5AA4" w:rsidRDefault="004D6839" w:rsidP="00D27030">
            <w:pPr>
              <w:jc w:val="center"/>
              <w:rPr>
                <w:sz w:val="20"/>
                <w:szCs w:val="20"/>
              </w:rPr>
            </w:pPr>
            <w:r w:rsidRPr="005C5AA4">
              <w:rPr>
                <w:sz w:val="20"/>
                <w:szCs w:val="20"/>
              </w:rPr>
              <w:t>Stage</w:t>
            </w:r>
          </w:p>
        </w:tc>
        <w:tc>
          <w:tcPr>
            <w:tcW w:w="3305" w:type="dxa"/>
            <w:shd w:val="clear" w:color="auto" w:fill="153B56"/>
            <w:vAlign w:val="center"/>
          </w:tcPr>
          <w:p w14:paraId="2A77FF41" w14:textId="77777777" w:rsidR="004D6839" w:rsidRPr="005C5AA4" w:rsidRDefault="004D6839" w:rsidP="00D27030">
            <w:pPr>
              <w:jc w:val="center"/>
              <w:rPr>
                <w:sz w:val="20"/>
                <w:szCs w:val="20"/>
              </w:rPr>
            </w:pPr>
            <w:r w:rsidRPr="005C5AA4">
              <w:rPr>
                <w:sz w:val="20"/>
                <w:szCs w:val="20"/>
              </w:rPr>
              <w:t>Operational procedure</w:t>
            </w:r>
          </w:p>
        </w:tc>
        <w:tc>
          <w:tcPr>
            <w:tcW w:w="3028" w:type="dxa"/>
            <w:shd w:val="clear" w:color="auto" w:fill="153B56"/>
            <w:vAlign w:val="center"/>
          </w:tcPr>
          <w:p w14:paraId="58882240" w14:textId="77777777" w:rsidR="004D6839" w:rsidRPr="005C5AA4" w:rsidRDefault="004D6839" w:rsidP="00D27030">
            <w:pPr>
              <w:jc w:val="center"/>
              <w:rPr>
                <w:sz w:val="20"/>
                <w:szCs w:val="20"/>
              </w:rPr>
            </w:pPr>
            <w:r w:rsidRPr="005C5AA4">
              <w:rPr>
                <w:sz w:val="20"/>
                <w:szCs w:val="20"/>
              </w:rPr>
              <w:t>Decision rule</w:t>
            </w:r>
          </w:p>
        </w:tc>
        <w:tc>
          <w:tcPr>
            <w:tcW w:w="2819" w:type="dxa"/>
            <w:shd w:val="clear" w:color="auto" w:fill="153B56"/>
            <w:vAlign w:val="center"/>
          </w:tcPr>
          <w:p w14:paraId="7996CF95" w14:textId="77777777" w:rsidR="004D6839" w:rsidRPr="005C5AA4" w:rsidRDefault="004D6839" w:rsidP="00D27030">
            <w:pPr>
              <w:jc w:val="center"/>
              <w:rPr>
                <w:sz w:val="20"/>
                <w:szCs w:val="20"/>
              </w:rPr>
            </w:pPr>
            <w:r w:rsidRPr="005C5AA4">
              <w:rPr>
                <w:sz w:val="20"/>
                <w:szCs w:val="20"/>
              </w:rPr>
              <w:t>Control</w:t>
            </w:r>
          </w:p>
        </w:tc>
      </w:tr>
      <w:tr w:rsidR="004D6839" w:rsidRPr="005C5AA4" w14:paraId="2A2E1948" w14:textId="77777777" w:rsidTr="00D27030">
        <w:trPr>
          <w:cantSplit/>
          <w:trHeight w:val="923"/>
          <w:jc w:val="center"/>
        </w:trPr>
        <w:tc>
          <w:tcPr>
            <w:tcW w:w="1155" w:type="dxa"/>
            <w:vAlign w:val="center"/>
          </w:tcPr>
          <w:p w14:paraId="72D3CE85" w14:textId="77777777" w:rsidR="004D6839" w:rsidRPr="005C5AA4" w:rsidRDefault="004D6839" w:rsidP="00D27030">
            <w:pPr>
              <w:jc w:val="center"/>
              <w:rPr>
                <w:sz w:val="20"/>
                <w:szCs w:val="20"/>
              </w:rPr>
            </w:pPr>
            <w:r w:rsidRPr="005C5AA4">
              <w:rPr>
                <w:sz w:val="20"/>
                <w:szCs w:val="20"/>
              </w:rPr>
              <w:t>Scope</w:t>
            </w:r>
          </w:p>
        </w:tc>
        <w:tc>
          <w:tcPr>
            <w:tcW w:w="3305" w:type="dxa"/>
            <w:vAlign w:val="center"/>
          </w:tcPr>
          <w:p w14:paraId="42A6B6F5" w14:textId="77777777" w:rsidR="004D6839" w:rsidRPr="005C5AA4" w:rsidRDefault="004D6839" w:rsidP="00D27030">
            <w:pPr>
              <w:jc w:val="center"/>
              <w:rPr>
                <w:sz w:val="20"/>
                <w:szCs w:val="20"/>
              </w:rPr>
            </w:pPr>
            <w:r w:rsidRPr="005C5AA4">
              <w:rPr>
                <w:sz w:val="20"/>
                <w:szCs w:val="20"/>
              </w:rPr>
              <w:t>UK branded coffee retail; Starbucks and Costa Coffee</w:t>
            </w:r>
          </w:p>
        </w:tc>
        <w:tc>
          <w:tcPr>
            <w:tcW w:w="3028" w:type="dxa"/>
            <w:vAlign w:val="center"/>
          </w:tcPr>
          <w:p w14:paraId="10C5AB8D" w14:textId="77777777" w:rsidR="004D6839" w:rsidRPr="005C5AA4" w:rsidRDefault="004D6839" w:rsidP="00D27030">
            <w:pPr>
              <w:jc w:val="center"/>
              <w:rPr>
                <w:sz w:val="20"/>
                <w:szCs w:val="20"/>
              </w:rPr>
            </w:pPr>
            <w:r w:rsidRPr="005C5AA4">
              <w:rPr>
                <w:sz w:val="20"/>
                <w:szCs w:val="20"/>
              </w:rPr>
              <w:t>Evidence must inform a research question or contextual boundary</w:t>
            </w:r>
          </w:p>
        </w:tc>
        <w:tc>
          <w:tcPr>
            <w:tcW w:w="2819" w:type="dxa"/>
            <w:vAlign w:val="center"/>
          </w:tcPr>
          <w:p w14:paraId="0A52EBD6" w14:textId="77777777" w:rsidR="004D6839" w:rsidRPr="005C5AA4" w:rsidRDefault="004D6839" w:rsidP="00D27030">
            <w:pPr>
              <w:jc w:val="center"/>
              <w:rPr>
                <w:sz w:val="20"/>
                <w:szCs w:val="20"/>
              </w:rPr>
            </w:pPr>
            <w:r w:rsidRPr="005C5AA4">
              <w:rPr>
                <w:sz w:val="20"/>
                <w:szCs w:val="20"/>
              </w:rPr>
              <w:t>Case and setting tagged</w:t>
            </w:r>
          </w:p>
        </w:tc>
      </w:tr>
      <w:tr w:rsidR="004D6839" w:rsidRPr="005C5AA4" w14:paraId="586A7482" w14:textId="77777777" w:rsidTr="00D27030">
        <w:trPr>
          <w:cantSplit/>
          <w:trHeight w:val="1421"/>
          <w:jc w:val="center"/>
        </w:trPr>
        <w:tc>
          <w:tcPr>
            <w:tcW w:w="1155" w:type="dxa"/>
            <w:shd w:val="clear" w:color="auto" w:fill="F5F8FA"/>
            <w:vAlign w:val="center"/>
          </w:tcPr>
          <w:p w14:paraId="458C9CE6" w14:textId="77777777" w:rsidR="004D6839" w:rsidRPr="005C5AA4" w:rsidRDefault="004D6839" w:rsidP="00D27030">
            <w:pPr>
              <w:jc w:val="center"/>
              <w:rPr>
                <w:sz w:val="20"/>
                <w:szCs w:val="20"/>
              </w:rPr>
            </w:pPr>
            <w:r w:rsidRPr="005C5AA4">
              <w:rPr>
                <w:sz w:val="20"/>
                <w:szCs w:val="20"/>
              </w:rPr>
              <w:t>Academic discovery</w:t>
            </w:r>
          </w:p>
        </w:tc>
        <w:tc>
          <w:tcPr>
            <w:tcW w:w="3305" w:type="dxa"/>
            <w:shd w:val="clear" w:color="auto" w:fill="F5F8FA"/>
            <w:vAlign w:val="center"/>
          </w:tcPr>
          <w:p w14:paraId="3E6BF0CE" w14:textId="77777777" w:rsidR="004D6839" w:rsidRPr="005C5AA4" w:rsidRDefault="004D6839" w:rsidP="00D27030">
            <w:pPr>
              <w:jc w:val="center"/>
              <w:rPr>
                <w:sz w:val="20"/>
                <w:szCs w:val="20"/>
              </w:rPr>
            </w:pPr>
            <w:r w:rsidRPr="005C5AA4">
              <w:rPr>
                <w:sz w:val="20"/>
                <w:szCs w:val="20"/>
              </w:rPr>
              <w:t xml:space="preserve">Cross-cultural/international marketing, </w:t>
            </w:r>
            <w:proofErr w:type="spellStart"/>
            <w:r w:rsidRPr="005C5AA4">
              <w:rPr>
                <w:sz w:val="20"/>
                <w:szCs w:val="20"/>
              </w:rPr>
              <w:t>globalness</w:t>
            </w:r>
            <w:proofErr w:type="spellEnd"/>
            <w:r w:rsidRPr="005C5AA4">
              <w:rPr>
                <w:sz w:val="20"/>
                <w:szCs w:val="20"/>
              </w:rPr>
              <w:t>/localness, experience, trust, loyalty, digital, authenticity and coffee terms</w:t>
            </w:r>
          </w:p>
        </w:tc>
        <w:tc>
          <w:tcPr>
            <w:tcW w:w="3028" w:type="dxa"/>
            <w:shd w:val="clear" w:color="auto" w:fill="F5F8FA"/>
            <w:vAlign w:val="center"/>
          </w:tcPr>
          <w:p w14:paraId="4E01F317" w14:textId="77777777" w:rsidR="004D6839" w:rsidRPr="005C5AA4" w:rsidRDefault="004D6839" w:rsidP="00D27030">
            <w:pPr>
              <w:jc w:val="center"/>
              <w:rPr>
                <w:sz w:val="20"/>
                <w:szCs w:val="20"/>
              </w:rPr>
            </w:pPr>
            <w:r w:rsidRPr="005C5AA4">
              <w:rPr>
                <w:sz w:val="20"/>
                <w:szCs w:val="20"/>
              </w:rPr>
              <w:t>Peer-reviewed or established scholarly publisher</w:t>
            </w:r>
          </w:p>
        </w:tc>
        <w:tc>
          <w:tcPr>
            <w:tcW w:w="2819" w:type="dxa"/>
            <w:shd w:val="clear" w:color="auto" w:fill="F5F8FA"/>
            <w:vAlign w:val="center"/>
          </w:tcPr>
          <w:p w14:paraId="3BD7948B" w14:textId="77777777" w:rsidR="004D6839" w:rsidRPr="005C5AA4" w:rsidRDefault="004D6839" w:rsidP="00D27030">
            <w:pPr>
              <w:jc w:val="center"/>
              <w:rPr>
                <w:sz w:val="20"/>
                <w:szCs w:val="20"/>
              </w:rPr>
            </w:pPr>
            <w:r w:rsidRPr="005C5AA4">
              <w:rPr>
                <w:sz w:val="20"/>
                <w:szCs w:val="20"/>
              </w:rPr>
              <w:t>Title, authors, year, journal/book and DOI checked</w:t>
            </w:r>
          </w:p>
        </w:tc>
      </w:tr>
      <w:tr w:rsidR="004D6839" w:rsidRPr="005C5AA4" w14:paraId="23E88AE9" w14:textId="77777777" w:rsidTr="00D27030">
        <w:trPr>
          <w:cantSplit/>
          <w:trHeight w:val="923"/>
          <w:jc w:val="center"/>
        </w:trPr>
        <w:tc>
          <w:tcPr>
            <w:tcW w:w="1155" w:type="dxa"/>
            <w:vAlign w:val="center"/>
          </w:tcPr>
          <w:p w14:paraId="07047B2B" w14:textId="77777777" w:rsidR="004D6839" w:rsidRPr="005C5AA4" w:rsidRDefault="004D6839" w:rsidP="00D27030">
            <w:pPr>
              <w:jc w:val="center"/>
              <w:rPr>
                <w:sz w:val="20"/>
                <w:szCs w:val="20"/>
              </w:rPr>
            </w:pPr>
            <w:r w:rsidRPr="005C5AA4">
              <w:rPr>
                <w:sz w:val="20"/>
                <w:szCs w:val="20"/>
              </w:rPr>
              <w:t>Case discovery</w:t>
            </w:r>
          </w:p>
        </w:tc>
        <w:tc>
          <w:tcPr>
            <w:tcW w:w="3305" w:type="dxa"/>
            <w:vAlign w:val="center"/>
          </w:tcPr>
          <w:p w14:paraId="51F5CF3A" w14:textId="77777777" w:rsidR="004D6839" w:rsidRPr="005C5AA4" w:rsidRDefault="004D6839" w:rsidP="00D27030">
            <w:pPr>
              <w:jc w:val="center"/>
              <w:rPr>
                <w:sz w:val="20"/>
                <w:szCs w:val="20"/>
              </w:rPr>
            </w:pPr>
            <w:r w:rsidRPr="005C5AA4">
              <w:rPr>
                <w:sz w:val="20"/>
                <w:szCs w:val="20"/>
              </w:rPr>
              <w:t xml:space="preserve">Official UK/corporate pages, statutory filings and </w:t>
            </w:r>
            <w:proofErr w:type="spellStart"/>
            <w:r w:rsidRPr="005C5AA4">
              <w:rPr>
                <w:sz w:val="20"/>
                <w:szCs w:val="20"/>
              </w:rPr>
              <w:t>programme</w:t>
            </w:r>
            <w:proofErr w:type="spellEnd"/>
            <w:r w:rsidRPr="005C5AA4">
              <w:rPr>
                <w:sz w:val="20"/>
                <w:szCs w:val="20"/>
              </w:rPr>
              <w:t xml:space="preserve"> terms</w:t>
            </w:r>
          </w:p>
        </w:tc>
        <w:tc>
          <w:tcPr>
            <w:tcW w:w="3028" w:type="dxa"/>
            <w:vAlign w:val="center"/>
          </w:tcPr>
          <w:p w14:paraId="5E1BBD29" w14:textId="77777777" w:rsidR="004D6839" w:rsidRPr="005C5AA4" w:rsidRDefault="004D6839" w:rsidP="00D27030">
            <w:pPr>
              <w:jc w:val="center"/>
              <w:rPr>
                <w:sz w:val="20"/>
                <w:szCs w:val="20"/>
              </w:rPr>
            </w:pPr>
            <w:r w:rsidRPr="005C5AA4">
              <w:rPr>
                <w:sz w:val="20"/>
                <w:szCs w:val="20"/>
              </w:rPr>
              <w:t xml:space="preserve">Originating </w:t>
            </w:r>
            <w:proofErr w:type="spellStart"/>
            <w:r w:rsidRPr="005C5AA4">
              <w:rPr>
                <w:sz w:val="20"/>
                <w:szCs w:val="20"/>
              </w:rPr>
              <w:t>organisational</w:t>
            </w:r>
            <w:proofErr w:type="spellEnd"/>
            <w:r w:rsidRPr="005C5AA4">
              <w:rPr>
                <w:sz w:val="20"/>
                <w:szCs w:val="20"/>
              </w:rPr>
              <w:t xml:space="preserve"> or registry domain</w:t>
            </w:r>
          </w:p>
        </w:tc>
        <w:tc>
          <w:tcPr>
            <w:tcW w:w="2819" w:type="dxa"/>
            <w:vAlign w:val="center"/>
          </w:tcPr>
          <w:p w14:paraId="6934A69C" w14:textId="77777777" w:rsidR="004D6839" w:rsidRPr="005C5AA4" w:rsidRDefault="004D6839" w:rsidP="00D27030">
            <w:pPr>
              <w:jc w:val="center"/>
              <w:rPr>
                <w:sz w:val="20"/>
                <w:szCs w:val="20"/>
              </w:rPr>
            </w:pPr>
            <w:r w:rsidRPr="005C5AA4">
              <w:rPr>
                <w:sz w:val="20"/>
                <w:szCs w:val="20"/>
              </w:rPr>
              <w:t>Date, reporting period and claim boundary recorded</w:t>
            </w:r>
          </w:p>
        </w:tc>
      </w:tr>
      <w:tr w:rsidR="004D6839" w:rsidRPr="005C5AA4" w14:paraId="78B4E749" w14:textId="77777777" w:rsidTr="00D27030">
        <w:trPr>
          <w:cantSplit/>
          <w:trHeight w:val="913"/>
          <w:jc w:val="center"/>
        </w:trPr>
        <w:tc>
          <w:tcPr>
            <w:tcW w:w="1155" w:type="dxa"/>
            <w:shd w:val="clear" w:color="auto" w:fill="F5F8FA"/>
            <w:vAlign w:val="center"/>
          </w:tcPr>
          <w:p w14:paraId="2B25D720" w14:textId="77777777" w:rsidR="004D6839" w:rsidRPr="005C5AA4" w:rsidRDefault="004D6839" w:rsidP="00D27030">
            <w:pPr>
              <w:jc w:val="center"/>
              <w:rPr>
                <w:sz w:val="20"/>
                <w:szCs w:val="20"/>
              </w:rPr>
            </w:pPr>
            <w:r w:rsidRPr="005C5AA4">
              <w:rPr>
                <w:sz w:val="20"/>
                <w:szCs w:val="20"/>
              </w:rPr>
              <w:t>Market context</w:t>
            </w:r>
          </w:p>
        </w:tc>
        <w:tc>
          <w:tcPr>
            <w:tcW w:w="3305" w:type="dxa"/>
            <w:shd w:val="clear" w:color="auto" w:fill="F5F8FA"/>
            <w:vAlign w:val="center"/>
          </w:tcPr>
          <w:p w14:paraId="65BAAF3B" w14:textId="77777777" w:rsidR="004D6839" w:rsidRPr="005C5AA4" w:rsidRDefault="004D6839" w:rsidP="00D27030">
            <w:pPr>
              <w:jc w:val="center"/>
              <w:rPr>
                <w:sz w:val="20"/>
                <w:szCs w:val="20"/>
              </w:rPr>
            </w:pPr>
            <w:r w:rsidRPr="005C5AA4">
              <w:rPr>
                <w:sz w:val="20"/>
                <w:szCs w:val="20"/>
              </w:rPr>
              <w:t>Official statistics and named specialist coffee-market evidence</w:t>
            </w:r>
          </w:p>
        </w:tc>
        <w:tc>
          <w:tcPr>
            <w:tcW w:w="3028" w:type="dxa"/>
            <w:shd w:val="clear" w:color="auto" w:fill="F5F8FA"/>
            <w:vAlign w:val="center"/>
          </w:tcPr>
          <w:p w14:paraId="45E144A6" w14:textId="77777777" w:rsidR="004D6839" w:rsidRPr="005C5AA4" w:rsidRDefault="004D6839" w:rsidP="00D27030">
            <w:pPr>
              <w:jc w:val="center"/>
              <w:rPr>
                <w:sz w:val="20"/>
                <w:szCs w:val="20"/>
              </w:rPr>
            </w:pPr>
            <w:r w:rsidRPr="005C5AA4">
              <w:rPr>
                <w:sz w:val="20"/>
                <w:szCs w:val="20"/>
              </w:rPr>
              <w:t>Defined geography, period and unit</w:t>
            </w:r>
          </w:p>
        </w:tc>
        <w:tc>
          <w:tcPr>
            <w:tcW w:w="2819" w:type="dxa"/>
            <w:shd w:val="clear" w:color="auto" w:fill="F5F8FA"/>
            <w:vAlign w:val="center"/>
          </w:tcPr>
          <w:p w14:paraId="6E136274" w14:textId="77777777" w:rsidR="004D6839" w:rsidRPr="005C5AA4" w:rsidRDefault="004D6839" w:rsidP="00D27030">
            <w:pPr>
              <w:jc w:val="center"/>
              <w:rPr>
                <w:sz w:val="20"/>
                <w:szCs w:val="20"/>
              </w:rPr>
            </w:pPr>
            <w:r w:rsidRPr="005C5AA4">
              <w:rPr>
                <w:sz w:val="20"/>
                <w:szCs w:val="20"/>
              </w:rPr>
              <w:t>Conflicting definitions retained, not averaged</w:t>
            </w:r>
          </w:p>
        </w:tc>
      </w:tr>
      <w:tr w:rsidR="004D6839" w:rsidRPr="005C5AA4" w14:paraId="7A58C0C7" w14:textId="77777777" w:rsidTr="00D27030">
        <w:trPr>
          <w:cantSplit/>
          <w:trHeight w:val="1177"/>
          <w:jc w:val="center"/>
        </w:trPr>
        <w:tc>
          <w:tcPr>
            <w:tcW w:w="1155" w:type="dxa"/>
            <w:vAlign w:val="center"/>
          </w:tcPr>
          <w:p w14:paraId="4F19D221" w14:textId="77777777" w:rsidR="004D6839" w:rsidRPr="005C5AA4" w:rsidRDefault="004D6839" w:rsidP="00D27030">
            <w:pPr>
              <w:jc w:val="center"/>
              <w:rPr>
                <w:sz w:val="20"/>
                <w:szCs w:val="20"/>
              </w:rPr>
            </w:pPr>
            <w:r w:rsidRPr="005C5AA4">
              <w:rPr>
                <w:sz w:val="20"/>
                <w:szCs w:val="20"/>
              </w:rPr>
              <w:t>Exclusion</w:t>
            </w:r>
          </w:p>
        </w:tc>
        <w:tc>
          <w:tcPr>
            <w:tcW w:w="3305" w:type="dxa"/>
            <w:vAlign w:val="center"/>
          </w:tcPr>
          <w:p w14:paraId="2C9F2A82" w14:textId="77777777" w:rsidR="004D6839" w:rsidRPr="005C5AA4" w:rsidRDefault="004D6839" w:rsidP="00D27030">
            <w:pPr>
              <w:jc w:val="center"/>
              <w:rPr>
                <w:sz w:val="20"/>
                <w:szCs w:val="20"/>
              </w:rPr>
            </w:pPr>
            <w:r w:rsidRPr="005C5AA4">
              <w:rPr>
                <w:sz w:val="20"/>
                <w:szCs w:val="20"/>
              </w:rPr>
              <w:t>Unverifiable identity, repetition, no transferable relevance or purely promotional material without case facts</w:t>
            </w:r>
          </w:p>
        </w:tc>
        <w:tc>
          <w:tcPr>
            <w:tcW w:w="3028" w:type="dxa"/>
            <w:vAlign w:val="center"/>
          </w:tcPr>
          <w:p w14:paraId="712E93FE" w14:textId="77777777" w:rsidR="004D6839" w:rsidRPr="005C5AA4" w:rsidRDefault="004D6839" w:rsidP="00D27030">
            <w:pPr>
              <w:jc w:val="center"/>
              <w:rPr>
                <w:sz w:val="20"/>
                <w:szCs w:val="20"/>
              </w:rPr>
            </w:pPr>
            <w:r w:rsidRPr="005C5AA4">
              <w:rPr>
                <w:sz w:val="20"/>
                <w:szCs w:val="20"/>
              </w:rPr>
              <w:t>Reason documented</w:t>
            </w:r>
          </w:p>
        </w:tc>
        <w:tc>
          <w:tcPr>
            <w:tcW w:w="2819" w:type="dxa"/>
            <w:vAlign w:val="center"/>
          </w:tcPr>
          <w:p w14:paraId="22F05E27" w14:textId="77777777" w:rsidR="004D6839" w:rsidRPr="005C5AA4" w:rsidRDefault="004D6839" w:rsidP="00D27030">
            <w:pPr>
              <w:jc w:val="center"/>
              <w:rPr>
                <w:sz w:val="20"/>
                <w:szCs w:val="20"/>
              </w:rPr>
            </w:pPr>
            <w:r w:rsidRPr="005C5AA4">
              <w:rPr>
                <w:sz w:val="20"/>
                <w:szCs w:val="20"/>
              </w:rPr>
              <w:t>Negative or null findings retained</w:t>
            </w:r>
          </w:p>
        </w:tc>
      </w:tr>
      <w:tr w:rsidR="004D6839" w:rsidRPr="005C5AA4" w14:paraId="07C461DD" w14:textId="77777777" w:rsidTr="00D27030">
        <w:trPr>
          <w:cantSplit/>
          <w:trHeight w:val="670"/>
          <w:jc w:val="center"/>
        </w:trPr>
        <w:tc>
          <w:tcPr>
            <w:tcW w:w="1155" w:type="dxa"/>
            <w:shd w:val="clear" w:color="auto" w:fill="F5F8FA"/>
            <w:vAlign w:val="center"/>
          </w:tcPr>
          <w:p w14:paraId="39E87E7D" w14:textId="77777777" w:rsidR="004D6839" w:rsidRPr="005C5AA4" w:rsidRDefault="004D6839" w:rsidP="00D27030">
            <w:pPr>
              <w:jc w:val="center"/>
              <w:rPr>
                <w:sz w:val="20"/>
                <w:szCs w:val="20"/>
              </w:rPr>
            </w:pPr>
            <w:r w:rsidRPr="005C5AA4">
              <w:rPr>
                <w:sz w:val="20"/>
                <w:szCs w:val="20"/>
              </w:rPr>
              <w:t>Cut-off</w:t>
            </w:r>
          </w:p>
        </w:tc>
        <w:tc>
          <w:tcPr>
            <w:tcW w:w="3305" w:type="dxa"/>
            <w:shd w:val="clear" w:color="auto" w:fill="F5F8FA"/>
            <w:vAlign w:val="center"/>
          </w:tcPr>
          <w:p w14:paraId="27496657" w14:textId="77777777" w:rsidR="004D6839" w:rsidRPr="005C5AA4" w:rsidRDefault="004D6839" w:rsidP="00D27030">
            <w:pPr>
              <w:jc w:val="center"/>
              <w:rPr>
                <w:sz w:val="20"/>
                <w:szCs w:val="20"/>
              </w:rPr>
            </w:pPr>
            <w:r w:rsidRPr="005C5AA4">
              <w:rPr>
                <w:sz w:val="20"/>
                <w:szCs w:val="20"/>
              </w:rPr>
              <w:t>Evidence available by 8 August 2026; emphasis on 2020–2026</w:t>
            </w:r>
          </w:p>
        </w:tc>
        <w:tc>
          <w:tcPr>
            <w:tcW w:w="3028" w:type="dxa"/>
            <w:shd w:val="clear" w:color="auto" w:fill="F5F8FA"/>
            <w:vAlign w:val="center"/>
          </w:tcPr>
          <w:p w14:paraId="45E7E4C8" w14:textId="77777777" w:rsidR="004D6839" w:rsidRPr="005C5AA4" w:rsidRDefault="004D6839" w:rsidP="00D27030">
            <w:pPr>
              <w:jc w:val="center"/>
              <w:rPr>
                <w:sz w:val="20"/>
                <w:szCs w:val="20"/>
              </w:rPr>
            </w:pPr>
            <w:r w:rsidRPr="005C5AA4">
              <w:rPr>
                <w:sz w:val="20"/>
                <w:szCs w:val="20"/>
              </w:rPr>
              <w:t>Foundations retained when theoretically necessary</w:t>
            </w:r>
          </w:p>
        </w:tc>
        <w:tc>
          <w:tcPr>
            <w:tcW w:w="2819" w:type="dxa"/>
            <w:shd w:val="clear" w:color="auto" w:fill="F5F8FA"/>
            <w:vAlign w:val="center"/>
          </w:tcPr>
          <w:p w14:paraId="6C40A9F1" w14:textId="77777777" w:rsidR="004D6839" w:rsidRPr="005C5AA4" w:rsidRDefault="004D6839" w:rsidP="00D27030">
            <w:pPr>
              <w:jc w:val="center"/>
              <w:rPr>
                <w:sz w:val="20"/>
                <w:szCs w:val="20"/>
              </w:rPr>
            </w:pPr>
            <w:r w:rsidRPr="005C5AA4">
              <w:rPr>
                <w:sz w:val="20"/>
                <w:szCs w:val="20"/>
              </w:rPr>
              <w:t>Access dates recorded for web sources</w:t>
            </w:r>
          </w:p>
        </w:tc>
      </w:tr>
    </w:tbl>
    <w:p w14:paraId="13EB1090" w14:textId="29C01230" w:rsidR="004D6839" w:rsidRDefault="004D6839" w:rsidP="004D6839">
      <w:pPr>
        <w:jc w:val="center"/>
        <w:rPr>
          <w:i/>
          <w:iCs/>
        </w:rPr>
      </w:pPr>
      <w:r>
        <w:rPr>
          <w:i/>
          <w:iCs/>
        </w:rPr>
        <w:t>Source: Author</w:t>
      </w:r>
    </w:p>
    <w:p w14:paraId="535C3944" w14:textId="071655AD" w:rsidR="00D8014E" w:rsidRDefault="004D6839" w:rsidP="004D6839">
      <w:pPr>
        <w:spacing w:line="360" w:lineRule="auto"/>
      </w:pPr>
      <w:r w:rsidRPr="006D2C71">
        <w:rPr>
          <w:rFonts w:cs="Arial"/>
          <w:szCs w:val="24"/>
        </w:rPr>
        <w:t xml:space="preserve">The method was a structured integrative review and not a systematic review to find all the publications. Integrative review allows conceptual and qualitative evidence along with quantitative and </w:t>
      </w:r>
      <w:proofErr w:type="spellStart"/>
      <w:r w:rsidRPr="006D2C71">
        <w:rPr>
          <w:rFonts w:cs="Arial"/>
          <w:szCs w:val="24"/>
        </w:rPr>
        <w:t>organisational</w:t>
      </w:r>
      <w:proofErr w:type="spellEnd"/>
      <w:r w:rsidRPr="006D2C71">
        <w:rPr>
          <w:rFonts w:cs="Arial"/>
          <w:szCs w:val="24"/>
        </w:rPr>
        <w:t xml:space="preserve"> evidence to be used when selection logic is transparent (Snyder, 2019). Sources were searched for until conceptual saturation was reached; that is, if the source added a new construct, contradicted a developing pattern, provided more recent UK or company evidence or provided stronger sources of authority then it was retained. The primary focus of this criterion was relevance over quantity and negative/disconfirming evidence was kept</w:t>
      </w:r>
      <w:r w:rsidR="00232011">
        <w:t>.</w:t>
      </w:r>
    </w:p>
    <w:p w14:paraId="140DB727" w14:textId="77777777" w:rsidR="00D8014E" w:rsidRDefault="00232011">
      <w:pPr>
        <w:pStyle w:val="Heading2"/>
      </w:pPr>
      <w:bookmarkStart w:id="57" w:name="_Toc239604317"/>
      <w:bookmarkStart w:id="58" w:name="_Toc240989721"/>
      <w:r>
        <w:lastRenderedPageBreak/>
        <w:t>3.3 Selection, verification and corpus profile</w:t>
      </w:r>
      <w:bookmarkEnd w:id="57"/>
      <w:bookmarkEnd w:id="58"/>
    </w:p>
    <w:p w14:paraId="5397FAEC" w14:textId="77777777" w:rsidR="004D6839" w:rsidRPr="006D2C71" w:rsidRDefault="004D6839" w:rsidP="004D6839">
      <w:pPr>
        <w:spacing w:line="360" w:lineRule="auto"/>
        <w:rPr>
          <w:rFonts w:cs="Arial"/>
          <w:szCs w:val="24"/>
        </w:rPr>
      </w:pPr>
      <w:r w:rsidRPr="006D2C71">
        <w:rPr>
          <w:rFonts w:cs="Arial"/>
          <w:szCs w:val="24"/>
        </w:rPr>
        <w:t xml:space="preserve">Sources were cited if they contributed to the conceptual pathway in at least one element and/or to the verifiable contextual evidence for either of the two. Academic evidence had to come from a peer reviewed journal or a </w:t>
      </w:r>
      <w:proofErr w:type="spellStart"/>
      <w:r w:rsidRPr="006D2C71">
        <w:rPr>
          <w:rFonts w:cs="Arial"/>
          <w:szCs w:val="24"/>
        </w:rPr>
        <w:t>recognised</w:t>
      </w:r>
      <w:proofErr w:type="spellEnd"/>
      <w:r w:rsidRPr="006D2C71">
        <w:rPr>
          <w:rFonts w:cs="Arial"/>
          <w:szCs w:val="24"/>
        </w:rPr>
        <w:t xml:space="preserve"> scholarly publisher. Documents from companies had to be provided from a company domain, from the statutory register or from an investor filing and the market statistics had to have a named publisher and reporting period. Sources were excluded if the source could not be verified, the source did not provide any additional value and if no case facts could be found in promotional material or if the setting was not conceptually relevant for transfer.</w:t>
      </w:r>
    </w:p>
    <w:p w14:paraId="08822381" w14:textId="77777777" w:rsidR="004D6839" w:rsidRPr="006D2C71" w:rsidRDefault="004D6839" w:rsidP="004D6839">
      <w:pPr>
        <w:spacing w:line="360" w:lineRule="auto"/>
        <w:rPr>
          <w:rFonts w:cs="Arial"/>
          <w:szCs w:val="24"/>
        </w:rPr>
      </w:pPr>
      <w:r w:rsidRPr="006D2C71">
        <w:rPr>
          <w:rFonts w:cs="Arial"/>
          <w:szCs w:val="24"/>
        </w:rPr>
        <w:t xml:space="preserve">The following metadata was verified: title, authors, year, publication, volume/issue, pages or article number, and DOI (if available). This process was to resolve inconsistencies in the proposal phase, like mismatching year or editions. Then all the references were </w:t>
      </w:r>
      <w:proofErr w:type="spellStart"/>
      <w:r w:rsidRPr="006D2C71">
        <w:rPr>
          <w:rFonts w:cs="Arial"/>
          <w:szCs w:val="24"/>
        </w:rPr>
        <w:t>standardised</w:t>
      </w:r>
      <w:proofErr w:type="spellEnd"/>
      <w:r w:rsidRPr="006D2C71">
        <w:rPr>
          <w:rFonts w:cs="Arial"/>
          <w:szCs w:val="24"/>
        </w:rPr>
        <w:t xml:space="preserve"> using the UWTSD Harvard style. Factual claims underwent grounding: the most authoritative source available was used as the anchor. Averaging was not done where there were differences between the company and industry figures; instead, the difference was retained and explained. Consumer loyalty was not considered, in isolation, as evidence of a corporate </w:t>
      </w:r>
      <w:proofErr w:type="spellStart"/>
      <w:r w:rsidRPr="006D2C71">
        <w:rPr>
          <w:rFonts w:cs="Arial"/>
          <w:szCs w:val="24"/>
        </w:rPr>
        <w:t>programme</w:t>
      </w:r>
      <w:proofErr w:type="spellEnd"/>
      <w:r w:rsidRPr="006D2C71">
        <w:rPr>
          <w:rFonts w:cs="Arial"/>
          <w:szCs w:val="24"/>
        </w:rPr>
        <w:t xml:space="preserve">, as this was defined as self-reported </w:t>
      </w:r>
      <w:proofErr w:type="spellStart"/>
      <w:r w:rsidRPr="006D2C71">
        <w:rPr>
          <w:rFonts w:cs="Arial"/>
          <w:szCs w:val="24"/>
        </w:rPr>
        <w:t>programme</w:t>
      </w:r>
      <w:proofErr w:type="spellEnd"/>
      <w:r w:rsidRPr="006D2C71">
        <w:rPr>
          <w:rFonts w:cs="Arial"/>
          <w:szCs w:val="24"/>
        </w:rPr>
        <w:t xml:space="preserve"> evidence through corporate sustainability and inclusion statements.</w:t>
      </w:r>
    </w:p>
    <w:p w14:paraId="6905715B" w14:textId="77777777" w:rsidR="004D6839" w:rsidRDefault="004D6839" w:rsidP="004D6839">
      <w:pPr>
        <w:pStyle w:val="Heading4"/>
      </w:pPr>
      <w:r>
        <w:lastRenderedPageBreak/>
        <w:t>Figure 2. Evidence selection and analysis flow</w:t>
      </w:r>
    </w:p>
    <w:p w14:paraId="10DA90F2" w14:textId="77777777" w:rsidR="004D6839" w:rsidRDefault="004D6839" w:rsidP="004D6839">
      <w:pPr>
        <w:keepNext/>
        <w:spacing w:before="100" w:after="40"/>
        <w:jc w:val="center"/>
      </w:pPr>
      <w:r>
        <w:rPr>
          <w:noProof/>
        </w:rPr>
        <w:drawing>
          <wp:inline distT="0" distB="0" distL="0" distR="0" wp14:anchorId="47AE822F" wp14:editId="0CC51028">
            <wp:extent cx="5759975" cy="3479800"/>
            <wp:effectExtent l="0" t="0" r="0" b="635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767023" cy="3484058"/>
                    </a:xfrm>
                    <a:prstGeom prst="rect">
                      <a:avLst/>
                    </a:prstGeom>
                    <a:noFill/>
                  </pic:spPr>
                </pic:pic>
              </a:graphicData>
            </a:graphic>
          </wp:inline>
        </w:drawing>
      </w:r>
    </w:p>
    <w:p w14:paraId="2BF74212" w14:textId="77777777" w:rsidR="004D6839" w:rsidRDefault="004D6839" w:rsidP="004D6839">
      <w:pPr>
        <w:jc w:val="center"/>
        <w:rPr>
          <w:i/>
          <w:iCs/>
        </w:rPr>
      </w:pPr>
      <w:r>
        <w:rPr>
          <w:i/>
          <w:iCs/>
        </w:rPr>
        <w:t>Source: Author</w:t>
      </w:r>
    </w:p>
    <w:p w14:paraId="557FA9A1" w14:textId="77777777" w:rsidR="004D6839" w:rsidRPr="006D2C71" w:rsidRDefault="004D6839" w:rsidP="004D6839">
      <w:pPr>
        <w:spacing w:line="360" w:lineRule="auto"/>
        <w:rPr>
          <w:rFonts w:cs="Arial"/>
          <w:szCs w:val="24"/>
        </w:rPr>
      </w:pPr>
      <w:r w:rsidRPr="006D2C71">
        <w:rPr>
          <w:rFonts w:cs="Arial"/>
          <w:szCs w:val="24"/>
        </w:rPr>
        <w:t>Finally, the corpus has 90 sources in total and the study has both a theoretical and an applied objective.</w:t>
      </w:r>
    </w:p>
    <w:p w14:paraId="69E1EF49" w14:textId="77777777" w:rsidR="00B064BB" w:rsidRDefault="00B064BB" w:rsidP="00B064BB">
      <w:pPr>
        <w:pStyle w:val="Heading4"/>
      </w:pPr>
      <w:r>
        <w:t>Table 2. Evidence corpus profile</w:t>
      </w:r>
    </w:p>
    <w:tbl>
      <w:tblPr>
        <w:tblW w:w="9360" w:type="dxa"/>
        <w:jc w:val="center"/>
        <w:tblLayout w:type="fixed"/>
        <w:tblCellMar>
          <w:top w:w="80" w:type="dxa"/>
          <w:left w:w="90" w:type="dxa"/>
          <w:bottom w:w="80" w:type="dxa"/>
          <w:right w:w="90" w:type="dxa"/>
        </w:tblCellMar>
        <w:tblLook w:val="04A0" w:firstRow="1" w:lastRow="0" w:firstColumn="1" w:lastColumn="0" w:noHBand="0" w:noVBand="1"/>
      </w:tblPr>
      <w:tblGrid>
        <w:gridCol w:w="2050"/>
        <w:gridCol w:w="651"/>
        <w:gridCol w:w="3440"/>
        <w:gridCol w:w="3219"/>
      </w:tblGrid>
      <w:tr w:rsidR="00B064BB" w14:paraId="04421C91" w14:textId="77777777" w:rsidTr="00D27030">
        <w:trPr>
          <w:cantSplit/>
          <w:tblHeader/>
          <w:jc w:val="center"/>
        </w:trPr>
        <w:tc>
          <w:tcPr>
            <w:tcW w:w="2049"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1BA5A6A7" w14:textId="77777777" w:rsidR="00B064BB" w:rsidRDefault="00B064BB" w:rsidP="00D27030">
            <w:pPr>
              <w:rPr>
                <w:sz w:val="20"/>
                <w:szCs w:val="20"/>
              </w:rPr>
            </w:pPr>
            <w:r>
              <w:rPr>
                <w:sz w:val="20"/>
                <w:szCs w:val="20"/>
              </w:rPr>
              <w:t>Source class</w:t>
            </w:r>
          </w:p>
        </w:tc>
        <w:tc>
          <w:tcPr>
            <w:tcW w:w="651"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3CF7140F" w14:textId="77777777" w:rsidR="00B064BB" w:rsidRDefault="00B064BB" w:rsidP="00D27030">
            <w:pPr>
              <w:rPr>
                <w:sz w:val="20"/>
                <w:szCs w:val="20"/>
              </w:rPr>
            </w:pPr>
            <w:r>
              <w:rPr>
                <w:sz w:val="20"/>
                <w:szCs w:val="20"/>
              </w:rPr>
              <w:t>n</w:t>
            </w:r>
          </w:p>
        </w:tc>
        <w:tc>
          <w:tcPr>
            <w:tcW w:w="3440"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6DC9508C" w14:textId="77777777" w:rsidR="00B064BB" w:rsidRDefault="00B064BB" w:rsidP="00D27030">
            <w:pPr>
              <w:rPr>
                <w:sz w:val="20"/>
                <w:szCs w:val="20"/>
              </w:rPr>
            </w:pPr>
            <w:r>
              <w:rPr>
                <w:sz w:val="20"/>
                <w:szCs w:val="20"/>
              </w:rPr>
              <w:t>Primary analytical use</w:t>
            </w:r>
          </w:p>
        </w:tc>
        <w:tc>
          <w:tcPr>
            <w:tcW w:w="3219"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5F24078A" w14:textId="77777777" w:rsidR="00B064BB" w:rsidRDefault="00B064BB" w:rsidP="00D27030">
            <w:pPr>
              <w:rPr>
                <w:sz w:val="20"/>
                <w:szCs w:val="20"/>
              </w:rPr>
            </w:pPr>
            <w:r>
              <w:rPr>
                <w:sz w:val="20"/>
                <w:szCs w:val="20"/>
              </w:rPr>
              <w:t>Principal limitation</w:t>
            </w:r>
          </w:p>
        </w:tc>
      </w:tr>
      <w:tr w:rsidR="00B064BB" w14:paraId="141C3F71" w14:textId="77777777" w:rsidTr="00D27030">
        <w:trPr>
          <w:cantSplit/>
          <w:jc w:val="center"/>
        </w:trPr>
        <w:tc>
          <w:tcPr>
            <w:tcW w:w="2049" w:type="dxa"/>
            <w:tcBorders>
              <w:top w:val="single" w:sz="4" w:space="0" w:color="AEBBC5"/>
              <w:left w:val="single" w:sz="4" w:space="0" w:color="AEBBC5"/>
              <w:bottom w:val="single" w:sz="4" w:space="0" w:color="AEBBC5"/>
              <w:right w:val="single" w:sz="4" w:space="0" w:color="AEBBC5"/>
            </w:tcBorders>
            <w:vAlign w:val="center"/>
          </w:tcPr>
          <w:p w14:paraId="774E9B92" w14:textId="77777777" w:rsidR="00B064BB" w:rsidRDefault="00B064BB" w:rsidP="00D27030">
            <w:pPr>
              <w:rPr>
                <w:sz w:val="20"/>
                <w:szCs w:val="20"/>
              </w:rPr>
            </w:pPr>
            <w:r>
              <w:rPr>
                <w:sz w:val="20"/>
                <w:szCs w:val="20"/>
              </w:rPr>
              <w:t>Peer-reviewed journal articles</w:t>
            </w:r>
          </w:p>
        </w:tc>
        <w:tc>
          <w:tcPr>
            <w:tcW w:w="651" w:type="dxa"/>
            <w:tcBorders>
              <w:top w:val="single" w:sz="4" w:space="0" w:color="AEBBC5"/>
              <w:left w:val="single" w:sz="4" w:space="0" w:color="AEBBC5"/>
              <w:bottom w:val="single" w:sz="4" w:space="0" w:color="AEBBC5"/>
              <w:right w:val="single" w:sz="4" w:space="0" w:color="AEBBC5"/>
            </w:tcBorders>
            <w:vAlign w:val="center"/>
          </w:tcPr>
          <w:p w14:paraId="1DB33963" w14:textId="77777777" w:rsidR="00B064BB" w:rsidRDefault="00B064BB" w:rsidP="00D27030">
            <w:pPr>
              <w:rPr>
                <w:sz w:val="20"/>
                <w:szCs w:val="20"/>
              </w:rPr>
            </w:pPr>
            <w:r>
              <w:rPr>
                <w:sz w:val="20"/>
                <w:szCs w:val="20"/>
              </w:rPr>
              <w:t>67</w:t>
            </w:r>
          </w:p>
        </w:tc>
        <w:tc>
          <w:tcPr>
            <w:tcW w:w="3440" w:type="dxa"/>
            <w:tcBorders>
              <w:top w:val="single" w:sz="4" w:space="0" w:color="AEBBC5"/>
              <w:left w:val="single" w:sz="4" w:space="0" w:color="AEBBC5"/>
              <w:bottom w:val="single" w:sz="4" w:space="0" w:color="AEBBC5"/>
              <w:right w:val="single" w:sz="4" w:space="0" w:color="AEBBC5"/>
            </w:tcBorders>
            <w:vAlign w:val="center"/>
          </w:tcPr>
          <w:p w14:paraId="7FAD3C7D" w14:textId="77777777" w:rsidR="00B064BB" w:rsidRDefault="00B064BB" w:rsidP="00D27030">
            <w:pPr>
              <w:rPr>
                <w:sz w:val="20"/>
                <w:szCs w:val="20"/>
              </w:rPr>
            </w:pPr>
            <w:r>
              <w:rPr>
                <w:sz w:val="20"/>
                <w:szCs w:val="20"/>
              </w:rPr>
              <w:t>Theory, empirical mechanisms, coffee/service context and critical counterevidence</w:t>
            </w:r>
          </w:p>
        </w:tc>
        <w:tc>
          <w:tcPr>
            <w:tcW w:w="3219" w:type="dxa"/>
            <w:tcBorders>
              <w:top w:val="single" w:sz="4" w:space="0" w:color="AEBBC5"/>
              <w:left w:val="single" w:sz="4" w:space="0" w:color="AEBBC5"/>
              <w:bottom w:val="single" w:sz="4" w:space="0" w:color="AEBBC5"/>
              <w:right w:val="single" w:sz="4" w:space="0" w:color="AEBBC5"/>
            </w:tcBorders>
            <w:vAlign w:val="center"/>
          </w:tcPr>
          <w:p w14:paraId="33F68A16" w14:textId="77777777" w:rsidR="00B064BB" w:rsidRDefault="00B064BB" w:rsidP="00D27030">
            <w:pPr>
              <w:rPr>
                <w:sz w:val="20"/>
                <w:szCs w:val="20"/>
              </w:rPr>
            </w:pPr>
            <w:r>
              <w:rPr>
                <w:sz w:val="20"/>
                <w:szCs w:val="20"/>
              </w:rPr>
              <w:t>Different settings and methods; limited direct UK brand comparison</w:t>
            </w:r>
          </w:p>
        </w:tc>
      </w:tr>
      <w:tr w:rsidR="00B064BB" w14:paraId="7B53B2AD" w14:textId="77777777" w:rsidTr="00D27030">
        <w:trPr>
          <w:cantSplit/>
          <w:jc w:val="center"/>
        </w:trPr>
        <w:tc>
          <w:tcPr>
            <w:tcW w:w="2049"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1ABA968A" w14:textId="77777777" w:rsidR="00B064BB" w:rsidRDefault="00B064BB" w:rsidP="00D27030">
            <w:pPr>
              <w:rPr>
                <w:sz w:val="20"/>
                <w:szCs w:val="20"/>
              </w:rPr>
            </w:pPr>
            <w:r>
              <w:rPr>
                <w:sz w:val="20"/>
                <w:szCs w:val="20"/>
              </w:rPr>
              <w:t>Scholarly books</w:t>
            </w:r>
          </w:p>
        </w:tc>
        <w:tc>
          <w:tcPr>
            <w:tcW w:w="651"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032DE05D" w14:textId="77777777" w:rsidR="00B064BB" w:rsidRDefault="00B064BB" w:rsidP="00D27030">
            <w:pPr>
              <w:rPr>
                <w:sz w:val="20"/>
                <w:szCs w:val="20"/>
              </w:rPr>
            </w:pPr>
            <w:r>
              <w:rPr>
                <w:sz w:val="20"/>
                <w:szCs w:val="20"/>
              </w:rPr>
              <w:t>9</w:t>
            </w:r>
          </w:p>
        </w:tc>
        <w:tc>
          <w:tcPr>
            <w:tcW w:w="344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1204F40E" w14:textId="77777777" w:rsidR="00B064BB" w:rsidRDefault="00B064BB" w:rsidP="00D27030">
            <w:pPr>
              <w:rPr>
                <w:sz w:val="20"/>
                <w:szCs w:val="20"/>
              </w:rPr>
            </w:pPr>
            <w:r>
              <w:rPr>
                <w:sz w:val="20"/>
                <w:szCs w:val="20"/>
              </w:rPr>
              <w:t>Foundational cultural, loyalty, branding and methodological frameworks</w:t>
            </w:r>
          </w:p>
        </w:tc>
        <w:tc>
          <w:tcPr>
            <w:tcW w:w="3219"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63136D44" w14:textId="77777777" w:rsidR="00B064BB" w:rsidRDefault="00B064BB" w:rsidP="00D27030">
            <w:pPr>
              <w:rPr>
                <w:sz w:val="20"/>
                <w:szCs w:val="20"/>
              </w:rPr>
            </w:pPr>
            <w:r>
              <w:rPr>
                <w:sz w:val="20"/>
                <w:szCs w:val="20"/>
              </w:rPr>
              <w:t>Some foundations pre-date current digital conditions</w:t>
            </w:r>
          </w:p>
        </w:tc>
      </w:tr>
      <w:tr w:rsidR="00B064BB" w14:paraId="0A0F3BCB" w14:textId="77777777" w:rsidTr="00D27030">
        <w:trPr>
          <w:cantSplit/>
          <w:jc w:val="center"/>
        </w:trPr>
        <w:tc>
          <w:tcPr>
            <w:tcW w:w="2049" w:type="dxa"/>
            <w:tcBorders>
              <w:top w:val="single" w:sz="4" w:space="0" w:color="AEBBC5"/>
              <w:left w:val="single" w:sz="4" w:space="0" w:color="AEBBC5"/>
              <w:bottom w:val="single" w:sz="4" w:space="0" w:color="AEBBC5"/>
              <w:right w:val="single" w:sz="4" w:space="0" w:color="AEBBC5"/>
            </w:tcBorders>
            <w:vAlign w:val="center"/>
          </w:tcPr>
          <w:p w14:paraId="54FA830B" w14:textId="77777777" w:rsidR="00B064BB" w:rsidRDefault="00B064BB" w:rsidP="00D27030">
            <w:pPr>
              <w:rPr>
                <w:sz w:val="20"/>
                <w:szCs w:val="20"/>
              </w:rPr>
            </w:pPr>
            <w:r>
              <w:rPr>
                <w:sz w:val="20"/>
                <w:szCs w:val="20"/>
              </w:rPr>
              <w:t>Official/statistical/industry sources</w:t>
            </w:r>
          </w:p>
        </w:tc>
        <w:tc>
          <w:tcPr>
            <w:tcW w:w="651" w:type="dxa"/>
            <w:tcBorders>
              <w:top w:val="single" w:sz="4" w:space="0" w:color="AEBBC5"/>
              <w:left w:val="single" w:sz="4" w:space="0" w:color="AEBBC5"/>
              <w:bottom w:val="single" w:sz="4" w:space="0" w:color="AEBBC5"/>
              <w:right w:val="single" w:sz="4" w:space="0" w:color="AEBBC5"/>
            </w:tcBorders>
            <w:vAlign w:val="center"/>
          </w:tcPr>
          <w:p w14:paraId="298221ED" w14:textId="77777777" w:rsidR="00B064BB" w:rsidRDefault="00B064BB" w:rsidP="00D27030">
            <w:pPr>
              <w:rPr>
                <w:sz w:val="20"/>
                <w:szCs w:val="20"/>
              </w:rPr>
            </w:pPr>
            <w:r>
              <w:rPr>
                <w:sz w:val="20"/>
                <w:szCs w:val="20"/>
              </w:rPr>
              <w:t>14</w:t>
            </w:r>
          </w:p>
        </w:tc>
        <w:tc>
          <w:tcPr>
            <w:tcW w:w="3440" w:type="dxa"/>
            <w:tcBorders>
              <w:top w:val="single" w:sz="4" w:space="0" w:color="AEBBC5"/>
              <w:left w:val="single" w:sz="4" w:space="0" w:color="AEBBC5"/>
              <w:bottom w:val="single" w:sz="4" w:space="0" w:color="AEBBC5"/>
              <w:right w:val="single" w:sz="4" w:space="0" w:color="AEBBC5"/>
            </w:tcBorders>
            <w:vAlign w:val="center"/>
          </w:tcPr>
          <w:p w14:paraId="005C4E47" w14:textId="77777777" w:rsidR="00B064BB" w:rsidRDefault="00B064BB" w:rsidP="00D27030">
            <w:pPr>
              <w:rPr>
                <w:sz w:val="20"/>
                <w:szCs w:val="20"/>
              </w:rPr>
            </w:pPr>
            <w:r>
              <w:rPr>
                <w:sz w:val="20"/>
                <w:szCs w:val="20"/>
              </w:rPr>
              <w:t xml:space="preserve">Current </w:t>
            </w:r>
            <w:proofErr w:type="spellStart"/>
            <w:r>
              <w:rPr>
                <w:sz w:val="20"/>
                <w:szCs w:val="20"/>
              </w:rPr>
              <w:t>programmes</w:t>
            </w:r>
            <w:proofErr w:type="spellEnd"/>
            <w:r>
              <w:rPr>
                <w:sz w:val="20"/>
                <w:szCs w:val="20"/>
              </w:rPr>
              <w:t>, statutory context, demographic and market evidence</w:t>
            </w:r>
          </w:p>
        </w:tc>
        <w:tc>
          <w:tcPr>
            <w:tcW w:w="3219" w:type="dxa"/>
            <w:tcBorders>
              <w:top w:val="single" w:sz="4" w:space="0" w:color="AEBBC5"/>
              <w:left w:val="single" w:sz="4" w:space="0" w:color="AEBBC5"/>
              <w:bottom w:val="single" w:sz="4" w:space="0" w:color="AEBBC5"/>
              <w:right w:val="single" w:sz="4" w:space="0" w:color="AEBBC5"/>
            </w:tcBorders>
            <w:vAlign w:val="center"/>
          </w:tcPr>
          <w:p w14:paraId="7033B0B6" w14:textId="77777777" w:rsidR="00B064BB" w:rsidRDefault="00B064BB" w:rsidP="00D27030">
            <w:pPr>
              <w:rPr>
                <w:sz w:val="20"/>
                <w:szCs w:val="20"/>
              </w:rPr>
            </w:pPr>
            <w:r>
              <w:rPr>
                <w:sz w:val="20"/>
                <w:szCs w:val="20"/>
              </w:rPr>
              <w:t>Corporate self-report and non-equivalent definitions require caution</w:t>
            </w:r>
          </w:p>
        </w:tc>
      </w:tr>
      <w:tr w:rsidR="00B064BB" w14:paraId="34DC11F0" w14:textId="77777777" w:rsidTr="00D27030">
        <w:trPr>
          <w:cantSplit/>
          <w:jc w:val="center"/>
        </w:trPr>
        <w:tc>
          <w:tcPr>
            <w:tcW w:w="2049"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05759E69" w14:textId="77777777" w:rsidR="00B064BB" w:rsidRDefault="00B064BB" w:rsidP="00D27030">
            <w:pPr>
              <w:rPr>
                <w:sz w:val="20"/>
                <w:szCs w:val="20"/>
              </w:rPr>
            </w:pPr>
            <w:r>
              <w:rPr>
                <w:sz w:val="20"/>
                <w:szCs w:val="20"/>
              </w:rPr>
              <w:t>Total</w:t>
            </w:r>
          </w:p>
        </w:tc>
        <w:tc>
          <w:tcPr>
            <w:tcW w:w="651"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0C4AD673" w14:textId="77777777" w:rsidR="00B064BB" w:rsidRDefault="00B064BB" w:rsidP="00D27030">
            <w:pPr>
              <w:rPr>
                <w:sz w:val="20"/>
                <w:szCs w:val="20"/>
              </w:rPr>
            </w:pPr>
            <w:r>
              <w:rPr>
                <w:sz w:val="20"/>
                <w:szCs w:val="20"/>
              </w:rPr>
              <w:t>90</w:t>
            </w:r>
          </w:p>
        </w:tc>
        <w:tc>
          <w:tcPr>
            <w:tcW w:w="344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2E11A503" w14:textId="77777777" w:rsidR="00B064BB" w:rsidRDefault="00B064BB" w:rsidP="00D27030">
            <w:pPr>
              <w:rPr>
                <w:sz w:val="20"/>
                <w:szCs w:val="20"/>
              </w:rPr>
            </w:pPr>
            <w:r>
              <w:rPr>
                <w:sz w:val="20"/>
                <w:szCs w:val="20"/>
              </w:rPr>
              <w:t>Comparative corpus coded across both cases and four themes</w:t>
            </w:r>
          </w:p>
        </w:tc>
        <w:tc>
          <w:tcPr>
            <w:tcW w:w="3219"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75F43682" w14:textId="77777777" w:rsidR="00B064BB" w:rsidRDefault="00B064BB" w:rsidP="00D27030">
            <w:pPr>
              <w:rPr>
                <w:sz w:val="20"/>
                <w:szCs w:val="20"/>
              </w:rPr>
            </w:pPr>
            <w:r>
              <w:rPr>
                <w:sz w:val="20"/>
                <w:szCs w:val="20"/>
              </w:rPr>
              <w:t>Numerical volume does not determine evidential weight</w:t>
            </w:r>
          </w:p>
        </w:tc>
      </w:tr>
    </w:tbl>
    <w:p w14:paraId="79A8EFA3" w14:textId="77777777" w:rsidR="00B064BB" w:rsidRDefault="00B064BB" w:rsidP="00B064BB">
      <w:pPr>
        <w:jc w:val="center"/>
        <w:rPr>
          <w:i/>
          <w:iCs/>
        </w:rPr>
      </w:pPr>
      <w:r>
        <w:rPr>
          <w:i/>
          <w:iCs/>
        </w:rPr>
        <w:t>Source: Author</w:t>
      </w:r>
    </w:p>
    <w:p w14:paraId="42C2531E" w14:textId="1FB81D0C" w:rsidR="00D8014E" w:rsidRDefault="004D6839" w:rsidP="004D6839">
      <w:pPr>
        <w:spacing w:line="360" w:lineRule="auto"/>
      </w:pPr>
      <w:r w:rsidRPr="006D2C71">
        <w:rPr>
          <w:rFonts w:cs="Arial"/>
          <w:szCs w:val="24"/>
        </w:rPr>
        <w:lastRenderedPageBreak/>
        <w:t xml:space="preserve">The corpus consists of 67 peer-reviewed journal articles, nine academic books and 14 official, statistical and specialist-industry sources. The numerical balance does not mean that the evidential weight is the same. An underlying loyalty article can be more conceptually significant than a number of corporate web pages; existing </w:t>
      </w:r>
      <w:proofErr w:type="spellStart"/>
      <w:r w:rsidRPr="006D2C71">
        <w:rPr>
          <w:rFonts w:cs="Arial"/>
          <w:szCs w:val="24"/>
        </w:rPr>
        <w:t>programme</w:t>
      </w:r>
      <w:proofErr w:type="spellEnd"/>
      <w:r w:rsidRPr="006D2C71">
        <w:rPr>
          <w:rFonts w:cs="Arial"/>
          <w:szCs w:val="24"/>
        </w:rPr>
        <w:t xml:space="preserve"> rules are best captured by the </w:t>
      </w:r>
      <w:proofErr w:type="spellStart"/>
      <w:r w:rsidRPr="006D2C71">
        <w:rPr>
          <w:rFonts w:cs="Arial"/>
          <w:szCs w:val="24"/>
        </w:rPr>
        <w:t>organisations</w:t>
      </w:r>
      <w:proofErr w:type="spellEnd"/>
      <w:r w:rsidRPr="006D2C71">
        <w:rPr>
          <w:rFonts w:cs="Arial"/>
          <w:szCs w:val="24"/>
        </w:rPr>
        <w:t xml:space="preserve"> themselves. Weighting was therefore applied based on relevance, </w:t>
      </w:r>
      <w:proofErr w:type="spellStart"/>
      <w:r w:rsidRPr="006D2C71">
        <w:rPr>
          <w:rFonts w:cs="Arial"/>
          <w:szCs w:val="24"/>
        </w:rPr>
        <w:t>methodologic</w:t>
      </w:r>
      <w:proofErr w:type="spellEnd"/>
      <w:r w:rsidRPr="006D2C71">
        <w:rPr>
          <w:rFonts w:cs="Arial"/>
          <w:szCs w:val="24"/>
        </w:rPr>
        <w:t xml:space="preserve"> fit, independence and temporal proximity of evidence</w:t>
      </w:r>
      <w:r w:rsidR="00232011">
        <w:t>.</w:t>
      </w:r>
    </w:p>
    <w:p w14:paraId="33FB78D8" w14:textId="77777777" w:rsidR="00D8014E" w:rsidRDefault="00232011">
      <w:pPr>
        <w:pStyle w:val="Heading2"/>
      </w:pPr>
      <w:bookmarkStart w:id="59" w:name="_Toc239604318"/>
      <w:bookmarkStart w:id="60" w:name="_Toc240989722"/>
      <w:r>
        <w:t>3.4 Data extraction and thematic analysis</w:t>
      </w:r>
      <w:bookmarkEnd w:id="59"/>
      <w:bookmarkEnd w:id="60"/>
      <w:r>
        <w:t xml:space="preserve"> </w:t>
      </w:r>
    </w:p>
    <w:p w14:paraId="40FF89E6" w14:textId="77777777" w:rsidR="00B064BB" w:rsidRPr="006D2C71" w:rsidRDefault="00B064BB" w:rsidP="00B064BB">
      <w:pPr>
        <w:spacing w:line="360" w:lineRule="auto"/>
        <w:rPr>
          <w:rFonts w:cs="Arial"/>
          <w:szCs w:val="24"/>
        </w:rPr>
      </w:pPr>
      <w:r w:rsidRPr="006D2C71">
        <w:rPr>
          <w:rFonts w:cs="Arial"/>
          <w:szCs w:val="24"/>
        </w:rPr>
        <w:t>Evidence was removed to a matrix with elements: source type, setting, method, case relevance, marketing practice, cultural mechanism, experience mechanism/communication mechanism, loyalty related outcome, and limitations and confidence. The separation of the three categories: 'reported practice', 'author finding' and 'researcher interpretation' minimized the danger of presenting inference as fact. All the non-UK studies were identified by setting and company pages were identified as self-reported evidence. Conflicting results and results that were null or weak in relationships were coded, but not discarded.</w:t>
      </w:r>
    </w:p>
    <w:p w14:paraId="265A1173" w14:textId="77777777" w:rsidR="00B064BB" w:rsidRPr="006D2C71" w:rsidRDefault="00B064BB" w:rsidP="00B064BB">
      <w:pPr>
        <w:spacing w:line="360" w:lineRule="auto"/>
        <w:rPr>
          <w:rFonts w:cs="Arial"/>
          <w:szCs w:val="24"/>
        </w:rPr>
      </w:pPr>
      <w:r w:rsidRPr="006D2C71">
        <w:rPr>
          <w:rFonts w:cs="Arial"/>
          <w:szCs w:val="24"/>
        </w:rPr>
        <w:t xml:space="preserve">Data was </w:t>
      </w:r>
      <w:proofErr w:type="spellStart"/>
      <w:r w:rsidRPr="006D2C71">
        <w:rPr>
          <w:rFonts w:cs="Arial"/>
          <w:szCs w:val="24"/>
        </w:rPr>
        <w:t>analysed</w:t>
      </w:r>
      <w:proofErr w:type="spellEnd"/>
      <w:r w:rsidRPr="006D2C71">
        <w:rPr>
          <w:rFonts w:cs="Arial"/>
          <w:szCs w:val="24"/>
        </w:rPr>
        <w:t xml:space="preserve"> using Braun and Clarke's six-phase thematic analysis process of </w:t>
      </w:r>
      <w:proofErr w:type="spellStart"/>
      <w:r w:rsidRPr="006D2C71">
        <w:rPr>
          <w:rFonts w:cs="Arial"/>
          <w:szCs w:val="24"/>
        </w:rPr>
        <w:t>familiarising</w:t>
      </w:r>
      <w:proofErr w:type="spellEnd"/>
      <w:r w:rsidRPr="006D2C71">
        <w:rPr>
          <w:rFonts w:cs="Arial"/>
          <w:szCs w:val="24"/>
        </w:rPr>
        <w:t xml:space="preserve"> with the data, initial coding, development of candidate themes, revising the themes, defining and naming, and producing the final analysis account (Braun and Clarke, 2006; Braun and Clarke, 2022). First cycle codes comprised global consistency, local legitimacy, heritage, inclusion, third place use, service reliability, digital convenience, reward fairness, </w:t>
      </w:r>
      <w:proofErr w:type="spellStart"/>
      <w:r w:rsidRPr="006D2C71">
        <w:rPr>
          <w:rFonts w:cs="Arial"/>
          <w:szCs w:val="24"/>
        </w:rPr>
        <w:t>personalisation</w:t>
      </w:r>
      <w:proofErr w:type="spellEnd"/>
      <w:r w:rsidRPr="006D2C71">
        <w:rPr>
          <w:rFonts w:cs="Arial"/>
          <w:szCs w:val="24"/>
        </w:rPr>
        <w:t xml:space="preserve"> and privacy, sourcing credibility, trust, satisfaction, </w:t>
      </w:r>
      <w:proofErr w:type="spellStart"/>
      <w:r w:rsidRPr="006D2C71">
        <w:rPr>
          <w:rFonts w:cs="Arial"/>
          <w:szCs w:val="24"/>
        </w:rPr>
        <w:t>behavioural</w:t>
      </w:r>
      <w:proofErr w:type="spellEnd"/>
      <w:r w:rsidRPr="006D2C71">
        <w:rPr>
          <w:rFonts w:cs="Arial"/>
          <w:szCs w:val="24"/>
        </w:rPr>
        <w:t xml:space="preserve"> continuity and attitudinal commitment. Four comparative themes were created: </w:t>
      </w:r>
      <w:proofErr w:type="spellStart"/>
      <w:r w:rsidRPr="006D2C71">
        <w:rPr>
          <w:rFonts w:cs="Arial"/>
          <w:szCs w:val="24"/>
        </w:rPr>
        <w:t>glocal</w:t>
      </w:r>
      <w:proofErr w:type="spellEnd"/>
      <w:r w:rsidRPr="006D2C71">
        <w:rPr>
          <w:rFonts w:cs="Arial"/>
          <w:szCs w:val="24"/>
        </w:rPr>
        <w:t xml:space="preserve"> identity and cultural legitimacy; culturally legible customer experience; digitally mediated convenience and reciprocity; credible communication, inclusion and responsibility.</w:t>
      </w:r>
    </w:p>
    <w:p w14:paraId="685C3AE6" w14:textId="77777777" w:rsidR="00B064BB" w:rsidRPr="006D2C71" w:rsidRDefault="00B064BB" w:rsidP="00B064BB">
      <w:pPr>
        <w:spacing w:line="360" w:lineRule="auto"/>
        <w:rPr>
          <w:rFonts w:cs="Arial"/>
          <w:szCs w:val="24"/>
        </w:rPr>
      </w:pPr>
      <w:r w:rsidRPr="006D2C71">
        <w:rPr>
          <w:rFonts w:cs="Arial"/>
          <w:szCs w:val="24"/>
        </w:rPr>
        <w:t xml:space="preserve">In the analysis, a reflexive thematic approach was applied, meaning that themes were not categories to be found in the documents, but constructions developed in the process of analysis in relation to the research questions and the </w:t>
      </w:r>
      <w:proofErr w:type="spellStart"/>
      <w:r w:rsidRPr="006D2C71">
        <w:rPr>
          <w:rFonts w:cs="Arial"/>
          <w:szCs w:val="24"/>
        </w:rPr>
        <w:t>analysed</w:t>
      </w:r>
      <w:proofErr w:type="spellEnd"/>
      <w:r w:rsidRPr="006D2C71">
        <w:rPr>
          <w:rFonts w:cs="Arial"/>
          <w:szCs w:val="24"/>
        </w:rPr>
        <w:t xml:space="preserve"> evidence and theoretical position (Braun and Clarke, 2021). The theme quality was judged based on internal coherence, distinctiveness, explanation of the examples and handling of the negative </w:t>
      </w:r>
      <w:r w:rsidRPr="006D2C71">
        <w:rPr>
          <w:rFonts w:cs="Arial"/>
          <w:szCs w:val="24"/>
        </w:rPr>
        <w:lastRenderedPageBreak/>
        <w:t>evidence. Two descriptive case summaries were not written, but a common cross-case matrix was used to explore both similarities and differences and rival explanations.</w:t>
      </w:r>
    </w:p>
    <w:p w14:paraId="6D5F3D0C" w14:textId="354C6664" w:rsidR="00D8014E" w:rsidRDefault="00B064BB" w:rsidP="00B064BB">
      <w:pPr>
        <w:spacing w:line="360" w:lineRule="auto"/>
      </w:pPr>
      <w:r w:rsidRPr="006D2C71">
        <w:rPr>
          <w:rFonts w:cs="Arial"/>
          <w:szCs w:val="24"/>
        </w:rPr>
        <w:t>Coding was done at both Semantic level and Latent level. Explicit features like reward thresholds or sourcing standards were coded as semantic while where there was evidence of relational meanings, such as reciprocity, risk reduction/exclusion, these were coded as latent. Themes were then compared in terms of their evidence, emphasis and the likelihood of a proposed pathway to loyalty. Counting evidence was not mechanical: a number of repetitions by the same corporation was not counted as a well-designed study. Sources were given greater interpretive weight when they were more independent, were more methodologically fitting, and were relevant</w:t>
      </w:r>
      <w:r w:rsidR="00232011">
        <w:t>.</w:t>
      </w:r>
    </w:p>
    <w:p w14:paraId="79B5F795" w14:textId="77777777" w:rsidR="00D8014E" w:rsidRDefault="00232011">
      <w:pPr>
        <w:pStyle w:val="Heading2"/>
      </w:pPr>
      <w:bookmarkStart w:id="61" w:name="_Toc239604319"/>
      <w:bookmarkStart w:id="62" w:name="_Toc240989723"/>
      <w:r>
        <w:t>3.5 Quality, reflexivity and ethics</w:t>
      </w:r>
      <w:bookmarkEnd w:id="61"/>
      <w:bookmarkEnd w:id="62"/>
    </w:p>
    <w:p w14:paraId="7E766869" w14:textId="77777777" w:rsidR="00B064BB" w:rsidRPr="006D2C71" w:rsidRDefault="00B064BB" w:rsidP="00B064BB">
      <w:pPr>
        <w:spacing w:line="360" w:lineRule="auto"/>
        <w:rPr>
          <w:rFonts w:cs="Arial"/>
          <w:szCs w:val="24"/>
        </w:rPr>
      </w:pPr>
      <w:r w:rsidRPr="006D2C71">
        <w:rPr>
          <w:rFonts w:cs="Arial"/>
          <w:szCs w:val="24"/>
        </w:rPr>
        <w:t xml:space="preserve">Trustworthiness was ensured through an audit trail of claims and source types, systematic comparison of cases, negative-case analysis, </w:t>
      </w:r>
      <w:proofErr w:type="gramStart"/>
      <w:r w:rsidRPr="006D2C71">
        <w:rPr>
          <w:rFonts w:cs="Arial"/>
          <w:szCs w:val="24"/>
        </w:rPr>
        <w:t>triangulation</w:t>
      </w:r>
      <w:proofErr w:type="gramEnd"/>
      <w:r w:rsidRPr="006D2C71">
        <w:rPr>
          <w:rFonts w:cs="Arial"/>
          <w:szCs w:val="24"/>
        </w:rPr>
        <w:t xml:space="preserve"> and calibrated language. Thematic analysis is important in terms of credibility, dependability, </w:t>
      </w:r>
      <w:proofErr w:type="spellStart"/>
      <w:r w:rsidRPr="006D2C71">
        <w:rPr>
          <w:rFonts w:cs="Arial"/>
          <w:szCs w:val="24"/>
        </w:rPr>
        <w:t>confirmability</w:t>
      </w:r>
      <w:proofErr w:type="spellEnd"/>
      <w:r w:rsidRPr="006D2C71">
        <w:rPr>
          <w:rFonts w:cs="Arial"/>
          <w:szCs w:val="24"/>
        </w:rPr>
        <w:t xml:space="preserve"> and transferability as the quality criteria (</w:t>
      </w:r>
      <w:proofErr w:type="spellStart"/>
      <w:r w:rsidRPr="006D2C71">
        <w:rPr>
          <w:rFonts w:cs="Arial"/>
          <w:szCs w:val="24"/>
        </w:rPr>
        <w:t>Nowell</w:t>
      </w:r>
      <w:proofErr w:type="spellEnd"/>
      <w:r w:rsidRPr="006D2C71">
        <w:rPr>
          <w:rFonts w:cs="Arial"/>
          <w:szCs w:val="24"/>
        </w:rPr>
        <w:t xml:space="preserve"> et al., 2017). Independent scholarship, contemporary primary </w:t>
      </w:r>
      <w:proofErr w:type="spellStart"/>
      <w:r w:rsidRPr="006D2C71">
        <w:rPr>
          <w:rFonts w:cs="Arial"/>
          <w:szCs w:val="24"/>
        </w:rPr>
        <w:t>organisational</w:t>
      </w:r>
      <w:proofErr w:type="spellEnd"/>
      <w:r w:rsidRPr="006D2C71">
        <w:rPr>
          <w:rFonts w:cs="Arial"/>
          <w:szCs w:val="24"/>
        </w:rPr>
        <w:t xml:space="preserve"> documents helped credibility; documented search and coding rules helped with dependability; explicit rival explanations and provenance labelling helped with </w:t>
      </w:r>
      <w:proofErr w:type="spellStart"/>
      <w:r w:rsidRPr="006D2C71">
        <w:rPr>
          <w:rFonts w:cs="Arial"/>
          <w:szCs w:val="24"/>
        </w:rPr>
        <w:t>confirmability</w:t>
      </w:r>
      <w:proofErr w:type="spellEnd"/>
      <w:r w:rsidRPr="006D2C71">
        <w:rPr>
          <w:rFonts w:cs="Arial"/>
          <w:szCs w:val="24"/>
        </w:rPr>
        <w:t>; and detailed UK context and with clear warnings about non-UK evidence, helped with transferability.</w:t>
      </w:r>
    </w:p>
    <w:p w14:paraId="1F908540" w14:textId="77777777" w:rsidR="00B064BB" w:rsidRPr="006D2C71" w:rsidRDefault="00B064BB" w:rsidP="00B064BB">
      <w:pPr>
        <w:spacing w:line="360" w:lineRule="auto"/>
        <w:rPr>
          <w:rFonts w:cs="Arial"/>
          <w:szCs w:val="24"/>
        </w:rPr>
      </w:pPr>
      <w:r w:rsidRPr="006D2C71">
        <w:rPr>
          <w:rFonts w:cs="Arial"/>
          <w:szCs w:val="24"/>
        </w:rPr>
        <w:t xml:space="preserve">In an </w:t>
      </w:r>
      <w:proofErr w:type="spellStart"/>
      <w:r w:rsidRPr="006D2C71">
        <w:rPr>
          <w:rFonts w:cs="Arial"/>
          <w:szCs w:val="24"/>
        </w:rPr>
        <w:t>interpretivist</w:t>
      </w:r>
      <w:proofErr w:type="spellEnd"/>
      <w:r w:rsidRPr="006D2C71">
        <w:rPr>
          <w:rFonts w:cs="Arial"/>
          <w:szCs w:val="24"/>
        </w:rPr>
        <w:t xml:space="preserve"> study, there is always the element of researcher interpretation. This was a possible bias in that Starbucks would be looked at as being more international and Costa more local. The evidence matrix was used to identify both local and global cues for each case and disconfirming information was actively sought for in the theme development process in order to minimize this risk. The study also refuted the managerial assumption that engagement is synonymous with loyalty, and that </w:t>
      </w:r>
      <w:proofErr w:type="spellStart"/>
      <w:r w:rsidRPr="006D2C71">
        <w:rPr>
          <w:rFonts w:cs="Arial"/>
          <w:szCs w:val="24"/>
        </w:rPr>
        <w:t>localisation</w:t>
      </w:r>
      <w:proofErr w:type="spellEnd"/>
      <w:r w:rsidRPr="006D2C71">
        <w:rPr>
          <w:rFonts w:cs="Arial"/>
          <w:szCs w:val="24"/>
        </w:rPr>
        <w:t xml:space="preserve"> is good. As competing explanations, price, quality, access, habit and outlet flows were retained throughout the analysis.</w:t>
      </w:r>
    </w:p>
    <w:p w14:paraId="39DFB08A" w14:textId="06549A88" w:rsidR="00D8014E" w:rsidRDefault="00B064BB" w:rsidP="00B064BB">
      <w:pPr>
        <w:spacing w:line="360" w:lineRule="auto"/>
      </w:pPr>
      <w:r w:rsidRPr="006D2C71">
        <w:rPr>
          <w:rFonts w:cs="Arial"/>
          <w:szCs w:val="24"/>
        </w:rPr>
        <w:t xml:space="preserve">No primary data, private records or personal information that needed the consent of the participants or the </w:t>
      </w:r>
      <w:proofErr w:type="spellStart"/>
      <w:r w:rsidRPr="006D2C71">
        <w:rPr>
          <w:rFonts w:cs="Arial"/>
          <w:szCs w:val="24"/>
        </w:rPr>
        <w:t>anonymisation</w:t>
      </w:r>
      <w:proofErr w:type="spellEnd"/>
      <w:r w:rsidRPr="006D2C71">
        <w:rPr>
          <w:rFonts w:cs="Arial"/>
          <w:szCs w:val="24"/>
        </w:rPr>
        <w:t xml:space="preserve"> of such data, were collected. However, there were </w:t>
      </w:r>
      <w:r w:rsidRPr="006D2C71">
        <w:rPr>
          <w:rFonts w:cs="Arial"/>
          <w:szCs w:val="24"/>
        </w:rPr>
        <w:lastRenderedPageBreak/>
        <w:t xml:space="preserve">ethical responsibilities, such as “attributing correctly,” “paraphrasing lawfully,” “reporting and representing </w:t>
      </w:r>
      <w:proofErr w:type="spellStart"/>
      <w:r w:rsidRPr="006D2C71">
        <w:rPr>
          <w:rFonts w:cs="Arial"/>
          <w:szCs w:val="24"/>
        </w:rPr>
        <w:t>organisational</w:t>
      </w:r>
      <w:proofErr w:type="spellEnd"/>
      <w:r w:rsidRPr="006D2C71">
        <w:rPr>
          <w:rFonts w:cs="Arial"/>
          <w:szCs w:val="24"/>
        </w:rPr>
        <w:t xml:space="preserve"> claims fairly and not deceptively.” In fact, there was no need to clarify the difference between marketing communication and independent verification because they were available to the public. Additionally, the analysis did not attempt to classify individuals by means of national-culture scores and multicultural identities were not viewed as static</w:t>
      </w:r>
      <w:r w:rsidR="00232011">
        <w:t>.</w:t>
      </w:r>
    </w:p>
    <w:p w14:paraId="55847A85" w14:textId="77777777" w:rsidR="00D8014E" w:rsidRDefault="00232011">
      <w:pPr>
        <w:pStyle w:val="Heading2"/>
      </w:pPr>
      <w:bookmarkStart w:id="63" w:name="_Toc239604320"/>
      <w:bookmarkStart w:id="64" w:name="_Toc240989724"/>
      <w:r>
        <w:t>3.6 Methodological limitations</w:t>
      </w:r>
      <w:bookmarkEnd w:id="63"/>
      <w:bookmarkEnd w:id="64"/>
    </w:p>
    <w:p w14:paraId="25BDA6FE" w14:textId="77777777" w:rsidR="00B064BB" w:rsidRPr="006D2C71" w:rsidRDefault="00B064BB" w:rsidP="00B064BB">
      <w:pPr>
        <w:spacing w:line="360" w:lineRule="auto"/>
        <w:rPr>
          <w:rFonts w:cs="Arial"/>
          <w:szCs w:val="24"/>
        </w:rPr>
      </w:pPr>
      <w:r w:rsidRPr="006D2C71">
        <w:rPr>
          <w:rFonts w:cs="Arial"/>
          <w:szCs w:val="24"/>
        </w:rPr>
        <w:t xml:space="preserve">The design is not able to determine causal relationships or individual and cultural responses in the population. Study flaws may include the publication bias which might </w:t>
      </w:r>
      <w:proofErr w:type="spellStart"/>
      <w:r w:rsidRPr="006D2C71">
        <w:rPr>
          <w:rFonts w:cs="Arial"/>
          <w:szCs w:val="24"/>
        </w:rPr>
        <w:t>favour</w:t>
      </w:r>
      <w:proofErr w:type="spellEnd"/>
      <w:r w:rsidRPr="006D2C71">
        <w:rPr>
          <w:rFonts w:cs="Arial"/>
          <w:szCs w:val="24"/>
        </w:rPr>
        <w:t xml:space="preserve"> studies with large significance levels, and the selective corporate disclosure and availability of the two brands' sources. There has been little independent consumer research in the UK recently that directly compares Starbucks and Costa Coffee. Non-UK coffee studies can shed light on possible explanations, but might not apply to the UK due to variations in competitive and cultural environments. The information on company webpages could also alter after the date of access, and industry and statutory definitions of markets may differ from that of the company.</w:t>
      </w:r>
    </w:p>
    <w:p w14:paraId="77BC1EB5" w14:textId="77777777" w:rsidR="00B064BB" w:rsidRPr="006D2C71" w:rsidRDefault="00B064BB" w:rsidP="00B064BB">
      <w:pPr>
        <w:spacing w:line="360" w:lineRule="auto"/>
        <w:rPr>
          <w:rFonts w:cs="Arial"/>
          <w:szCs w:val="24"/>
        </w:rPr>
      </w:pPr>
      <w:r w:rsidRPr="006D2C71">
        <w:rPr>
          <w:rFonts w:cs="Arial"/>
          <w:szCs w:val="24"/>
        </w:rPr>
        <w:t>Precision without support is of no use in overcoming these limitations. These are controlled by means of triangulation, stating scope limits and making qualified conclusions. Chapter 4 provides, therefore, patterns and comparisons that, in turn, are interpreted through the four lenses of the theories and whether support, qualification or an unresolved proposition can be made based on the available evidence is stated.</w:t>
      </w:r>
    </w:p>
    <w:p w14:paraId="7DDBC25B" w14:textId="06F30E0D" w:rsidR="00D8014E" w:rsidRDefault="00B064BB" w:rsidP="00B064BB">
      <w:pPr>
        <w:spacing w:line="360" w:lineRule="auto"/>
      </w:pPr>
      <w:r w:rsidRPr="006D2C71">
        <w:rPr>
          <w:rFonts w:cs="Arial"/>
          <w:szCs w:val="24"/>
        </w:rPr>
        <w:t>The wording of findings was directed by three confidence labels. Where relevant, the independent scholarship was used in conjunction with the case evidence, with 'strongly supported', 'supported but conditional', and 'indicative' applied, as appropriate. These labels were used as writing controls rather than scores. They rendered uncertainty tangible, lowered the risk of pay-off for the brand in terms of the degree of disclosure, and endorsed proportionate recommendations, in which results with low confidence levels allow for cautious testing, but not assertive claims</w:t>
      </w:r>
      <w:r w:rsidR="00232011">
        <w:t>.</w:t>
      </w:r>
    </w:p>
    <w:p w14:paraId="72BC0A87" w14:textId="77777777" w:rsidR="00D8014E" w:rsidRDefault="00D8014E">
      <w:pPr>
        <w:spacing w:line="360" w:lineRule="auto"/>
      </w:pPr>
    </w:p>
    <w:p w14:paraId="32ECC56B" w14:textId="3500E7BD" w:rsidR="00D8014E" w:rsidRDefault="00232011" w:rsidP="005C5AA4">
      <w:pPr>
        <w:pStyle w:val="Heading1"/>
      </w:pPr>
      <w:bookmarkStart w:id="65" w:name="_Toc239604321"/>
      <w:bookmarkStart w:id="66" w:name="_Toc240989725"/>
      <w:r>
        <w:lastRenderedPageBreak/>
        <w:t>Chapter 4: Data Analysis</w:t>
      </w:r>
      <w:bookmarkEnd w:id="65"/>
      <w:r w:rsidR="00745CD7">
        <w:t xml:space="preserve"> and Findings</w:t>
      </w:r>
      <w:bookmarkEnd w:id="66"/>
    </w:p>
    <w:p w14:paraId="405E74C2" w14:textId="77777777" w:rsidR="00D8014E" w:rsidRDefault="00232011">
      <w:pPr>
        <w:pStyle w:val="Heading2"/>
      </w:pPr>
      <w:bookmarkStart w:id="67" w:name="_Toc239604322"/>
      <w:bookmarkStart w:id="68" w:name="_Toc240989726"/>
      <w:r>
        <w:t>4.1 Analytical overview</w:t>
      </w:r>
      <w:bookmarkEnd w:id="67"/>
      <w:bookmarkEnd w:id="68"/>
    </w:p>
    <w:p w14:paraId="4D2812D7" w14:textId="77777777" w:rsidR="00B064BB" w:rsidRPr="00206665" w:rsidRDefault="00B064BB" w:rsidP="00B064BB">
      <w:pPr>
        <w:pStyle w:val="Heading4"/>
      </w:pPr>
      <w:r w:rsidRPr="00206665">
        <w:t>Figure 3: Composition of the Evidence Corpus</w:t>
      </w:r>
    </w:p>
    <w:p w14:paraId="15679581" w14:textId="77777777" w:rsidR="00B064BB" w:rsidRDefault="00B064BB" w:rsidP="00B064BB">
      <w:pPr>
        <w:jc w:val="center"/>
        <w:rPr>
          <w:noProof/>
        </w:rPr>
      </w:pPr>
    </w:p>
    <w:p w14:paraId="73641C19" w14:textId="77777777" w:rsidR="002453D5" w:rsidRDefault="002453D5" w:rsidP="00B064BB">
      <w:pPr>
        <w:jc w:val="center"/>
        <w:rPr>
          <w:noProof/>
        </w:rPr>
      </w:pPr>
    </w:p>
    <w:p w14:paraId="41DF2FB5" w14:textId="69656F1A" w:rsidR="00B064BB" w:rsidRDefault="00B064BB" w:rsidP="00B064BB">
      <w:pPr>
        <w:jc w:val="center"/>
      </w:pPr>
      <w:r>
        <w:rPr>
          <w:noProof/>
        </w:rPr>
        <w:drawing>
          <wp:inline distT="0" distB="0" distL="0" distR="0" wp14:anchorId="2A361549" wp14:editId="6AAA379D">
            <wp:extent cx="5668196" cy="409575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9-12 at 12.24.29 AM (1)(1).jpeg"/>
                    <pic:cNvPicPr/>
                  </pic:nvPicPr>
                  <pic:blipFill rotWithShape="1">
                    <a:blip r:embed="rId21"/>
                    <a:srcRect t="5790" b="5112"/>
                    <a:stretch/>
                  </pic:blipFill>
                  <pic:spPr bwMode="auto">
                    <a:xfrm>
                      <a:off x="0" y="0"/>
                      <a:ext cx="5669280" cy="4096533"/>
                    </a:xfrm>
                    <a:prstGeom prst="rect">
                      <a:avLst/>
                    </a:prstGeom>
                    <a:ln>
                      <a:noFill/>
                    </a:ln>
                    <a:extLst>
                      <a:ext uri="{53640926-AAD7-44D8-BBD7-CCE9431645EC}">
                        <a14:shadowObscured xmlns:a14="http://schemas.microsoft.com/office/drawing/2010/main"/>
                      </a:ext>
                    </a:extLst>
                  </pic:spPr>
                </pic:pic>
              </a:graphicData>
            </a:graphic>
          </wp:inline>
        </w:drawing>
      </w:r>
    </w:p>
    <w:p w14:paraId="61D60CFA" w14:textId="2CA593D3" w:rsidR="002453D5" w:rsidRPr="002453D5" w:rsidRDefault="002453D5" w:rsidP="002453D5">
      <w:pPr>
        <w:jc w:val="center"/>
        <w:rPr>
          <w:i/>
          <w:iCs/>
        </w:rPr>
      </w:pPr>
      <w:r>
        <w:rPr>
          <w:i/>
          <w:iCs/>
        </w:rPr>
        <w:t>Source: Author</w:t>
      </w:r>
    </w:p>
    <w:p w14:paraId="5D5E03E9" w14:textId="77777777" w:rsidR="002453D5" w:rsidRPr="006D2C71" w:rsidRDefault="002453D5" w:rsidP="002453D5">
      <w:pPr>
        <w:spacing w:line="360" w:lineRule="auto"/>
        <w:rPr>
          <w:rFonts w:cs="Arial"/>
          <w:szCs w:val="24"/>
        </w:rPr>
      </w:pPr>
      <w:r w:rsidRPr="006D2C71">
        <w:rPr>
          <w:rFonts w:cs="Arial"/>
          <w:szCs w:val="24"/>
        </w:rPr>
        <w:t xml:space="preserve">The thematic synthesis resulted in four interrelated patterns: (1) </w:t>
      </w:r>
      <w:proofErr w:type="spellStart"/>
      <w:r w:rsidRPr="006D2C71">
        <w:rPr>
          <w:rFonts w:cs="Arial"/>
          <w:szCs w:val="24"/>
        </w:rPr>
        <w:t>glocal</w:t>
      </w:r>
      <w:proofErr w:type="spellEnd"/>
      <w:r w:rsidRPr="006D2C71">
        <w:rPr>
          <w:rFonts w:cs="Arial"/>
          <w:szCs w:val="24"/>
        </w:rPr>
        <w:t xml:space="preserve"> identity and cultural legitimacy; (2) culturally legible customer experience; (3) digitally mediated convenience and reciprocity; and (4) credible communication, inclusion and responsibility. The statements in a corporate text in the 90-source corpus are considered to be evidence of reported practice and not causal findings or statistical ranking. There are also limitations in interpreting the market in the UK, with many identified brands competing for consumers and prices clearly visible, but a population with a diverse set of </w:t>
      </w:r>
      <w:r w:rsidRPr="006D2C71">
        <w:rPr>
          <w:rFonts w:cs="Arial"/>
          <w:szCs w:val="24"/>
        </w:rPr>
        <w:lastRenderedPageBreak/>
        <w:t>identities and usage opportunities (Office for National Statistics, 2022; World Coffee Portal, 2025).</w:t>
      </w:r>
    </w:p>
    <w:p w14:paraId="779A10FE" w14:textId="0C556FD4" w:rsidR="00D8014E" w:rsidRDefault="002453D5" w:rsidP="002453D5">
      <w:pPr>
        <w:spacing w:line="360" w:lineRule="auto"/>
      </w:pPr>
      <w:r w:rsidRPr="006D2C71">
        <w:rPr>
          <w:rFonts w:cs="Arial"/>
          <w:szCs w:val="24"/>
        </w:rPr>
        <w:t xml:space="preserve">There are different levels of interpretive confidence by theme, based on the type of source. Independent scholarship is the best evidence for general mechanisms, corporate evidence is the best evidence for current </w:t>
      </w:r>
      <w:proofErr w:type="spellStart"/>
      <w:r w:rsidRPr="006D2C71">
        <w:rPr>
          <w:rFonts w:cs="Arial"/>
          <w:szCs w:val="24"/>
        </w:rPr>
        <w:t>programme</w:t>
      </w:r>
      <w:proofErr w:type="spellEnd"/>
      <w:r w:rsidRPr="006D2C71">
        <w:rPr>
          <w:rFonts w:cs="Arial"/>
          <w:szCs w:val="24"/>
        </w:rPr>
        <w:t xml:space="preserve"> design and market evidence is the best evidence for sector size and competitive context. There is less contemporary evidence of UK consumer meaning. Thus a repeated corporate statement is not taken as a measure of consumer reaction in the UK, but as </w:t>
      </w:r>
      <w:proofErr w:type="spellStart"/>
      <w:r w:rsidRPr="006D2C71">
        <w:rPr>
          <w:rFonts w:cs="Arial"/>
          <w:szCs w:val="24"/>
        </w:rPr>
        <w:t>programme</w:t>
      </w:r>
      <w:proofErr w:type="spellEnd"/>
      <w:r w:rsidRPr="006D2C71">
        <w:rPr>
          <w:rFonts w:cs="Arial"/>
          <w:szCs w:val="24"/>
        </w:rPr>
        <w:t xml:space="preserve"> visibility, and an international consumer study is not taken as a measure of consumer response in the UK, but as mechanism evidence. The confidence is highest when the independent research supports an established case practice and other competing explanations are less convincing</w:t>
      </w:r>
      <w:r w:rsidR="00232011">
        <w:t>.</w:t>
      </w:r>
    </w:p>
    <w:p w14:paraId="6C8ADE71" w14:textId="77777777" w:rsidR="00D8014E" w:rsidRDefault="00232011">
      <w:pPr>
        <w:pStyle w:val="Heading2"/>
      </w:pPr>
      <w:bookmarkStart w:id="69" w:name="_Toc239604323"/>
      <w:bookmarkStart w:id="70" w:name="_Toc240989727"/>
      <w:r>
        <w:t xml:space="preserve">4.2 Theme 1: </w:t>
      </w:r>
      <w:proofErr w:type="spellStart"/>
      <w:r>
        <w:t>glocal</w:t>
      </w:r>
      <w:proofErr w:type="spellEnd"/>
      <w:r>
        <w:t xml:space="preserve"> identity and cultural legitimacy</w:t>
      </w:r>
      <w:bookmarkEnd w:id="69"/>
      <w:bookmarkEnd w:id="70"/>
      <w:r>
        <w:t xml:space="preserve"> </w:t>
      </w:r>
    </w:p>
    <w:p w14:paraId="4CE598D9" w14:textId="77777777" w:rsidR="002453D5" w:rsidRDefault="002453D5" w:rsidP="002453D5">
      <w:pPr>
        <w:pStyle w:val="Heading4"/>
      </w:pPr>
      <w:r w:rsidRPr="00206665">
        <w:t xml:space="preserve">Figure </w:t>
      </w:r>
      <w:r>
        <w:t>4</w:t>
      </w:r>
      <w:r w:rsidRPr="00206665">
        <w:t xml:space="preserve">: </w:t>
      </w:r>
      <w:r>
        <w:t>Reported UK Branded Coffee-Shop Outlets, January 2025</w:t>
      </w:r>
    </w:p>
    <w:p w14:paraId="78DA654F" w14:textId="77777777" w:rsidR="002453D5" w:rsidRDefault="002453D5" w:rsidP="002453D5">
      <w:pPr>
        <w:jc w:val="center"/>
        <w:rPr>
          <w:noProof/>
        </w:rPr>
      </w:pPr>
    </w:p>
    <w:p w14:paraId="1F258A29" w14:textId="003B2A82" w:rsidR="002453D5" w:rsidRDefault="002453D5" w:rsidP="002453D5">
      <w:pPr>
        <w:jc w:val="center"/>
      </w:pPr>
      <w:r>
        <w:rPr>
          <w:noProof/>
        </w:rPr>
        <w:drawing>
          <wp:inline distT="0" distB="0" distL="0" distR="0" wp14:anchorId="7E320BC0" wp14:editId="6C547C8D">
            <wp:extent cx="5668282" cy="3594100"/>
            <wp:effectExtent l="0" t="0" r="889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9-12 at 12.24.29 AM(1).jpeg"/>
                    <pic:cNvPicPr/>
                  </pic:nvPicPr>
                  <pic:blipFill rotWithShape="1">
                    <a:blip r:embed="rId22"/>
                    <a:srcRect t="5314" b="7826"/>
                    <a:stretch/>
                  </pic:blipFill>
                  <pic:spPr bwMode="auto">
                    <a:xfrm>
                      <a:off x="0" y="0"/>
                      <a:ext cx="5669280" cy="3594733"/>
                    </a:xfrm>
                    <a:prstGeom prst="rect">
                      <a:avLst/>
                    </a:prstGeom>
                    <a:ln>
                      <a:noFill/>
                    </a:ln>
                    <a:extLst>
                      <a:ext uri="{53640926-AAD7-44D8-BBD7-CCE9431645EC}">
                        <a14:shadowObscured xmlns:a14="http://schemas.microsoft.com/office/drawing/2010/main"/>
                      </a:ext>
                    </a:extLst>
                  </pic:spPr>
                </pic:pic>
              </a:graphicData>
            </a:graphic>
          </wp:inline>
        </w:drawing>
      </w:r>
    </w:p>
    <w:p w14:paraId="5455C5A7" w14:textId="44B6F729" w:rsidR="002453D5" w:rsidRPr="00C22855" w:rsidRDefault="002453D5" w:rsidP="00C22855">
      <w:pPr>
        <w:spacing w:line="360" w:lineRule="auto"/>
        <w:jc w:val="center"/>
        <w:rPr>
          <w:i/>
          <w:iCs/>
        </w:rPr>
      </w:pPr>
      <w:r w:rsidRPr="00C22855">
        <w:rPr>
          <w:i/>
          <w:iCs/>
        </w:rPr>
        <w:t>Source: World Coffee Portal (</w:t>
      </w:r>
      <w:r w:rsidRPr="00C22855">
        <w:rPr>
          <w:rFonts w:cs="Arial"/>
          <w:i/>
          <w:iCs/>
          <w:szCs w:val="24"/>
        </w:rPr>
        <w:t>2025)</w:t>
      </w:r>
      <w:r w:rsidRPr="00C22855">
        <w:rPr>
          <w:i/>
          <w:iCs/>
        </w:rPr>
        <w:t>, as reported in chapter 4</w:t>
      </w:r>
    </w:p>
    <w:p w14:paraId="72FD4E4C" w14:textId="77777777" w:rsidR="00C22855" w:rsidRPr="006D2C71" w:rsidRDefault="00C22855" w:rsidP="00C22855">
      <w:pPr>
        <w:spacing w:line="360" w:lineRule="auto"/>
        <w:rPr>
          <w:rFonts w:cs="Arial"/>
          <w:szCs w:val="24"/>
        </w:rPr>
      </w:pPr>
      <w:r w:rsidRPr="006D2C71">
        <w:rPr>
          <w:rFonts w:cs="Arial"/>
          <w:szCs w:val="24"/>
        </w:rPr>
        <w:lastRenderedPageBreak/>
        <w:t xml:space="preserve">Evidence in the Starbucks case demonstrates a global continuity of brand and a selective </w:t>
      </w:r>
      <w:proofErr w:type="spellStart"/>
      <w:r w:rsidRPr="006D2C71">
        <w:rPr>
          <w:rFonts w:cs="Arial"/>
          <w:szCs w:val="24"/>
        </w:rPr>
        <w:t>localisation</w:t>
      </w:r>
      <w:proofErr w:type="spellEnd"/>
      <w:r w:rsidRPr="006D2C71">
        <w:rPr>
          <w:rFonts w:cs="Arial"/>
          <w:szCs w:val="24"/>
        </w:rPr>
        <w:t xml:space="preserve"> of the brand in the UK. These are the </w:t>
      </w:r>
      <w:proofErr w:type="spellStart"/>
      <w:r w:rsidRPr="006D2C71">
        <w:rPr>
          <w:rFonts w:cs="Arial"/>
          <w:szCs w:val="24"/>
        </w:rPr>
        <w:t>recognisable</w:t>
      </w:r>
      <w:proofErr w:type="spellEnd"/>
      <w:r w:rsidRPr="006D2C71">
        <w:rPr>
          <w:rFonts w:cs="Arial"/>
          <w:szCs w:val="24"/>
        </w:rPr>
        <w:t xml:space="preserve"> codes that the company has maintained across the globe, including the Starbucks name, siren mark and Starbucks coffeehouse language within a larger platform which is reported annually (Starbucks Corporation, 2025). This platform is supported by community communication and accessibility projects in the UK. The pattern is not wholesale adaptation, but rather selected relationship practices become locally meaningful, while key brand codes are retained. The literature on perceived </w:t>
      </w:r>
      <w:proofErr w:type="spellStart"/>
      <w:r w:rsidRPr="006D2C71">
        <w:rPr>
          <w:rFonts w:cs="Arial"/>
          <w:szCs w:val="24"/>
        </w:rPr>
        <w:t>globalness</w:t>
      </w:r>
      <w:proofErr w:type="spellEnd"/>
      <w:r w:rsidRPr="006D2C71">
        <w:rPr>
          <w:rFonts w:cs="Arial"/>
          <w:szCs w:val="24"/>
        </w:rPr>
        <w:t xml:space="preserve"> indicates that it can help to enhance quality and credibility, but this is dependent on the context and the consumer's interpretation (</w:t>
      </w:r>
      <w:proofErr w:type="spellStart"/>
      <w:r w:rsidRPr="006D2C71">
        <w:rPr>
          <w:rFonts w:cs="Arial"/>
          <w:szCs w:val="24"/>
        </w:rPr>
        <w:t>Mandler</w:t>
      </w:r>
      <w:proofErr w:type="spellEnd"/>
      <w:r w:rsidRPr="006D2C71">
        <w:rPr>
          <w:rFonts w:cs="Arial"/>
          <w:szCs w:val="24"/>
        </w:rPr>
        <w:t xml:space="preserve"> et al., 2021).</w:t>
      </w:r>
    </w:p>
    <w:p w14:paraId="7AB1A5CD" w14:textId="77777777" w:rsidR="00C22855" w:rsidRPr="006D2C71" w:rsidRDefault="00C22855" w:rsidP="00C22855">
      <w:pPr>
        <w:spacing w:line="360" w:lineRule="auto"/>
        <w:rPr>
          <w:rFonts w:cs="Arial"/>
          <w:szCs w:val="24"/>
        </w:rPr>
      </w:pPr>
      <w:r w:rsidRPr="006D2C71">
        <w:rPr>
          <w:rFonts w:cs="Arial"/>
          <w:szCs w:val="24"/>
        </w:rPr>
        <w:t xml:space="preserve">From different assets, Costa's first record of documented identity starts. Its official history traces its origin to London in 1971 when Sergio and Bruno Costa established it and associates the brand with Italian coffee mastery and the Mocha Italia blend (Costa Coffee, no date c). It is an </w:t>
      </w:r>
      <w:proofErr w:type="spellStart"/>
      <w:r w:rsidRPr="006D2C71">
        <w:rPr>
          <w:rFonts w:cs="Arial"/>
          <w:szCs w:val="24"/>
        </w:rPr>
        <w:t>embeddedness</w:t>
      </w:r>
      <w:proofErr w:type="spellEnd"/>
      <w:r w:rsidRPr="006D2C71">
        <w:rPr>
          <w:rFonts w:cs="Arial"/>
          <w:szCs w:val="24"/>
        </w:rPr>
        <w:t xml:space="preserve"> story in the UK, with an international category heritage. It can help alleviate the need to make explicit claims of '</w:t>
      </w:r>
      <w:proofErr w:type="spellStart"/>
      <w:r w:rsidRPr="006D2C71">
        <w:rPr>
          <w:rFonts w:cs="Arial"/>
          <w:szCs w:val="24"/>
        </w:rPr>
        <w:t>Britishness</w:t>
      </w:r>
      <w:proofErr w:type="spellEnd"/>
      <w:r w:rsidRPr="006D2C71">
        <w:rPr>
          <w:rFonts w:cs="Arial"/>
          <w:szCs w:val="24"/>
        </w:rPr>
        <w:t>' but does not preclude the heritage narrative being kept current and believable. The sources document the brand's origin and positioning, but not necessarily that all UK consumers perceive the story as a true one.</w:t>
      </w:r>
    </w:p>
    <w:p w14:paraId="0C32B4C5" w14:textId="77777777" w:rsidR="00C22855" w:rsidRPr="006D2C71" w:rsidRDefault="00C22855" w:rsidP="00C22855">
      <w:pPr>
        <w:spacing w:line="360" w:lineRule="auto"/>
        <w:rPr>
          <w:rFonts w:cs="Arial"/>
          <w:szCs w:val="24"/>
        </w:rPr>
      </w:pPr>
      <w:r w:rsidRPr="006D2C71">
        <w:rPr>
          <w:rFonts w:cs="Arial"/>
          <w:szCs w:val="24"/>
        </w:rPr>
        <w:t xml:space="preserve">In both instances local legitimacy is relational. Yet Starbucks can be seen as legitimate in the local community by offering them something they need and can relate to, and Costa can sound like a company or </w:t>
      </w:r>
      <w:proofErr w:type="spellStart"/>
      <w:r w:rsidRPr="006D2C71">
        <w:rPr>
          <w:rFonts w:cs="Arial"/>
          <w:szCs w:val="24"/>
        </w:rPr>
        <w:t>standardised</w:t>
      </w:r>
      <w:proofErr w:type="spellEnd"/>
      <w:r w:rsidRPr="006D2C71">
        <w:rPr>
          <w:rFonts w:cs="Arial"/>
          <w:szCs w:val="24"/>
        </w:rPr>
        <w:t xml:space="preserve"> because of its history in the UK. Independent research shows that cues from both the global and local environment can lead to trust and identity expression and affect (</w:t>
      </w:r>
      <w:proofErr w:type="spellStart"/>
      <w:r w:rsidRPr="006D2C71">
        <w:rPr>
          <w:rFonts w:cs="Arial"/>
          <w:szCs w:val="24"/>
        </w:rPr>
        <w:t>Xie</w:t>
      </w:r>
      <w:proofErr w:type="spellEnd"/>
      <w:r w:rsidRPr="006D2C71">
        <w:rPr>
          <w:rFonts w:cs="Arial"/>
          <w:szCs w:val="24"/>
        </w:rPr>
        <w:t xml:space="preserve"> et al., 2015; </w:t>
      </w:r>
      <w:proofErr w:type="spellStart"/>
      <w:r w:rsidRPr="006D2C71">
        <w:rPr>
          <w:rFonts w:cs="Arial"/>
          <w:szCs w:val="24"/>
        </w:rPr>
        <w:t>Özsomer</w:t>
      </w:r>
      <w:proofErr w:type="spellEnd"/>
      <w:r w:rsidRPr="006D2C71">
        <w:rPr>
          <w:rFonts w:cs="Arial"/>
          <w:szCs w:val="24"/>
        </w:rPr>
        <w:t xml:space="preserve">, 2012). The biggest challenge lies in keeping enough continuity to be </w:t>
      </w:r>
      <w:proofErr w:type="spellStart"/>
      <w:r w:rsidRPr="006D2C71">
        <w:rPr>
          <w:rFonts w:cs="Arial"/>
          <w:szCs w:val="24"/>
        </w:rPr>
        <w:t>recognised</w:t>
      </w:r>
      <w:proofErr w:type="spellEnd"/>
      <w:r w:rsidRPr="006D2C71">
        <w:rPr>
          <w:rFonts w:cs="Arial"/>
          <w:szCs w:val="24"/>
        </w:rPr>
        <w:t>, whilst getting legitimacy through operations and relationships over and over again. A one-off, or local, message is only weakly supported by the seasons, as it means that the visibility doesn't mean that it has been experienced for relevance.</w:t>
      </w:r>
    </w:p>
    <w:p w14:paraId="104D9075" w14:textId="77777777" w:rsidR="00C22855" w:rsidRPr="006D2C71" w:rsidRDefault="00C22855" w:rsidP="00C22855">
      <w:pPr>
        <w:spacing w:line="360" w:lineRule="auto"/>
        <w:rPr>
          <w:rFonts w:cs="Arial"/>
          <w:szCs w:val="24"/>
        </w:rPr>
      </w:pPr>
      <w:r w:rsidRPr="006D2C71">
        <w:rPr>
          <w:rFonts w:cs="Arial"/>
          <w:szCs w:val="24"/>
        </w:rPr>
        <w:t xml:space="preserve">A negative pattern is also key. Value pressure cannot be solved in a national origin or on a global scale. According to World Coffee Portal (2025) value consciousness is a key aspect of the UK market and prestige or heritage may not be significant if the value </w:t>
      </w:r>
      <w:r w:rsidRPr="006D2C71">
        <w:rPr>
          <w:rFonts w:cs="Arial"/>
          <w:szCs w:val="24"/>
        </w:rPr>
        <w:lastRenderedPageBreak/>
        <w:t xml:space="preserve">exchange is low. Independent cafes may also offer counter positioned symbolism of corporate brands (Thompson and </w:t>
      </w:r>
      <w:proofErr w:type="spellStart"/>
      <w:r w:rsidRPr="006D2C71">
        <w:rPr>
          <w:rFonts w:cs="Arial"/>
          <w:szCs w:val="24"/>
        </w:rPr>
        <w:t>Arsel</w:t>
      </w:r>
      <w:proofErr w:type="spellEnd"/>
      <w:r w:rsidRPr="006D2C71">
        <w:rPr>
          <w:rFonts w:cs="Arial"/>
          <w:szCs w:val="24"/>
        </w:rPr>
        <w:t xml:space="preserve">, 2004). Cultural legitimacy is therefore best thought of as supported but conditional – it can contribute to positive relationships but to loyalty, experience, </w:t>
      </w:r>
      <w:proofErr w:type="gramStart"/>
      <w:r w:rsidRPr="006D2C71">
        <w:rPr>
          <w:rFonts w:cs="Arial"/>
          <w:szCs w:val="24"/>
        </w:rPr>
        <w:t>value</w:t>
      </w:r>
      <w:proofErr w:type="gramEnd"/>
      <w:r w:rsidRPr="006D2C71">
        <w:rPr>
          <w:rFonts w:cs="Arial"/>
          <w:szCs w:val="24"/>
        </w:rPr>
        <w:t xml:space="preserve"> and context matter.</w:t>
      </w:r>
    </w:p>
    <w:p w14:paraId="44DC3C10" w14:textId="0AAB9666" w:rsidR="00D8014E" w:rsidRDefault="00C22855" w:rsidP="00C22855">
      <w:pPr>
        <w:spacing w:line="360" w:lineRule="auto"/>
      </w:pPr>
      <w:r w:rsidRPr="006D2C71">
        <w:rPr>
          <w:rFonts w:cs="Arial"/>
          <w:szCs w:val="24"/>
        </w:rPr>
        <w:t xml:space="preserve">A multicultural market is especially lacking in </w:t>
      </w:r>
      <w:proofErr w:type="spellStart"/>
      <w:r w:rsidRPr="006D2C71">
        <w:rPr>
          <w:rFonts w:cs="Arial"/>
          <w:szCs w:val="24"/>
        </w:rPr>
        <w:t>localisation</w:t>
      </w:r>
      <w:proofErr w:type="spellEnd"/>
      <w:r w:rsidRPr="006D2C71">
        <w:rPr>
          <w:rFonts w:cs="Arial"/>
          <w:szCs w:val="24"/>
        </w:rPr>
        <w:t xml:space="preserve"> of the token since no single national motif can be used to represent people with local, </w:t>
      </w:r>
      <w:proofErr w:type="spellStart"/>
      <w:r w:rsidRPr="006D2C71">
        <w:rPr>
          <w:rFonts w:cs="Arial"/>
          <w:szCs w:val="24"/>
        </w:rPr>
        <w:t>diasporic</w:t>
      </w:r>
      <w:proofErr w:type="spellEnd"/>
      <w:r w:rsidRPr="006D2C71">
        <w:rPr>
          <w:rFonts w:cs="Arial"/>
          <w:szCs w:val="24"/>
        </w:rPr>
        <w:t>, professional, generational, and global affiliations. There are two key points to make about the meanings attached to consumption: firstly, they are not wholly created by the firm, but co-produced through their practice. Then the more convincing adaptation in the case material is capability-based, accessible interaction, locally useful partnerships, flexible formats and space for consumers to appropriate the brand. This will help facilitate an ongoing learning process locally, rather than a schedule of ‘cultural campaigns' that the same consumer can appreciate on one day and another brand on another and will still appreciate on yet another day, and so on</w:t>
      </w:r>
      <w:r w:rsidR="00232011">
        <w:t>.</w:t>
      </w:r>
    </w:p>
    <w:p w14:paraId="4FF90608" w14:textId="77777777" w:rsidR="00D8014E" w:rsidRDefault="00232011">
      <w:pPr>
        <w:pStyle w:val="Heading2"/>
      </w:pPr>
      <w:bookmarkStart w:id="71" w:name="_Toc239604324"/>
      <w:bookmarkStart w:id="72" w:name="_Toc240989728"/>
      <w:r>
        <w:t>4.3 Theme 2: culturally legible customer experience</w:t>
      </w:r>
      <w:bookmarkEnd w:id="71"/>
      <w:bookmarkEnd w:id="72"/>
    </w:p>
    <w:p w14:paraId="7C9413D5" w14:textId="77777777" w:rsidR="00C22855" w:rsidRPr="006D2C71" w:rsidRDefault="00C22855" w:rsidP="00C22855">
      <w:pPr>
        <w:spacing w:line="360" w:lineRule="auto"/>
        <w:rPr>
          <w:rFonts w:cs="Arial"/>
          <w:szCs w:val="24"/>
        </w:rPr>
      </w:pPr>
      <w:r w:rsidRPr="006D2C71">
        <w:rPr>
          <w:rFonts w:cs="Arial"/>
          <w:szCs w:val="24"/>
        </w:rPr>
        <w:t xml:space="preserve">While both brands provide experiences in both physical and digital </w:t>
      </w:r>
      <w:proofErr w:type="spellStart"/>
      <w:r w:rsidRPr="006D2C71">
        <w:rPr>
          <w:rFonts w:cs="Arial"/>
          <w:szCs w:val="24"/>
        </w:rPr>
        <w:t>touchpoints</w:t>
      </w:r>
      <w:proofErr w:type="spellEnd"/>
      <w:r w:rsidRPr="006D2C71">
        <w:rPr>
          <w:rFonts w:cs="Arial"/>
          <w:szCs w:val="24"/>
        </w:rPr>
        <w:t xml:space="preserve">, there are hints of differences in their emphases. Although Starbucks maintains a coffeehouse model all over the world, community and accessibility projects are </w:t>
      </w:r>
      <w:proofErr w:type="spellStart"/>
      <w:r w:rsidRPr="006D2C71">
        <w:rPr>
          <w:rFonts w:cs="Arial"/>
          <w:szCs w:val="24"/>
        </w:rPr>
        <w:t>emphasised</w:t>
      </w:r>
      <w:proofErr w:type="spellEnd"/>
      <w:r w:rsidRPr="006D2C71">
        <w:rPr>
          <w:rFonts w:cs="Arial"/>
          <w:szCs w:val="24"/>
        </w:rPr>
        <w:t xml:space="preserve"> in the UK. Costa brings a long track record to the UK and his widespread high-street and format reach. According to industry data, the number of outlets in Costa reached 2,671 in January 2025 and 1,354 outlets for Starbucks, but this data does not correspond directly with the company's reported outlets due to the difference in dates, ownership definitions and reporting scope (World Coffee Portal, 2025).</w:t>
      </w:r>
    </w:p>
    <w:p w14:paraId="57C9C2FF" w14:textId="77777777" w:rsidR="00C22855" w:rsidRPr="006D2C71" w:rsidRDefault="00C22855" w:rsidP="00C22855">
      <w:pPr>
        <w:spacing w:line="360" w:lineRule="auto"/>
        <w:rPr>
          <w:rFonts w:cs="Arial"/>
          <w:szCs w:val="24"/>
        </w:rPr>
      </w:pPr>
      <w:r w:rsidRPr="006D2C71">
        <w:rPr>
          <w:rFonts w:cs="Arial"/>
          <w:szCs w:val="24"/>
        </w:rPr>
        <w:t xml:space="preserve">Starbucks has 1,304 shops in the UK/EMEA region and a gross profit of £144.3 million, revenue of £556.3 million and operating loss of £29.8 million for the fiscal year ending September 2025 (Starbucks, 2026). The accounting numbers are not indicators of loyalty, and a comparison of numbers of stores operated by companies and industries further underscores the importance of caution in terms of definition and scope. They do, however, demonstrate that </w:t>
      </w:r>
      <w:proofErr w:type="spellStart"/>
      <w:r w:rsidRPr="006D2C71">
        <w:rPr>
          <w:rFonts w:cs="Arial"/>
          <w:szCs w:val="24"/>
        </w:rPr>
        <w:t>recognisable</w:t>
      </w:r>
      <w:proofErr w:type="spellEnd"/>
      <w:r w:rsidRPr="006D2C71">
        <w:rPr>
          <w:rFonts w:cs="Arial"/>
          <w:szCs w:val="24"/>
        </w:rPr>
        <w:t xml:space="preserve"> brand assets and market presence can exist </w:t>
      </w:r>
      <w:r w:rsidRPr="006D2C71">
        <w:rPr>
          <w:rFonts w:cs="Arial"/>
          <w:szCs w:val="24"/>
        </w:rPr>
        <w:lastRenderedPageBreak/>
        <w:t>alongside operational and commercial pressures – culturally resonant marketing can't make up for commercial and operational performance.</w:t>
      </w:r>
    </w:p>
    <w:p w14:paraId="724A8AC6" w14:textId="77777777" w:rsidR="00C22855" w:rsidRPr="006D2C71" w:rsidRDefault="00C22855" w:rsidP="00C22855">
      <w:pPr>
        <w:spacing w:line="360" w:lineRule="auto"/>
        <w:rPr>
          <w:rFonts w:cs="Arial"/>
          <w:szCs w:val="24"/>
        </w:rPr>
      </w:pPr>
      <w:r w:rsidRPr="006D2C71">
        <w:rPr>
          <w:rFonts w:cs="Arial"/>
          <w:szCs w:val="24"/>
        </w:rPr>
        <w:t xml:space="preserve">The experience research has highlighted that a designed atmosphere is evaluated by consumers not in isolation but more as part of the journey (Lemon and </w:t>
      </w:r>
      <w:proofErr w:type="spellStart"/>
      <w:r w:rsidRPr="006D2C71">
        <w:rPr>
          <w:rFonts w:cs="Arial"/>
          <w:szCs w:val="24"/>
        </w:rPr>
        <w:t>Verhoef</w:t>
      </w:r>
      <w:proofErr w:type="spellEnd"/>
      <w:r w:rsidRPr="006D2C71">
        <w:rPr>
          <w:rFonts w:cs="Arial"/>
          <w:szCs w:val="24"/>
        </w:rPr>
        <w:t xml:space="preserve">, 2016; De Keyser et al., 2020). Thus, welcome, speed and seating need to be complemented with availability of the products and mobile ordering, and service recovery. Starbucks have rolled out Starbucks British Sign Language training for their store partners in the UK to enhance their interactions with Deaf and hard-of-hearing customers (Starbucks, 2024a). This reflects the existence of a defined inclusion </w:t>
      </w:r>
      <w:proofErr w:type="spellStart"/>
      <w:r w:rsidRPr="006D2C71">
        <w:rPr>
          <w:rFonts w:cs="Arial"/>
          <w:szCs w:val="24"/>
        </w:rPr>
        <w:t>programme</w:t>
      </w:r>
      <w:proofErr w:type="spellEnd"/>
      <w:r w:rsidRPr="006D2C71">
        <w:rPr>
          <w:rFonts w:cs="Arial"/>
          <w:szCs w:val="24"/>
        </w:rPr>
        <w:t xml:space="preserve"> and capability to deliver services that are relevant locally, but independent outcome data would be required to evidence effects on satisfaction or loyalty. Including is now an interpersonal service </w:t>
      </w:r>
      <w:proofErr w:type="spellStart"/>
      <w:r w:rsidRPr="006D2C71">
        <w:rPr>
          <w:rFonts w:cs="Arial"/>
          <w:szCs w:val="24"/>
        </w:rPr>
        <w:t>touchpoint</w:t>
      </w:r>
      <w:proofErr w:type="spellEnd"/>
      <w:r w:rsidRPr="006D2C71">
        <w:rPr>
          <w:rFonts w:cs="Arial"/>
          <w:szCs w:val="24"/>
        </w:rPr>
        <w:t>, which is significant analytically.</w:t>
      </w:r>
    </w:p>
    <w:p w14:paraId="30BABB7A" w14:textId="77777777" w:rsidR="00C22855" w:rsidRPr="006D2C71" w:rsidRDefault="00C22855" w:rsidP="00C22855">
      <w:pPr>
        <w:spacing w:line="360" w:lineRule="auto"/>
        <w:rPr>
          <w:rFonts w:cs="Arial"/>
          <w:szCs w:val="24"/>
        </w:rPr>
      </w:pPr>
      <w:r w:rsidRPr="006D2C71">
        <w:rPr>
          <w:rFonts w:cs="Arial"/>
          <w:szCs w:val="24"/>
        </w:rPr>
        <w:t>Even though there may be less effort or less uncertainty associated with using Costa, outlet density cannot be viewed as evidence of attitudinal commitment. Third Place means that commercial spaces can be conducive to social bonding, and for commuter kiosks or drive-through events, it's all about quickness and efficiency. The same brand should therefore be able to back up different experiential jobs in various formats. Quality seems to act as a threshold condition, which if not met, can stop people defecting, and memorable social and inclusive value can make a difference in what is memorable.</w:t>
      </w:r>
    </w:p>
    <w:p w14:paraId="6806C8A0" w14:textId="06B70061" w:rsidR="00D8014E" w:rsidRDefault="00C22855" w:rsidP="00C22855">
      <w:pPr>
        <w:spacing w:line="360" w:lineRule="auto"/>
      </w:pPr>
      <w:r w:rsidRPr="006D2C71">
        <w:rPr>
          <w:rFonts w:cs="Arial"/>
          <w:szCs w:val="24"/>
        </w:rPr>
        <w:t xml:space="preserve">Especially relevant to check for culturally responsive experience is when a service fails. Although </w:t>
      </w:r>
      <w:proofErr w:type="spellStart"/>
      <w:r w:rsidRPr="006D2C71">
        <w:rPr>
          <w:rFonts w:cs="Arial"/>
          <w:szCs w:val="24"/>
        </w:rPr>
        <w:t>standardised</w:t>
      </w:r>
      <w:proofErr w:type="spellEnd"/>
      <w:r w:rsidRPr="006D2C71">
        <w:rPr>
          <w:rFonts w:cs="Arial"/>
          <w:szCs w:val="24"/>
        </w:rPr>
        <w:t xml:space="preserve"> procedures can help to provide clarity, the elements of listening, discretion and recognition of the customer's situation are important for effective recovery. The public evidence selected cannot provide directly comparable UK recovery outcomes for the two brands – no case advantage can be claimed. But this does not discount the overall evidence that there is a relationship between frontline and managerial </w:t>
      </w:r>
      <w:proofErr w:type="spellStart"/>
      <w:r w:rsidRPr="006D2C71">
        <w:rPr>
          <w:rFonts w:cs="Arial"/>
          <w:szCs w:val="24"/>
        </w:rPr>
        <w:t>behaviour</w:t>
      </w:r>
      <w:proofErr w:type="spellEnd"/>
      <w:r w:rsidRPr="006D2C71">
        <w:rPr>
          <w:rFonts w:cs="Arial"/>
          <w:szCs w:val="24"/>
        </w:rPr>
        <w:t xml:space="preserve"> and trust (</w:t>
      </w:r>
      <w:proofErr w:type="spellStart"/>
      <w:r w:rsidRPr="006D2C71">
        <w:rPr>
          <w:rFonts w:cs="Arial"/>
          <w:szCs w:val="24"/>
        </w:rPr>
        <w:t>Sirdeshmukh</w:t>
      </w:r>
      <w:proofErr w:type="spellEnd"/>
      <w:r w:rsidRPr="006D2C71">
        <w:rPr>
          <w:rFonts w:cs="Arial"/>
          <w:szCs w:val="24"/>
        </w:rPr>
        <w:t xml:space="preserve"> et al., 2002). So the analysis moves away from brand level design, to daily and frequent use: clear queue information, respectful communication, allergen information, accessible seating, working communications channels and empowered recovery are more clear indicators of a brand promise being </w:t>
      </w:r>
      <w:proofErr w:type="spellStart"/>
      <w:r w:rsidRPr="006D2C71">
        <w:rPr>
          <w:rFonts w:cs="Arial"/>
          <w:szCs w:val="24"/>
        </w:rPr>
        <w:t>realised</w:t>
      </w:r>
      <w:proofErr w:type="spellEnd"/>
      <w:r w:rsidRPr="006D2C71">
        <w:rPr>
          <w:rFonts w:cs="Arial"/>
          <w:szCs w:val="24"/>
        </w:rPr>
        <w:t xml:space="preserve"> in actual use</w:t>
      </w:r>
      <w:r w:rsidR="00232011">
        <w:t>.</w:t>
      </w:r>
    </w:p>
    <w:p w14:paraId="674B8FF8" w14:textId="77777777" w:rsidR="00D8014E" w:rsidRDefault="00232011">
      <w:pPr>
        <w:pStyle w:val="Heading2"/>
      </w:pPr>
      <w:bookmarkStart w:id="73" w:name="_Toc240989729"/>
      <w:r>
        <w:lastRenderedPageBreak/>
        <w:t>4.4 Theme 3: digitally mediated convenience and reciprocity</w:t>
      </w:r>
      <w:bookmarkEnd w:id="73"/>
    </w:p>
    <w:p w14:paraId="25F44761" w14:textId="77777777" w:rsidR="00C22855" w:rsidRPr="006D2C71" w:rsidRDefault="00C22855" w:rsidP="00C22855">
      <w:pPr>
        <w:spacing w:line="360" w:lineRule="auto"/>
        <w:rPr>
          <w:rFonts w:cs="Arial"/>
          <w:szCs w:val="24"/>
        </w:rPr>
      </w:pPr>
      <w:r w:rsidRPr="006D2C71">
        <w:rPr>
          <w:rFonts w:cs="Arial"/>
          <w:szCs w:val="24"/>
        </w:rPr>
        <w:t xml:space="preserve">App-based loyalty programs are available with both brands. The terms for Starbucks Rewards UK are </w:t>
      </w:r>
      <w:proofErr w:type="spellStart"/>
      <w:r w:rsidRPr="006D2C71">
        <w:rPr>
          <w:rFonts w:cs="Arial"/>
          <w:szCs w:val="24"/>
        </w:rPr>
        <w:t>formalised</w:t>
      </w:r>
      <w:proofErr w:type="spellEnd"/>
      <w:r w:rsidRPr="006D2C71">
        <w:rPr>
          <w:rFonts w:cs="Arial"/>
          <w:szCs w:val="24"/>
        </w:rPr>
        <w:t xml:space="preserve"> in terms of eligibility to participate and the exchange rules, while Costa Club explain how the beans are collected, and what benefits come with them (Starbucks Coffee Company (UK) Limited, 2025; Costa Coffee, no date a). At the point of evidence cut-off, Costa had a reward for 10 beans, and Starbucks had stars that are associated with spending and reward thresholds. They can help to foster repeat business, but they also help to coordinate ordering, payments, and account communications throughout the customer journey.</w:t>
      </w:r>
    </w:p>
    <w:p w14:paraId="27630D09" w14:textId="77777777" w:rsidR="00C22855" w:rsidRPr="006D2C71" w:rsidRDefault="00C22855" w:rsidP="00C22855">
      <w:pPr>
        <w:spacing w:line="360" w:lineRule="auto"/>
        <w:rPr>
          <w:rFonts w:cs="Arial"/>
          <w:szCs w:val="24"/>
        </w:rPr>
      </w:pPr>
      <w:r w:rsidRPr="006D2C71">
        <w:rPr>
          <w:rFonts w:cs="Arial"/>
          <w:szCs w:val="24"/>
        </w:rPr>
        <w:t xml:space="preserve">Analyzing the issue is not about the app itself, but about what it means and how can it be used. Starbucks' consistency across different markets can be maintained with a coordinated digital platform, and the similarity of the 'bean' metaphor will make the </w:t>
      </w:r>
      <w:proofErr w:type="spellStart"/>
      <w:r w:rsidRPr="006D2C71">
        <w:rPr>
          <w:rFonts w:cs="Arial"/>
          <w:szCs w:val="24"/>
        </w:rPr>
        <w:t>programme</w:t>
      </w:r>
      <w:proofErr w:type="spellEnd"/>
      <w:r w:rsidRPr="006D2C71">
        <w:rPr>
          <w:rFonts w:cs="Arial"/>
          <w:szCs w:val="24"/>
        </w:rPr>
        <w:t xml:space="preserve"> directly related to the product category. When rewards are achievable and rules are clear, both </w:t>
      </w:r>
      <w:proofErr w:type="spellStart"/>
      <w:r w:rsidRPr="006D2C71">
        <w:rPr>
          <w:rFonts w:cs="Arial"/>
          <w:szCs w:val="24"/>
        </w:rPr>
        <w:t>programmes</w:t>
      </w:r>
      <w:proofErr w:type="spellEnd"/>
      <w:r w:rsidRPr="006D2C71">
        <w:rPr>
          <w:rFonts w:cs="Arial"/>
          <w:szCs w:val="24"/>
        </w:rPr>
        <w:t xml:space="preserve"> may lower the effort needed to make transactions and foster a feeling of reciprocity. The research on </w:t>
      </w:r>
      <w:proofErr w:type="spellStart"/>
      <w:r w:rsidRPr="006D2C71">
        <w:rPr>
          <w:rFonts w:cs="Arial"/>
          <w:szCs w:val="24"/>
        </w:rPr>
        <w:t>omnichannel</w:t>
      </w:r>
      <w:proofErr w:type="spellEnd"/>
      <w:r w:rsidRPr="006D2C71">
        <w:rPr>
          <w:rFonts w:cs="Arial"/>
          <w:szCs w:val="24"/>
        </w:rPr>
        <w:t xml:space="preserve"> suggests that being able to maintain continuity between the app and the store is crucial (Alexander and Kent, 2022), and the research on loyalty </w:t>
      </w:r>
      <w:proofErr w:type="spellStart"/>
      <w:r w:rsidRPr="006D2C71">
        <w:rPr>
          <w:rFonts w:cs="Arial"/>
          <w:szCs w:val="24"/>
        </w:rPr>
        <w:t>programmes</w:t>
      </w:r>
      <w:proofErr w:type="spellEnd"/>
      <w:r w:rsidRPr="006D2C71">
        <w:rPr>
          <w:rFonts w:cs="Arial"/>
          <w:szCs w:val="24"/>
        </w:rPr>
        <w:t xml:space="preserve"> demonstrates that </w:t>
      </w:r>
      <w:proofErr w:type="spellStart"/>
      <w:r w:rsidRPr="006D2C71">
        <w:rPr>
          <w:rFonts w:cs="Arial"/>
          <w:szCs w:val="24"/>
        </w:rPr>
        <w:t>behavioural</w:t>
      </w:r>
      <w:proofErr w:type="spellEnd"/>
      <w:r w:rsidRPr="006D2C71">
        <w:rPr>
          <w:rFonts w:cs="Arial"/>
          <w:szCs w:val="24"/>
        </w:rPr>
        <w:t xml:space="preserve"> impacts differ among consumers and loyalty </w:t>
      </w:r>
      <w:proofErr w:type="spellStart"/>
      <w:r w:rsidRPr="006D2C71">
        <w:rPr>
          <w:rFonts w:cs="Arial"/>
          <w:szCs w:val="24"/>
        </w:rPr>
        <w:t>programme</w:t>
      </w:r>
      <w:proofErr w:type="spellEnd"/>
      <w:r w:rsidRPr="006D2C71">
        <w:rPr>
          <w:rFonts w:cs="Arial"/>
          <w:szCs w:val="24"/>
        </w:rPr>
        <w:t xml:space="preserve"> designs (</w:t>
      </w:r>
      <w:proofErr w:type="spellStart"/>
      <w:r w:rsidRPr="006D2C71">
        <w:rPr>
          <w:rFonts w:cs="Arial"/>
          <w:szCs w:val="24"/>
        </w:rPr>
        <w:t>Dorotic</w:t>
      </w:r>
      <w:proofErr w:type="spellEnd"/>
      <w:r w:rsidRPr="006D2C71">
        <w:rPr>
          <w:rFonts w:cs="Arial"/>
          <w:szCs w:val="24"/>
        </w:rPr>
        <w:t xml:space="preserve"> et al., 2012).</w:t>
      </w:r>
    </w:p>
    <w:p w14:paraId="1DF7DFF9" w14:textId="77777777" w:rsidR="00C22855" w:rsidRPr="006D2C71" w:rsidRDefault="00C22855" w:rsidP="00C22855">
      <w:pPr>
        <w:spacing w:line="360" w:lineRule="auto"/>
        <w:rPr>
          <w:rFonts w:cs="Arial"/>
          <w:szCs w:val="24"/>
        </w:rPr>
      </w:pPr>
      <w:r w:rsidRPr="006D2C71">
        <w:rPr>
          <w:rFonts w:cs="Arial"/>
          <w:szCs w:val="24"/>
        </w:rPr>
        <w:t xml:space="preserve">Consequently, the presence of a mobile application does not mean that the user will be loyal to the brand: </w:t>
      </w:r>
      <w:proofErr w:type="spellStart"/>
      <w:r w:rsidRPr="006D2C71">
        <w:rPr>
          <w:rFonts w:cs="Arial"/>
          <w:szCs w:val="24"/>
        </w:rPr>
        <w:t>Çalyan</w:t>
      </w:r>
      <w:proofErr w:type="spellEnd"/>
      <w:r w:rsidRPr="006D2C71">
        <w:rPr>
          <w:rFonts w:cs="Arial"/>
          <w:szCs w:val="24"/>
        </w:rPr>
        <w:t xml:space="preserve"> et al. (2021) determined that, in the case of Starbucks in Turkey, mobile-application usage does not necessarily lead to loyalty; instead, location and product factors are more influential. This is a negative case which is in line with the difference between repeat </w:t>
      </w:r>
      <w:proofErr w:type="spellStart"/>
      <w:r w:rsidRPr="006D2C71">
        <w:rPr>
          <w:rFonts w:cs="Arial"/>
          <w:szCs w:val="24"/>
        </w:rPr>
        <w:t>behaviour</w:t>
      </w:r>
      <w:proofErr w:type="spellEnd"/>
      <w:r w:rsidRPr="006D2C71">
        <w:rPr>
          <w:rFonts w:cs="Arial"/>
          <w:szCs w:val="24"/>
        </w:rPr>
        <w:t xml:space="preserve"> and relative attitude. A local shop could </w:t>
      </w:r>
      <w:proofErr w:type="spellStart"/>
      <w:r w:rsidRPr="006D2C71">
        <w:rPr>
          <w:rFonts w:cs="Arial"/>
          <w:szCs w:val="24"/>
        </w:rPr>
        <w:t>incentivise</w:t>
      </w:r>
      <w:proofErr w:type="spellEnd"/>
      <w:r w:rsidRPr="006D2C71">
        <w:rPr>
          <w:rFonts w:cs="Arial"/>
          <w:szCs w:val="24"/>
        </w:rPr>
        <w:t xml:space="preserve"> the collecting of these rewards, without them being intimately connected, and a consumer might choose a brand that doesn't have an app. Digital metrics may thus overestimate the level of loyalty among app users and underestimate the level of loyalty among those who do not use apps.</w:t>
      </w:r>
    </w:p>
    <w:p w14:paraId="495814CB" w14:textId="77777777" w:rsidR="00C22855" w:rsidRPr="006D2C71" w:rsidRDefault="00C22855" w:rsidP="00C22855">
      <w:pPr>
        <w:spacing w:line="360" w:lineRule="auto"/>
        <w:rPr>
          <w:rFonts w:cs="Arial"/>
          <w:szCs w:val="24"/>
        </w:rPr>
      </w:pPr>
      <w:r w:rsidRPr="006D2C71">
        <w:rPr>
          <w:rFonts w:cs="Arial"/>
          <w:szCs w:val="24"/>
        </w:rPr>
        <w:t xml:space="preserve">The digital opportunity is qualified with privacy and fairness. While </w:t>
      </w:r>
      <w:proofErr w:type="spellStart"/>
      <w:r w:rsidRPr="006D2C71">
        <w:rPr>
          <w:rFonts w:cs="Arial"/>
          <w:szCs w:val="24"/>
        </w:rPr>
        <w:t>personalisation</w:t>
      </w:r>
      <w:proofErr w:type="spellEnd"/>
      <w:r w:rsidRPr="006D2C71">
        <w:rPr>
          <w:rFonts w:cs="Arial"/>
          <w:szCs w:val="24"/>
        </w:rPr>
        <w:t xml:space="preserve"> can make things more relevant, it can also make one more vulnerable if the data used are not appropriate (Aguirre et al., 2015). Expiry rules and inaccessible interfaces and app-only </w:t>
      </w:r>
      <w:r w:rsidRPr="006D2C71">
        <w:rPr>
          <w:rFonts w:cs="Arial"/>
          <w:szCs w:val="24"/>
        </w:rPr>
        <w:lastRenderedPageBreak/>
        <w:t xml:space="preserve">benefits can also cause an imbalance in distributing value. Thematic findings thus reflect a conditional pathway; digital tools have the potential to foster loyalty if they make it easier to stay a customer, offer clear reciprocity, and fit in with the service; conversely, they can erode trust if they feel manipulative, opaque and/or exclusionary. There is no directly comparable evidence in the corpus which demonstrates that either </w:t>
      </w:r>
      <w:proofErr w:type="spellStart"/>
      <w:r w:rsidRPr="006D2C71">
        <w:rPr>
          <w:rFonts w:cs="Arial"/>
          <w:szCs w:val="24"/>
        </w:rPr>
        <w:t>programme</w:t>
      </w:r>
      <w:proofErr w:type="spellEnd"/>
      <w:r w:rsidRPr="006D2C71">
        <w:rPr>
          <w:rFonts w:cs="Arial"/>
          <w:szCs w:val="24"/>
        </w:rPr>
        <w:t xml:space="preserve"> leads to higher levels of loyalty toward the United Kingdom's attitudes.</w:t>
      </w:r>
    </w:p>
    <w:p w14:paraId="68D3C490" w14:textId="313B8710" w:rsidR="00D8014E" w:rsidRDefault="00C22855" w:rsidP="00C22855">
      <w:pPr>
        <w:spacing w:line="360" w:lineRule="auto"/>
      </w:pPr>
      <w:r w:rsidRPr="006D2C71">
        <w:rPr>
          <w:rFonts w:cs="Arial"/>
          <w:szCs w:val="24"/>
        </w:rPr>
        <w:t xml:space="preserve">Other unique aspects of the </w:t>
      </w:r>
      <w:proofErr w:type="spellStart"/>
      <w:r w:rsidRPr="006D2C71">
        <w:rPr>
          <w:rFonts w:cs="Arial"/>
          <w:szCs w:val="24"/>
        </w:rPr>
        <w:t>programmes</w:t>
      </w:r>
      <w:proofErr w:type="spellEnd"/>
      <w:r w:rsidRPr="006D2C71">
        <w:rPr>
          <w:rFonts w:cs="Arial"/>
          <w:szCs w:val="24"/>
        </w:rPr>
        <w:t xml:space="preserve"> are that they are made up of little symbolic words such as 'stars' which relate to Starbucks' reward identity around the world and 'beans' which relate to Costa Club and coffee products. Rules can be made easier to remember by metaphors, but not low attainability or low accessibility. While exchange structure is set out in published </w:t>
      </w:r>
      <w:proofErr w:type="spellStart"/>
      <w:r w:rsidRPr="006D2C71">
        <w:rPr>
          <w:rFonts w:cs="Arial"/>
          <w:szCs w:val="24"/>
        </w:rPr>
        <w:t>programme</w:t>
      </w:r>
      <w:proofErr w:type="spellEnd"/>
      <w:r w:rsidRPr="006D2C71">
        <w:rPr>
          <w:rFonts w:cs="Arial"/>
          <w:szCs w:val="24"/>
        </w:rPr>
        <w:t xml:space="preserve"> terms (Starbucks Coffee Company (UK) Limited, 2025; Costa Coffee, no date a), there are no cross-cultural equivalents for satisfaction, redemption or churn. Many factors are therefore considered as mediators including </w:t>
      </w:r>
      <w:proofErr w:type="spellStart"/>
      <w:r w:rsidRPr="006D2C71">
        <w:rPr>
          <w:rFonts w:cs="Arial"/>
          <w:szCs w:val="24"/>
        </w:rPr>
        <w:t>programme</w:t>
      </w:r>
      <w:proofErr w:type="spellEnd"/>
      <w:r w:rsidRPr="006D2C71">
        <w:rPr>
          <w:rFonts w:cs="Arial"/>
          <w:szCs w:val="24"/>
        </w:rPr>
        <w:t xml:space="preserve"> transparency, perceived fairness and channel accessibility. Future </w:t>
      </w:r>
      <w:proofErr w:type="spellStart"/>
      <w:r w:rsidRPr="006D2C71">
        <w:rPr>
          <w:rFonts w:cs="Arial"/>
          <w:szCs w:val="24"/>
        </w:rPr>
        <w:t>personalisation</w:t>
      </w:r>
      <w:proofErr w:type="spellEnd"/>
      <w:r w:rsidRPr="006D2C71">
        <w:rPr>
          <w:rFonts w:cs="Arial"/>
          <w:szCs w:val="24"/>
        </w:rPr>
        <w:t xml:space="preserve"> should be based on expressed preferences or events not inferring culture from names, locations or ethnic proxies</w:t>
      </w:r>
      <w:r w:rsidR="00232011">
        <w:t>.</w:t>
      </w:r>
    </w:p>
    <w:p w14:paraId="53B933CC" w14:textId="030501CA" w:rsidR="00C22855" w:rsidRDefault="00C22855" w:rsidP="00C22855">
      <w:pPr>
        <w:spacing w:line="360" w:lineRule="auto"/>
      </w:pPr>
    </w:p>
    <w:p w14:paraId="72224C57" w14:textId="58D77771" w:rsidR="00C22855" w:rsidRDefault="00C22855" w:rsidP="00C22855">
      <w:pPr>
        <w:spacing w:line="360" w:lineRule="auto"/>
      </w:pPr>
    </w:p>
    <w:p w14:paraId="5D0E0FE0" w14:textId="0F1B8F93" w:rsidR="00C22855" w:rsidRDefault="00C22855" w:rsidP="00C22855">
      <w:pPr>
        <w:spacing w:line="360" w:lineRule="auto"/>
      </w:pPr>
    </w:p>
    <w:p w14:paraId="2F5FB2C0" w14:textId="35B6C62D" w:rsidR="00C22855" w:rsidRDefault="00C22855" w:rsidP="00C22855">
      <w:pPr>
        <w:spacing w:line="360" w:lineRule="auto"/>
      </w:pPr>
    </w:p>
    <w:p w14:paraId="3FDD7960" w14:textId="4BECC7DD" w:rsidR="00C22855" w:rsidRDefault="00C22855" w:rsidP="00C22855">
      <w:pPr>
        <w:spacing w:line="360" w:lineRule="auto"/>
      </w:pPr>
    </w:p>
    <w:p w14:paraId="55BC4FDC" w14:textId="1B58CDB3" w:rsidR="00C22855" w:rsidRDefault="00C22855" w:rsidP="00C22855">
      <w:pPr>
        <w:spacing w:line="360" w:lineRule="auto"/>
      </w:pPr>
    </w:p>
    <w:p w14:paraId="38D8008E" w14:textId="038163F6" w:rsidR="00C22855" w:rsidRDefault="00C22855" w:rsidP="00C22855">
      <w:pPr>
        <w:spacing w:line="360" w:lineRule="auto"/>
      </w:pPr>
    </w:p>
    <w:p w14:paraId="15E4952F" w14:textId="2FDC66FD" w:rsidR="00C22855" w:rsidRDefault="00C22855" w:rsidP="00C22855">
      <w:pPr>
        <w:spacing w:line="360" w:lineRule="auto"/>
      </w:pPr>
    </w:p>
    <w:p w14:paraId="3567BDAB" w14:textId="77777777" w:rsidR="00C22855" w:rsidRDefault="00C22855" w:rsidP="00C22855">
      <w:pPr>
        <w:spacing w:line="360" w:lineRule="auto"/>
      </w:pPr>
    </w:p>
    <w:p w14:paraId="1F28A680" w14:textId="77777777" w:rsidR="00D8014E" w:rsidRDefault="00232011">
      <w:pPr>
        <w:pStyle w:val="Heading2"/>
      </w:pPr>
      <w:bookmarkStart w:id="74" w:name="_Toc239604326"/>
      <w:bookmarkStart w:id="75" w:name="h_4_5_Theme_4__credible__2e42cee6"/>
      <w:bookmarkStart w:id="76" w:name="_Toc240989730"/>
      <w:r>
        <w:lastRenderedPageBreak/>
        <w:t>4.5 Theme 4: credible communication, inclusion and responsibility</w:t>
      </w:r>
      <w:bookmarkEnd w:id="74"/>
      <w:bookmarkEnd w:id="75"/>
      <w:bookmarkEnd w:id="76"/>
    </w:p>
    <w:p w14:paraId="0505223F" w14:textId="77777777" w:rsidR="00C22855" w:rsidRDefault="00C22855" w:rsidP="00C22855">
      <w:pPr>
        <w:pStyle w:val="Heading4"/>
      </w:pPr>
      <w:r w:rsidRPr="00206665">
        <w:t xml:space="preserve">Figure </w:t>
      </w:r>
      <w:r>
        <w:t>5</w:t>
      </w:r>
      <w:r w:rsidRPr="00206665">
        <w:t xml:space="preserve">: </w:t>
      </w:r>
      <w:r>
        <w:t>Thematic Structure of the Cross-Case Analysis</w:t>
      </w:r>
    </w:p>
    <w:p w14:paraId="56429990" w14:textId="77777777" w:rsidR="00C22855" w:rsidRDefault="00C22855" w:rsidP="00C22855">
      <w:pPr>
        <w:jc w:val="center"/>
        <w:rPr>
          <w:noProof/>
        </w:rPr>
      </w:pPr>
    </w:p>
    <w:p w14:paraId="30FF7599" w14:textId="28080207" w:rsidR="00C22855" w:rsidRDefault="00C22855" w:rsidP="005A3F05">
      <w:pPr>
        <w:jc w:val="center"/>
      </w:pPr>
      <w:r>
        <w:rPr>
          <w:noProof/>
        </w:rPr>
        <w:drawing>
          <wp:inline distT="0" distB="0" distL="0" distR="0" wp14:anchorId="534F3696" wp14:editId="1E78E8EC">
            <wp:extent cx="5929644" cy="3162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9-12 at 12.24.30 AM (1)(1).jpeg"/>
                    <pic:cNvPicPr/>
                  </pic:nvPicPr>
                  <pic:blipFill rotWithShape="1">
                    <a:blip r:embed="rId23"/>
                    <a:srcRect t="13681" b="6022"/>
                    <a:stretch/>
                  </pic:blipFill>
                  <pic:spPr bwMode="auto">
                    <a:xfrm>
                      <a:off x="0" y="0"/>
                      <a:ext cx="5951581" cy="3173999"/>
                    </a:xfrm>
                    <a:prstGeom prst="rect">
                      <a:avLst/>
                    </a:prstGeom>
                    <a:ln>
                      <a:noFill/>
                    </a:ln>
                    <a:extLst>
                      <a:ext uri="{53640926-AAD7-44D8-BBD7-CCE9431645EC}">
                        <a14:shadowObscured xmlns:a14="http://schemas.microsoft.com/office/drawing/2010/main"/>
                      </a:ext>
                    </a:extLst>
                  </pic:spPr>
                </pic:pic>
              </a:graphicData>
            </a:graphic>
          </wp:inline>
        </w:drawing>
      </w:r>
    </w:p>
    <w:p w14:paraId="0D471D42" w14:textId="1C60621A" w:rsidR="00C22855" w:rsidRPr="00C22855" w:rsidRDefault="00C22855" w:rsidP="00C22855">
      <w:pPr>
        <w:spacing w:line="360" w:lineRule="auto"/>
        <w:jc w:val="center"/>
        <w:rPr>
          <w:i/>
          <w:iCs/>
        </w:rPr>
      </w:pPr>
      <w:r w:rsidRPr="00C22855">
        <w:rPr>
          <w:i/>
          <w:iCs/>
        </w:rPr>
        <w:t>Source: Author</w:t>
      </w:r>
    </w:p>
    <w:p w14:paraId="685EE5C3" w14:textId="77777777" w:rsidR="005A3F05" w:rsidRPr="006D2C71" w:rsidRDefault="005A3F05" w:rsidP="005A3F05">
      <w:pPr>
        <w:spacing w:line="360" w:lineRule="auto"/>
        <w:rPr>
          <w:rFonts w:cs="Arial"/>
          <w:szCs w:val="24"/>
        </w:rPr>
      </w:pPr>
      <w:r w:rsidRPr="006D2C71">
        <w:rPr>
          <w:rFonts w:cs="Arial"/>
          <w:szCs w:val="24"/>
        </w:rPr>
        <w:t xml:space="preserve">Both companies have responsible sourcing and environmental </w:t>
      </w:r>
      <w:proofErr w:type="spellStart"/>
      <w:r w:rsidRPr="006D2C71">
        <w:rPr>
          <w:rFonts w:cs="Arial"/>
          <w:szCs w:val="24"/>
        </w:rPr>
        <w:t>programmes</w:t>
      </w:r>
      <w:proofErr w:type="spellEnd"/>
      <w:r w:rsidRPr="006D2C71">
        <w:rPr>
          <w:rFonts w:cs="Arial"/>
          <w:szCs w:val="24"/>
        </w:rPr>
        <w:t>; this evidence is organizational and not consumer based. Starbucks uses the terms C.A.F.E Practices as an ethical-sourcing framework and claims that over 99 per cent of its coffee is sourced from farms or supply chains that adhere to C.A.F.E Practices (Starbucks, 2024b; Starbucks, 2025). Rainforest Alliance certification for coffee supplied to the UK (Costa reports Rainforest Alliance certification for the coffee supplied to the UK and aims to reduce their emissions per serving by 50 per cent by 2030 from a 2019 baseline (Costa Coffee, no date b; Costa Coffee, 2022). The Coca-Cola Company have included further corporate context regarding certified sourcing of green coffees in their annual report, The Coca-Cola Company (2026).</w:t>
      </w:r>
    </w:p>
    <w:p w14:paraId="1BA161E1" w14:textId="77777777" w:rsidR="005A3F05" w:rsidRPr="006D2C71" w:rsidRDefault="005A3F05" w:rsidP="005A3F05">
      <w:pPr>
        <w:spacing w:line="360" w:lineRule="auto"/>
        <w:rPr>
          <w:rFonts w:cs="Arial"/>
          <w:szCs w:val="24"/>
        </w:rPr>
      </w:pPr>
      <w:r w:rsidRPr="006D2C71">
        <w:rPr>
          <w:rFonts w:cs="Arial"/>
          <w:szCs w:val="24"/>
        </w:rPr>
        <w:t xml:space="preserve">These claims vary across their scope of measurement, metric and level of assurance, and cannot be aggregated into a single brand rank. Starbucks has committed to compliance with its sourcing framework while Costa has committed to certification and an emissions-intensity target. Both types of evidence show the structure of </w:t>
      </w:r>
      <w:proofErr w:type="spellStart"/>
      <w:r w:rsidRPr="006D2C71">
        <w:rPr>
          <w:rFonts w:cs="Arial"/>
          <w:szCs w:val="24"/>
        </w:rPr>
        <w:t>programmes</w:t>
      </w:r>
      <w:proofErr w:type="spellEnd"/>
      <w:r w:rsidRPr="006D2C71">
        <w:rPr>
          <w:rFonts w:cs="Arial"/>
          <w:szCs w:val="24"/>
        </w:rPr>
        <w:t xml:space="preserve"> and </w:t>
      </w:r>
      <w:r w:rsidRPr="006D2C71">
        <w:rPr>
          <w:rFonts w:cs="Arial"/>
          <w:szCs w:val="24"/>
        </w:rPr>
        <w:lastRenderedPageBreak/>
        <w:t xml:space="preserve">not consumer beliefs or actual loyalty. The statutory accounts for the year ended December 2024, whilst providing context for the company, are not standalone evidence of marketing effectiveness (Costa Limited, 2025). If ethical communication is to play a role in building trust, there needs to be a clear distinction between </w:t>
      </w:r>
      <w:proofErr w:type="spellStart"/>
      <w:r w:rsidRPr="006D2C71">
        <w:rPr>
          <w:rFonts w:cs="Arial"/>
          <w:szCs w:val="24"/>
        </w:rPr>
        <w:t>programme</w:t>
      </w:r>
      <w:proofErr w:type="spellEnd"/>
      <w:r w:rsidRPr="006D2C71">
        <w:rPr>
          <w:rFonts w:cs="Arial"/>
          <w:szCs w:val="24"/>
        </w:rPr>
        <w:t xml:space="preserve"> evidence and consumer outcomes.</w:t>
      </w:r>
    </w:p>
    <w:p w14:paraId="1934A7C4" w14:textId="77777777" w:rsidR="005A3F05" w:rsidRPr="006D2C71" w:rsidRDefault="005A3F05" w:rsidP="005A3F05">
      <w:pPr>
        <w:spacing w:line="360" w:lineRule="auto"/>
        <w:rPr>
          <w:rFonts w:cs="Arial"/>
          <w:szCs w:val="24"/>
        </w:rPr>
      </w:pPr>
      <w:r w:rsidRPr="006D2C71">
        <w:rPr>
          <w:rFonts w:cs="Arial"/>
          <w:szCs w:val="24"/>
        </w:rPr>
        <w:t>The bridge that is identified in the literature is Authenticity. Environmental communication that is consistent with values and claims can contribute to brand trust (</w:t>
      </w:r>
      <w:proofErr w:type="spellStart"/>
      <w:r w:rsidRPr="006D2C71">
        <w:rPr>
          <w:rFonts w:cs="Arial"/>
          <w:szCs w:val="24"/>
        </w:rPr>
        <w:t>Morhart</w:t>
      </w:r>
      <w:proofErr w:type="spellEnd"/>
      <w:r w:rsidRPr="006D2C71">
        <w:rPr>
          <w:rFonts w:cs="Arial"/>
          <w:szCs w:val="24"/>
        </w:rPr>
        <w:t xml:space="preserve"> et al., 2015; Portal et al., 2019) and environmental communication that is selective and poorly structured can generate perceptions of </w:t>
      </w:r>
      <w:proofErr w:type="spellStart"/>
      <w:r w:rsidRPr="006D2C71">
        <w:rPr>
          <w:rFonts w:cs="Arial"/>
          <w:szCs w:val="24"/>
        </w:rPr>
        <w:t>greenwashing</w:t>
      </w:r>
      <w:proofErr w:type="spellEnd"/>
      <w:r w:rsidRPr="006D2C71">
        <w:rPr>
          <w:rFonts w:cs="Arial"/>
          <w:szCs w:val="24"/>
        </w:rPr>
        <w:t xml:space="preserve"> (de </w:t>
      </w:r>
      <w:proofErr w:type="spellStart"/>
      <w:r w:rsidRPr="006D2C71">
        <w:rPr>
          <w:rFonts w:cs="Arial"/>
          <w:szCs w:val="24"/>
        </w:rPr>
        <w:t>Freitas</w:t>
      </w:r>
      <w:proofErr w:type="spellEnd"/>
      <w:r w:rsidRPr="006D2C71">
        <w:rPr>
          <w:rFonts w:cs="Arial"/>
          <w:szCs w:val="24"/>
        </w:rPr>
        <w:t xml:space="preserve"> </w:t>
      </w:r>
      <w:proofErr w:type="spellStart"/>
      <w:r w:rsidRPr="006D2C71">
        <w:rPr>
          <w:rFonts w:cs="Arial"/>
          <w:szCs w:val="24"/>
        </w:rPr>
        <w:t>Netto</w:t>
      </w:r>
      <w:proofErr w:type="spellEnd"/>
      <w:r w:rsidRPr="006D2C71">
        <w:rPr>
          <w:rFonts w:cs="Arial"/>
          <w:szCs w:val="24"/>
        </w:rPr>
        <w:t xml:space="preserve"> et al., 2020; Szabo and Webster, 2021). There is some independent UK evidence available to support the claims that has useful specificity in terms of named standards, baselines and targets in the available company evidence. So the general trust mechanism is highly endorsed and the brand specific loyalty pathway is indicative.</w:t>
      </w:r>
    </w:p>
    <w:p w14:paraId="1414D86E" w14:textId="77777777" w:rsidR="005A3F05" w:rsidRPr="006D2C71" w:rsidRDefault="005A3F05" w:rsidP="005A3F05">
      <w:pPr>
        <w:spacing w:line="360" w:lineRule="auto"/>
        <w:rPr>
          <w:rFonts w:cs="Arial"/>
          <w:szCs w:val="24"/>
        </w:rPr>
      </w:pPr>
      <w:r w:rsidRPr="006D2C71">
        <w:rPr>
          <w:rFonts w:cs="Arial"/>
          <w:szCs w:val="24"/>
        </w:rPr>
        <w:t xml:space="preserve">Inclusion takes responsibility for communication from supply-chain claims to service delivery. Starbucks' BSL training is a targeted adaptation to a defined community and a specific employee </w:t>
      </w:r>
      <w:proofErr w:type="spellStart"/>
      <w:r w:rsidRPr="006D2C71">
        <w:rPr>
          <w:rFonts w:cs="Arial"/>
          <w:szCs w:val="24"/>
        </w:rPr>
        <w:t>behaviour</w:t>
      </w:r>
      <w:proofErr w:type="spellEnd"/>
      <w:r w:rsidRPr="006D2C71">
        <w:rPr>
          <w:rFonts w:cs="Arial"/>
          <w:szCs w:val="24"/>
        </w:rPr>
        <w:t xml:space="preserve"> (Starbucks, 2024a). For Costa, there was less public evidence that was comparable, but this is not to be taken as an indication that this type of activity does not take place. Consumer involvement in a tangible commitment is the most convincing expression of cultural responsiveness. If there is no accessible service for a symbolic celebration, or if a sustainability message is not accompanied by tangible progress, the signal that is sent is weaker in terms of the relationship.</w:t>
      </w:r>
    </w:p>
    <w:p w14:paraId="5608D42F" w14:textId="7EBFBFB6" w:rsidR="00646B06" w:rsidRDefault="005A3F05" w:rsidP="005A3F05">
      <w:pPr>
        <w:spacing w:line="360" w:lineRule="auto"/>
      </w:pPr>
      <w:r w:rsidRPr="006D2C71">
        <w:rPr>
          <w:rFonts w:cs="Arial"/>
          <w:szCs w:val="24"/>
        </w:rPr>
        <w:t xml:space="preserve">One can measure the credibility of responsibility communication by the level of specificity, comparability and consequence. Specificity: Does a claim provide a definition of its scope, standard, and date? Comparability: Can consumers see progress over time and against other relevant choices? Consequence: Does failure to meet a standard result in corrective action? While the sourcing percentage and emissions baseline don't compare directly, Starbucks' sourcing percentage and Costa's emissions baseline give some credibility to otherwise broadly worded 'ethical coffee' claims (Starbucks, 2025; Costa Coffee, 2022). Independent research into the coffee sector also reveals that corporate sustainability strategies are far from uniform, and power is also unequal throughout the value chain </w:t>
      </w:r>
      <w:r w:rsidRPr="006D2C71">
        <w:rPr>
          <w:rFonts w:cs="Arial"/>
          <w:szCs w:val="24"/>
        </w:rPr>
        <w:lastRenderedPageBreak/>
        <w:t>(</w:t>
      </w:r>
      <w:proofErr w:type="spellStart"/>
      <w:r w:rsidRPr="006D2C71">
        <w:rPr>
          <w:rFonts w:cs="Arial"/>
          <w:szCs w:val="24"/>
        </w:rPr>
        <w:t>Bager</w:t>
      </w:r>
      <w:proofErr w:type="spellEnd"/>
      <w:r w:rsidRPr="006D2C71">
        <w:rPr>
          <w:rFonts w:cs="Arial"/>
          <w:szCs w:val="24"/>
        </w:rPr>
        <w:t xml:space="preserve"> and </w:t>
      </w:r>
      <w:proofErr w:type="spellStart"/>
      <w:r w:rsidRPr="006D2C71">
        <w:rPr>
          <w:rFonts w:cs="Arial"/>
          <w:szCs w:val="24"/>
        </w:rPr>
        <w:t>Lambin</w:t>
      </w:r>
      <w:proofErr w:type="spellEnd"/>
      <w:r w:rsidRPr="006D2C71">
        <w:rPr>
          <w:rFonts w:cs="Arial"/>
          <w:szCs w:val="24"/>
        </w:rPr>
        <w:t>, 2020; Grabs and Ponte, 2019). It is therefore the responsibility of the marketer to reveal limitations as well as progress along with trade-offs</w:t>
      </w:r>
      <w:r w:rsidR="00232011">
        <w:t>.</w:t>
      </w:r>
    </w:p>
    <w:p w14:paraId="110CAA0A" w14:textId="77777777" w:rsidR="00526E87" w:rsidRDefault="00526E87" w:rsidP="00526E87">
      <w:pPr>
        <w:pStyle w:val="Heading2"/>
      </w:pPr>
      <w:bookmarkStart w:id="77" w:name="_Toc239604327"/>
      <w:bookmarkStart w:id="78" w:name="_Toc240989731"/>
      <w:r>
        <w:t xml:space="preserve">4.6 Cross-case </w:t>
      </w:r>
      <w:r w:rsidRPr="00526E87">
        <w:t>synthesis</w:t>
      </w:r>
      <w:bookmarkEnd w:id="77"/>
      <w:bookmarkEnd w:id="78"/>
    </w:p>
    <w:p w14:paraId="4804D187" w14:textId="77777777" w:rsidR="005A3F05" w:rsidRPr="00206665" w:rsidRDefault="005A3F05" w:rsidP="005A3F05">
      <w:pPr>
        <w:pStyle w:val="Heading4"/>
      </w:pPr>
      <w:bookmarkStart w:id="79" w:name="_Hlk240985794"/>
      <w:r w:rsidRPr="00206665">
        <w:t xml:space="preserve">Figure </w:t>
      </w:r>
      <w:r>
        <w:t>6</w:t>
      </w:r>
      <w:r w:rsidRPr="00206665">
        <w:t xml:space="preserve">: </w:t>
      </w:r>
      <w:r>
        <w:t>Proposed Cross-Cultural Marketing-to-Loyalty Pathway</w:t>
      </w:r>
    </w:p>
    <w:p w14:paraId="7BE6F0B8" w14:textId="77777777" w:rsidR="005A3F05" w:rsidRDefault="005A3F05" w:rsidP="005A3F05">
      <w:pPr>
        <w:jc w:val="center"/>
        <w:rPr>
          <w:noProof/>
        </w:rPr>
      </w:pPr>
    </w:p>
    <w:p w14:paraId="65ADCA63" w14:textId="77777777" w:rsidR="005A3F05" w:rsidRDefault="005A3F05" w:rsidP="005A3F05">
      <w:pPr>
        <w:jc w:val="center"/>
        <w:rPr>
          <w:noProof/>
        </w:rPr>
      </w:pPr>
      <w:r>
        <w:rPr>
          <w:noProof/>
        </w:rPr>
        <w:drawing>
          <wp:inline distT="0" distB="0" distL="0" distR="0" wp14:anchorId="573A286E" wp14:editId="62F4E41A">
            <wp:extent cx="5956300" cy="1212138"/>
            <wp:effectExtent l="0" t="0" r="635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6_corrected.png"/>
                    <pic:cNvPicPr/>
                  </pic:nvPicPr>
                  <pic:blipFill rotWithShape="1">
                    <a:blip r:embed="rId24"/>
                    <a:srcRect t="17138" b="42151"/>
                    <a:stretch/>
                  </pic:blipFill>
                  <pic:spPr bwMode="auto">
                    <a:xfrm>
                      <a:off x="0" y="0"/>
                      <a:ext cx="6060901" cy="1233425"/>
                    </a:xfrm>
                    <a:prstGeom prst="rect">
                      <a:avLst/>
                    </a:prstGeom>
                    <a:ln>
                      <a:noFill/>
                    </a:ln>
                    <a:extLst>
                      <a:ext uri="{53640926-AAD7-44D8-BBD7-CCE9431645EC}">
                        <a14:shadowObscured xmlns:a14="http://schemas.microsoft.com/office/drawing/2010/main"/>
                      </a:ext>
                    </a:extLst>
                  </pic:spPr>
                </pic:pic>
              </a:graphicData>
            </a:graphic>
          </wp:inline>
        </w:drawing>
      </w:r>
    </w:p>
    <w:p w14:paraId="021F105B" w14:textId="76EB6B08" w:rsidR="005A3F05" w:rsidRPr="005A3F05" w:rsidRDefault="005A3F05" w:rsidP="005A3F05">
      <w:pPr>
        <w:jc w:val="center"/>
        <w:rPr>
          <w:i/>
          <w:iCs/>
        </w:rPr>
      </w:pPr>
      <w:r w:rsidRPr="005A3F05">
        <w:rPr>
          <w:i/>
          <w:iCs/>
        </w:rPr>
        <w:t>Source: Author</w:t>
      </w:r>
    </w:p>
    <w:bookmarkEnd w:id="79"/>
    <w:p w14:paraId="68787A23" w14:textId="77777777" w:rsidR="005A3F05" w:rsidRDefault="005A3F05" w:rsidP="005A3F05">
      <w:pPr>
        <w:pStyle w:val="Heading4"/>
      </w:pPr>
      <w:r>
        <w:t>Table 3. Cross-case thematic comparison</w:t>
      </w:r>
    </w:p>
    <w:tbl>
      <w:tblPr>
        <w:tblW w:w="9360" w:type="dxa"/>
        <w:jc w:val="center"/>
        <w:tblLayout w:type="fixed"/>
        <w:tblCellMar>
          <w:top w:w="80" w:type="dxa"/>
          <w:left w:w="90" w:type="dxa"/>
          <w:bottom w:w="80" w:type="dxa"/>
          <w:right w:w="90" w:type="dxa"/>
        </w:tblCellMar>
        <w:tblLook w:val="04A0" w:firstRow="1" w:lastRow="0" w:firstColumn="1" w:lastColumn="0" w:noHBand="0" w:noVBand="1"/>
      </w:tblPr>
      <w:tblGrid>
        <w:gridCol w:w="1551"/>
        <w:gridCol w:w="2600"/>
        <w:gridCol w:w="2600"/>
        <w:gridCol w:w="2609"/>
      </w:tblGrid>
      <w:tr w:rsidR="005A3F05" w14:paraId="788F373A" w14:textId="77777777" w:rsidTr="00D27030">
        <w:trPr>
          <w:cantSplit/>
          <w:tblHeader/>
          <w:jc w:val="center"/>
        </w:trPr>
        <w:tc>
          <w:tcPr>
            <w:tcW w:w="1550"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70F28274" w14:textId="77777777" w:rsidR="005A3F05" w:rsidRDefault="005A3F05" w:rsidP="00D27030">
            <w:pPr>
              <w:rPr>
                <w:sz w:val="20"/>
                <w:szCs w:val="20"/>
              </w:rPr>
            </w:pPr>
            <w:r>
              <w:rPr>
                <w:sz w:val="20"/>
                <w:szCs w:val="20"/>
              </w:rPr>
              <w:t>Theme</w:t>
            </w:r>
          </w:p>
        </w:tc>
        <w:tc>
          <w:tcPr>
            <w:tcW w:w="2600"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22839201" w14:textId="77777777" w:rsidR="005A3F05" w:rsidRDefault="005A3F05" w:rsidP="00D27030">
            <w:pPr>
              <w:rPr>
                <w:sz w:val="20"/>
                <w:szCs w:val="20"/>
              </w:rPr>
            </w:pPr>
            <w:r>
              <w:rPr>
                <w:sz w:val="20"/>
                <w:szCs w:val="20"/>
              </w:rPr>
              <w:t>Starbucks pattern</w:t>
            </w:r>
          </w:p>
        </w:tc>
        <w:tc>
          <w:tcPr>
            <w:tcW w:w="2600"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2C84FF90" w14:textId="77777777" w:rsidR="005A3F05" w:rsidRDefault="005A3F05" w:rsidP="00D27030">
            <w:pPr>
              <w:rPr>
                <w:sz w:val="20"/>
                <w:szCs w:val="20"/>
              </w:rPr>
            </w:pPr>
            <w:r>
              <w:rPr>
                <w:sz w:val="20"/>
                <w:szCs w:val="20"/>
              </w:rPr>
              <w:t>Costa pattern</w:t>
            </w:r>
          </w:p>
        </w:tc>
        <w:tc>
          <w:tcPr>
            <w:tcW w:w="2609"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054D10EE" w14:textId="77777777" w:rsidR="005A3F05" w:rsidRDefault="005A3F05" w:rsidP="00D27030">
            <w:pPr>
              <w:rPr>
                <w:sz w:val="20"/>
                <w:szCs w:val="20"/>
              </w:rPr>
            </w:pPr>
            <w:r>
              <w:rPr>
                <w:sz w:val="20"/>
                <w:szCs w:val="20"/>
              </w:rPr>
              <w:t>Comparative loyalty interpretation</w:t>
            </w:r>
          </w:p>
        </w:tc>
      </w:tr>
      <w:tr w:rsidR="005A3F05" w14:paraId="60E6C4FF" w14:textId="77777777" w:rsidTr="00D27030">
        <w:trPr>
          <w:cantSplit/>
          <w:jc w:val="center"/>
        </w:trPr>
        <w:tc>
          <w:tcPr>
            <w:tcW w:w="1550" w:type="dxa"/>
            <w:tcBorders>
              <w:top w:val="single" w:sz="4" w:space="0" w:color="AEBBC5"/>
              <w:left w:val="single" w:sz="4" w:space="0" w:color="AEBBC5"/>
              <w:bottom w:val="single" w:sz="4" w:space="0" w:color="AEBBC5"/>
              <w:right w:val="single" w:sz="4" w:space="0" w:color="AEBBC5"/>
            </w:tcBorders>
            <w:vAlign w:val="center"/>
          </w:tcPr>
          <w:p w14:paraId="294691D3" w14:textId="77777777" w:rsidR="005A3F05" w:rsidRDefault="005A3F05" w:rsidP="00D27030">
            <w:pPr>
              <w:rPr>
                <w:sz w:val="20"/>
                <w:szCs w:val="20"/>
              </w:rPr>
            </w:pPr>
            <w:proofErr w:type="spellStart"/>
            <w:r>
              <w:rPr>
                <w:sz w:val="20"/>
                <w:szCs w:val="20"/>
              </w:rPr>
              <w:t>Glocal</w:t>
            </w:r>
            <w:proofErr w:type="spellEnd"/>
            <w:r>
              <w:rPr>
                <w:sz w:val="20"/>
                <w:szCs w:val="20"/>
              </w:rPr>
              <w:t xml:space="preserve"> identity</w:t>
            </w:r>
          </w:p>
        </w:tc>
        <w:tc>
          <w:tcPr>
            <w:tcW w:w="2600" w:type="dxa"/>
            <w:tcBorders>
              <w:top w:val="single" w:sz="4" w:space="0" w:color="AEBBC5"/>
              <w:left w:val="single" w:sz="4" w:space="0" w:color="AEBBC5"/>
              <w:bottom w:val="single" w:sz="4" w:space="0" w:color="AEBBC5"/>
              <w:right w:val="single" w:sz="4" w:space="0" w:color="AEBBC5"/>
            </w:tcBorders>
            <w:vAlign w:val="center"/>
          </w:tcPr>
          <w:p w14:paraId="135518E8" w14:textId="77777777" w:rsidR="005A3F05" w:rsidRDefault="005A3F05" w:rsidP="00D27030">
            <w:pPr>
              <w:rPr>
                <w:sz w:val="20"/>
                <w:szCs w:val="20"/>
              </w:rPr>
            </w:pPr>
            <w:r>
              <w:rPr>
                <w:sz w:val="20"/>
                <w:szCs w:val="20"/>
              </w:rPr>
              <w:t xml:space="preserve">Strong global codes; selective UK relationship </w:t>
            </w:r>
            <w:proofErr w:type="spellStart"/>
            <w:r>
              <w:rPr>
                <w:sz w:val="20"/>
                <w:szCs w:val="20"/>
              </w:rPr>
              <w:t>localisation</w:t>
            </w:r>
            <w:proofErr w:type="spellEnd"/>
          </w:p>
        </w:tc>
        <w:tc>
          <w:tcPr>
            <w:tcW w:w="2600" w:type="dxa"/>
            <w:tcBorders>
              <w:top w:val="single" w:sz="4" w:space="0" w:color="AEBBC5"/>
              <w:left w:val="single" w:sz="4" w:space="0" w:color="AEBBC5"/>
              <w:bottom w:val="single" w:sz="4" w:space="0" w:color="AEBBC5"/>
              <w:right w:val="single" w:sz="4" w:space="0" w:color="AEBBC5"/>
            </w:tcBorders>
            <w:vAlign w:val="center"/>
          </w:tcPr>
          <w:p w14:paraId="42A93A2C" w14:textId="77777777" w:rsidR="005A3F05" w:rsidRDefault="005A3F05" w:rsidP="00D27030">
            <w:pPr>
              <w:rPr>
                <w:sz w:val="20"/>
                <w:szCs w:val="20"/>
              </w:rPr>
            </w:pPr>
            <w:r>
              <w:rPr>
                <w:sz w:val="20"/>
                <w:szCs w:val="20"/>
              </w:rPr>
              <w:t>London origin, Italian-inflected heritage and UK familiarity</w:t>
            </w:r>
          </w:p>
        </w:tc>
        <w:tc>
          <w:tcPr>
            <w:tcW w:w="2609" w:type="dxa"/>
            <w:tcBorders>
              <w:top w:val="single" w:sz="4" w:space="0" w:color="AEBBC5"/>
              <w:left w:val="single" w:sz="4" w:space="0" w:color="AEBBC5"/>
              <w:bottom w:val="single" w:sz="4" w:space="0" w:color="AEBBC5"/>
              <w:right w:val="single" w:sz="4" w:space="0" w:color="AEBBC5"/>
            </w:tcBorders>
            <w:vAlign w:val="center"/>
          </w:tcPr>
          <w:p w14:paraId="7129852B" w14:textId="77777777" w:rsidR="005A3F05" w:rsidRDefault="005A3F05" w:rsidP="00D27030">
            <w:pPr>
              <w:rPr>
                <w:sz w:val="20"/>
                <w:szCs w:val="20"/>
              </w:rPr>
            </w:pPr>
            <w:r>
              <w:rPr>
                <w:sz w:val="20"/>
                <w:szCs w:val="20"/>
              </w:rPr>
              <w:t>Both combine global/local cues; legitimacy is earned through delivery</w:t>
            </w:r>
          </w:p>
        </w:tc>
      </w:tr>
      <w:tr w:rsidR="005A3F05" w14:paraId="3C10DAA2" w14:textId="77777777" w:rsidTr="00D27030">
        <w:trPr>
          <w:cantSplit/>
          <w:jc w:val="center"/>
        </w:trPr>
        <w:tc>
          <w:tcPr>
            <w:tcW w:w="155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10204694" w14:textId="77777777" w:rsidR="005A3F05" w:rsidRDefault="005A3F05" w:rsidP="00D27030">
            <w:pPr>
              <w:rPr>
                <w:sz w:val="20"/>
                <w:szCs w:val="20"/>
              </w:rPr>
            </w:pPr>
            <w:r>
              <w:rPr>
                <w:sz w:val="20"/>
                <w:szCs w:val="20"/>
              </w:rPr>
              <w:t>Customer experience</w:t>
            </w:r>
          </w:p>
        </w:tc>
        <w:tc>
          <w:tcPr>
            <w:tcW w:w="260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41404A5F" w14:textId="77777777" w:rsidR="005A3F05" w:rsidRDefault="005A3F05" w:rsidP="00D27030">
            <w:pPr>
              <w:rPr>
                <w:sz w:val="20"/>
                <w:szCs w:val="20"/>
              </w:rPr>
            </w:pPr>
            <w:r>
              <w:rPr>
                <w:sz w:val="20"/>
                <w:szCs w:val="20"/>
              </w:rPr>
              <w:t>Visible global coffeehouse/third-place idea; UK accessibility initiative</w:t>
            </w:r>
          </w:p>
        </w:tc>
        <w:tc>
          <w:tcPr>
            <w:tcW w:w="260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5A71F79A" w14:textId="77777777" w:rsidR="005A3F05" w:rsidRDefault="005A3F05" w:rsidP="00D27030">
            <w:pPr>
              <w:rPr>
                <w:sz w:val="20"/>
                <w:szCs w:val="20"/>
              </w:rPr>
            </w:pPr>
            <w:r>
              <w:rPr>
                <w:sz w:val="20"/>
                <w:szCs w:val="20"/>
              </w:rPr>
              <w:t>Habitual familiarity and broad occasion/format relevance</w:t>
            </w:r>
          </w:p>
        </w:tc>
        <w:tc>
          <w:tcPr>
            <w:tcW w:w="2609"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6134A7A9" w14:textId="77777777" w:rsidR="005A3F05" w:rsidRDefault="005A3F05" w:rsidP="00D27030">
            <w:pPr>
              <w:rPr>
                <w:sz w:val="20"/>
                <w:szCs w:val="20"/>
              </w:rPr>
            </w:pPr>
            <w:r>
              <w:rPr>
                <w:sz w:val="20"/>
                <w:szCs w:val="20"/>
              </w:rPr>
              <w:t>Reliability is a threshold; inclusive and social value may differentiate</w:t>
            </w:r>
          </w:p>
        </w:tc>
      </w:tr>
      <w:tr w:rsidR="005A3F05" w14:paraId="0796FB74" w14:textId="77777777" w:rsidTr="00D27030">
        <w:trPr>
          <w:cantSplit/>
          <w:jc w:val="center"/>
        </w:trPr>
        <w:tc>
          <w:tcPr>
            <w:tcW w:w="1550" w:type="dxa"/>
            <w:tcBorders>
              <w:top w:val="single" w:sz="4" w:space="0" w:color="AEBBC5"/>
              <w:left w:val="single" w:sz="4" w:space="0" w:color="AEBBC5"/>
              <w:bottom w:val="single" w:sz="4" w:space="0" w:color="AEBBC5"/>
              <w:right w:val="single" w:sz="4" w:space="0" w:color="AEBBC5"/>
            </w:tcBorders>
            <w:vAlign w:val="center"/>
          </w:tcPr>
          <w:p w14:paraId="6DA04354" w14:textId="77777777" w:rsidR="005A3F05" w:rsidRDefault="005A3F05" w:rsidP="00D27030">
            <w:pPr>
              <w:rPr>
                <w:sz w:val="20"/>
                <w:szCs w:val="20"/>
              </w:rPr>
            </w:pPr>
            <w:r>
              <w:rPr>
                <w:sz w:val="20"/>
                <w:szCs w:val="20"/>
              </w:rPr>
              <w:t>Digital reciprocity</w:t>
            </w:r>
          </w:p>
        </w:tc>
        <w:tc>
          <w:tcPr>
            <w:tcW w:w="2600" w:type="dxa"/>
            <w:tcBorders>
              <w:top w:val="single" w:sz="4" w:space="0" w:color="AEBBC5"/>
              <w:left w:val="single" w:sz="4" w:space="0" w:color="AEBBC5"/>
              <w:bottom w:val="single" w:sz="4" w:space="0" w:color="AEBBC5"/>
              <w:right w:val="single" w:sz="4" w:space="0" w:color="AEBBC5"/>
            </w:tcBorders>
            <w:vAlign w:val="center"/>
          </w:tcPr>
          <w:p w14:paraId="3843DC7C" w14:textId="77777777" w:rsidR="005A3F05" w:rsidRDefault="005A3F05" w:rsidP="00D27030">
            <w:pPr>
              <w:rPr>
                <w:sz w:val="20"/>
                <w:szCs w:val="20"/>
              </w:rPr>
            </w:pPr>
            <w:r>
              <w:rPr>
                <w:sz w:val="20"/>
                <w:szCs w:val="20"/>
              </w:rPr>
              <w:t>Coordinated Rewards ecosystem and global digital identity</w:t>
            </w:r>
          </w:p>
        </w:tc>
        <w:tc>
          <w:tcPr>
            <w:tcW w:w="2600" w:type="dxa"/>
            <w:tcBorders>
              <w:top w:val="single" w:sz="4" w:space="0" w:color="AEBBC5"/>
              <w:left w:val="single" w:sz="4" w:space="0" w:color="AEBBC5"/>
              <w:bottom w:val="single" w:sz="4" w:space="0" w:color="AEBBC5"/>
              <w:right w:val="single" w:sz="4" w:space="0" w:color="AEBBC5"/>
            </w:tcBorders>
            <w:vAlign w:val="center"/>
          </w:tcPr>
          <w:p w14:paraId="1E6E5B56" w14:textId="77777777" w:rsidR="005A3F05" w:rsidRDefault="005A3F05" w:rsidP="00D27030">
            <w:pPr>
              <w:rPr>
                <w:sz w:val="20"/>
                <w:szCs w:val="20"/>
              </w:rPr>
            </w:pPr>
            <w:r>
              <w:rPr>
                <w:sz w:val="20"/>
                <w:szCs w:val="20"/>
              </w:rPr>
              <w:t>Costa Club's product-linked “bean” metaphor and habitual UK use</w:t>
            </w:r>
          </w:p>
        </w:tc>
        <w:tc>
          <w:tcPr>
            <w:tcW w:w="2609" w:type="dxa"/>
            <w:tcBorders>
              <w:top w:val="single" w:sz="4" w:space="0" w:color="AEBBC5"/>
              <w:left w:val="single" w:sz="4" w:space="0" w:color="AEBBC5"/>
              <w:bottom w:val="single" w:sz="4" w:space="0" w:color="AEBBC5"/>
              <w:right w:val="single" w:sz="4" w:space="0" w:color="AEBBC5"/>
            </w:tcBorders>
            <w:vAlign w:val="center"/>
          </w:tcPr>
          <w:p w14:paraId="0AB2C75D" w14:textId="77777777" w:rsidR="005A3F05" w:rsidRDefault="005A3F05" w:rsidP="00D27030">
            <w:pPr>
              <w:rPr>
                <w:sz w:val="20"/>
                <w:szCs w:val="20"/>
              </w:rPr>
            </w:pPr>
            <w:r>
              <w:rPr>
                <w:sz w:val="20"/>
                <w:szCs w:val="20"/>
              </w:rPr>
              <w:t>App participation can reflect convenience; fairness, access and privacy mediate trust</w:t>
            </w:r>
          </w:p>
        </w:tc>
      </w:tr>
      <w:tr w:rsidR="005A3F05" w14:paraId="75E7BC90" w14:textId="77777777" w:rsidTr="00D27030">
        <w:trPr>
          <w:cantSplit/>
          <w:jc w:val="center"/>
        </w:trPr>
        <w:tc>
          <w:tcPr>
            <w:tcW w:w="155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46393B40" w14:textId="77777777" w:rsidR="005A3F05" w:rsidRDefault="005A3F05" w:rsidP="00D27030">
            <w:pPr>
              <w:rPr>
                <w:sz w:val="20"/>
                <w:szCs w:val="20"/>
              </w:rPr>
            </w:pPr>
            <w:r>
              <w:rPr>
                <w:sz w:val="20"/>
                <w:szCs w:val="20"/>
              </w:rPr>
              <w:t>Credible responsibility</w:t>
            </w:r>
          </w:p>
        </w:tc>
        <w:tc>
          <w:tcPr>
            <w:tcW w:w="260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1CA2E33D" w14:textId="77777777" w:rsidR="005A3F05" w:rsidRDefault="005A3F05" w:rsidP="00D27030">
            <w:pPr>
              <w:rPr>
                <w:sz w:val="20"/>
                <w:szCs w:val="20"/>
              </w:rPr>
            </w:pPr>
            <w:r>
              <w:rPr>
                <w:sz w:val="20"/>
                <w:szCs w:val="20"/>
              </w:rPr>
              <w:t>C.A.F.E. Practices, impact reporting and visible BSL communication</w:t>
            </w:r>
          </w:p>
        </w:tc>
        <w:tc>
          <w:tcPr>
            <w:tcW w:w="260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2FF45E99" w14:textId="77777777" w:rsidR="005A3F05" w:rsidRDefault="005A3F05" w:rsidP="00D27030">
            <w:pPr>
              <w:rPr>
                <w:sz w:val="20"/>
                <w:szCs w:val="20"/>
              </w:rPr>
            </w:pPr>
            <w:r>
              <w:rPr>
                <w:sz w:val="20"/>
                <w:szCs w:val="20"/>
              </w:rPr>
              <w:t>Certified UK coffee sourcing and a 2030 per-serving climate target</w:t>
            </w:r>
          </w:p>
        </w:tc>
        <w:tc>
          <w:tcPr>
            <w:tcW w:w="2609"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4CDDD957" w14:textId="77777777" w:rsidR="005A3F05" w:rsidRDefault="005A3F05" w:rsidP="00D27030">
            <w:pPr>
              <w:rPr>
                <w:sz w:val="20"/>
                <w:szCs w:val="20"/>
              </w:rPr>
            </w:pPr>
            <w:proofErr w:type="spellStart"/>
            <w:r>
              <w:rPr>
                <w:sz w:val="20"/>
                <w:szCs w:val="20"/>
              </w:rPr>
              <w:t>Programme</w:t>
            </w:r>
            <w:proofErr w:type="spellEnd"/>
            <w:r>
              <w:rPr>
                <w:sz w:val="20"/>
                <w:szCs w:val="20"/>
              </w:rPr>
              <w:t xml:space="preserve"> evidence is not consumer outcome; specificity and consistency support authenticity</w:t>
            </w:r>
          </w:p>
        </w:tc>
      </w:tr>
    </w:tbl>
    <w:p w14:paraId="5639D7F9" w14:textId="77777777" w:rsidR="005A3F05" w:rsidRDefault="005A3F05" w:rsidP="005A3F05">
      <w:pPr>
        <w:jc w:val="center"/>
        <w:rPr>
          <w:i/>
          <w:iCs/>
        </w:rPr>
      </w:pPr>
      <w:r>
        <w:rPr>
          <w:i/>
          <w:iCs/>
        </w:rPr>
        <w:t>Source: Author</w:t>
      </w:r>
    </w:p>
    <w:p w14:paraId="199EE6F0" w14:textId="77777777" w:rsidR="005A3F05" w:rsidRPr="006D2C71" w:rsidRDefault="005A3F05" w:rsidP="005A3F05">
      <w:pPr>
        <w:spacing w:line="360" w:lineRule="auto"/>
        <w:rPr>
          <w:rFonts w:cs="Arial"/>
          <w:szCs w:val="24"/>
        </w:rPr>
      </w:pPr>
      <w:r w:rsidRPr="006D2C71">
        <w:rPr>
          <w:rFonts w:cs="Arial"/>
          <w:szCs w:val="24"/>
        </w:rPr>
        <w:t xml:space="preserve">The four themes are not individual motors, but rather a "configuration" of themes. Starbucks is known worldwide, and the uniformity of its digital identity and public communications can give predictability and relevance, yet the distance from the company </w:t>
      </w:r>
      <w:r w:rsidRPr="006D2C71">
        <w:rPr>
          <w:rFonts w:cs="Arial"/>
          <w:szCs w:val="24"/>
        </w:rPr>
        <w:lastRenderedPageBreak/>
        <w:t>and privacy issues as well as operational inconsistencies are risks. It is important that continued differentiation and evidence-based contemporary communication are alive and well, and that ease and belonging are supported by a familiarity, heritage and habitual accessibility. The strategic problem for both brands is to make the cultural sense tangible in terms of value and credible connections.</w:t>
      </w:r>
    </w:p>
    <w:p w14:paraId="5298F1A1" w14:textId="5032F4E4" w:rsidR="00D8014E" w:rsidRDefault="005A3F05" w:rsidP="005A3F05">
      <w:pPr>
        <w:spacing w:line="360" w:lineRule="auto"/>
      </w:pPr>
      <w:r w:rsidRPr="006D2C71">
        <w:rPr>
          <w:rFonts w:cs="Arial"/>
          <w:szCs w:val="24"/>
        </w:rPr>
        <w:t xml:space="preserve">In the themes, 3 types of loyalty outcome can be discerned. Outlet access, ease of ordering and level of reward are most directly related to </w:t>
      </w:r>
      <w:proofErr w:type="spellStart"/>
      <w:r w:rsidRPr="006D2C71">
        <w:rPr>
          <w:rFonts w:cs="Arial"/>
          <w:szCs w:val="24"/>
        </w:rPr>
        <w:t>behavioural</w:t>
      </w:r>
      <w:proofErr w:type="spellEnd"/>
      <w:r w:rsidRPr="006D2C71">
        <w:rPr>
          <w:rFonts w:cs="Arial"/>
          <w:szCs w:val="24"/>
        </w:rPr>
        <w:t xml:space="preserve"> continuity; attitudinal preference more </w:t>
      </w:r>
      <w:r w:rsidR="00D27030" w:rsidRPr="006D2C71">
        <w:rPr>
          <w:rFonts w:cs="Arial"/>
          <w:szCs w:val="24"/>
        </w:rPr>
        <w:t>too</w:t>
      </w:r>
      <w:r w:rsidRPr="006D2C71">
        <w:rPr>
          <w:rFonts w:cs="Arial"/>
          <w:szCs w:val="24"/>
        </w:rPr>
        <w:t xml:space="preserve"> distinctive meaning, satisfaction and authenticity; and advocacy to a higher level of trust. There is more evidence in the documents addressing designed conditions for repeat </w:t>
      </w:r>
      <w:proofErr w:type="spellStart"/>
      <w:r w:rsidRPr="006D2C71">
        <w:rPr>
          <w:rFonts w:cs="Arial"/>
          <w:szCs w:val="24"/>
        </w:rPr>
        <w:t>behaviours</w:t>
      </w:r>
      <w:proofErr w:type="spellEnd"/>
      <w:r w:rsidRPr="006D2C71">
        <w:rPr>
          <w:rFonts w:cs="Arial"/>
          <w:szCs w:val="24"/>
        </w:rPr>
        <w:t>, than addressing voluntary advocacy, which supports caution in using the term 'influence'. While both brands can encourage repeat purchases, evidence starts to get a bit weaker as it progresses from participation to commitment and advocacy. This distinction also implies that reach and/or transaction metrics must be interpreted in conjunction with complaint, trust and preference metrics. A more robust cross-cultural approach is one that breaks down barriers between identities and channels, but it isn't a loyalty pledge if a price, place, competitor or service failure is a better explanation</w:t>
      </w:r>
      <w:r w:rsidR="00232011">
        <w:t>.</w:t>
      </w:r>
    </w:p>
    <w:bookmarkEnd w:id="52"/>
    <w:p w14:paraId="2D9B4F0C" w14:textId="3A344BF0" w:rsidR="001152B0" w:rsidRDefault="001152B0">
      <w:pPr>
        <w:spacing w:line="360" w:lineRule="auto"/>
      </w:pPr>
    </w:p>
    <w:p w14:paraId="03520218" w14:textId="7C270644" w:rsidR="001152B0" w:rsidRDefault="001152B0">
      <w:pPr>
        <w:spacing w:line="360" w:lineRule="auto"/>
      </w:pPr>
    </w:p>
    <w:p w14:paraId="00285DB7" w14:textId="279FD507" w:rsidR="001152B0" w:rsidRDefault="001152B0">
      <w:pPr>
        <w:spacing w:line="360" w:lineRule="auto"/>
      </w:pPr>
    </w:p>
    <w:p w14:paraId="39BC3314" w14:textId="04005DB6" w:rsidR="001152B0" w:rsidRDefault="001152B0">
      <w:pPr>
        <w:spacing w:line="360" w:lineRule="auto"/>
      </w:pPr>
    </w:p>
    <w:p w14:paraId="1D17C19F" w14:textId="336BB493" w:rsidR="001152B0" w:rsidRDefault="001152B0">
      <w:pPr>
        <w:spacing w:line="360" w:lineRule="auto"/>
      </w:pPr>
    </w:p>
    <w:p w14:paraId="45FB2DA4" w14:textId="5012B5EF" w:rsidR="001152B0" w:rsidRDefault="001152B0">
      <w:pPr>
        <w:spacing w:line="360" w:lineRule="auto"/>
      </w:pPr>
    </w:p>
    <w:p w14:paraId="78DA64FE" w14:textId="6D6155F0" w:rsidR="001152B0" w:rsidRDefault="001152B0">
      <w:pPr>
        <w:spacing w:line="360" w:lineRule="auto"/>
      </w:pPr>
    </w:p>
    <w:p w14:paraId="4A2AC728" w14:textId="662723D1" w:rsidR="001152B0" w:rsidRDefault="001152B0">
      <w:pPr>
        <w:spacing w:line="360" w:lineRule="auto"/>
      </w:pPr>
    </w:p>
    <w:p w14:paraId="06960469" w14:textId="4433F0CF" w:rsidR="001152B0" w:rsidRDefault="001152B0">
      <w:pPr>
        <w:spacing w:line="360" w:lineRule="auto"/>
      </w:pPr>
    </w:p>
    <w:p w14:paraId="09890965" w14:textId="693A2D73" w:rsidR="001152B0" w:rsidRDefault="001152B0">
      <w:pPr>
        <w:spacing w:line="360" w:lineRule="auto"/>
      </w:pPr>
    </w:p>
    <w:p w14:paraId="17930BC3" w14:textId="77777777" w:rsidR="001152B0" w:rsidRDefault="001152B0" w:rsidP="001152B0">
      <w:pPr>
        <w:pStyle w:val="Heading1"/>
      </w:pPr>
      <w:bookmarkStart w:id="80" w:name="_Toc239609951"/>
      <w:bookmarkStart w:id="81" w:name="_Toc240989732"/>
      <w:r>
        <w:lastRenderedPageBreak/>
        <w:t>Chapter 5: Discussion</w:t>
      </w:r>
      <w:bookmarkEnd w:id="80"/>
      <w:bookmarkEnd w:id="81"/>
    </w:p>
    <w:p w14:paraId="7F36FB7F" w14:textId="77777777" w:rsidR="001152B0" w:rsidRDefault="001152B0" w:rsidP="001152B0">
      <w:pPr>
        <w:pStyle w:val="Heading2"/>
      </w:pPr>
      <w:bookmarkStart w:id="82" w:name="_Toc239604329"/>
      <w:bookmarkStart w:id="83" w:name="_Toc239609952"/>
      <w:bookmarkStart w:id="84" w:name="_Toc240989733"/>
      <w:r>
        <w:t>5.1 Answer to the overarching research question</w:t>
      </w:r>
      <w:bookmarkEnd w:id="82"/>
      <w:bookmarkEnd w:id="83"/>
      <w:bookmarkEnd w:id="84"/>
    </w:p>
    <w:p w14:paraId="45C44FD6" w14:textId="77777777" w:rsidR="007C6543" w:rsidRPr="00A23601" w:rsidRDefault="007C6543" w:rsidP="007C6543">
      <w:pPr>
        <w:spacing w:line="360" w:lineRule="auto"/>
        <w:rPr>
          <w:rFonts w:cs="Arial"/>
          <w:szCs w:val="24"/>
        </w:rPr>
      </w:pPr>
      <w:r w:rsidRPr="00A23601">
        <w:rPr>
          <w:rFonts w:cs="Arial"/>
          <w:szCs w:val="24"/>
        </w:rPr>
        <w:t xml:space="preserve">The general question is how there is a relationship between the cross cultural international marketing strategies and the UK's customer's brand loyalty towards Starbucks and Costa Coffee. The evidence leads to an indirect conditional answer. Global brand consistency and locally responsive marketing becomes loyalty relevant when consumers perceive the translation to be relevant and authentic, feel a sense of inclusion and reciprocity across the </w:t>
      </w:r>
      <w:proofErr w:type="spellStart"/>
      <w:r w:rsidRPr="00A23601">
        <w:rPr>
          <w:rFonts w:cs="Arial"/>
          <w:szCs w:val="24"/>
        </w:rPr>
        <w:t>touchpoints</w:t>
      </w:r>
      <w:proofErr w:type="spellEnd"/>
      <w:r w:rsidRPr="00A23601">
        <w:rPr>
          <w:rFonts w:cs="Arial"/>
          <w:szCs w:val="24"/>
        </w:rPr>
        <w:t xml:space="preserve">, and feel a sense of trust, satisfaction, identification, or commitment. These relational evaluations can lead to attitudinal preference and </w:t>
      </w:r>
      <w:proofErr w:type="spellStart"/>
      <w:r w:rsidRPr="00A23601">
        <w:rPr>
          <w:rFonts w:cs="Arial"/>
          <w:szCs w:val="24"/>
        </w:rPr>
        <w:t>behavioural</w:t>
      </w:r>
      <w:proofErr w:type="spellEnd"/>
      <w:r w:rsidRPr="00A23601">
        <w:rPr>
          <w:rFonts w:cs="Arial"/>
          <w:szCs w:val="24"/>
        </w:rPr>
        <w:t xml:space="preserve"> continuity and advocacy; the secondary evidence does not prove a direct causal effect. Adaptation in the symbolic, inconsistent or unavailable sense can, on the contrary, undermine trust.</w:t>
      </w:r>
    </w:p>
    <w:p w14:paraId="1737A21B" w14:textId="77777777" w:rsidR="007C6543" w:rsidRPr="00A23601" w:rsidRDefault="007C6543" w:rsidP="007C6543">
      <w:pPr>
        <w:spacing w:line="360" w:lineRule="auto"/>
        <w:rPr>
          <w:rFonts w:cs="Arial"/>
          <w:szCs w:val="24"/>
        </w:rPr>
      </w:pPr>
      <w:r w:rsidRPr="00A23601">
        <w:rPr>
          <w:rFonts w:cs="Arial"/>
          <w:szCs w:val="24"/>
        </w:rPr>
        <w:t xml:space="preserve">This conclusion is a nuance on the </w:t>
      </w:r>
      <w:proofErr w:type="spellStart"/>
      <w:r w:rsidRPr="00A23601">
        <w:rPr>
          <w:rFonts w:cs="Arial"/>
          <w:szCs w:val="24"/>
        </w:rPr>
        <w:t>standardisation</w:t>
      </w:r>
      <w:proofErr w:type="spellEnd"/>
      <w:r w:rsidRPr="00A23601">
        <w:rPr>
          <w:rFonts w:cs="Arial"/>
          <w:szCs w:val="24"/>
        </w:rPr>
        <w:t xml:space="preserve">/adaptation debate, and one that considers the strategy as a set of decisions – not an either-or proposition. Product, context to community, accessibility, formats and content can be adapted in a variety of ways, while brand names, visual codes and quality routines can continue to be </w:t>
      </w:r>
      <w:proofErr w:type="spellStart"/>
      <w:r w:rsidRPr="00A23601">
        <w:rPr>
          <w:rFonts w:cs="Arial"/>
          <w:szCs w:val="24"/>
        </w:rPr>
        <w:t>standardised</w:t>
      </w:r>
      <w:proofErr w:type="spellEnd"/>
      <w:r w:rsidRPr="00A23601">
        <w:rPr>
          <w:rFonts w:cs="Arial"/>
          <w:szCs w:val="24"/>
        </w:rPr>
        <w:t>. This is in line with contingency perspectives in international marketing (</w:t>
      </w:r>
      <w:proofErr w:type="spellStart"/>
      <w:r w:rsidRPr="00A23601">
        <w:rPr>
          <w:rFonts w:cs="Arial"/>
          <w:szCs w:val="24"/>
        </w:rPr>
        <w:t>Theodosiou</w:t>
      </w:r>
      <w:proofErr w:type="spellEnd"/>
      <w:r w:rsidRPr="00A23601">
        <w:rPr>
          <w:rFonts w:cs="Arial"/>
          <w:szCs w:val="24"/>
        </w:rPr>
        <w:t xml:space="preserve"> and </w:t>
      </w:r>
      <w:proofErr w:type="spellStart"/>
      <w:r w:rsidRPr="00A23601">
        <w:rPr>
          <w:rFonts w:cs="Arial"/>
          <w:szCs w:val="24"/>
        </w:rPr>
        <w:t>Leonidou</w:t>
      </w:r>
      <w:proofErr w:type="spellEnd"/>
      <w:r w:rsidRPr="00A23601">
        <w:rPr>
          <w:rFonts w:cs="Arial"/>
          <w:szCs w:val="24"/>
        </w:rPr>
        <w:t>, 2003) and also with some global-strategy studies which emphasize coordination rather than full uniformity (</w:t>
      </w:r>
      <w:proofErr w:type="spellStart"/>
      <w:r w:rsidRPr="00A23601">
        <w:rPr>
          <w:rFonts w:cs="Arial"/>
          <w:szCs w:val="24"/>
        </w:rPr>
        <w:t>Zou</w:t>
      </w:r>
      <w:proofErr w:type="spellEnd"/>
      <w:r w:rsidRPr="00A23601">
        <w:rPr>
          <w:rFonts w:cs="Arial"/>
          <w:szCs w:val="24"/>
        </w:rPr>
        <w:t xml:space="preserve"> and </w:t>
      </w:r>
      <w:proofErr w:type="spellStart"/>
      <w:r w:rsidRPr="00A23601">
        <w:rPr>
          <w:rFonts w:cs="Arial"/>
          <w:szCs w:val="24"/>
        </w:rPr>
        <w:t>Çavuşgil</w:t>
      </w:r>
      <w:proofErr w:type="spellEnd"/>
      <w:r w:rsidRPr="00A23601">
        <w:rPr>
          <w:rFonts w:cs="Arial"/>
          <w:szCs w:val="24"/>
        </w:rPr>
        <w:t>, 2002). Starbucks' global fame and Costa's UK roots are thus initial resources, not comprehensive accounts of loyalty; they need to be activated by experience.</w:t>
      </w:r>
    </w:p>
    <w:p w14:paraId="16795227" w14:textId="77777777" w:rsidR="007C6543" w:rsidRDefault="007C6543" w:rsidP="007C6543">
      <w:pPr>
        <w:pStyle w:val="Heading4"/>
      </w:pPr>
      <w:r>
        <w:lastRenderedPageBreak/>
        <w:t>Figure 7. Integrated cross-cultural loyalty pathway</w:t>
      </w:r>
    </w:p>
    <w:p w14:paraId="47516441" w14:textId="77777777" w:rsidR="007C6543" w:rsidRDefault="007C6543" w:rsidP="007C6543">
      <w:pPr>
        <w:keepNext/>
        <w:spacing w:before="100" w:after="40"/>
        <w:jc w:val="center"/>
      </w:pPr>
      <w:r>
        <w:rPr>
          <w:noProof/>
        </w:rPr>
        <w:drawing>
          <wp:inline distT="0" distB="0" distL="0" distR="0" wp14:anchorId="7FA9451A" wp14:editId="1BCCE75D">
            <wp:extent cx="5760720" cy="2586355"/>
            <wp:effectExtent l="0" t="0" r="0" b="4445"/>
            <wp:docPr id="2" name="Picture 3" descr="Starbucks and Costa start with different brand assets; culturally responsive delivery shapes relational responses and loyalty manifestations, with feedback, learning and commercial moderators."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Starbucks and Costa start with different brand assets; culturally responsive delivery shapes relational responses and loyalty manifestations, with feedback, learning and commercial moderators." title="Figure 3"/>
                    <pic:cNvPicPr>
                      <a:picLocks noChangeAspect="1" noChangeArrowheads="1"/>
                    </pic:cNvPicPr>
                  </pic:nvPicPr>
                  <pic:blipFill rotWithShape="1">
                    <a:blip r:embed="rId25"/>
                    <a:srcRect t="11514"/>
                    <a:stretch/>
                  </pic:blipFill>
                  <pic:spPr bwMode="auto">
                    <a:xfrm>
                      <a:off x="0" y="0"/>
                      <a:ext cx="5760720" cy="2586355"/>
                    </a:xfrm>
                    <a:prstGeom prst="rect">
                      <a:avLst/>
                    </a:prstGeom>
                    <a:noFill/>
                    <a:ln>
                      <a:noFill/>
                    </a:ln>
                    <a:extLst>
                      <a:ext uri="{53640926-AAD7-44D8-BBD7-CCE9431645EC}">
                        <a14:shadowObscured xmlns:a14="http://schemas.microsoft.com/office/drawing/2010/main"/>
                      </a:ext>
                    </a:extLst>
                  </pic:spPr>
                </pic:pic>
              </a:graphicData>
            </a:graphic>
          </wp:inline>
        </w:drawing>
      </w:r>
    </w:p>
    <w:p w14:paraId="187FF366" w14:textId="77777777" w:rsidR="007C6543" w:rsidRDefault="007C6543" w:rsidP="007C6543">
      <w:pPr>
        <w:jc w:val="center"/>
        <w:rPr>
          <w:i/>
          <w:iCs/>
        </w:rPr>
      </w:pPr>
      <w:r>
        <w:rPr>
          <w:i/>
          <w:iCs/>
        </w:rPr>
        <w:t>Source: Author</w:t>
      </w:r>
    </w:p>
    <w:p w14:paraId="09F9760B" w14:textId="77777777" w:rsidR="007C6543" w:rsidRPr="00A23601" w:rsidRDefault="007C6543" w:rsidP="007C6543">
      <w:pPr>
        <w:spacing w:line="360" w:lineRule="auto"/>
        <w:rPr>
          <w:rFonts w:cs="Arial"/>
          <w:szCs w:val="24"/>
        </w:rPr>
      </w:pPr>
      <w:r w:rsidRPr="00A23601">
        <w:rPr>
          <w:rFonts w:cs="Arial"/>
          <w:szCs w:val="24"/>
        </w:rPr>
        <w:t xml:space="preserve">Important moderators are added to the proposed pathway in Figure 7. The connection between relational evaluation and </w:t>
      </w:r>
      <w:proofErr w:type="spellStart"/>
      <w:r w:rsidRPr="00A23601">
        <w:rPr>
          <w:rFonts w:cs="Arial"/>
          <w:szCs w:val="24"/>
        </w:rPr>
        <w:t>behaviour</w:t>
      </w:r>
      <w:proofErr w:type="spellEnd"/>
      <w:r w:rsidRPr="00A23601">
        <w:rPr>
          <w:rFonts w:cs="Arial"/>
          <w:szCs w:val="24"/>
        </w:rPr>
        <w:t xml:space="preserve"> can be strengthened or weakened by price, place, convenience, time of use and competitive offers. This avoids a cursory glance at secondary evidence. The word 'impact' in the dissertation title is thus seen as a pathway of influence that is evidence-based and not as a treatment effect.</w:t>
      </w:r>
    </w:p>
    <w:p w14:paraId="4D830ED3" w14:textId="423243AF" w:rsidR="001152B0" w:rsidRDefault="007C6543" w:rsidP="007C6543">
      <w:pPr>
        <w:spacing w:line="360" w:lineRule="auto"/>
      </w:pPr>
      <w:r w:rsidRPr="00A23601">
        <w:rPr>
          <w:rFonts w:cs="Arial"/>
          <w:szCs w:val="24"/>
        </w:rPr>
        <w:t xml:space="preserve">Influences can flow in both directions as well. The adaptation may be interpreted more </w:t>
      </w:r>
      <w:proofErr w:type="spellStart"/>
      <w:r w:rsidRPr="00A23601">
        <w:rPr>
          <w:rFonts w:cs="Arial"/>
          <w:szCs w:val="24"/>
        </w:rPr>
        <w:t>favourably</w:t>
      </w:r>
      <w:proofErr w:type="spellEnd"/>
      <w:r w:rsidRPr="00A23601">
        <w:rPr>
          <w:rFonts w:cs="Arial"/>
          <w:szCs w:val="24"/>
        </w:rPr>
        <w:t xml:space="preserve"> if they are already loyal or familiar with the product/service, or the consumer may be skeptical and may see the same adaptation as opportunistic. This reciprocal relationship is not discernible in secondary documents. Thus, management should assess culturally responsive initiatives, building on baseline attitudes and over time. This is a weak indicator and a more telling one would be to see if there was any increase in the experience and relationship indicators prior to the durable </w:t>
      </w:r>
      <w:proofErr w:type="spellStart"/>
      <w:r w:rsidRPr="00A23601">
        <w:rPr>
          <w:rFonts w:cs="Arial"/>
          <w:szCs w:val="24"/>
        </w:rPr>
        <w:t>behavioural</w:t>
      </w:r>
      <w:proofErr w:type="spellEnd"/>
      <w:r w:rsidRPr="00A23601">
        <w:rPr>
          <w:rFonts w:cs="Arial"/>
          <w:szCs w:val="24"/>
        </w:rPr>
        <w:t xml:space="preserve"> change, and if there was any change following the end of an incentive</w:t>
      </w:r>
      <w:r w:rsidR="001152B0">
        <w:t>.</w:t>
      </w:r>
    </w:p>
    <w:p w14:paraId="37DC9948" w14:textId="77777777" w:rsidR="001152B0" w:rsidRDefault="001152B0" w:rsidP="001152B0">
      <w:pPr>
        <w:pStyle w:val="Heading2"/>
      </w:pPr>
      <w:bookmarkStart w:id="85" w:name="_Toc239604330"/>
      <w:bookmarkStart w:id="86" w:name="_Toc239609953"/>
      <w:bookmarkStart w:id="87" w:name="_Toc240989734"/>
      <w:r>
        <w:t>5.2 Key aspects of cross-cultural international marketing</w:t>
      </w:r>
      <w:bookmarkEnd w:id="85"/>
      <w:bookmarkEnd w:id="86"/>
      <w:bookmarkEnd w:id="87"/>
    </w:p>
    <w:p w14:paraId="047D488C" w14:textId="77777777" w:rsidR="007C6543" w:rsidRPr="00A23601" w:rsidRDefault="007C6543" w:rsidP="007C6543">
      <w:pPr>
        <w:spacing w:line="360" w:lineRule="auto"/>
        <w:rPr>
          <w:rFonts w:cs="Arial"/>
          <w:szCs w:val="24"/>
        </w:rPr>
      </w:pPr>
      <w:r w:rsidRPr="00A23601">
        <w:rPr>
          <w:rFonts w:cs="Arial"/>
          <w:szCs w:val="24"/>
        </w:rPr>
        <w:t>The first sub question relates to the key elements of cross cultural marketing in coffee retail. Those that come out of the analysis are four. First, cultural awareness has to be non-</w:t>
      </w:r>
      <w:proofErr w:type="spellStart"/>
      <w:r w:rsidRPr="00A23601">
        <w:rPr>
          <w:rFonts w:cs="Arial"/>
          <w:szCs w:val="24"/>
        </w:rPr>
        <w:t>essentialising</w:t>
      </w:r>
      <w:proofErr w:type="spellEnd"/>
      <w:r w:rsidRPr="00A23601">
        <w:rPr>
          <w:rFonts w:cs="Arial"/>
          <w:szCs w:val="24"/>
        </w:rPr>
        <w:t xml:space="preserve">: managers need to be sensitive to patterned expectations, but aware of hybrid identities and of variation within markets. Hofstede's dimensions may </w:t>
      </w:r>
      <w:proofErr w:type="spellStart"/>
      <w:r w:rsidRPr="00A23601">
        <w:rPr>
          <w:rFonts w:cs="Arial"/>
          <w:szCs w:val="24"/>
        </w:rPr>
        <w:t>sensitise</w:t>
      </w:r>
      <w:proofErr w:type="spellEnd"/>
      <w:r w:rsidRPr="00A23601">
        <w:rPr>
          <w:rFonts w:cs="Arial"/>
          <w:szCs w:val="24"/>
        </w:rPr>
        <w:t xml:space="preserve"> </w:t>
      </w:r>
      <w:r w:rsidRPr="00A23601">
        <w:rPr>
          <w:rFonts w:cs="Arial"/>
          <w:szCs w:val="24"/>
        </w:rPr>
        <w:lastRenderedPageBreak/>
        <w:t>the analysis, for example to issues related to uncertainty or social orientation, but cannot be linked to individual motives (Hofstede et al., 2010). Thus, CCT is significant and it views the cafe as a place where active meaning and identity is constructed by the consumers (</w:t>
      </w:r>
      <w:proofErr w:type="spellStart"/>
      <w:r w:rsidRPr="00A23601">
        <w:rPr>
          <w:rFonts w:cs="Arial"/>
          <w:szCs w:val="24"/>
        </w:rPr>
        <w:t>Arnould</w:t>
      </w:r>
      <w:proofErr w:type="spellEnd"/>
      <w:r w:rsidRPr="00A23601">
        <w:rPr>
          <w:rFonts w:cs="Arial"/>
          <w:szCs w:val="24"/>
        </w:rPr>
        <w:t xml:space="preserve"> and Thompson, 2005).</w:t>
      </w:r>
    </w:p>
    <w:p w14:paraId="5554E625" w14:textId="77777777" w:rsidR="007C6543" w:rsidRPr="00A23601" w:rsidRDefault="007C6543" w:rsidP="007C6543">
      <w:pPr>
        <w:spacing w:line="360" w:lineRule="auto"/>
        <w:rPr>
          <w:rFonts w:cs="Arial"/>
          <w:szCs w:val="24"/>
        </w:rPr>
      </w:pPr>
      <w:r w:rsidRPr="00A23601">
        <w:rPr>
          <w:rFonts w:cs="Arial"/>
          <w:szCs w:val="24"/>
        </w:rPr>
        <w:t xml:space="preserve">Secondly, selective </w:t>
      </w:r>
      <w:proofErr w:type="spellStart"/>
      <w:r w:rsidRPr="00A23601">
        <w:rPr>
          <w:rFonts w:cs="Arial"/>
          <w:szCs w:val="24"/>
        </w:rPr>
        <w:t>glocalisation</w:t>
      </w:r>
      <w:proofErr w:type="spellEnd"/>
      <w:r w:rsidRPr="00A23601">
        <w:rPr>
          <w:rFonts w:cs="Arial"/>
          <w:szCs w:val="24"/>
        </w:rPr>
        <w:t xml:space="preserve"> is about being global and local. Perceived </w:t>
      </w:r>
      <w:proofErr w:type="spellStart"/>
      <w:r w:rsidRPr="00A23601">
        <w:rPr>
          <w:rFonts w:cs="Arial"/>
          <w:szCs w:val="24"/>
        </w:rPr>
        <w:t>globalness</w:t>
      </w:r>
      <w:proofErr w:type="spellEnd"/>
      <w:r w:rsidRPr="00A23601">
        <w:rPr>
          <w:rFonts w:cs="Arial"/>
          <w:szCs w:val="24"/>
        </w:rPr>
        <w:t xml:space="preserve"> can lead to quality and extend the level of acceptance, and perceived localness can lead to cultural closeness and authenticity (</w:t>
      </w:r>
      <w:proofErr w:type="spellStart"/>
      <w:r w:rsidRPr="00A23601">
        <w:rPr>
          <w:rFonts w:cs="Arial"/>
          <w:szCs w:val="24"/>
        </w:rPr>
        <w:t>Steenkamp</w:t>
      </w:r>
      <w:proofErr w:type="spellEnd"/>
      <w:r w:rsidRPr="00A23601">
        <w:rPr>
          <w:rFonts w:cs="Arial"/>
          <w:szCs w:val="24"/>
        </w:rPr>
        <w:t xml:space="preserve"> et al., 2003; </w:t>
      </w:r>
      <w:proofErr w:type="spellStart"/>
      <w:r w:rsidRPr="00A23601">
        <w:rPr>
          <w:rFonts w:cs="Arial"/>
          <w:szCs w:val="24"/>
        </w:rPr>
        <w:t>Özsomer</w:t>
      </w:r>
      <w:proofErr w:type="spellEnd"/>
      <w:r w:rsidRPr="00A23601">
        <w:rPr>
          <w:rFonts w:cs="Arial"/>
          <w:szCs w:val="24"/>
        </w:rPr>
        <w:t xml:space="preserve">, 2012). These effects are not all pervasive or mutually exclusive. Liu et al. (2021) detect conceptual </w:t>
      </w:r>
      <w:proofErr w:type="spellStart"/>
      <w:r w:rsidRPr="00A23601">
        <w:rPr>
          <w:rFonts w:cs="Arial"/>
          <w:szCs w:val="24"/>
        </w:rPr>
        <w:t>incongruency</w:t>
      </w:r>
      <w:proofErr w:type="spellEnd"/>
      <w:r w:rsidRPr="00A23601">
        <w:rPr>
          <w:rFonts w:cs="Arial"/>
          <w:szCs w:val="24"/>
        </w:rPr>
        <w:t xml:space="preserve"> in the literature and </w:t>
      </w:r>
      <w:proofErr w:type="spellStart"/>
      <w:r w:rsidRPr="00A23601">
        <w:rPr>
          <w:rFonts w:cs="Arial"/>
          <w:szCs w:val="24"/>
        </w:rPr>
        <w:t>Mandler</w:t>
      </w:r>
      <w:proofErr w:type="spellEnd"/>
      <w:r w:rsidRPr="00A23601">
        <w:rPr>
          <w:rFonts w:cs="Arial"/>
          <w:szCs w:val="24"/>
        </w:rPr>
        <w:t xml:space="preserve"> et al. (2021) reveal different ways in which </w:t>
      </w:r>
      <w:proofErr w:type="spellStart"/>
      <w:r w:rsidRPr="00A23601">
        <w:rPr>
          <w:rFonts w:cs="Arial"/>
          <w:szCs w:val="24"/>
        </w:rPr>
        <w:t>globalness</w:t>
      </w:r>
      <w:proofErr w:type="spellEnd"/>
      <w:r w:rsidRPr="00A23601">
        <w:rPr>
          <w:rFonts w:cs="Arial"/>
          <w:szCs w:val="24"/>
        </w:rPr>
        <w:t xml:space="preserve"> and localness can contribute to credibility. In this light, cultural legitimacy is better thought of as a negotiated process in the UK cases rather than being a static brand property.</w:t>
      </w:r>
    </w:p>
    <w:p w14:paraId="350DF7A1" w14:textId="77777777" w:rsidR="007C6543" w:rsidRPr="00A23601" w:rsidRDefault="007C6543" w:rsidP="007C6543">
      <w:pPr>
        <w:spacing w:line="360" w:lineRule="auto"/>
        <w:rPr>
          <w:rFonts w:cs="Arial"/>
          <w:szCs w:val="24"/>
        </w:rPr>
      </w:pPr>
      <w:r w:rsidRPr="00A23601">
        <w:rPr>
          <w:rFonts w:cs="Arial"/>
          <w:szCs w:val="24"/>
        </w:rPr>
        <w:t>Third, you need to have an end-to-end experience to be cross-cultural effective. One's expectations may be influenced by culture, however once the consumers are at the restaurant they are exposed to the restaurant's operational systems, including service recovery, seating and ordering, and channel continuity (</w:t>
      </w:r>
      <w:proofErr w:type="spellStart"/>
      <w:r w:rsidRPr="00A23601">
        <w:rPr>
          <w:rFonts w:cs="Arial"/>
          <w:szCs w:val="24"/>
        </w:rPr>
        <w:t>Shavitt</w:t>
      </w:r>
      <w:proofErr w:type="spellEnd"/>
      <w:r w:rsidRPr="00A23601">
        <w:rPr>
          <w:rFonts w:cs="Arial"/>
          <w:szCs w:val="24"/>
        </w:rPr>
        <w:t xml:space="preserve"> and Barnes, 2020). Fourth, responsible communication means that claims of heritage, sustainability and community activity should be aligned with what is seen in practice, and that there should be consistency between communication and practice, otherwise authenticity and credibility will be undermined (</w:t>
      </w:r>
      <w:proofErr w:type="spellStart"/>
      <w:r w:rsidRPr="00A23601">
        <w:rPr>
          <w:rFonts w:cs="Arial"/>
          <w:szCs w:val="24"/>
        </w:rPr>
        <w:t>Morhart</w:t>
      </w:r>
      <w:proofErr w:type="spellEnd"/>
      <w:r w:rsidRPr="00A23601">
        <w:rPr>
          <w:rFonts w:cs="Arial"/>
          <w:szCs w:val="24"/>
        </w:rPr>
        <w:t xml:space="preserve"> et al., 2015; Portal et al., 2019). These findings combine to provide an answer to the first sub-question: effective cross-cultural marketing is an </w:t>
      </w:r>
      <w:proofErr w:type="spellStart"/>
      <w:r w:rsidRPr="00A23601">
        <w:rPr>
          <w:rFonts w:cs="Arial"/>
          <w:szCs w:val="24"/>
        </w:rPr>
        <w:t>organisational</w:t>
      </w:r>
      <w:proofErr w:type="spellEnd"/>
      <w:r w:rsidRPr="00A23601">
        <w:rPr>
          <w:rFonts w:cs="Arial"/>
          <w:szCs w:val="24"/>
        </w:rPr>
        <w:t xml:space="preserve"> capability which involves learning, coherent adaptation and inclusive delivery and credible evidence.</w:t>
      </w:r>
    </w:p>
    <w:p w14:paraId="11F27AB4" w14:textId="73E19B53" w:rsidR="001152B0" w:rsidRDefault="007C6543" w:rsidP="007C6543">
      <w:pPr>
        <w:spacing w:line="360" w:lineRule="auto"/>
      </w:pPr>
      <w:r w:rsidRPr="00A23601">
        <w:rPr>
          <w:rFonts w:cs="Arial"/>
          <w:szCs w:val="24"/>
        </w:rPr>
        <w:t xml:space="preserve">This brings change in the management's view from campaign to capability of the </w:t>
      </w:r>
      <w:proofErr w:type="spellStart"/>
      <w:r w:rsidRPr="00A23601">
        <w:rPr>
          <w:rFonts w:cs="Arial"/>
          <w:szCs w:val="24"/>
        </w:rPr>
        <w:t>organisation</w:t>
      </w:r>
      <w:proofErr w:type="spellEnd"/>
      <w:r w:rsidRPr="00A23601">
        <w:rPr>
          <w:rFonts w:cs="Arial"/>
          <w:szCs w:val="24"/>
        </w:rPr>
        <w:t xml:space="preserve">. It's easier to copy a campaign than to spot cultural friction and orchestrate a reaction and learn from it. To achieve effective implementation, it’s necessary to have local operational authority, direct customer insight, inclusive-design capability and appropriate central brand governance. The global </w:t>
      </w:r>
      <w:proofErr w:type="spellStart"/>
      <w:r w:rsidRPr="00A23601">
        <w:rPr>
          <w:rFonts w:cs="Arial"/>
          <w:szCs w:val="24"/>
        </w:rPr>
        <w:t>organisation</w:t>
      </w:r>
      <w:proofErr w:type="spellEnd"/>
      <w:r w:rsidRPr="00A23601">
        <w:rPr>
          <w:rFonts w:cs="Arial"/>
          <w:szCs w:val="24"/>
        </w:rPr>
        <w:t xml:space="preserve"> can bring in standards and reusable learning and local teams can bring in context and interpretation. Too much </w:t>
      </w:r>
      <w:proofErr w:type="spellStart"/>
      <w:r w:rsidRPr="00A23601">
        <w:rPr>
          <w:rFonts w:cs="Arial"/>
          <w:szCs w:val="24"/>
        </w:rPr>
        <w:t>centralisation</w:t>
      </w:r>
      <w:proofErr w:type="spellEnd"/>
      <w:r w:rsidRPr="00A23601">
        <w:rPr>
          <w:rFonts w:cs="Arial"/>
          <w:szCs w:val="24"/>
        </w:rPr>
        <w:t xml:space="preserve"> can lead to delay or sameness, and unfettered local activity can lead to the </w:t>
      </w:r>
      <w:r w:rsidRPr="00A23601">
        <w:rPr>
          <w:rFonts w:cs="Arial"/>
          <w:szCs w:val="24"/>
        </w:rPr>
        <w:lastRenderedPageBreak/>
        <w:t xml:space="preserve">loss and dispersion of brand evidence and meaning. Selective </w:t>
      </w:r>
      <w:proofErr w:type="spellStart"/>
      <w:r w:rsidRPr="00A23601">
        <w:rPr>
          <w:rFonts w:cs="Arial"/>
          <w:szCs w:val="24"/>
        </w:rPr>
        <w:t>standardisation</w:t>
      </w:r>
      <w:proofErr w:type="spellEnd"/>
      <w:r w:rsidRPr="00A23601">
        <w:rPr>
          <w:rFonts w:cs="Arial"/>
          <w:szCs w:val="24"/>
        </w:rPr>
        <w:t xml:space="preserve"> is thus one of the </w:t>
      </w:r>
      <w:proofErr w:type="spellStart"/>
      <w:r w:rsidRPr="00A23601">
        <w:rPr>
          <w:rFonts w:cs="Arial"/>
          <w:szCs w:val="24"/>
        </w:rPr>
        <w:t>organisational</w:t>
      </w:r>
      <w:proofErr w:type="spellEnd"/>
      <w:r w:rsidRPr="00A23601">
        <w:rPr>
          <w:rFonts w:cs="Arial"/>
          <w:szCs w:val="24"/>
        </w:rPr>
        <w:t>-design decisions as well as a communication decision</w:t>
      </w:r>
      <w:r w:rsidR="001152B0">
        <w:t>.</w:t>
      </w:r>
    </w:p>
    <w:p w14:paraId="1E5A0A42" w14:textId="77777777" w:rsidR="001152B0" w:rsidRDefault="001152B0" w:rsidP="001152B0">
      <w:pPr>
        <w:pStyle w:val="Heading2"/>
      </w:pPr>
      <w:bookmarkStart w:id="88" w:name="_Toc239604331"/>
      <w:bookmarkStart w:id="89" w:name="_Toc239609954"/>
      <w:bookmarkStart w:id="90" w:name="_Toc240989735"/>
      <w:r>
        <w:t>5.3 How the brands align with UK expectations</w:t>
      </w:r>
      <w:bookmarkEnd w:id="88"/>
      <w:bookmarkEnd w:id="89"/>
      <w:bookmarkEnd w:id="90"/>
    </w:p>
    <w:p w14:paraId="48190232" w14:textId="77777777" w:rsidR="00BB1781" w:rsidRPr="00A23601" w:rsidRDefault="00BB1781" w:rsidP="00BB1781">
      <w:pPr>
        <w:spacing w:line="360" w:lineRule="auto"/>
        <w:rPr>
          <w:rFonts w:cs="Arial"/>
          <w:szCs w:val="24"/>
        </w:rPr>
      </w:pPr>
      <w:r w:rsidRPr="00A23601">
        <w:rPr>
          <w:rFonts w:cs="Arial"/>
          <w:szCs w:val="24"/>
        </w:rPr>
        <w:t xml:space="preserve">The second sub-question is about how Starbucks and Costa Coffee can adapt their strategies to meet the expectations of the UK. Starbucks has a global-core/local-relationship pattern: the international consistency of their brand and their digital platform, can offer predictability, while their UK community and British Sign Language training </w:t>
      </w:r>
      <w:proofErr w:type="spellStart"/>
      <w:r w:rsidRPr="00A23601">
        <w:rPr>
          <w:rFonts w:cs="Arial"/>
          <w:szCs w:val="24"/>
        </w:rPr>
        <w:t>programmes</w:t>
      </w:r>
      <w:proofErr w:type="spellEnd"/>
      <w:r w:rsidRPr="00A23601">
        <w:rPr>
          <w:rFonts w:cs="Arial"/>
          <w:szCs w:val="24"/>
        </w:rPr>
        <w:t xml:space="preserve"> can foster more locally participative service (Starbucks, 2024a). In a RM perspective, the power capacity can be viewed as both competence and benevolence, both of which are important with respect to trust. But the evidence cited is of training, not consumer outcomes, and the company's fiscal-2025 reporting for the UK/EMEA region highlights that relational efforts are no replacement for good operations (Starbucks, 2026).</w:t>
      </w:r>
    </w:p>
    <w:p w14:paraId="02761348" w14:textId="77777777" w:rsidR="00BB1781" w:rsidRPr="00A23601" w:rsidRDefault="00BB1781" w:rsidP="00BB1781">
      <w:pPr>
        <w:spacing w:line="360" w:lineRule="auto"/>
        <w:rPr>
          <w:rFonts w:cs="Arial"/>
          <w:szCs w:val="24"/>
        </w:rPr>
      </w:pPr>
      <w:r w:rsidRPr="00A23601">
        <w:rPr>
          <w:rFonts w:cs="Arial"/>
          <w:szCs w:val="24"/>
        </w:rPr>
        <w:t xml:space="preserve">The approach of Costa is local-familiarity/contemporary-extension. Its Italian family background, London roots and Mocha Italia roots give continuity and Costa Club and sustainability communication leads to a relationship through the digital channel and purpose. Although, perhaps, familiarity can lead to a lower perceived risk, routine buying can be a sign of spurious loyalty when relative attitude is low (Dick and </w:t>
      </w:r>
      <w:proofErr w:type="spellStart"/>
      <w:r w:rsidRPr="00A23601">
        <w:rPr>
          <w:rFonts w:cs="Arial"/>
          <w:szCs w:val="24"/>
        </w:rPr>
        <w:t>Basu</w:t>
      </w:r>
      <w:proofErr w:type="spellEnd"/>
      <w:r w:rsidRPr="00A23601">
        <w:rPr>
          <w:rFonts w:cs="Arial"/>
          <w:szCs w:val="24"/>
        </w:rPr>
        <w:t xml:space="preserve">, 1994). For Costa, the task is therefore to re-establish relevance at the local level without having to opt solely for heritage, and for Starbucks to render its global system locally more accountable, than just a layer of </w:t>
      </w:r>
      <w:proofErr w:type="spellStart"/>
      <w:r w:rsidRPr="00A23601">
        <w:rPr>
          <w:rFonts w:cs="Arial"/>
          <w:szCs w:val="24"/>
        </w:rPr>
        <w:t>localisation</w:t>
      </w:r>
      <w:proofErr w:type="spellEnd"/>
      <w:r w:rsidRPr="00A23601">
        <w:rPr>
          <w:rFonts w:cs="Arial"/>
          <w:szCs w:val="24"/>
        </w:rPr>
        <w:t>.</w:t>
      </w:r>
    </w:p>
    <w:p w14:paraId="06CE5FD7" w14:textId="77777777" w:rsidR="00BB1781" w:rsidRPr="00A23601" w:rsidRDefault="00BB1781" w:rsidP="00BB1781">
      <w:pPr>
        <w:spacing w:line="360" w:lineRule="auto"/>
        <w:rPr>
          <w:rFonts w:cs="Arial"/>
          <w:szCs w:val="24"/>
        </w:rPr>
      </w:pPr>
      <w:r w:rsidRPr="00A23601">
        <w:rPr>
          <w:rFonts w:cs="Arial"/>
          <w:szCs w:val="24"/>
        </w:rPr>
        <w:t>The patterns should not be interpreted as one national-culture. The UK is a culturally plural society and multicultural-identity research calls into question the mutually exclusive local/global segmentation (</w:t>
      </w:r>
      <w:proofErr w:type="spellStart"/>
      <w:r w:rsidRPr="00A23601">
        <w:rPr>
          <w:rFonts w:cs="Arial"/>
          <w:szCs w:val="24"/>
        </w:rPr>
        <w:t>Kipnis</w:t>
      </w:r>
      <w:proofErr w:type="spellEnd"/>
      <w:r w:rsidRPr="00A23601">
        <w:rPr>
          <w:rFonts w:cs="Arial"/>
          <w:szCs w:val="24"/>
        </w:rPr>
        <w:t xml:space="preserve"> et al., 2019; Office for National Statistics, 2022). Tracking the alignment should therefore be done on a segment by segment, place by place and occasion by occasion basis. A commuter might care more about speed and value transparency, a social customer about the seating and welcome, a Deaf one about accessible interaction and a consumer with limited digital access about the same service offline. An adaptive inclusive interpretation would be to preserve the meaning of the brand while eliminating culturally or practically patterned barriers.</w:t>
      </w:r>
    </w:p>
    <w:p w14:paraId="279B73E6" w14:textId="363F74CE" w:rsidR="001152B0" w:rsidRDefault="00BB1781" w:rsidP="00BB1781">
      <w:pPr>
        <w:spacing w:line="360" w:lineRule="auto"/>
      </w:pPr>
      <w:r w:rsidRPr="00A23601">
        <w:rPr>
          <w:rFonts w:cs="Arial"/>
          <w:szCs w:val="24"/>
        </w:rPr>
        <w:lastRenderedPageBreak/>
        <w:t xml:space="preserve">This is also a way of not </w:t>
      </w:r>
      <w:proofErr w:type="spellStart"/>
      <w:r w:rsidRPr="00A23601">
        <w:rPr>
          <w:rFonts w:cs="Arial"/>
          <w:szCs w:val="24"/>
        </w:rPr>
        <w:t>romanticising</w:t>
      </w:r>
      <w:proofErr w:type="spellEnd"/>
      <w:r w:rsidRPr="00A23601">
        <w:rPr>
          <w:rFonts w:cs="Arial"/>
          <w:szCs w:val="24"/>
        </w:rPr>
        <w:t xml:space="preserve"> local origin. A local brand can still seem distant or </w:t>
      </w:r>
      <w:proofErr w:type="spellStart"/>
      <w:r w:rsidRPr="00A23601">
        <w:rPr>
          <w:rFonts w:cs="Arial"/>
          <w:szCs w:val="24"/>
        </w:rPr>
        <w:t>standardised</w:t>
      </w:r>
      <w:proofErr w:type="spellEnd"/>
      <w:r w:rsidRPr="00A23601">
        <w:rPr>
          <w:rFonts w:cs="Arial"/>
          <w:szCs w:val="24"/>
        </w:rPr>
        <w:t xml:space="preserve"> in nature while an international brand can be able to establish local relationships. CCT is about appropriation: It's about whether a store is culturally meaningful, with the help of its customers, employees and communities. History of brands creates expectations, and each time someone interacts with a brand, </w:t>
      </w:r>
      <w:proofErr w:type="gramStart"/>
      <w:r w:rsidRPr="00A23601">
        <w:rPr>
          <w:rFonts w:cs="Arial"/>
          <w:szCs w:val="24"/>
        </w:rPr>
        <w:t>it's</w:t>
      </w:r>
      <w:proofErr w:type="gramEnd"/>
      <w:r w:rsidRPr="00A23601">
        <w:rPr>
          <w:rFonts w:cs="Arial"/>
          <w:szCs w:val="24"/>
        </w:rPr>
        <w:t xml:space="preserve"> expectations are refreshed. Ownership and place of birth or a menu label should not therefore be used as a proxy for alignment, the more relevant evidence is related to lived friction, participation and experience in the UK market</w:t>
      </w:r>
      <w:r w:rsidR="001152B0">
        <w:t>.</w:t>
      </w:r>
    </w:p>
    <w:p w14:paraId="11BA1433" w14:textId="77777777" w:rsidR="001152B0" w:rsidRDefault="001152B0" w:rsidP="001152B0">
      <w:pPr>
        <w:pStyle w:val="Heading2"/>
      </w:pPr>
      <w:bookmarkStart w:id="91" w:name="_Toc239604332"/>
      <w:bookmarkStart w:id="92" w:name="_Toc239609955"/>
      <w:bookmarkStart w:id="93" w:name="_Toc240989736"/>
      <w:r>
        <w:t>5.4 Practices most relevant to trust, satisfaction and loyalty</w:t>
      </w:r>
      <w:bookmarkEnd w:id="91"/>
      <w:bookmarkEnd w:id="92"/>
      <w:bookmarkEnd w:id="93"/>
    </w:p>
    <w:p w14:paraId="08BBEA27" w14:textId="77777777" w:rsidR="00BB1781" w:rsidRPr="00A23601" w:rsidRDefault="00BB1781" w:rsidP="00BB1781">
      <w:pPr>
        <w:spacing w:line="360" w:lineRule="auto"/>
        <w:rPr>
          <w:rFonts w:cs="Arial"/>
          <w:szCs w:val="24"/>
        </w:rPr>
      </w:pPr>
      <w:r w:rsidRPr="00A23601">
        <w:rPr>
          <w:rFonts w:cs="Arial"/>
          <w:szCs w:val="24"/>
        </w:rPr>
        <w:t xml:space="preserve">The third sub-question is aimed at determining which practices seem to be most relevant to trust, satisfaction and loyalty. This is where the brand promise comes into view – the evidence provides the most confidence in reliable and inclusive customer experience. Customer-experience research sees the evaluation as a matter of process along the journey (Becker and </w:t>
      </w:r>
      <w:proofErr w:type="spellStart"/>
      <w:r w:rsidRPr="00A23601">
        <w:rPr>
          <w:rFonts w:cs="Arial"/>
          <w:szCs w:val="24"/>
        </w:rPr>
        <w:t>Jaakkola</w:t>
      </w:r>
      <w:proofErr w:type="spellEnd"/>
      <w:r w:rsidRPr="00A23601">
        <w:rPr>
          <w:rFonts w:cs="Arial"/>
          <w:szCs w:val="24"/>
        </w:rPr>
        <w:t>, 2020; De Keyser et al., 2020). Evidence from South Korean coffee shops is associated with satisfaction and loyalty (Han et al., 2018), which cannot be directly translated to the UK but is indicative of satisfaction as a potential mechanism. All of this evidence indicates that reliable product and service are threshold conditions and culturally appropriate recognition and social value can serve as differentiators.</w:t>
      </w:r>
    </w:p>
    <w:p w14:paraId="2C127D29" w14:textId="77777777" w:rsidR="00BB1781" w:rsidRPr="00A23601" w:rsidRDefault="00BB1781" w:rsidP="00BB1781">
      <w:pPr>
        <w:spacing w:line="360" w:lineRule="auto"/>
        <w:rPr>
          <w:rFonts w:cs="Arial"/>
          <w:szCs w:val="24"/>
        </w:rPr>
      </w:pPr>
      <w:r w:rsidRPr="00A23601">
        <w:rPr>
          <w:rFonts w:cs="Arial"/>
          <w:szCs w:val="24"/>
        </w:rPr>
        <w:t xml:space="preserve">Second priority is transparency of reciprocity. Rewards and </w:t>
      </w:r>
      <w:proofErr w:type="spellStart"/>
      <w:r w:rsidRPr="00A23601">
        <w:rPr>
          <w:rFonts w:cs="Arial"/>
          <w:szCs w:val="24"/>
        </w:rPr>
        <w:t>personalisation</w:t>
      </w:r>
      <w:proofErr w:type="spellEnd"/>
      <w:r w:rsidRPr="00A23601">
        <w:rPr>
          <w:rFonts w:cs="Arial"/>
          <w:szCs w:val="24"/>
        </w:rPr>
        <w:t xml:space="preserve"> can have a negative impact on effort, but the act of participating in a </w:t>
      </w:r>
      <w:proofErr w:type="spellStart"/>
      <w:r w:rsidRPr="00A23601">
        <w:rPr>
          <w:rFonts w:cs="Arial"/>
          <w:szCs w:val="24"/>
        </w:rPr>
        <w:t>programme</w:t>
      </w:r>
      <w:proofErr w:type="spellEnd"/>
      <w:r w:rsidRPr="00A23601">
        <w:rPr>
          <w:rFonts w:cs="Arial"/>
          <w:szCs w:val="24"/>
        </w:rPr>
        <w:t xml:space="preserve"> is an ambiguous loyalty outcome. </w:t>
      </w:r>
      <w:proofErr w:type="spellStart"/>
      <w:r w:rsidRPr="00A23601">
        <w:rPr>
          <w:rFonts w:cs="Arial"/>
          <w:szCs w:val="24"/>
        </w:rPr>
        <w:t>Programme</w:t>
      </w:r>
      <w:proofErr w:type="spellEnd"/>
      <w:r w:rsidRPr="00A23601">
        <w:rPr>
          <w:rFonts w:cs="Arial"/>
          <w:szCs w:val="24"/>
        </w:rPr>
        <w:t xml:space="preserve"> effects have been found to be heterogeneous over time (Liu 2007), and </w:t>
      </w:r>
      <w:proofErr w:type="spellStart"/>
      <w:r w:rsidRPr="00A23601">
        <w:rPr>
          <w:rFonts w:cs="Arial"/>
          <w:szCs w:val="24"/>
        </w:rPr>
        <w:t>Çalyan</w:t>
      </w:r>
      <w:proofErr w:type="spellEnd"/>
      <w:r w:rsidRPr="00A23601">
        <w:rPr>
          <w:rFonts w:cs="Arial"/>
          <w:szCs w:val="24"/>
        </w:rPr>
        <w:t xml:space="preserve"> et al. (2021) present a negative case where the use of mobile apps was not a strong indicator of loyalty. What matters is therefore not the number of digital features but whether the data can be trusted, benefits can be achieved and channels can be accessed and services can be recovered seamlessly. Rewards that come across as manipulative can turn the relationship investment into </w:t>
      </w:r>
      <w:proofErr w:type="spellStart"/>
      <w:r w:rsidRPr="00A23601">
        <w:rPr>
          <w:rFonts w:cs="Arial"/>
          <w:szCs w:val="24"/>
        </w:rPr>
        <w:t>scepticism</w:t>
      </w:r>
      <w:proofErr w:type="spellEnd"/>
      <w:r w:rsidRPr="00A23601">
        <w:rPr>
          <w:rFonts w:cs="Arial"/>
          <w:szCs w:val="24"/>
        </w:rPr>
        <w:t>.</w:t>
      </w:r>
    </w:p>
    <w:p w14:paraId="5C586110" w14:textId="77777777" w:rsidR="00BB1781" w:rsidRPr="00A23601" w:rsidRDefault="00BB1781" w:rsidP="00BB1781">
      <w:pPr>
        <w:spacing w:line="360" w:lineRule="auto"/>
        <w:rPr>
          <w:rFonts w:cs="Arial"/>
          <w:szCs w:val="24"/>
        </w:rPr>
      </w:pPr>
      <w:r w:rsidRPr="00A23601">
        <w:rPr>
          <w:rFonts w:cs="Arial"/>
          <w:szCs w:val="24"/>
        </w:rPr>
        <w:t xml:space="preserve">Third is take responsibility seriously. Increased precision in climate baselines and sourcing standards will better enable the quality of the information that companies disclose, which does not mean companies will get consumers to respond. Integrity and </w:t>
      </w:r>
      <w:r w:rsidRPr="00A23601">
        <w:rPr>
          <w:rFonts w:cs="Arial"/>
          <w:szCs w:val="24"/>
        </w:rPr>
        <w:lastRenderedPageBreak/>
        <w:t xml:space="preserve">trust are key components of the Relationship Marketing Theory for sustainable relationships (Morgan and Hunt, 1994), and the research into </w:t>
      </w:r>
      <w:proofErr w:type="spellStart"/>
      <w:r w:rsidRPr="00A23601">
        <w:rPr>
          <w:rFonts w:cs="Arial"/>
          <w:szCs w:val="24"/>
        </w:rPr>
        <w:t>greenwashing</w:t>
      </w:r>
      <w:proofErr w:type="spellEnd"/>
      <w:r w:rsidRPr="00A23601">
        <w:rPr>
          <w:rFonts w:cs="Arial"/>
          <w:szCs w:val="24"/>
        </w:rPr>
        <w:t xml:space="preserve"> shows that there is a reputational risk between claims and performance (</w:t>
      </w:r>
      <w:proofErr w:type="spellStart"/>
      <w:r w:rsidRPr="00A23601">
        <w:rPr>
          <w:rFonts w:cs="Arial"/>
          <w:szCs w:val="24"/>
        </w:rPr>
        <w:t>Delmas</w:t>
      </w:r>
      <w:proofErr w:type="spellEnd"/>
      <w:r w:rsidRPr="00A23601">
        <w:rPr>
          <w:rFonts w:cs="Arial"/>
          <w:szCs w:val="24"/>
        </w:rPr>
        <w:t xml:space="preserve"> and </w:t>
      </w:r>
      <w:proofErr w:type="spellStart"/>
      <w:r w:rsidRPr="00A23601">
        <w:rPr>
          <w:rFonts w:cs="Arial"/>
          <w:szCs w:val="24"/>
        </w:rPr>
        <w:t>Burbano</w:t>
      </w:r>
      <w:proofErr w:type="spellEnd"/>
      <w:r w:rsidRPr="00A23601">
        <w:rPr>
          <w:rFonts w:cs="Arial"/>
          <w:szCs w:val="24"/>
        </w:rPr>
        <w:t>, 2011; Szabo and Webster, 2021). The C.A.F.E. Practices reporting and the certification and climate commitments of Starbucks and Costa Coffee, respectively, are only relevant for consumers if they are able to comprehend the claims and see consistency between the claims and delivery (Starbucks, 2024b; Starbucks, 2025; Costa Coffee, no date b; Costa Coffee, 2022).</w:t>
      </w:r>
    </w:p>
    <w:p w14:paraId="4590947B" w14:textId="77777777" w:rsidR="00BB1781" w:rsidRPr="00A23601" w:rsidRDefault="00BB1781" w:rsidP="00BB1781">
      <w:pPr>
        <w:spacing w:line="360" w:lineRule="auto"/>
        <w:rPr>
          <w:rFonts w:cs="Arial"/>
          <w:szCs w:val="24"/>
        </w:rPr>
      </w:pPr>
      <w:r w:rsidRPr="00A23601">
        <w:rPr>
          <w:rFonts w:cs="Arial"/>
          <w:szCs w:val="24"/>
        </w:rPr>
        <w:t>Finally, if it is not used to narrow categorize consumers, identity-resonant communication can contribute. While social and content engagement can contribute to value and trust (</w:t>
      </w:r>
      <w:proofErr w:type="spellStart"/>
      <w:r w:rsidRPr="00A23601">
        <w:rPr>
          <w:rFonts w:cs="Arial"/>
          <w:szCs w:val="24"/>
        </w:rPr>
        <w:t>Hollebeek</w:t>
      </w:r>
      <w:proofErr w:type="spellEnd"/>
      <w:r w:rsidRPr="00A23601">
        <w:rPr>
          <w:rFonts w:cs="Arial"/>
          <w:szCs w:val="24"/>
        </w:rPr>
        <w:t xml:space="preserve"> and </w:t>
      </w:r>
      <w:proofErr w:type="spellStart"/>
      <w:r w:rsidRPr="00A23601">
        <w:rPr>
          <w:rFonts w:cs="Arial"/>
          <w:szCs w:val="24"/>
        </w:rPr>
        <w:t>Macky</w:t>
      </w:r>
      <w:proofErr w:type="spellEnd"/>
      <w:r w:rsidRPr="00A23601">
        <w:rPr>
          <w:rFonts w:cs="Arial"/>
          <w:szCs w:val="24"/>
        </w:rPr>
        <w:t>, 2019), the numbers of engagement are not necessarily indicators of loyalty. Therefore, the evidence suggests that the following practical order of preference would be from high to low confidence, but not necessarily by universal effect size and would include: (1) experience reliability and inclusion; (2) fair digital reciprocity; (3) credible responsibility; and (4) identity expression. Communication can build on the other layers, but cannot make up for loss of the core experience.</w:t>
      </w:r>
    </w:p>
    <w:p w14:paraId="53D613BF" w14:textId="569CFB37" w:rsidR="001152B0" w:rsidRDefault="00BB1781" w:rsidP="00BB1781">
      <w:pPr>
        <w:spacing w:line="360" w:lineRule="auto"/>
      </w:pPr>
      <w:r w:rsidRPr="00A23601">
        <w:rPr>
          <w:rFonts w:cs="Arial"/>
          <w:szCs w:val="24"/>
        </w:rPr>
        <w:t xml:space="preserve">It is not a universal hierarchy of causal effects that this ordering should be read as. It indicates evidential confidence and risk in this corpus. The level of support is strong and apparent in the case of reliability; it is supported but </w:t>
      </w:r>
      <w:proofErr w:type="spellStart"/>
      <w:r w:rsidRPr="00A23601">
        <w:rPr>
          <w:rFonts w:cs="Arial"/>
          <w:szCs w:val="24"/>
        </w:rPr>
        <w:t>behaviourally</w:t>
      </w:r>
      <w:proofErr w:type="spellEnd"/>
      <w:r w:rsidRPr="00A23601">
        <w:rPr>
          <w:rFonts w:cs="Arial"/>
          <w:szCs w:val="24"/>
        </w:rPr>
        <w:t xml:space="preserve"> mixed for digital reciprocity; the general trust logic is strong but there is less brand specific consumer evidence for responsibility; and identity expression is very contextual. Thus, a sustainability story can make an already satisfactory relationship to be even better, however it is not likely to solve a chronic service failure. Firstly, the quality and accessibility of core delivery must be protected, and then only a heavy investment in symbolic activation should be made</w:t>
      </w:r>
      <w:r w:rsidR="001152B0">
        <w:t>.</w:t>
      </w:r>
    </w:p>
    <w:p w14:paraId="56C07175" w14:textId="77777777" w:rsidR="001152B0" w:rsidRDefault="001152B0" w:rsidP="001152B0">
      <w:pPr>
        <w:pStyle w:val="Heading2"/>
      </w:pPr>
      <w:bookmarkStart w:id="94" w:name="_Toc239604333"/>
      <w:bookmarkStart w:id="95" w:name="_Toc239609956"/>
      <w:bookmarkStart w:id="96" w:name="_Toc240989737"/>
      <w:r>
        <w:t>5.5 Similarities, differences and comparative effectiveness</w:t>
      </w:r>
      <w:bookmarkEnd w:id="94"/>
      <w:bookmarkEnd w:id="95"/>
      <w:bookmarkEnd w:id="96"/>
      <w:r>
        <w:t xml:space="preserve"> </w:t>
      </w:r>
    </w:p>
    <w:p w14:paraId="3358FAAE" w14:textId="77777777" w:rsidR="00BB1781" w:rsidRPr="00A23601" w:rsidRDefault="00BB1781" w:rsidP="00BB1781">
      <w:pPr>
        <w:spacing w:line="360" w:lineRule="auto"/>
        <w:rPr>
          <w:rFonts w:cs="Arial"/>
          <w:szCs w:val="24"/>
        </w:rPr>
      </w:pPr>
      <w:r w:rsidRPr="00A23601">
        <w:rPr>
          <w:rFonts w:cs="Arial"/>
          <w:szCs w:val="24"/>
        </w:rPr>
        <w:t xml:space="preserve">The fourth sub-question makes a comparison between the brands. Both have identifiable brands, apps that provide rewards, and have more than one store model, and communicate about their responsible sourcing initiatives (Starbucks Coffee Company (UK) Limited, 2025; Costa Coffee, no date a; Starbucks, 2024b; Costa Coffee, no date </w:t>
      </w:r>
      <w:r w:rsidRPr="00A23601">
        <w:rPr>
          <w:rFonts w:cs="Arial"/>
          <w:szCs w:val="24"/>
        </w:rPr>
        <w:lastRenderedPageBreak/>
        <w:t xml:space="preserve">b). These are some common features that suggest the convergence of categories, and that it is hard to argue that any single feature is a driver of loyalty. There are similarities between the two brands in terms of the tension between efficiency and welcome, </w:t>
      </w:r>
      <w:proofErr w:type="spellStart"/>
      <w:r w:rsidRPr="00A23601">
        <w:rPr>
          <w:rFonts w:cs="Arial"/>
          <w:szCs w:val="24"/>
        </w:rPr>
        <w:t>personalisation</w:t>
      </w:r>
      <w:proofErr w:type="spellEnd"/>
      <w:r w:rsidRPr="00A23601">
        <w:rPr>
          <w:rFonts w:cs="Arial"/>
          <w:szCs w:val="24"/>
        </w:rPr>
        <w:t xml:space="preserve"> and privacy, purpose and proof, and </w:t>
      </w:r>
      <w:proofErr w:type="spellStart"/>
      <w:r w:rsidRPr="00A23601">
        <w:rPr>
          <w:rFonts w:cs="Arial"/>
          <w:szCs w:val="24"/>
        </w:rPr>
        <w:t>behavioural</w:t>
      </w:r>
      <w:proofErr w:type="spellEnd"/>
      <w:r w:rsidRPr="00A23601">
        <w:rPr>
          <w:rFonts w:cs="Arial"/>
          <w:szCs w:val="24"/>
        </w:rPr>
        <w:t xml:space="preserve"> participation and attitudinal preference.</w:t>
      </w:r>
    </w:p>
    <w:p w14:paraId="7795B77B" w14:textId="77777777" w:rsidR="00BB1781" w:rsidRPr="00A23601" w:rsidRDefault="00BB1781" w:rsidP="00BB1781">
      <w:pPr>
        <w:spacing w:line="360" w:lineRule="auto"/>
        <w:rPr>
          <w:rFonts w:cs="Arial"/>
          <w:szCs w:val="24"/>
        </w:rPr>
      </w:pPr>
      <w:r w:rsidRPr="00A23601">
        <w:rPr>
          <w:rFonts w:cs="Arial"/>
          <w:szCs w:val="24"/>
        </w:rPr>
        <w:t xml:space="preserve">The distinctions are primarily in terms of emphasis and starting assets. Starbucks is more consistent symbolically around the world and more obviously coordinated digitally as an international brand, while Costa is more familiar and more continuous in terms of its heritage in the UK. This is particularly evident in the selected evidence (Starbucks, 2024a) from Starbucks UK. The public material produced by Costa shows the UK coffee certification and a per-serving climate target (Costa Coffee, no date b; Costa Coffee, 2022). These disclosures are based on different measures and cannot be used to determine superior performance. Instead, they signal new avenues for credibility: Starbucks can </w:t>
      </w:r>
      <w:proofErr w:type="spellStart"/>
      <w:r w:rsidRPr="00A23601">
        <w:rPr>
          <w:rFonts w:cs="Arial"/>
          <w:szCs w:val="24"/>
        </w:rPr>
        <w:t>localise</w:t>
      </w:r>
      <w:proofErr w:type="spellEnd"/>
      <w:r w:rsidRPr="00A23601">
        <w:rPr>
          <w:rFonts w:cs="Arial"/>
          <w:szCs w:val="24"/>
        </w:rPr>
        <w:t xml:space="preserve"> scale, through accountable community delivery, and Costa can </w:t>
      </w:r>
      <w:proofErr w:type="spellStart"/>
      <w:r w:rsidRPr="00A23601">
        <w:rPr>
          <w:rFonts w:cs="Arial"/>
          <w:szCs w:val="24"/>
        </w:rPr>
        <w:t>modernise</w:t>
      </w:r>
      <w:proofErr w:type="spellEnd"/>
      <w:r w:rsidRPr="00A23601">
        <w:rPr>
          <w:rFonts w:cs="Arial"/>
          <w:szCs w:val="24"/>
        </w:rPr>
        <w:t xml:space="preserve"> familiarity, through distinctive, inclusive and digitally accessible experiences.</w:t>
      </w:r>
    </w:p>
    <w:p w14:paraId="45ACD475" w14:textId="77777777" w:rsidR="00BB1781" w:rsidRPr="00A23601" w:rsidRDefault="00BB1781" w:rsidP="00BB1781">
      <w:pPr>
        <w:spacing w:line="360" w:lineRule="auto"/>
        <w:rPr>
          <w:rFonts w:cs="Arial"/>
          <w:szCs w:val="24"/>
        </w:rPr>
      </w:pPr>
      <w:r w:rsidRPr="00A23601">
        <w:rPr>
          <w:rFonts w:cs="Arial"/>
          <w:szCs w:val="24"/>
        </w:rPr>
        <w:t xml:space="preserve">The mechanisms and evidence should therefore be used to judge comparative effectiveness, not outlet totals. As Starbucks is known worldwide, it might help to build cognitive confidence, whereas the distance between the company </w:t>
      </w:r>
      <w:proofErr w:type="gramStart"/>
      <w:r w:rsidRPr="00A23601">
        <w:rPr>
          <w:rFonts w:cs="Arial"/>
          <w:szCs w:val="24"/>
        </w:rPr>
        <w:t>or</w:t>
      </w:r>
      <w:proofErr w:type="gramEnd"/>
      <w:r w:rsidRPr="00A23601">
        <w:rPr>
          <w:rFonts w:cs="Arial"/>
          <w:szCs w:val="24"/>
        </w:rPr>
        <w:t xml:space="preserve"> the lack of cohesion in service offerings could help to reduce affective attachment. Though the familiarity of Costa can contribute towards habit and belonging, this can be undermined by changes in price or convenience. To understand Brand Loyalty Theory, this has to be understood with repeated purchase in conjunction with relative attitude (Dick and </w:t>
      </w:r>
      <w:proofErr w:type="spellStart"/>
      <w:r w:rsidRPr="00A23601">
        <w:rPr>
          <w:rFonts w:cs="Arial"/>
          <w:szCs w:val="24"/>
        </w:rPr>
        <w:t>Basu</w:t>
      </w:r>
      <w:proofErr w:type="spellEnd"/>
      <w:r w:rsidRPr="00A23601">
        <w:rPr>
          <w:rFonts w:cs="Arial"/>
          <w:szCs w:val="24"/>
        </w:rPr>
        <w:t>, 1994). Based on this, there is no overall winner as far as the corpus is concerned: the two brands provide overlapping, but differently configured, paths to loyalty, and remain vulnerable to different context characteristics.</w:t>
      </w:r>
    </w:p>
    <w:p w14:paraId="62DBB311" w14:textId="125F6034" w:rsidR="001152B0" w:rsidRDefault="00BB1781" w:rsidP="00BB1781">
      <w:pPr>
        <w:spacing w:line="360" w:lineRule="auto"/>
      </w:pPr>
      <w:r w:rsidRPr="00A23601">
        <w:rPr>
          <w:rFonts w:cs="Arial"/>
          <w:szCs w:val="24"/>
        </w:rPr>
        <w:t xml:space="preserve">A good comparative dashboard should separate out the leading indicators from the loyalty outcomes. Leading mechanism indicators include accessibility and task completion, service recovery, perceived fairness and claim comprehension. Outcomes that are lagging are relative preference, share of visits, retention and voluntary advocacy. These measures must be considered based on the respective need and occasion, keeping in </w:t>
      </w:r>
      <w:r w:rsidRPr="00A23601">
        <w:rPr>
          <w:rFonts w:cs="Arial"/>
          <w:szCs w:val="24"/>
        </w:rPr>
        <w:lastRenderedPageBreak/>
        <w:t>mind the protection of privacy. If it were not for this separation, then Starbucks might think that it is being attached to and Costa might think that it is being used to. The dashboard is designed to help inform learning, not to ascribe any differences seen to cultural identity alone</w:t>
      </w:r>
      <w:r w:rsidR="001152B0">
        <w:t>.</w:t>
      </w:r>
    </w:p>
    <w:p w14:paraId="21717EED" w14:textId="77777777" w:rsidR="001152B0" w:rsidRDefault="001152B0" w:rsidP="001152B0">
      <w:pPr>
        <w:pStyle w:val="Heading2"/>
      </w:pPr>
      <w:bookmarkStart w:id="97" w:name="_Toc239604334"/>
      <w:bookmarkStart w:id="98" w:name="_Toc239609957"/>
      <w:bookmarkStart w:id="99" w:name="_Toc240989738"/>
      <w:r>
        <w:t>5.6 Theoretical contribution and rival explanations</w:t>
      </w:r>
      <w:bookmarkEnd w:id="97"/>
      <w:bookmarkEnd w:id="98"/>
      <w:bookmarkEnd w:id="99"/>
    </w:p>
    <w:p w14:paraId="57DBB781" w14:textId="77777777" w:rsidR="00BB1781" w:rsidRPr="00A23601" w:rsidRDefault="00BB1781" w:rsidP="00BB1781">
      <w:pPr>
        <w:spacing w:line="360" w:lineRule="auto"/>
        <w:rPr>
          <w:rFonts w:cs="Arial"/>
          <w:szCs w:val="24"/>
        </w:rPr>
      </w:pPr>
      <w:r w:rsidRPr="00A23601">
        <w:rPr>
          <w:rFonts w:cs="Arial"/>
          <w:szCs w:val="24"/>
        </w:rPr>
        <w:t xml:space="preserve">The study </w:t>
      </w:r>
      <w:proofErr w:type="spellStart"/>
      <w:r w:rsidRPr="00A23601">
        <w:rPr>
          <w:rFonts w:cs="Arial"/>
          <w:szCs w:val="24"/>
        </w:rPr>
        <w:t>theorises</w:t>
      </w:r>
      <w:proofErr w:type="spellEnd"/>
      <w:r w:rsidRPr="00A23601">
        <w:rPr>
          <w:rFonts w:cs="Arial"/>
          <w:szCs w:val="24"/>
        </w:rPr>
        <w:t xml:space="preserve"> a 4-level explanation based on the integration of the theoretical lenses. The macro level </w:t>
      </w:r>
      <w:proofErr w:type="spellStart"/>
      <w:r w:rsidRPr="00A23601">
        <w:rPr>
          <w:rFonts w:cs="Arial"/>
          <w:szCs w:val="24"/>
        </w:rPr>
        <w:t>sensitising</w:t>
      </w:r>
      <w:proofErr w:type="spellEnd"/>
      <w:r w:rsidRPr="00A23601">
        <w:rPr>
          <w:rFonts w:cs="Arial"/>
          <w:szCs w:val="24"/>
        </w:rPr>
        <w:t xml:space="preserve"> prompts are Hofstede, CCT is situated interpretation, Relationship Marketing Theory explains trust and commitment, and Brand Loyalty Theory separates between attitudes and </w:t>
      </w:r>
      <w:proofErr w:type="spellStart"/>
      <w:r w:rsidRPr="00A23601">
        <w:rPr>
          <w:rFonts w:cs="Arial"/>
          <w:szCs w:val="24"/>
        </w:rPr>
        <w:t>behaviour</w:t>
      </w:r>
      <w:proofErr w:type="spellEnd"/>
      <w:r w:rsidRPr="00A23601">
        <w:rPr>
          <w:rFonts w:cs="Arial"/>
          <w:szCs w:val="24"/>
        </w:rPr>
        <w:t xml:space="preserve">. The limitations of any one lens is overcome by the combined model. Culture does not directly affect loyalty, but rather how </w:t>
      </w:r>
      <w:proofErr w:type="spellStart"/>
      <w:r w:rsidRPr="00A23601">
        <w:rPr>
          <w:rFonts w:cs="Arial"/>
          <w:szCs w:val="24"/>
        </w:rPr>
        <w:t>touchpoints</w:t>
      </w:r>
      <w:proofErr w:type="spellEnd"/>
      <w:r w:rsidRPr="00A23601">
        <w:rPr>
          <w:rFonts w:cs="Arial"/>
          <w:szCs w:val="24"/>
        </w:rPr>
        <w:t xml:space="preserve"> and claims are understood and this understanding can impact the quality of the relationship and potentially more lasting preference and behaviors.</w:t>
      </w:r>
    </w:p>
    <w:p w14:paraId="231BACC7" w14:textId="77777777" w:rsidR="00BB1781" w:rsidRPr="00A23601" w:rsidRDefault="00BB1781" w:rsidP="00BB1781">
      <w:pPr>
        <w:spacing w:line="360" w:lineRule="auto"/>
        <w:rPr>
          <w:rFonts w:cs="Arial"/>
          <w:szCs w:val="24"/>
        </w:rPr>
      </w:pPr>
      <w:r w:rsidRPr="00A23601">
        <w:rPr>
          <w:rFonts w:cs="Arial"/>
          <w:szCs w:val="24"/>
        </w:rPr>
        <w:t>The results also contribute to the understanding of the concept of authenticity. Authenticity does not mean sameness with the original nor does it imply the greatest approximation to the local market in the case of a multinational retailer. It's better thought of as perceived congruence between heritage, current promise and delivered conduct (Napoli et al., 2016; Portal et al., 2019). Starbucks can be truly global and yet be locally responsive, Costa can be truly London-Italian but at the same time update its technology and service. This dynamic interpretation is more beneficial than associating authenticity with nostalgia.</w:t>
      </w:r>
    </w:p>
    <w:p w14:paraId="77C00AC2" w14:textId="77777777" w:rsidR="00BB1781" w:rsidRPr="00A23601" w:rsidRDefault="00BB1781" w:rsidP="00BB1781">
      <w:pPr>
        <w:spacing w:line="360" w:lineRule="auto"/>
        <w:rPr>
          <w:rFonts w:cs="Arial"/>
          <w:szCs w:val="24"/>
        </w:rPr>
      </w:pPr>
      <w:r w:rsidRPr="00A23601">
        <w:rPr>
          <w:rFonts w:cs="Arial"/>
          <w:szCs w:val="24"/>
        </w:rPr>
        <w:t xml:space="preserve">Competing explanations are still valid. World Coffee Portal (2025) points to the importance of value-sensitivity and outlet density can maintain repeat purchase without significant levels of commitment. Other factors that can affect </w:t>
      </w:r>
      <w:proofErr w:type="spellStart"/>
      <w:r w:rsidRPr="00A23601">
        <w:rPr>
          <w:rFonts w:cs="Arial"/>
          <w:szCs w:val="24"/>
        </w:rPr>
        <w:t>behaviour</w:t>
      </w:r>
      <w:proofErr w:type="spellEnd"/>
      <w:r w:rsidRPr="00A23601">
        <w:rPr>
          <w:rFonts w:cs="Arial"/>
          <w:szCs w:val="24"/>
        </w:rPr>
        <w:t xml:space="preserve"> include product </w:t>
      </w:r>
      <w:proofErr w:type="spellStart"/>
      <w:r w:rsidRPr="00A23601">
        <w:rPr>
          <w:rFonts w:cs="Arial"/>
          <w:szCs w:val="24"/>
        </w:rPr>
        <w:t>flavour</w:t>
      </w:r>
      <w:proofErr w:type="spellEnd"/>
      <w:r w:rsidRPr="00A23601">
        <w:rPr>
          <w:rFonts w:cs="Arial"/>
          <w:szCs w:val="24"/>
        </w:rPr>
        <w:t>, waiting time in line, site, product promotion, or product failure. Digital interaction can grow due to incentives, ethics don't always influence buying behavior, and lots of public disclosure can just be a measure of communication skill, and not necessarily of performance. These alternatives do not make a case against the use of cross-cultural marketing, but rather diminish the certainty of causal inference and strongly support the use of cultural controls in conjunction with operational and commercial controls.</w:t>
      </w:r>
    </w:p>
    <w:p w14:paraId="4373FC27" w14:textId="1D69A4B9" w:rsidR="001152B0" w:rsidRDefault="00BB1781" w:rsidP="00BB1781">
      <w:pPr>
        <w:spacing w:line="360" w:lineRule="auto"/>
      </w:pPr>
      <w:r w:rsidRPr="00A23601">
        <w:rPr>
          <w:rFonts w:cs="Arial"/>
          <w:szCs w:val="24"/>
        </w:rPr>
        <w:lastRenderedPageBreak/>
        <w:t>The layered model is also used to explain the asymmetry of failure. While the positive cultural relevance can develop slowly through trust and familiarity, a salient exclusion or a false claim can rapidly erode trust. Operational 'moments of truth' can thus compromise relationship investments. Governance needs to strive to not just increase the average satisfaction, but also to ensure that there are no high impact failures that disproportionately affect certain groups. This conclusion is a synthesis of the relationship marketing focus on trust, the CCT focus on the meaning and power in the marketplace, and loyalty theory's notion that a situational dynamic can break the commitment</w:t>
      </w:r>
      <w:r w:rsidR="001152B0">
        <w:t>.</w:t>
      </w:r>
    </w:p>
    <w:p w14:paraId="539D4859" w14:textId="77777777" w:rsidR="001152B0" w:rsidRDefault="001152B0" w:rsidP="001152B0">
      <w:pPr>
        <w:pStyle w:val="Heading2"/>
      </w:pPr>
      <w:bookmarkStart w:id="100" w:name="_Toc239604335"/>
      <w:bookmarkStart w:id="101" w:name="_Toc239609958"/>
      <w:bookmarkStart w:id="102" w:name="_Toc240989739"/>
      <w:r>
        <w:t>5.7 Strategic meaning of the findings</w:t>
      </w:r>
      <w:bookmarkEnd w:id="100"/>
      <w:bookmarkEnd w:id="101"/>
      <w:bookmarkEnd w:id="102"/>
    </w:p>
    <w:p w14:paraId="71FDEB97" w14:textId="77777777" w:rsidR="00BB1781" w:rsidRPr="00A23601" w:rsidRDefault="00BB1781" w:rsidP="00BB1781">
      <w:pPr>
        <w:spacing w:line="360" w:lineRule="auto"/>
        <w:rPr>
          <w:rFonts w:cs="Arial"/>
          <w:szCs w:val="24"/>
        </w:rPr>
      </w:pPr>
      <w:r w:rsidRPr="00A23601">
        <w:rPr>
          <w:rFonts w:cs="Arial"/>
          <w:szCs w:val="24"/>
        </w:rPr>
        <w:t xml:space="preserve">The fifth sub-question is about the recommendations for strategic actions for long-term loyalty. In both brands we need continuous learning at a local level, inclusive journey design, clear rewards, privacy-aware </w:t>
      </w:r>
      <w:proofErr w:type="spellStart"/>
      <w:r w:rsidRPr="00A23601">
        <w:rPr>
          <w:rFonts w:cs="Arial"/>
          <w:szCs w:val="24"/>
        </w:rPr>
        <w:t>personalisation</w:t>
      </w:r>
      <w:proofErr w:type="spellEnd"/>
      <w:r w:rsidRPr="00A23601">
        <w:rPr>
          <w:rFonts w:cs="Arial"/>
          <w:szCs w:val="24"/>
        </w:rPr>
        <w:t xml:space="preserve"> and evidence-based responsibility communication. Effectiveness should be measured by experience reliability, trust, relative preference, repeat </w:t>
      </w:r>
      <w:proofErr w:type="spellStart"/>
      <w:r w:rsidRPr="00A23601">
        <w:rPr>
          <w:rFonts w:cs="Arial"/>
          <w:szCs w:val="24"/>
        </w:rPr>
        <w:t>behaviours</w:t>
      </w:r>
      <w:proofErr w:type="spellEnd"/>
      <w:r w:rsidRPr="00A23601">
        <w:rPr>
          <w:rFonts w:cs="Arial"/>
          <w:szCs w:val="24"/>
        </w:rPr>
        <w:t>, and advocacy, and measured by relevant occasion, not ethnic proxies, and voluntarily disclosed needs.</w:t>
      </w:r>
    </w:p>
    <w:p w14:paraId="3543E396" w14:textId="77777777" w:rsidR="00BB1781" w:rsidRPr="00A23601" w:rsidRDefault="00BB1781" w:rsidP="00BB1781">
      <w:pPr>
        <w:spacing w:line="360" w:lineRule="auto"/>
        <w:rPr>
          <w:rFonts w:cs="Arial"/>
          <w:szCs w:val="24"/>
        </w:rPr>
      </w:pPr>
      <w:proofErr w:type="spellStart"/>
      <w:r w:rsidRPr="00A23601">
        <w:rPr>
          <w:rFonts w:cs="Arial"/>
          <w:szCs w:val="24"/>
        </w:rPr>
        <w:t>Personalisation</w:t>
      </w:r>
      <w:proofErr w:type="spellEnd"/>
      <w:r w:rsidRPr="00A23601">
        <w:rPr>
          <w:rFonts w:cs="Arial"/>
          <w:szCs w:val="24"/>
        </w:rPr>
        <w:t xml:space="preserve"> is an important forward looking opportunity; governance is required. AI can help with pattern recognition and service coordination (Huang and Rust, 2021) and consumer agency and identity issues affect acceptance (</w:t>
      </w:r>
      <w:proofErr w:type="spellStart"/>
      <w:r w:rsidRPr="00A23601">
        <w:rPr>
          <w:rFonts w:cs="Arial"/>
          <w:szCs w:val="24"/>
        </w:rPr>
        <w:t>Puntoni</w:t>
      </w:r>
      <w:proofErr w:type="spellEnd"/>
      <w:r w:rsidRPr="00A23601">
        <w:rPr>
          <w:rFonts w:cs="Arial"/>
          <w:szCs w:val="24"/>
        </w:rPr>
        <w:t xml:space="preserve"> et al., 2021). The right model thus involves consent, explanation, </w:t>
      </w:r>
      <w:proofErr w:type="gramStart"/>
      <w:r w:rsidRPr="00A23601">
        <w:rPr>
          <w:rFonts w:cs="Arial"/>
          <w:szCs w:val="24"/>
        </w:rPr>
        <w:t>human</w:t>
      </w:r>
      <w:proofErr w:type="gramEnd"/>
      <w:r w:rsidRPr="00A23601">
        <w:rPr>
          <w:rFonts w:cs="Arial"/>
          <w:szCs w:val="24"/>
        </w:rPr>
        <w:t xml:space="preserve"> over ride and fairness monitoring. Cultural responsiveness should be a process in learning – listen, co-design, test, track relational and </w:t>
      </w:r>
      <w:proofErr w:type="spellStart"/>
      <w:r w:rsidRPr="00A23601">
        <w:rPr>
          <w:rFonts w:cs="Arial"/>
          <w:szCs w:val="24"/>
        </w:rPr>
        <w:t>behavioural</w:t>
      </w:r>
      <w:proofErr w:type="spellEnd"/>
      <w:r w:rsidRPr="00A23601">
        <w:rPr>
          <w:rFonts w:cs="Arial"/>
          <w:szCs w:val="24"/>
        </w:rPr>
        <w:t xml:space="preserve"> outcomes, review differential effects and refine. Chapter 6 translates this concept into a strategy for Starbucks, Costa Coffee and joint action.</w:t>
      </w:r>
    </w:p>
    <w:p w14:paraId="056C1909" w14:textId="16CB03EF" w:rsidR="001152B0" w:rsidRDefault="00BB1781" w:rsidP="001152B0">
      <w:pPr>
        <w:spacing w:line="360" w:lineRule="auto"/>
      </w:pPr>
      <w:r w:rsidRPr="00A23601">
        <w:rPr>
          <w:rFonts w:cs="Arial"/>
          <w:szCs w:val="24"/>
        </w:rPr>
        <w:t xml:space="preserve">The results overall, place 'cultural adaptation' from a visible marketing tool and activity to a disciplined relationship process. It's more credible when it maintains useful global or heritage cues, less context specific friction, offers reciprocal value and substantiates claims. It becomes weaker when relevance turns to stereotyping; when delivery becomes incongruent with communication and when </w:t>
      </w:r>
      <w:proofErr w:type="spellStart"/>
      <w:r w:rsidRPr="00A23601">
        <w:rPr>
          <w:rFonts w:cs="Arial"/>
          <w:szCs w:val="24"/>
        </w:rPr>
        <w:t>behaviour</w:t>
      </w:r>
      <w:proofErr w:type="spellEnd"/>
      <w:r w:rsidRPr="00A23601">
        <w:rPr>
          <w:rFonts w:cs="Arial"/>
          <w:szCs w:val="24"/>
        </w:rPr>
        <w:t xml:space="preserve"> looks like commitment. This interpretation addresses all five research questions within the boundaries of a secondary data qualitative design in a competitive market in the UK</w:t>
      </w:r>
      <w:r w:rsidR="001152B0">
        <w:t>.</w:t>
      </w:r>
    </w:p>
    <w:p w14:paraId="1F0933A8" w14:textId="77777777" w:rsidR="001152B0" w:rsidRDefault="001152B0" w:rsidP="001152B0">
      <w:pPr>
        <w:pStyle w:val="Heading1"/>
      </w:pPr>
      <w:bookmarkStart w:id="103" w:name="_Toc239604336"/>
      <w:bookmarkStart w:id="104" w:name="_Toc239609959"/>
      <w:bookmarkStart w:id="105" w:name="_Toc240989740"/>
      <w:r>
        <w:lastRenderedPageBreak/>
        <w:t>Chapter 6: Recommendations</w:t>
      </w:r>
      <w:bookmarkEnd w:id="103"/>
      <w:bookmarkEnd w:id="104"/>
      <w:bookmarkEnd w:id="105"/>
    </w:p>
    <w:p w14:paraId="3F0F6F26" w14:textId="77777777" w:rsidR="001152B0" w:rsidRDefault="001152B0" w:rsidP="001152B0">
      <w:pPr>
        <w:pStyle w:val="Heading2"/>
      </w:pPr>
      <w:bookmarkStart w:id="106" w:name="_Toc239604337"/>
      <w:bookmarkStart w:id="107" w:name="_Toc239609960"/>
      <w:bookmarkStart w:id="108" w:name="_Toc240989741"/>
      <w:r>
        <w:t>6.1 Strategic principle</w:t>
      </w:r>
      <w:bookmarkEnd w:id="106"/>
      <w:bookmarkEnd w:id="107"/>
      <w:bookmarkEnd w:id="108"/>
    </w:p>
    <w:p w14:paraId="79CB00DF" w14:textId="77777777" w:rsidR="009238F9" w:rsidRPr="00A23601" w:rsidRDefault="009238F9" w:rsidP="009238F9">
      <w:pPr>
        <w:spacing w:line="360" w:lineRule="auto"/>
        <w:rPr>
          <w:rFonts w:cs="Arial"/>
          <w:szCs w:val="24"/>
        </w:rPr>
      </w:pPr>
      <w:bookmarkStart w:id="109" w:name="_Toc239604338"/>
      <w:bookmarkStart w:id="110" w:name="_Toc239609961"/>
      <w:r w:rsidRPr="00A23601">
        <w:rPr>
          <w:rFonts w:cs="Arial"/>
          <w:szCs w:val="24"/>
        </w:rPr>
        <w:t>Both brands need to think of cross-cultural marketing as a process of learning, instead of a series of symbolic campaigns. The operating cycle should be: Identify a culturally or practically patterned friction; co-design a response with affected customers and frontline employees; test in similar situations; measure experience and trust and loyalty separately; look at differential effects; and scale, revise or stop. This allows for the local adaptation based on evidence, and maintains global brand continuity. Table 4 has thus been ordered by loyalty mechanism and measure and not by the visibility of the promotion.</w:t>
      </w:r>
    </w:p>
    <w:p w14:paraId="2329E90B" w14:textId="77777777" w:rsidR="009238F9" w:rsidRDefault="009238F9" w:rsidP="009238F9">
      <w:pPr>
        <w:pStyle w:val="Heading4"/>
      </w:pPr>
      <w:r>
        <w:t>Table 4. Recommendations roadmap</w:t>
      </w:r>
    </w:p>
    <w:tbl>
      <w:tblPr>
        <w:tblW w:w="10137" w:type="dxa"/>
        <w:jc w:val="center"/>
        <w:tblLayout w:type="fixed"/>
        <w:tblCellMar>
          <w:top w:w="80" w:type="dxa"/>
          <w:left w:w="90" w:type="dxa"/>
          <w:bottom w:w="80" w:type="dxa"/>
          <w:right w:w="90" w:type="dxa"/>
        </w:tblCellMar>
        <w:tblLook w:val="04A0" w:firstRow="1" w:lastRow="0" w:firstColumn="1" w:lastColumn="0" w:noHBand="0" w:noVBand="1"/>
      </w:tblPr>
      <w:tblGrid>
        <w:gridCol w:w="975"/>
        <w:gridCol w:w="4115"/>
        <w:gridCol w:w="1950"/>
        <w:gridCol w:w="3097"/>
      </w:tblGrid>
      <w:tr w:rsidR="009238F9" w14:paraId="49C46E05" w14:textId="77777777" w:rsidTr="00D27030">
        <w:trPr>
          <w:cantSplit/>
          <w:trHeight w:val="658"/>
          <w:tblHeader/>
          <w:jc w:val="center"/>
        </w:trPr>
        <w:tc>
          <w:tcPr>
            <w:tcW w:w="974"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19DDFF73" w14:textId="77777777" w:rsidR="009238F9" w:rsidRDefault="009238F9" w:rsidP="00D27030">
            <w:pPr>
              <w:rPr>
                <w:sz w:val="20"/>
                <w:szCs w:val="20"/>
              </w:rPr>
            </w:pPr>
            <w:r>
              <w:rPr>
                <w:sz w:val="20"/>
                <w:szCs w:val="20"/>
              </w:rPr>
              <w:t>Priority</w:t>
            </w:r>
          </w:p>
        </w:tc>
        <w:tc>
          <w:tcPr>
            <w:tcW w:w="4115"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749D97F2" w14:textId="77777777" w:rsidR="009238F9" w:rsidRDefault="009238F9" w:rsidP="00D27030">
            <w:pPr>
              <w:rPr>
                <w:sz w:val="20"/>
                <w:szCs w:val="20"/>
              </w:rPr>
            </w:pPr>
            <w:r>
              <w:rPr>
                <w:sz w:val="20"/>
                <w:szCs w:val="20"/>
              </w:rPr>
              <w:t>Action</w:t>
            </w:r>
          </w:p>
        </w:tc>
        <w:tc>
          <w:tcPr>
            <w:tcW w:w="1950"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5CDB0F74" w14:textId="77777777" w:rsidR="009238F9" w:rsidRDefault="009238F9" w:rsidP="00D27030">
            <w:pPr>
              <w:rPr>
                <w:sz w:val="20"/>
                <w:szCs w:val="20"/>
              </w:rPr>
            </w:pPr>
            <w:r>
              <w:rPr>
                <w:sz w:val="20"/>
                <w:szCs w:val="20"/>
              </w:rPr>
              <w:t>Owner and horizon</w:t>
            </w:r>
          </w:p>
        </w:tc>
        <w:tc>
          <w:tcPr>
            <w:tcW w:w="3097" w:type="dxa"/>
            <w:tcBorders>
              <w:top w:val="single" w:sz="4" w:space="0" w:color="AEBBC5"/>
              <w:left w:val="single" w:sz="4" w:space="0" w:color="AEBBC5"/>
              <w:bottom w:val="single" w:sz="4" w:space="0" w:color="AEBBC5"/>
              <w:right w:val="single" w:sz="4" w:space="0" w:color="AEBBC5"/>
            </w:tcBorders>
            <w:shd w:val="clear" w:color="auto" w:fill="153B56"/>
            <w:vAlign w:val="center"/>
          </w:tcPr>
          <w:p w14:paraId="5AECCEBF" w14:textId="77777777" w:rsidR="009238F9" w:rsidRDefault="009238F9" w:rsidP="00D27030">
            <w:pPr>
              <w:rPr>
                <w:sz w:val="20"/>
                <w:szCs w:val="20"/>
              </w:rPr>
            </w:pPr>
            <w:r>
              <w:rPr>
                <w:sz w:val="20"/>
                <w:szCs w:val="20"/>
              </w:rPr>
              <w:t>Primary indicators</w:t>
            </w:r>
          </w:p>
        </w:tc>
      </w:tr>
      <w:tr w:rsidR="009238F9" w14:paraId="21E43032" w14:textId="77777777" w:rsidTr="00D27030">
        <w:trPr>
          <w:cantSplit/>
          <w:trHeight w:val="898"/>
          <w:jc w:val="center"/>
        </w:trPr>
        <w:tc>
          <w:tcPr>
            <w:tcW w:w="974" w:type="dxa"/>
            <w:tcBorders>
              <w:top w:val="single" w:sz="4" w:space="0" w:color="AEBBC5"/>
              <w:left w:val="single" w:sz="4" w:space="0" w:color="AEBBC5"/>
              <w:bottom w:val="single" w:sz="4" w:space="0" w:color="AEBBC5"/>
              <w:right w:val="single" w:sz="4" w:space="0" w:color="AEBBC5"/>
            </w:tcBorders>
            <w:vAlign w:val="center"/>
          </w:tcPr>
          <w:p w14:paraId="0FBDA098" w14:textId="77777777" w:rsidR="009238F9" w:rsidRDefault="009238F9" w:rsidP="00D27030">
            <w:pPr>
              <w:rPr>
                <w:sz w:val="20"/>
                <w:szCs w:val="20"/>
              </w:rPr>
            </w:pPr>
            <w:r>
              <w:rPr>
                <w:sz w:val="20"/>
                <w:szCs w:val="20"/>
              </w:rPr>
              <w:t>1</w:t>
            </w:r>
          </w:p>
        </w:tc>
        <w:tc>
          <w:tcPr>
            <w:tcW w:w="4115" w:type="dxa"/>
            <w:tcBorders>
              <w:top w:val="single" w:sz="4" w:space="0" w:color="AEBBC5"/>
              <w:left w:val="single" w:sz="4" w:space="0" w:color="AEBBC5"/>
              <w:bottom w:val="single" w:sz="4" w:space="0" w:color="AEBBC5"/>
              <w:right w:val="single" w:sz="4" w:space="0" w:color="AEBBC5"/>
            </w:tcBorders>
            <w:vAlign w:val="center"/>
          </w:tcPr>
          <w:p w14:paraId="78C69479" w14:textId="77777777" w:rsidR="009238F9" w:rsidRDefault="009238F9" w:rsidP="00D27030">
            <w:pPr>
              <w:rPr>
                <w:sz w:val="20"/>
                <w:szCs w:val="20"/>
              </w:rPr>
            </w:pPr>
            <w:r>
              <w:rPr>
                <w:sz w:val="20"/>
                <w:szCs w:val="20"/>
              </w:rPr>
              <w:t>Accessible journey standard</w:t>
            </w:r>
          </w:p>
        </w:tc>
        <w:tc>
          <w:tcPr>
            <w:tcW w:w="1950" w:type="dxa"/>
            <w:tcBorders>
              <w:top w:val="single" w:sz="4" w:space="0" w:color="AEBBC5"/>
              <w:left w:val="single" w:sz="4" w:space="0" w:color="AEBBC5"/>
              <w:bottom w:val="single" w:sz="4" w:space="0" w:color="AEBBC5"/>
              <w:right w:val="single" w:sz="4" w:space="0" w:color="AEBBC5"/>
            </w:tcBorders>
            <w:vAlign w:val="center"/>
          </w:tcPr>
          <w:p w14:paraId="753ADB11" w14:textId="77777777" w:rsidR="009238F9" w:rsidRDefault="009238F9" w:rsidP="00D27030">
            <w:pPr>
              <w:rPr>
                <w:sz w:val="20"/>
                <w:szCs w:val="20"/>
              </w:rPr>
            </w:pPr>
            <w:r>
              <w:rPr>
                <w:sz w:val="20"/>
                <w:szCs w:val="20"/>
              </w:rPr>
              <w:t>Starbucks; 0–9 months</w:t>
            </w:r>
          </w:p>
        </w:tc>
        <w:tc>
          <w:tcPr>
            <w:tcW w:w="3097" w:type="dxa"/>
            <w:tcBorders>
              <w:top w:val="single" w:sz="4" w:space="0" w:color="AEBBC5"/>
              <w:left w:val="single" w:sz="4" w:space="0" w:color="AEBBC5"/>
              <w:bottom w:val="single" w:sz="4" w:space="0" w:color="AEBBC5"/>
              <w:right w:val="single" w:sz="4" w:space="0" w:color="AEBBC5"/>
            </w:tcBorders>
            <w:vAlign w:val="center"/>
          </w:tcPr>
          <w:p w14:paraId="6DF317C7" w14:textId="77777777" w:rsidR="009238F9" w:rsidRDefault="009238F9" w:rsidP="00D27030">
            <w:pPr>
              <w:rPr>
                <w:sz w:val="20"/>
                <w:szCs w:val="20"/>
              </w:rPr>
            </w:pPr>
            <w:r>
              <w:rPr>
                <w:sz w:val="20"/>
                <w:szCs w:val="20"/>
              </w:rPr>
              <w:t>Task completion, reported dignity, recovery and repeat intention</w:t>
            </w:r>
          </w:p>
        </w:tc>
      </w:tr>
      <w:tr w:rsidR="009238F9" w14:paraId="2F579795" w14:textId="77777777" w:rsidTr="00D27030">
        <w:trPr>
          <w:cantSplit/>
          <w:trHeight w:val="908"/>
          <w:jc w:val="center"/>
        </w:trPr>
        <w:tc>
          <w:tcPr>
            <w:tcW w:w="974"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4A19AE3A" w14:textId="77777777" w:rsidR="009238F9" w:rsidRDefault="009238F9" w:rsidP="00D27030">
            <w:pPr>
              <w:rPr>
                <w:sz w:val="20"/>
                <w:szCs w:val="20"/>
              </w:rPr>
            </w:pPr>
            <w:r>
              <w:rPr>
                <w:sz w:val="20"/>
                <w:szCs w:val="20"/>
              </w:rPr>
              <w:t>2</w:t>
            </w:r>
          </w:p>
        </w:tc>
        <w:tc>
          <w:tcPr>
            <w:tcW w:w="4115"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563DCC86" w14:textId="77777777" w:rsidR="009238F9" w:rsidRDefault="009238F9" w:rsidP="00D27030">
            <w:pPr>
              <w:rPr>
                <w:sz w:val="20"/>
                <w:szCs w:val="20"/>
              </w:rPr>
            </w:pPr>
            <w:r>
              <w:rPr>
                <w:sz w:val="20"/>
                <w:szCs w:val="20"/>
              </w:rPr>
              <w:t>Governed local co-design and matched-store pilots</w:t>
            </w:r>
          </w:p>
        </w:tc>
        <w:tc>
          <w:tcPr>
            <w:tcW w:w="195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1BDC0846" w14:textId="77777777" w:rsidR="009238F9" w:rsidRDefault="009238F9" w:rsidP="00D27030">
            <w:pPr>
              <w:rPr>
                <w:sz w:val="20"/>
                <w:szCs w:val="20"/>
              </w:rPr>
            </w:pPr>
            <w:r>
              <w:rPr>
                <w:sz w:val="20"/>
                <w:szCs w:val="20"/>
              </w:rPr>
              <w:t>Both; 0–18 months</w:t>
            </w:r>
          </w:p>
        </w:tc>
        <w:tc>
          <w:tcPr>
            <w:tcW w:w="3097"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633625DE" w14:textId="77777777" w:rsidR="009238F9" w:rsidRDefault="009238F9" w:rsidP="00D27030">
            <w:pPr>
              <w:rPr>
                <w:sz w:val="20"/>
                <w:szCs w:val="20"/>
              </w:rPr>
            </w:pPr>
            <w:r>
              <w:rPr>
                <w:sz w:val="20"/>
                <w:szCs w:val="20"/>
              </w:rPr>
              <w:t>Experience reliability, relevance, trust and differential effects</w:t>
            </w:r>
          </w:p>
        </w:tc>
      </w:tr>
      <w:tr w:rsidR="009238F9" w14:paraId="4DE5D19F" w14:textId="77777777" w:rsidTr="00D27030">
        <w:trPr>
          <w:cantSplit/>
          <w:trHeight w:val="908"/>
          <w:jc w:val="center"/>
        </w:trPr>
        <w:tc>
          <w:tcPr>
            <w:tcW w:w="974" w:type="dxa"/>
            <w:tcBorders>
              <w:top w:val="single" w:sz="4" w:space="0" w:color="AEBBC5"/>
              <w:left w:val="single" w:sz="4" w:space="0" w:color="AEBBC5"/>
              <w:bottom w:val="single" w:sz="4" w:space="0" w:color="AEBBC5"/>
              <w:right w:val="single" w:sz="4" w:space="0" w:color="AEBBC5"/>
            </w:tcBorders>
            <w:vAlign w:val="center"/>
          </w:tcPr>
          <w:p w14:paraId="4E5EF21D" w14:textId="77777777" w:rsidR="009238F9" w:rsidRDefault="009238F9" w:rsidP="00D27030">
            <w:pPr>
              <w:rPr>
                <w:sz w:val="20"/>
                <w:szCs w:val="20"/>
              </w:rPr>
            </w:pPr>
            <w:r>
              <w:rPr>
                <w:sz w:val="20"/>
                <w:szCs w:val="20"/>
              </w:rPr>
              <w:t>3</w:t>
            </w:r>
          </w:p>
        </w:tc>
        <w:tc>
          <w:tcPr>
            <w:tcW w:w="4115" w:type="dxa"/>
            <w:tcBorders>
              <w:top w:val="single" w:sz="4" w:space="0" w:color="AEBBC5"/>
              <w:left w:val="single" w:sz="4" w:space="0" w:color="AEBBC5"/>
              <w:bottom w:val="single" w:sz="4" w:space="0" w:color="AEBBC5"/>
              <w:right w:val="single" w:sz="4" w:space="0" w:color="AEBBC5"/>
            </w:tcBorders>
            <w:vAlign w:val="center"/>
          </w:tcPr>
          <w:p w14:paraId="2B7B2B36" w14:textId="77777777" w:rsidR="009238F9" w:rsidRDefault="009238F9" w:rsidP="00D27030">
            <w:pPr>
              <w:rPr>
                <w:sz w:val="20"/>
                <w:szCs w:val="20"/>
              </w:rPr>
            </w:pPr>
            <w:r>
              <w:rPr>
                <w:sz w:val="20"/>
                <w:szCs w:val="20"/>
              </w:rPr>
              <w:t xml:space="preserve">Transparent, inclusive rewards and consent-based </w:t>
            </w:r>
            <w:proofErr w:type="spellStart"/>
            <w:r>
              <w:rPr>
                <w:sz w:val="20"/>
                <w:szCs w:val="20"/>
              </w:rPr>
              <w:t>personalisation</w:t>
            </w:r>
            <w:proofErr w:type="spellEnd"/>
          </w:p>
        </w:tc>
        <w:tc>
          <w:tcPr>
            <w:tcW w:w="1950" w:type="dxa"/>
            <w:tcBorders>
              <w:top w:val="single" w:sz="4" w:space="0" w:color="AEBBC5"/>
              <w:left w:val="single" w:sz="4" w:space="0" w:color="AEBBC5"/>
              <w:bottom w:val="single" w:sz="4" w:space="0" w:color="AEBBC5"/>
              <w:right w:val="single" w:sz="4" w:space="0" w:color="AEBBC5"/>
            </w:tcBorders>
            <w:vAlign w:val="center"/>
          </w:tcPr>
          <w:p w14:paraId="2F3586F1" w14:textId="77777777" w:rsidR="009238F9" w:rsidRDefault="009238F9" w:rsidP="00D27030">
            <w:pPr>
              <w:rPr>
                <w:sz w:val="20"/>
                <w:szCs w:val="20"/>
              </w:rPr>
            </w:pPr>
            <w:r>
              <w:rPr>
                <w:sz w:val="20"/>
                <w:szCs w:val="20"/>
              </w:rPr>
              <w:t>Both; 4–12 months</w:t>
            </w:r>
          </w:p>
        </w:tc>
        <w:tc>
          <w:tcPr>
            <w:tcW w:w="3097" w:type="dxa"/>
            <w:tcBorders>
              <w:top w:val="single" w:sz="4" w:space="0" w:color="AEBBC5"/>
              <w:left w:val="single" w:sz="4" w:space="0" w:color="AEBBC5"/>
              <w:bottom w:val="single" w:sz="4" w:space="0" w:color="AEBBC5"/>
              <w:right w:val="single" w:sz="4" w:space="0" w:color="AEBBC5"/>
            </w:tcBorders>
            <w:vAlign w:val="center"/>
          </w:tcPr>
          <w:p w14:paraId="33869A9A" w14:textId="77777777" w:rsidR="009238F9" w:rsidRDefault="009238F9" w:rsidP="00D27030">
            <w:pPr>
              <w:rPr>
                <w:sz w:val="20"/>
                <w:szCs w:val="20"/>
              </w:rPr>
            </w:pPr>
            <w:r>
              <w:rPr>
                <w:sz w:val="20"/>
                <w:szCs w:val="20"/>
              </w:rPr>
              <w:t>Rule comprehension, fairness, opt-out trust, retention beyond incentive</w:t>
            </w:r>
          </w:p>
        </w:tc>
      </w:tr>
      <w:tr w:rsidR="009238F9" w14:paraId="7BA258C4" w14:textId="77777777" w:rsidTr="00D27030">
        <w:trPr>
          <w:cantSplit/>
          <w:trHeight w:val="898"/>
          <w:jc w:val="center"/>
        </w:trPr>
        <w:tc>
          <w:tcPr>
            <w:tcW w:w="974"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04A7AC23" w14:textId="77777777" w:rsidR="009238F9" w:rsidRDefault="009238F9" w:rsidP="00D27030">
            <w:pPr>
              <w:rPr>
                <w:sz w:val="20"/>
                <w:szCs w:val="20"/>
              </w:rPr>
            </w:pPr>
            <w:r>
              <w:rPr>
                <w:sz w:val="20"/>
                <w:szCs w:val="20"/>
              </w:rPr>
              <w:t>4</w:t>
            </w:r>
          </w:p>
        </w:tc>
        <w:tc>
          <w:tcPr>
            <w:tcW w:w="4115"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2F83795B" w14:textId="77777777" w:rsidR="009238F9" w:rsidRDefault="009238F9" w:rsidP="00D27030">
            <w:pPr>
              <w:rPr>
                <w:sz w:val="20"/>
                <w:szCs w:val="20"/>
              </w:rPr>
            </w:pPr>
            <w:r>
              <w:rPr>
                <w:sz w:val="20"/>
                <w:szCs w:val="20"/>
              </w:rPr>
              <w:t>Participative renewal of London–Italian heritage</w:t>
            </w:r>
          </w:p>
        </w:tc>
        <w:tc>
          <w:tcPr>
            <w:tcW w:w="195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61D36C34" w14:textId="77777777" w:rsidR="009238F9" w:rsidRDefault="009238F9" w:rsidP="00D27030">
            <w:pPr>
              <w:rPr>
                <w:sz w:val="20"/>
                <w:szCs w:val="20"/>
              </w:rPr>
            </w:pPr>
            <w:r>
              <w:rPr>
                <w:sz w:val="20"/>
                <w:szCs w:val="20"/>
              </w:rPr>
              <w:t>Costa; 4–12 months</w:t>
            </w:r>
          </w:p>
        </w:tc>
        <w:tc>
          <w:tcPr>
            <w:tcW w:w="3097"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06EAE00F" w14:textId="77777777" w:rsidR="009238F9" w:rsidRDefault="009238F9" w:rsidP="00D27030">
            <w:pPr>
              <w:rPr>
                <w:sz w:val="20"/>
                <w:szCs w:val="20"/>
              </w:rPr>
            </w:pPr>
            <w:r>
              <w:rPr>
                <w:sz w:val="20"/>
                <w:szCs w:val="20"/>
              </w:rPr>
              <w:t>Distinctiveness, relative preference and community participation</w:t>
            </w:r>
          </w:p>
        </w:tc>
      </w:tr>
      <w:tr w:rsidR="009238F9" w14:paraId="20C7291F" w14:textId="77777777" w:rsidTr="00D27030">
        <w:trPr>
          <w:cantSplit/>
          <w:trHeight w:val="908"/>
          <w:jc w:val="center"/>
        </w:trPr>
        <w:tc>
          <w:tcPr>
            <w:tcW w:w="974" w:type="dxa"/>
            <w:tcBorders>
              <w:top w:val="single" w:sz="4" w:space="0" w:color="AEBBC5"/>
              <w:left w:val="single" w:sz="4" w:space="0" w:color="AEBBC5"/>
              <w:bottom w:val="single" w:sz="4" w:space="0" w:color="AEBBC5"/>
              <w:right w:val="single" w:sz="4" w:space="0" w:color="AEBBC5"/>
            </w:tcBorders>
            <w:vAlign w:val="center"/>
          </w:tcPr>
          <w:p w14:paraId="1E3455AF" w14:textId="77777777" w:rsidR="009238F9" w:rsidRDefault="009238F9" w:rsidP="00D27030">
            <w:pPr>
              <w:rPr>
                <w:sz w:val="20"/>
                <w:szCs w:val="20"/>
              </w:rPr>
            </w:pPr>
            <w:r>
              <w:rPr>
                <w:sz w:val="20"/>
                <w:szCs w:val="20"/>
              </w:rPr>
              <w:t>5</w:t>
            </w:r>
          </w:p>
        </w:tc>
        <w:tc>
          <w:tcPr>
            <w:tcW w:w="4115" w:type="dxa"/>
            <w:tcBorders>
              <w:top w:val="single" w:sz="4" w:space="0" w:color="AEBBC5"/>
              <w:left w:val="single" w:sz="4" w:space="0" w:color="AEBBC5"/>
              <w:bottom w:val="single" w:sz="4" w:space="0" w:color="AEBBC5"/>
              <w:right w:val="single" w:sz="4" w:space="0" w:color="AEBBC5"/>
            </w:tcBorders>
            <w:vAlign w:val="center"/>
          </w:tcPr>
          <w:p w14:paraId="58C7E56D" w14:textId="77777777" w:rsidR="009238F9" w:rsidRDefault="009238F9" w:rsidP="00D27030">
            <w:pPr>
              <w:rPr>
                <w:sz w:val="20"/>
                <w:szCs w:val="20"/>
              </w:rPr>
            </w:pPr>
            <w:r>
              <w:rPr>
                <w:sz w:val="20"/>
                <w:szCs w:val="20"/>
              </w:rPr>
              <w:t>Comparable sustainability evidence and independent assurance</w:t>
            </w:r>
          </w:p>
        </w:tc>
        <w:tc>
          <w:tcPr>
            <w:tcW w:w="1950" w:type="dxa"/>
            <w:tcBorders>
              <w:top w:val="single" w:sz="4" w:space="0" w:color="AEBBC5"/>
              <w:left w:val="single" w:sz="4" w:space="0" w:color="AEBBC5"/>
              <w:bottom w:val="single" w:sz="4" w:space="0" w:color="AEBBC5"/>
              <w:right w:val="single" w:sz="4" w:space="0" w:color="AEBBC5"/>
            </w:tcBorders>
            <w:vAlign w:val="center"/>
          </w:tcPr>
          <w:p w14:paraId="07B9720C" w14:textId="77777777" w:rsidR="009238F9" w:rsidRDefault="009238F9" w:rsidP="00D27030">
            <w:pPr>
              <w:rPr>
                <w:sz w:val="20"/>
                <w:szCs w:val="20"/>
              </w:rPr>
            </w:pPr>
            <w:r>
              <w:rPr>
                <w:sz w:val="20"/>
                <w:szCs w:val="20"/>
              </w:rPr>
              <w:t>Both; 0–18 months</w:t>
            </w:r>
          </w:p>
        </w:tc>
        <w:tc>
          <w:tcPr>
            <w:tcW w:w="3097" w:type="dxa"/>
            <w:tcBorders>
              <w:top w:val="single" w:sz="4" w:space="0" w:color="AEBBC5"/>
              <w:left w:val="single" w:sz="4" w:space="0" w:color="AEBBC5"/>
              <w:bottom w:val="single" w:sz="4" w:space="0" w:color="AEBBC5"/>
              <w:right w:val="single" w:sz="4" w:space="0" w:color="AEBBC5"/>
            </w:tcBorders>
            <w:vAlign w:val="center"/>
          </w:tcPr>
          <w:p w14:paraId="7058FBF7" w14:textId="77777777" w:rsidR="009238F9" w:rsidRDefault="009238F9" w:rsidP="00D27030">
            <w:pPr>
              <w:rPr>
                <w:sz w:val="20"/>
                <w:szCs w:val="20"/>
              </w:rPr>
            </w:pPr>
            <w:r>
              <w:rPr>
                <w:sz w:val="20"/>
                <w:szCs w:val="20"/>
              </w:rPr>
              <w:t>Claim comprehension, trust, dated progress and disclosed limitations</w:t>
            </w:r>
          </w:p>
        </w:tc>
      </w:tr>
      <w:tr w:rsidR="009238F9" w14:paraId="404B6386" w14:textId="77777777" w:rsidTr="00D27030">
        <w:trPr>
          <w:cantSplit/>
          <w:trHeight w:val="908"/>
          <w:jc w:val="center"/>
        </w:trPr>
        <w:tc>
          <w:tcPr>
            <w:tcW w:w="974"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13813D71" w14:textId="77777777" w:rsidR="009238F9" w:rsidRDefault="009238F9" w:rsidP="00D27030">
            <w:pPr>
              <w:rPr>
                <w:sz w:val="20"/>
                <w:szCs w:val="20"/>
              </w:rPr>
            </w:pPr>
            <w:r>
              <w:rPr>
                <w:sz w:val="20"/>
                <w:szCs w:val="20"/>
              </w:rPr>
              <w:t>6</w:t>
            </w:r>
          </w:p>
        </w:tc>
        <w:tc>
          <w:tcPr>
            <w:tcW w:w="4115"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601ECDD9" w14:textId="77777777" w:rsidR="009238F9" w:rsidRDefault="009238F9" w:rsidP="00D27030">
            <w:pPr>
              <w:rPr>
                <w:sz w:val="20"/>
                <w:szCs w:val="20"/>
              </w:rPr>
            </w:pPr>
            <w:r>
              <w:rPr>
                <w:sz w:val="20"/>
                <w:szCs w:val="20"/>
              </w:rPr>
              <w:t>Cross-cultural loyalty dashboard and independent UK research</w:t>
            </w:r>
          </w:p>
        </w:tc>
        <w:tc>
          <w:tcPr>
            <w:tcW w:w="1950"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18CBE7B5" w14:textId="77777777" w:rsidR="009238F9" w:rsidRDefault="009238F9" w:rsidP="00D27030">
            <w:pPr>
              <w:rPr>
                <w:sz w:val="20"/>
                <w:szCs w:val="20"/>
              </w:rPr>
            </w:pPr>
            <w:r>
              <w:rPr>
                <w:sz w:val="20"/>
                <w:szCs w:val="20"/>
              </w:rPr>
              <w:t>Both; recurring</w:t>
            </w:r>
          </w:p>
        </w:tc>
        <w:tc>
          <w:tcPr>
            <w:tcW w:w="3097" w:type="dxa"/>
            <w:tcBorders>
              <w:top w:val="single" w:sz="4" w:space="0" w:color="AEBBC5"/>
              <w:left w:val="single" w:sz="4" w:space="0" w:color="AEBBC5"/>
              <w:bottom w:val="single" w:sz="4" w:space="0" w:color="AEBBC5"/>
              <w:right w:val="single" w:sz="4" w:space="0" w:color="AEBBC5"/>
            </w:tcBorders>
            <w:shd w:val="clear" w:color="auto" w:fill="F5F8FA"/>
            <w:vAlign w:val="center"/>
          </w:tcPr>
          <w:p w14:paraId="6184D77B" w14:textId="77777777" w:rsidR="009238F9" w:rsidRDefault="009238F9" w:rsidP="00D27030">
            <w:pPr>
              <w:rPr>
                <w:sz w:val="20"/>
                <w:szCs w:val="20"/>
              </w:rPr>
            </w:pPr>
            <w:r>
              <w:rPr>
                <w:sz w:val="20"/>
                <w:szCs w:val="20"/>
              </w:rPr>
              <w:t>Preference, share of visits, retention, advocacy and rival controls</w:t>
            </w:r>
          </w:p>
        </w:tc>
      </w:tr>
    </w:tbl>
    <w:p w14:paraId="2735DD5A" w14:textId="77777777" w:rsidR="009238F9" w:rsidRDefault="009238F9" w:rsidP="009238F9">
      <w:pPr>
        <w:jc w:val="center"/>
      </w:pPr>
      <w:r>
        <w:t>Source: Author</w:t>
      </w:r>
    </w:p>
    <w:p w14:paraId="1FD62895" w14:textId="77777777" w:rsidR="001152B0" w:rsidRDefault="001152B0" w:rsidP="001152B0">
      <w:pPr>
        <w:pStyle w:val="Heading2"/>
      </w:pPr>
      <w:bookmarkStart w:id="111" w:name="_Toc240989742"/>
      <w:r>
        <w:lastRenderedPageBreak/>
        <w:t>6.2 Recommendations for Starbucks</w:t>
      </w:r>
      <w:bookmarkEnd w:id="109"/>
      <w:bookmarkEnd w:id="110"/>
      <w:bookmarkEnd w:id="111"/>
    </w:p>
    <w:p w14:paraId="4A579F16" w14:textId="77777777" w:rsidR="009238F9" w:rsidRPr="00A23601" w:rsidRDefault="009238F9" w:rsidP="009238F9">
      <w:pPr>
        <w:spacing w:line="360" w:lineRule="auto"/>
        <w:rPr>
          <w:rFonts w:cs="Arial"/>
          <w:szCs w:val="24"/>
        </w:rPr>
      </w:pPr>
      <w:r w:rsidRPr="00A23601">
        <w:rPr>
          <w:rFonts w:cs="Arial"/>
          <w:szCs w:val="24"/>
        </w:rPr>
        <w:t xml:space="preserve">The first step is Starbucks to shift their UK inclusion commitments from the </w:t>
      </w:r>
      <w:proofErr w:type="spellStart"/>
      <w:r w:rsidRPr="00A23601">
        <w:rPr>
          <w:rFonts w:cs="Arial"/>
          <w:szCs w:val="24"/>
        </w:rPr>
        <w:t>programme</w:t>
      </w:r>
      <w:proofErr w:type="spellEnd"/>
      <w:r w:rsidRPr="00A23601">
        <w:rPr>
          <w:rFonts w:cs="Arial"/>
          <w:szCs w:val="24"/>
        </w:rPr>
        <w:t xml:space="preserve"> to measurable journey in terms of accessibility. The BSL training is a good prospect (Starbucks, 2024a), but the measure of success should be based on if BSL users can complete a task, dignity counting as reported, service recovery and intent to return. The standard should include legibility of the menu, easy ordering, collection and complaint procedures – both on- and offline. This would link with the confidence of a global brand, which would be consistent with the local responsiveness.</w:t>
      </w:r>
    </w:p>
    <w:p w14:paraId="1E7EF1E6" w14:textId="77777777" w:rsidR="009238F9" w:rsidRPr="00A23601" w:rsidRDefault="009238F9" w:rsidP="009238F9">
      <w:pPr>
        <w:spacing w:line="360" w:lineRule="auto"/>
        <w:rPr>
          <w:rFonts w:cs="Arial"/>
          <w:szCs w:val="24"/>
        </w:rPr>
      </w:pPr>
      <w:r w:rsidRPr="00A23601">
        <w:rPr>
          <w:rFonts w:cs="Arial"/>
          <w:szCs w:val="24"/>
        </w:rPr>
        <w:t xml:space="preserve">Second, UK Teams should have managed the use of the community </w:t>
      </w:r>
      <w:proofErr w:type="spellStart"/>
      <w:r w:rsidRPr="00A23601">
        <w:rPr>
          <w:rFonts w:cs="Arial"/>
          <w:szCs w:val="24"/>
        </w:rPr>
        <w:t>programmes</w:t>
      </w:r>
      <w:proofErr w:type="spellEnd"/>
      <w:r w:rsidRPr="00A23601">
        <w:rPr>
          <w:rFonts w:cs="Arial"/>
          <w:szCs w:val="24"/>
        </w:rPr>
        <w:t>, store use and value communication, while retaining the fundamental global brand cues, based on the principle of local autonomy. Local insight panels should be heterogeneous in terms of age, cultural affiliation, disability, working pattern, and preferred digital format (not a proxy for need) and include ethnicities. In areas of high commercial pressure, matched pilots can be used to evaluate if an adaptation has a positive effect on the relational indicators in addition to operational performance. This mitigates the potential for a culturally appropriate effort to be sabotaged by queues, availability and perceived poor value.</w:t>
      </w:r>
    </w:p>
    <w:p w14:paraId="7EF0E68B" w14:textId="0712D568" w:rsidR="001152B0" w:rsidRDefault="009238F9" w:rsidP="009238F9">
      <w:pPr>
        <w:spacing w:line="360" w:lineRule="auto"/>
      </w:pPr>
      <w:r w:rsidRPr="00A23601">
        <w:rPr>
          <w:rFonts w:cs="Arial"/>
          <w:szCs w:val="24"/>
        </w:rPr>
        <w:t xml:space="preserve">Thirdly, Starbucks Rewards should improve reciprocity and data choices to be easily understandable (Starbucks Coffee Company (UK) Limited, 2025). The reward progression should be clearly communicated and the expiry rules, as well as any significant </w:t>
      </w:r>
      <w:proofErr w:type="spellStart"/>
      <w:r w:rsidRPr="00A23601">
        <w:rPr>
          <w:rFonts w:cs="Arial"/>
          <w:szCs w:val="24"/>
        </w:rPr>
        <w:t>personalisation</w:t>
      </w:r>
      <w:proofErr w:type="spellEnd"/>
      <w:r w:rsidRPr="00A23601">
        <w:rPr>
          <w:rFonts w:cs="Arial"/>
          <w:szCs w:val="24"/>
        </w:rPr>
        <w:t xml:space="preserve"> logic, should be clearly explained in simple terms and offered meaningful options, which don't need unnecessary personal data. AI-generated suggestions should be based on information that has been consented, have been tested for differential exclusion, and still be subject to human review. Success should be measured based on how much of a given population is retained (and trusted) incrementally, not just based on app activity</w:t>
      </w:r>
      <w:r w:rsidR="001152B0">
        <w:t>.</w:t>
      </w:r>
    </w:p>
    <w:p w14:paraId="7AC95954" w14:textId="77777777" w:rsidR="001152B0" w:rsidRDefault="001152B0" w:rsidP="001152B0">
      <w:pPr>
        <w:pStyle w:val="Heading2"/>
      </w:pPr>
      <w:bookmarkStart w:id="112" w:name="_Toc239604339"/>
      <w:bookmarkStart w:id="113" w:name="_Toc239609962"/>
      <w:bookmarkStart w:id="114" w:name="_Toc240989743"/>
      <w:r>
        <w:t>6.3 Recommendations for Costa Coffee</w:t>
      </w:r>
      <w:bookmarkEnd w:id="112"/>
      <w:bookmarkEnd w:id="113"/>
      <w:bookmarkEnd w:id="114"/>
    </w:p>
    <w:p w14:paraId="5984CB19" w14:textId="77777777" w:rsidR="009238F9" w:rsidRPr="00A23601" w:rsidRDefault="009238F9" w:rsidP="009238F9">
      <w:pPr>
        <w:spacing w:line="360" w:lineRule="auto"/>
        <w:rPr>
          <w:rFonts w:cs="Arial"/>
          <w:szCs w:val="24"/>
        </w:rPr>
      </w:pPr>
      <w:r w:rsidRPr="00A23601">
        <w:rPr>
          <w:rFonts w:cs="Arial"/>
          <w:szCs w:val="24"/>
        </w:rPr>
        <w:t xml:space="preserve">Rather than just making origin claims, Costa should renew its London-Italian heritage by being relevant today. Selected stores may be able to create locally important coffee rituals, innovative relationships or community purposes, and will keep the familiar brand </w:t>
      </w:r>
      <w:r w:rsidRPr="00A23601">
        <w:rPr>
          <w:rFonts w:cs="Arial"/>
          <w:szCs w:val="24"/>
        </w:rPr>
        <w:lastRenderedPageBreak/>
        <w:t>architecture of Mocha Italia (Costa Coffee, no date c). Evaluation should assess whether these activities are making these venues more distinctive and more preferred and involved in the community than the global chains and independent cafes. This would transform what is known into a more active resource for relationships than a passive nostalgia.</w:t>
      </w:r>
    </w:p>
    <w:p w14:paraId="56705573" w14:textId="77777777" w:rsidR="009238F9" w:rsidRPr="00A23601" w:rsidRDefault="009238F9" w:rsidP="009238F9">
      <w:pPr>
        <w:spacing w:line="360" w:lineRule="auto"/>
        <w:rPr>
          <w:rFonts w:cs="Arial"/>
          <w:szCs w:val="24"/>
        </w:rPr>
      </w:pPr>
      <w:r w:rsidRPr="00A23601">
        <w:rPr>
          <w:rFonts w:cs="Arial"/>
          <w:szCs w:val="24"/>
        </w:rPr>
        <w:t xml:space="preserve">Costa Club should be considered more as an inclusive relationship than just fundamentally a promotion. The ‘Bean' metaphor is simple and product-focused (Costa Coffee - not yet, a), but Costa should trial the feasibility of rewarding and understanding and accessing the rules by both light and frequent users. </w:t>
      </w:r>
      <w:proofErr w:type="spellStart"/>
      <w:r w:rsidRPr="00A23601">
        <w:rPr>
          <w:rFonts w:cs="Arial"/>
          <w:szCs w:val="24"/>
        </w:rPr>
        <w:t>Personalisation</w:t>
      </w:r>
      <w:proofErr w:type="spellEnd"/>
      <w:r w:rsidRPr="00A23601">
        <w:rPr>
          <w:rFonts w:cs="Arial"/>
          <w:szCs w:val="24"/>
        </w:rPr>
        <w:t xml:space="preserve"> should take place with consent and be clear; and an alternative service should exist for users who do not have, or wish to use, an app. The goal should not just be to get a higher redemptions rate, but to boost the habit to preference.</w:t>
      </w:r>
    </w:p>
    <w:p w14:paraId="0F0D8B68" w14:textId="2E8AEEAD" w:rsidR="001152B0" w:rsidRDefault="009238F9" w:rsidP="009238F9">
      <w:pPr>
        <w:spacing w:line="360" w:lineRule="auto"/>
      </w:pPr>
      <w:r w:rsidRPr="00A23601">
        <w:rPr>
          <w:rFonts w:cs="Arial"/>
          <w:szCs w:val="24"/>
        </w:rPr>
        <w:t xml:space="preserve">There is also room for improvement in terms of the comparability of Costa's sustainability communication. Future reporting should include scope and consistent reporting of any material setbacks and operational changes against the same baseline, with regular annual progress against the baseline (Costa Coffee, no date b; Costa Coffee, 2022). Independent assurance and accessible </w:t>
      </w:r>
      <w:proofErr w:type="spellStart"/>
      <w:r w:rsidRPr="00A23601">
        <w:rPr>
          <w:rFonts w:cs="Arial"/>
          <w:szCs w:val="24"/>
        </w:rPr>
        <w:t>greenwashing</w:t>
      </w:r>
      <w:proofErr w:type="spellEnd"/>
      <w:r w:rsidRPr="00A23601">
        <w:rPr>
          <w:rFonts w:cs="Arial"/>
          <w:szCs w:val="24"/>
        </w:rPr>
        <w:t xml:space="preserve"> summaries would </w:t>
      </w:r>
      <w:proofErr w:type="spellStart"/>
      <w:r w:rsidRPr="00A23601">
        <w:rPr>
          <w:rFonts w:cs="Arial"/>
          <w:szCs w:val="24"/>
        </w:rPr>
        <w:t>minimise</w:t>
      </w:r>
      <w:proofErr w:type="spellEnd"/>
      <w:r w:rsidRPr="00A23601">
        <w:rPr>
          <w:rFonts w:cs="Arial"/>
          <w:szCs w:val="24"/>
        </w:rPr>
        <w:t xml:space="preserve"> </w:t>
      </w:r>
      <w:proofErr w:type="spellStart"/>
      <w:r w:rsidRPr="00A23601">
        <w:rPr>
          <w:rFonts w:cs="Arial"/>
          <w:szCs w:val="24"/>
        </w:rPr>
        <w:t>greenwashing</w:t>
      </w:r>
      <w:proofErr w:type="spellEnd"/>
      <w:r w:rsidRPr="00A23601">
        <w:rPr>
          <w:rFonts w:cs="Arial"/>
          <w:szCs w:val="24"/>
        </w:rPr>
        <w:t xml:space="preserve"> risk. Responsible-sourcing labels should be linked to customers' overall experience, but should not lead customers to believe that certification eliminates all environmental and social issues</w:t>
      </w:r>
      <w:r w:rsidR="001152B0">
        <w:t>.</w:t>
      </w:r>
    </w:p>
    <w:p w14:paraId="15A9C902" w14:textId="77777777" w:rsidR="001152B0" w:rsidRDefault="001152B0" w:rsidP="001152B0">
      <w:pPr>
        <w:pStyle w:val="Heading2"/>
      </w:pPr>
      <w:bookmarkStart w:id="115" w:name="_Toc239604340"/>
      <w:bookmarkStart w:id="116" w:name="_Toc239609963"/>
      <w:bookmarkStart w:id="117" w:name="_Toc240989744"/>
      <w:r>
        <w:t>6.4 Joint implementation and measurement</w:t>
      </w:r>
      <w:bookmarkEnd w:id="115"/>
      <w:bookmarkEnd w:id="116"/>
      <w:bookmarkEnd w:id="117"/>
    </w:p>
    <w:p w14:paraId="4EADE56E" w14:textId="77777777" w:rsidR="009238F9" w:rsidRPr="00A23601" w:rsidRDefault="009238F9" w:rsidP="009238F9">
      <w:pPr>
        <w:spacing w:line="360" w:lineRule="auto"/>
        <w:rPr>
          <w:rFonts w:cs="Arial"/>
          <w:szCs w:val="24"/>
        </w:rPr>
      </w:pPr>
      <w:r w:rsidRPr="00A23601">
        <w:rPr>
          <w:rFonts w:cs="Arial"/>
          <w:szCs w:val="24"/>
        </w:rPr>
        <w:t xml:space="preserve">The suggested cross-cultural loyalty dashboard should include five interrelated layers of loyalty for both brands: operational reliability, inclusive access, perceived relevance and authenticity, trust and satisfaction, and attitudinal plus </w:t>
      </w:r>
      <w:proofErr w:type="spellStart"/>
      <w:r w:rsidRPr="00A23601">
        <w:rPr>
          <w:rFonts w:cs="Arial"/>
          <w:szCs w:val="24"/>
        </w:rPr>
        <w:t>behavioural</w:t>
      </w:r>
      <w:proofErr w:type="spellEnd"/>
      <w:r w:rsidRPr="00A23601">
        <w:rPr>
          <w:rFonts w:cs="Arial"/>
          <w:szCs w:val="24"/>
        </w:rPr>
        <w:t xml:space="preserve"> loyalty. Core measures may include: order accuracy, recovery time, accessibility task completion, perceived reward fairness, claim comprehension, relative preference, </w:t>
      </w:r>
      <w:proofErr w:type="gramStart"/>
      <w:r w:rsidRPr="00A23601">
        <w:rPr>
          <w:rFonts w:cs="Arial"/>
          <w:szCs w:val="24"/>
        </w:rPr>
        <w:t>share</w:t>
      </w:r>
      <w:proofErr w:type="gramEnd"/>
      <w:r w:rsidRPr="00A23601">
        <w:rPr>
          <w:rFonts w:cs="Arial"/>
          <w:szCs w:val="24"/>
        </w:rPr>
        <w:t xml:space="preserve"> of visits, retention and voluntary advocacy. Only segment results based on needs and occasions voluntarily provided, and protect privacy by not identifying unnecessarily.</w:t>
      </w:r>
    </w:p>
    <w:p w14:paraId="004790FF" w14:textId="77777777" w:rsidR="009238F9" w:rsidRPr="00A23601" w:rsidRDefault="009238F9" w:rsidP="009238F9">
      <w:pPr>
        <w:spacing w:line="360" w:lineRule="auto"/>
        <w:rPr>
          <w:rFonts w:cs="Arial"/>
          <w:szCs w:val="24"/>
        </w:rPr>
      </w:pPr>
      <w:r w:rsidRPr="00A23601">
        <w:rPr>
          <w:rFonts w:cs="Arial"/>
          <w:szCs w:val="24"/>
        </w:rPr>
        <w:lastRenderedPageBreak/>
        <w:t>Three horizons of implementation should be undertaken. Brands should set up governance and base</w:t>
      </w:r>
      <w:bookmarkStart w:id="118" w:name="_GoBack"/>
      <w:bookmarkEnd w:id="118"/>
      <w:r w:rsidRPr="00A23601">
        <w:rPr>
          <w:rFonts w:cs="Arial"/>
          <w:szCs w:val="24"/>
        </w:rPr>
        <w:t xml:space="preserve">lines and co-design panels in the first 3 months. Matched-store and digital pilots should be carried out in months 4-9, with the consideration of context and unintended effects being documented. Only scale practices that increase the experience and relationship without material exclusion in months 10-18. Independent sustainability and accessibility reporting to support scaling. This staged approach considers AI and adaptation as capacities to be tried out, with the remaining capacities of human </w:t>
      </w:r>
      <w:proofErr w:type="spellStart"/>
      <w:r w:rsidRPr="00A23601">
        <w:rPr>
          <w:rFonts w:cs="Arial"/>
          <w:szCs w:val="24"/>
        </w:rPr>
        <w:t>judgement</w:t>
      </w:r>
      <w:proofErr w:type="spellEnd"/>
      <w:r w:rsidRPr="00A23601">
        <w:rPr>
          <w:rFonts w:cs="Arial"/>
          <w:szCs w:val="24"/>
        </w:rPr>
        <w:t xml:space="preserve"> and generation of evidence for future decision making.</w:t>
      </w:r>
    </w:p>
    <w:p w14:paraId="2E52D6EB" w14:textId="5492268E" w:rsidR="001152B0" w:rsidRDefault="009238F9" w:rsidP="009238F9">
      <w:pPr>
        <w:spacing w:line="360" w:lineRule="auto"/>
      </w:pPr>
      <w:r w:rsidRPr="00A23601">
        <w:rPr>
          <w:rFonts w:cs="Arial"/>
          <w:szCs w:val="24"/>
        </w:rPr>
        <w:t xml:space="preserve">Marketing, operations, digital, accessibility and sustainability and frontline representation should be included as part of a cross functional UK steering group. Progress on implementation should be reported in the annual review separately from consumer outcomes and any pilots that are discontinued or adapted should be documented. Public evidence notes should specify measures, comparison periods and limitations and avoid causal language, unless supported by the evidence. Local manager incentives should focus on throughput and sales as well as service recovery, accessibility and trust. Lastly, both brands need to undertake regular independent UK research which incorporates attitudinal and </w:t>
      </w:r>
      <w:proofErr w:type="spellStart"/>
      <w:r w:rsidRPr="00A23601">
        <w:rPr>
          <w:rFonts w:cs="Arial"/>
          <w:szCs w:val="24"/>
        </w:rPr>
        <w:t>behavioural</w:t>
      </w:r>
      <w:proofErr w:type="spellEnd"/>
      <w:r w:rsidRPr="00A23601">
        <w:rPr>
          <w:rFonts w:cs="Arial"/>
          <w:szCs w:val="24"/>
        </w:rPr>
        <w:t xml:space="preserve"> factors of loyalty and involves culturally diverse, digitally excluded and disabled audiences. This type of research would help to address the evidence gap highlighted in this dissertation and enable more defensible comparisons between regions of the UK, store type and consumption occasion over time</w:t>
      </w:r>
      <w:r w:rsidR="001152B0">
        <w:t>.</w:t>
      </w:r>
    </w:p>
    <w:p w14:paraId="3B0BC445" w14:textId="77777777" w:rsidR="001152B0" w:rsidRDefault="001152B0" w:rsidP="001152B0">
      <w:pPr>
        <w:spacing w:line="360" w:lineRule="auto"/>
      </w:pPr>
    </w:p>
    <w:p w14:paraId="4D756F2C" w14:textId="77777777" w:rsidR="001152B0" w:rsidRDefault="001152B0" w:rsidP="001152B0">
      <w:pPr>
        <w:spacing w:line="360" w:lineRule="auto"/>
      </w:pPr>
    </w:p>
    <w:p w14:paraId="2D36B83D" w14:textId="77777777" w:rsidR="001152B0" w:rsidRDefault="001152B0" w:rsidP="001152B0">
      <w:pPr>
        <w:spacing w:line="360" w:lineRule="auto"/>
      </w:pPr>
    </w:p>
    <w:p w14:paraId="2746BA0E" w14:textId="77777777" w:rsidR="001152B0" w:rsidRDefault="001152B0" w:rsidP="001152B0">
      <w:pPr>
        <w:spacing w:line="360" w:lineRule="auto"/>
      </w:pPr>
    </w:p>
    <w:p w14:paraId="5F5C5FE9" w14:textId="77777777" w:rsidR="001152B0" w:rsidRDefault="001152B0" w:rsidP="001152B0">
      <w:pPr>
        <w:spacing w:line="360" w:lineRule="auto"/>
      </w:pPr>
    </w:p>
    <w:p w14:paraId="75D849A7" w14:textId="77777777" w:rsidR="001152B0" w:rsidRDefault="001152B0" w:rsidP="001152B0">
      <w:pPr>
        <w:spacing w:line="360" w:lineRule="auto"/>
      </w:pPr>
    </w:p>
    <w:p w14:paraId="058E8DF9" w14:textId="77777777" w:rsidR="001152B0" w:rsidRDefault="001152B0" w:rsidP="001152B0">
      <w:pPr>
        <w:spacing w:line="360" w:lineRule="auto"/>
      </w:pPr>
    </w:p>
    <w:p w14:paraId="48E93823" w14:textId="77777777" w:rsidR="001152B0" w:rsidRDefault="001152B0" w:rsidP="001152B0">
      <w:pPr>
        <w:spacing w:line="360" w:lineRule="auto"/>
      </w:pPr>
    </w:p>
    <w:p w14:paraId="361B76C6" w14:textId="77777777" w:rsidR="001152B0" w:rsidRDefault="001152B0" w:rsidP="001152B0">
      <w:pPr>
        <w:pStyle w:val="Heading1"/>
      </w:pPr>
      <w:bookmarkStart w:id="119" w:name="_Toc239604341"/>
      <w:bookmarkStart w:id="120" w:name="_Toc239609964"/>
      <w:bookmarkStart w:id="121" w:name="_Toc240989745"/>
      <w:r>
        <w:lastRenderedPageBreak/>
        <w:t>Conclusion</w:t>
      </w:r>
      <w:bookmarkEnd w:id="119"/>
      <w:bookmarkEnd w:id="120"/>
      <w:bookmarkEnd w:id="121"/>
    </w:p>
    <w:p w14:paraId="64D006EB" w14:textId="77777777" w:rsidR="009238F9" w:rsidRPr="00A23601" w:rsidRDefault="009238F9" w:rsidP="009238F9">
      <w:pPr>
        <w:spacing w:line="360" w:lineRule="auto"/>
        <w:rPr>
          <w:rFonts w:cs="Arial"/>
          <w:szCs w:val="24"/>
        </w:rPr>
      </w:pPr>
      <w:r w:rsidRPr="00A23601">
        <w:rPr>
          <w:rFonts w:cs="Arial"/>
          <w:szCs w:val="24"/>
        </w:rPr>
        <w:t xml:space="preserve">This dissertation explored the relationship between cross-cultural international marketing and consumer brand loyalty by comparing the two different brands, Starbucks and Costa Coffee in the UK using qualitative secondary-data analysis. A distinction was maintained between documented practice, plausible mechanism and demonstrated outcome for the study. The key conclusion is that cultural adaptation is not always and directly a source of loyalty. It is made loyalty-relevant if consumers find a practice to be relevant and authentic, the customer experience is reliable and inclusive, reciprocity is perceived as fair and these assessments result in trust, satisfaction, identification and commitment on the consumer's part. The </w:t>
      </w:r>
      <w:proofErr w:type="gramStart"/>
      <w:r w:rsidRPr="00A23601">
        <w:rPr>
          <w:rFonts w:cs="Arial"/>
          <w:szCs w:val="24"/>
        </w:rPr>
        <w:t>moderators</w:t>
      </w:r>
      <w:proofErr w:type="gramEnd"/>
      <w:r w:rsidRPr="00A23601">
        <w:rPr>
          <w:rFonts w:cs="Arial"/>
          <w:szCs w:val="24"/>
        </w:rPr>
        <w:t xml:space="preserve"> price, location, convenience, consumption occasion and competition are still relevant. Starbucks starts with a global brand name and a consistent digital presence, and Costa starts with a brand name that is known in the UK and a London-Italian theme. All these starting assets can lead to different paths to predictability, belonging and repeat </w:t>
      </w:r>
      <w:proofErr w:type="spellStart"/>
      <w:r w:rsidRPr="00A23601">
        <w:rPr>
          <w:rFonts w:cs="Arial"/>
          <w:szCs w:val="24"/>
        </w:rPr>
        <w:t>behaviours</w:t>
      </w:r>
      <w:proofErr w:type="spellEnd"/>
      <w:r w:rsidRPr="00A23601">
        <w:rPr>
          <w:rFonts w:cs="Arial"/>
          <w:szCs w:val="24"/>
        </w:rPr>
        <w:t>, but there isn't enough direct evidence in the UK consumer market to determine a clear loyalty winner.</w:t>
      </w:r>
    </w:p>
    <w:p w14:paraId="1BA655FE" w14:textId="77777777" w:rsidR="009238F9" w:rsidRPr="00A23601" w:rsidRDefault="009238F9" w:rsidP="009238F9">
      <w:pPr>
        <w:spacing w:line="360" w:lineRule="auto"/>
        <w:rPr>
          <w:rFonts w:cs="Arial"/>
          <w:szCs w:val="24"/>
        </w:rPr>
      </w:pPr>
      <w:r w:rsidRPr="00A23601">
        <w:rPr>
          <w:rFonts w:cs="Arial"/>
          <w:szCs w:val="24"/>
        </w:rPr>
        <w:t xml:space="preserve">Thus, the general research question is answered with </w:t>
      </w:r>
      <w:proofErr w:type="gramStart"/>
      <w:r w:rsidRPr="00A23601">
        <w:rPr>
          <w:rFonts w:cs="Arial"/>
          <w:szCs w:val="24"/>
        </w:rPr>
        <w:t>a</w:t>
      </w:r>
      <w:proofErr w:type="gramEnd"/>
      <w:r w:rsidRPr="00A23601">
        <w:rPr>
          <w:rFonts w:cs="Arial"/>
          <w:szCs w:val="24"/>
        </w:rPr>
        <w:t xml:space="preserve"> “IF.” Useful global or heritage cues, friction reduction locally, evidence-based claims and inclusion of value, and trustworthy relationships may help to sustain long-term loyalty if implemented cross-culturally. They can be either beneficial or harmful if consumers notice or appreciate the adaptation, or if they stereotype or exclude consumers, use data to build mistrust or if they overstate responsible performance. This is in-line with the Brand Loyalty Theory as </w:t>
      </w:r>
      <w:proofErr w:type="spellStart"/>
      <w:r w:rsidRPr="00A23601">
        <w:rPr>
          <w:rFonts w:cs="Arial"/>
          <w:szCs w:val="24"/>
        </w:rPr>
        <w:t>behavioural</w:t>
      </w:r>
      <w:proofErr w:type="spellEnd"/>
      <w:r w:rsidRPr="00A23601">
        <w:rPr>
          <w:rFonts w:cs="Arial"/>
          <w:szCs w:val="24"/>
        </w:rPr>
        <w:t xml:space="preserve"> repetition may be based on convenience or incentives, without great attitudinal preference (Dick and </w:t>
      </w:r>
      <w:proofErr w:type="spellStart"/>
      <w:r w:rsidRPr="00A23601">
        <w:rPr>
          <w:rFonts w:cs="Arial"/>
          <w:szCs w:val="24"/>
        </w:rPr>
        <w:t>Basu</w:t>
      </w:r>
      <w:proofErr w:type="spellEnd"/>
      <w:r w:rsidRPr="00A23601">
        <w:rPr>
          <w:rFonts w:cs="Arial"/>
          <w:szCs w:val="24"/>
        </w:rPr>
        <w:t xml:space="preserve">, 1994; Oliver, 1999). The integrated pathway created within this dissertation connects cultural interpretation with relationship quality, and from there with attitudinal and </w:t>
      </w:r>
      <w:proofErr w:type="spellStart"/>
      <w:r w:rsidRPr="00A23601">
        <w:rPr>
          <w:rFonts w:cs="Arial"/>
          <w:szCs w:val="24"/>
        </w:rPr>
        <w:t>behavioural</w:t>
      </w:r>
      <w:proofErr w:type="spellEnd"/>
      <w:r w:rsidRPr="00A23601">
        <w:rPr>
          <w:rFonts w:cs="Arial"/>
          <w:szCs w:val="24"/>
        </w:rPr>
        <w:t xml:space="preserve"> loyalty, and maintains robust boundaries for causal inference.</w:t>
      </w:r>
    </w:p>
    <w:p w14:paraId="573DA4F9" w14:textId="77777777" w:rsidR="009238F9" w:rsidRPr="00A23601" w:rsidRDefault="009238F9" w:rsidP="009238F9">
      <w:pPr>
        <w:spacing w:line="360" w:lineRule="auto"/>
        <w:rPr>
          <w:rFonts w:cs="Arial"/>
          <w:szCs w:val="24"/>
        </w:rPr>
      </w:pPr>
      <w:r w:rsidRPr="00A23601">
        <w:rPr>
          <w:rFonts w:cs="Arial"/>
          <w:szCs w:val="24"/>
        </w:rPr>
        <w:t xml:space="preserve">The theoretical part consists of the combination of four complementary lenses. Hofstede's dimensions serve as guarded </w:t>
      </w:r>
      <w:proofErr w:type="spellStart"/>
      <w:r w:rsidRPr="00A23601">
        <w:rPr>
          <w:rFonts w:cs="Arial"/>
          <w:szCs w:val="24"/>
        </w:rPr>
        <w:t>sensitising</w:t>
      </w:r>
      <w:proofErr w:type="spellEnd"/>
      <w:r w:rsidRPr="00A23601">
        <w:rPr>
          <w:rFonts w:cs="Arial"/>
          <w:szCs w:val="24"/>
        </w:rPr>
        <w:t xml:space="preserve"> devices and not on an individual level as predictions; CCT explains consumer appropriation and hybrid identities; Relationship Marketing Theory clarifies role of trust and commitment; and Brand Loyalty Theory </w:t>
      </w:r>
      <w:r w:rsidRPr="00A23601">
        <w:rPr>
          <w:rFonts w:cs="Arial"/>
          <w:szCs w:val="24"/>
        </w:rPr>
        <w:lastRenderedPageBreak/>
        <w:t xml:space="preserve">differentiates attitudes from actions. Collectively, these lenses make the international more than a matter of birthplace or leave out national determinism. The managerial effort is a learning architecture of co-designed, locally discretion governed, piloted and controlled, personally and relationally outcomes measured, privacy respecting </w:t>
      </w:r>
      <w:proofErr w:type="spellStart"/>
      <w:r w:rsidRPr="00A23601">
        <w:rPr>
          <w:rFonts w:cs="Arial"/>
          <w:szCs w:val="24"/>
        </w:rPr>
        <w:t>personalisation</w:t>
      </w:r>
      <w:proofErr w:type="spellEnd"/>
      <w:r w:rsidRPr="00A23601">
        <w:rPr>
          <w:rFonts w:cs="Arial"/>
          <w:szCs w:val="24"/>
        </w:rPr>
        <w:t>, accessible journeys, fairly rewarded and evidence and data informed sustainability communication.</w:t>
      </w:r>
    </w:p>
    <w:p w14:paraId="72EECB08" w14:textId="77777777" w:rsidR="009238F9" w:rsidRPr="00A23601" w:rsidRDefault="009238F9" w:rsidP="009238F9">
      <w:pPr>
        <w:spacing w:line="360" w:lineRule="auto"/>
        <w:rPr>
          <w:rFonts w:cs="Arial"/>
          <w:szCs w:val="24"/>
        </w:rPr>
      </w:pPr>
      <w:r w:rsidRPr="00A23601">
        <w:rPr>
          <w:rFonts w:cs="Arial"/>
          <w:szCs w:val="24"/>
        </w:rPr>
        <w:t xml:space="preserve">Results are still limited due to the study design. The corpus covers a mix of source types that don't have the same evidential weight; disclosure is incomplete in companies; and a lot of independent research comes from markets other than the UK. Other dates and definitions are used in industry counts and in corporate reports and published studies; there may also be publication bias towards positive results. This dissertation is thus unable to estimate individual or population level causal effects or culture-specific responses. These limitations are not negated by triangulation, reflexive coding, negative cases and graded conclusions which enhance credibility. Future studies should include Phased Pilots or Matched-Stores, as well as longitudinal studies and mixed method studies that involve qualitative research with consumers with multiple cultural identities or accessibility and digital needs; surveys of perceived </w:t>
      </w:r>
      <w:proofErr w:type="spellStart"/>
      <w:r w:rsidRPr="00A23601">
        <w:rPr>
          <w:rFonts w:cs="Arial"/>
          <w:szCs w:val="24"/>
        </w:rPr>
        <w:t>globalness</w:t>
      </w:r>
      <w:proofErr w:type="spellEnd"/>
      <w:r w:rsidRPr="00A23601">
        <w:rPr>
          <w:rFonts w:cs="Arial"/>
          <w:szCs w:val="24"/>
        </w:rPr>
        <w:t xml:space="preserve"> vs. localness; experience quality; trust; satisfaction; and relative attitude. AI </w:t>
      </w:r>
      <w:proofErr w:type="spellStart"/>
      <w:r w:rsidRPr="00A23601">
        <w:rPr>
          <w:rFonts w:cs="Arial"/>
          <w:szCs w:val="24"/>
        </w:rPr>
        <w:t>personalisation</w:t>
      </w:r>
      <w:proofErr w:type="spellEnd"/>
      <w:r w:rsidRPr="00A23601">
        <w:rPr>
          <w:rFonts w:cs="Arial"/>
          <w:szCs w:val="24"/>
        </w:rPr>
        <w:t xml:space="preserve"> and sustainability communication studies should also include tests for transparency and trust and not only report positive, but also null and negative interventions and unintended exclusion.</w:t>
      </w:r>
    </w:p>
    <w:p w14:paraId="231721B4" w14:textId="4DEFE54C" w:rsidR="001152B0" w:rsidRDefault="009238F9" w:rsidP="009238F9">
      <w:pPr>
        <w:spacing w:line="360" w:lineRule="auto"/>
      </w:pPr>
      <w:r w:rsidRPr="00A23601">
        <w:rPr>
          <w:rFonts w:cs="Arial"/>
          <w:szCs w:val="24"/>
        </w:rPr>
        <w:t xml:space="preserve">In the UK, long-term loyalty is therefore not something that is going to rely on a once-off decision to either be global or local. It requires many decisions with regards to what should be </w:t>
      </w:r>
      <w:proofErr w:type="spellStart"/>
      <w:r w:rsidRPr="00A23601">
        <w:rPr>
          <w:rFonts w:cs="Arial"/>
          <w:szCs w:val="24"/>
        </w:rPr>
        <w:t>recognisable</w:t>
      </w:r>
      <w:proofErr w:type="spellEnd"/>
      <w:r w:rsidRPr="00A23601">
        <w:rPr>
          <w:rFonts w:cs="Arial"/>
          <w:szCs w:val="24"/>
        </w:rPr>
        <w:t>, what needs to be more inclusive and contextually relevant and how those changes will be tested. Starbucks and Costa Coffee can both enhance loyalty by building the capability to learn from a wide range of customers and translate learning into value, trust, preference and accountable delivery</w:t>
      </w:r>
      <w:r w:rsidR="001152B0">
        <w:t>.</w:t>
      </w:r>
    </w:p>
    <w:p w14:paraId="099D9390" w14:textId="77777777" w:rsidR="00D8014E" w:rsidRDefault="00D8014E">
      <w:pPr>
        <w:spacing w:line="360" w:lineRule="auto"/>
      </w:pPr>
    </w:p>
    <w:p w14:paraId="1C235029" w14:textId="77777777" w:rsidR="00D8014E" w:rsidRDefault="00232011">
      <w:pPr>
        <w:pStyle w:val="Heading1"/>
      </w:pPr>
      <w:bookmarkStart w:id="122" w:name="_Toc240989746"/>
      <w:r>
        <w:lastRenderedPageBreak/>
        <w:t>References</w:t>
      </w:r>
      <w:bookmarkEnd w:id="122"/>
    </w:p>
    <w:p w14:paraId="775DECFC"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Aaker</w:t>
      </w:r>
      <w:proofErr w:type="spellEnd"/>
      <w:r w:rsidRPr="00D956A4">
        <w:rPr>
          <w:rFonts w:ascii="Arial" w:hAnsi="Arial" w:cs="Arial"/>
        </w:rPr>
        <w:t xml:space="preserve">, D.A. (1996) </w:t>
      </w:r>
      <w:r w:rsidRPr="00D956A4">
        <w:rPr>
          <w:rStyle w:val="Emphasis"/>
          <w:rFonts w:ascii="Arial" w:eastAsiaTheme="majorEastAsia" w:hAnsi="Arial" w:cs="Arial"/>
        </w:rPr>
        <w:t>Building strong brands</w:t>
      </w:r>
      <w:r w:rsidRPr="00D956A4">
        <w:rPr>
          <w:rFonts w:ascii="Arial" w:hAnsi="Arial" w:cs="Arial"/>
        </w:rPr>
        <w:t>. New York: Free Press.</w:t>
      </w:r>
    </w:p>
    <w:p w14:paraId="69596FB6"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Alexander, B. and Kent, A. (2022) ‘Change in technology-enabled </w:t>
      </w:r>
      <w:proofErr w:type="spellStart"/>
      <w:r w:rsidRPr="00D956A4">
        <w:rPr>
          <w:rFonts w:ascii="Arial" w:hAnsi="Arial" w:cs="Arial"/>
        </w:rPr>
        <w:t>omnichannel</w:t>
      </w:r>
      <w:proofErr w:type="spellEnd"/>
      <w:r w:rsidRPr="00D956A4">
        <w:rPr>
          <w:rFonts w:ascii="Arial" w:hAnsi="Arial" w:cs="Arial"/>
        </w:rPr>
        <w:t xml:space="preserve"> customer experiences in-store’, </w:t>
      </w:r>
      <w:r w:rsidRPr="00D956A4">
        <w:rPr>
          <w:rStyle w:val="Emphasis"/>
          <w:rFonts w:ascii="Arial" w:eastAsiaTheme="majorEastAsia" w:hAnsi="Arial" w:cs="Arial"/>
        </w:rPr>
        <w:t>Journal of Retailing and Consumer Services</w:t>
      </w:r>
      <w:r w:rsidRPr="00D956A4">
        <w:rPr>
          <w:rFonts w:ascii="Arial" w:hAnsi="Arial" w:cs="Arial"/>
        </w:rPr>
        <w:t xml:space="preserve">, 65, article 102338. Available at: </w:t>
      </w:r>
      <w:hyperlink r:id="rId26" w:history="1">
        <w:r w:rsidRPr="00D956A4">
          <w:rPr>
            <w:rStyle w:val="Hyperlink"/>
            <w:rFonts w:ascii="Arial" w:eastAsiaTheme="majorEastAsia" w:hAnsi="Arial" w:cs="Arial"/>
          </w:rPr>
          <w:t>https://doi.org/10.1016/j.jretconser.2020.102338</w:t>
        </w:r>
      </w:hyperlink>
      <w:r w:rsidRPr="00D956A4">
        <w:rPr>
          <w:rFonts w:ascii="Arial" w:hAnsi="Arial" w:cs="Arial"/>
        </w:rPr>
        <w:t>.</w:t>
      </w:r>
    </w:p>
    <w:p w14:paraId="271F962D"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Arnould</w:t>
      </w:r>
      <w:proofErr w:type="spellEnd"/>
      <w:r w:rsidRPr="00D956A4">
        <w:rPr>
          <w:rFonts w:ascii="Arial" w:hAnsi="Arial" w:cs="Arial"/>
        </w:rPr>
        <w:t xml:space="preserve">, E.J. and Thompson, C.J. (2005) ‘Consumer culture theory (CCT): Twenty years of research’, </w:t>
      </w:r>
      <w:r w:rsidRPr="00D956A4">
        <w:rPr>
          <w:rStyle w:val="Emphasis"/>
          <w:rFonts w:ascii="Arial" w:eastAsiaTheme="majorEastAsia" w:hAnsi="Arial" w:cs="Arial"/>
        </w:rPr>
        <w:t>Journal of Consumer Research</w:t>
      </w:r>
      <w:r w:rsidRPr="00D956A4">
        <w:rPr>
          <w:rFonts w:ascii="Arial" w:hAnsi="Arial" w:cs="Arial"/>
        </w:rPr>
        <w:t xml:space="preserve">, 31(4), pp. 868–882. Available at: </w:t>
      </w:r>
      <w:hyperlink r:id="rId27" w:history="1">
        <w:r w:rsidRPr="00D956A4">
          <w:rPr>
            <w:rStyle w:val="Hyperlink"/>
            <w:rFonts w:ascii="Arial" w:eastAsiaTheme="majorEastAsia" w:hAnsi="Arial" w:cs="Arial"/>
          </w:rPr>
          <w:t>https://doi.org/10.1086/426626</w:t>
        </w:r>
      </w:hyperlink>
      <w:r w:rsidRPr="00D956A4">
        <w:rPr>
          <w:rFonts w:ascii="Arial" w:hAnsi="Arial" w:cs="Arial"/>
        </w:rPr>
        <w:t>.</w:t>
      </w:r>
    </w:p>
    <w:p w14:paraId="01D0F5E6"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Bager</w:t>
      </w:r>
      <w:proofErr w:type="spellEnd"/>
      <w:r w:rsidRPr="00D956A4">
        <w:rPr>
          <w:rFonts w:ascii="Arial" w:hAnsi="Arial" w:cs="Arial"/>
        </w:rPr>
        <w:t xml:space="preserve">, S.L. and </w:t>
      </w:r>
      <w:proofErr w:type="spellStart"/>
      <w:r w:rsidRPr="00D956A4">
        <w:rPr>
          <w:rFonts w:ascii="Arial" w:hAnsi="Arial" w:cs="Arial"/>
        </w:rPr>
        <w:t>Lambin</w:t>
      </w:r>
      <w:proofErr w:type="spellEnd"/>
      <w:r w:rsidRPr="00D956A4">
        <w:rPr>
          <w:rFonts w:ascii="Arial" w:hAnsi="Arial" w:cs="Arial"/>
        </w:rPr>
        <w:t xml:space="preserve">, E.F. (2020) ‘Sustainability strategies by companies in the global coffee sector’, </w:t>
      </w:r>
      <w:r w:rsidRPr="00D956A4">
        <w:rPr>
          <w:rStyle w:val="Emphasis"/>
          <w:rFonts w:ascii="Arial" w:eastAsiaTheme="majorEastAsia" w:hAnsi="Arial" w:cs="Arial"/>
        </w:rPr>
        <w:t>Business Strategy and the Environment</w:t>
      </w:r>
      <w:r w:rsidRPr="00D956A4">
        <w:rPr>
          <w:rFonts w:ascii="Arial" w:hAnsi="Arial" w:cs="Arial"/>
        </w:rPr>
        <w:t xml:space="preserve">, 29(8), pp. 3555–3570. Available at: </w:t>
      </w:r>
      <w:hyperlink r:id="rId28" w:history="1">
        <w:r w:rsidRPr="00D956A4">
          <w:rPr>
            <w:rStyle w:val="Hyperlink"/>
            <w:rFonts w:ascii="Arial" w:eastAsiaTheme="majorEastAsia" w:hAnsi="Arial" w:cs="Arial"/>
          </w:rPr>
          <w:t>https://doi.org/10.1002/bse.2596</w:t>
        </w:r>
      </w:hyperlink>
      <w:r w:rsidRPr="00D956A4">
        <w:rPr>
          <w:rFonts w:ascii="Arial" w:hAnsi="Arial" w:cs="Arial"/>
        </w:rPr>
        <w:t>.</w:t>
      </w:r>
    </w:p>
    <w:p w14:paraId="487618D9"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Becker, L. and </w:t>
      </w:r>
      <w:proofErr w:type="spellStart"/>
      <w:r w:rsidRPr="00D956A4">
        <w:rPr>
          <w:rFonts w:ascii="Arial" w:hAnsi="Arial" w:cs="Arial"/>
        </w:rPr>
        <w:t>Jaakkola</w:t>
      </w:r>
      <w:proofErr w:type="spellEnd"/>
      <w:r w:rsidRPr="00D956A4">
        <w:rPr>
          <w:rFonts w:ascii="Arial" w:hAnsi="Arial" w:cs="Arial"/>
        </w:rPr>
        <w:t xml:space="preserve">, E. (2020) ‘Customer experience: Fundamental premises and implications for research’, </w:t>
      </w:r>
      <w:r w:rsidRPr="00D956A4">
        <w:rPr>
          <w:rStyle w:val="Emphasis"/>
          <w:rFonts w:ascii="Arial" w:eastAsiaTheme="majorEastAsia" w:hAnsi="Arial" w:cs="Arial"/>
        </w:rPr>
        <w:t>Journal of the Academy of Marketing Science</w:t>
      </w:r>
      <w:r w:rsidRPr="00D956A4">
        <w:rPr>
          <w:rFonts w:ascii="Arial" w:hAnsi="Arial" w:cs="Arial"/>
        </w:rPr>
        <w:t xml:space="preserve">, 48(4), pp. 630–648. Available at: </w:t>
      </w:r>
      <w:hyperlink r:id="rId29" w:history="1">
        <w:r w:rsidRPr="00D956A4">
          <w:rPr>
            <w:rStyle w:val="Hyperlink"/>
            <w:rFonts w:ascii="Arial" w:eastAsiaTheme="majorEastAsia" w:hAnsi="Arial" w:cs="Arial"/>
          </w:rPr>
          <w:t>https://doi.org/10.1007/s11747-019-00718-x</w:t>
        </w:r>
      </w:hyperlink>
      <w:r w:rsidRPr="00D956A4">
        <w:rPr>
          <w:rFonts w:ascii="Arial" w:hAnsi="Arial" w:cs="Arial"/>
        </w:rPr>
        <w:t>.</w:t>
      </w:r>
    </w:p>
    <w:p w14:paraId="75A421AF"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Bernini, F., Giuliani, M. and La Rosa, F. (2024) ‘Measuring </w:t>
      </w:r>
      <w:proofErr w:type="spellStart"/>
      <w:r w:rsidRPr="00D956A4">
        <w:rPr>
          <w:rFonts w:ascii="Arial" w:hAnsi="Arial" w:cs="Arial"/>
        </w:rPr>
        <w:t>greenwashing</w:t>
      </w:r>
      <w:proofErr w:type="spellEnd"/>
      <w:r w:rsidRPr="00D956A4">
        <w:rPr>
          <w:rFonts w:ascii="Arial" w:hAnsi="Arial" w:cs="Arial"/>
        </w:rPr>
        <w:t xml:space="preserve">: A systematic methodological literature review’, </w:t>
      </w:r>
      <w:r w:rsidRPr="00D956A4">
        <w:rPr>
          <w:rStyle w:val="Emphasis"/>
          <w:rFonts w:ascii="Arial" w:eastAsiaTheme="majorEastAsia" w:hAnsi="Arial" w:cs="Arial"/>
        </w:rPr>
        <w:t>Business Ethics, the Environment &amp; Responsibility</w:t>
      </w:r>
      <w:r w:rsidRPr="00D956A4">
        <w:rPr>
          <w:rFonts w:ascii="Arial" w:hAnsi="Arial" w:cs="Arial"/>
        </w:rPr>
        <w:t xml:space="preserve">, 33(4), pp. 649–667. Available at: </w:t>
      </w:r>
      <w:hyperlink r:id="rId30" w:history="1">
        <w:r w:rsidRPr="00D956A4">
          <w:rPr>
            <w:rStyle w:val="Hyperlink"/>
            <w:rFonts w:ascii="Arial" w:eastAsiaTheme="majorEastAsia" w:hAnsi="Arial" w:cs="Arial"/>
          </w:rPr>
          <w:t>https://doi.org/10.1111/beer.12631</w:t>
        </w:r>
      </w:hyperlink>
      <w:r w:rsidRPr="00D956A4">
        <w:rPr>
          <w:rFonts w:ascii="Arial" w:hAnsi="Arial" w:cs="Arial"/>
        </w:rPr>
        <w:t>.</w:t>
      </w:r>
    </w:p>
    <w:p w14:paraId="34AD3A26"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Blut</w:t>
      </w:r>
      <w:proofErr w:type="spellEnd"/>
      <w:r w:rsidRPr="00D956A4">
        <w:rPr>
          <w:rFonts w:ascii="Arial" w:hAnsi="Arial" w:cs="Arial"/>
        </w:rPr>
        <w:t xml:space="preserve">, M., </w:t>
      </w:r>
      <w:proofErr w:type="spellStart"/>
      <w:r w:rsidRPr="00D956A4">
        <w:rPr>
          <w:rFonts w:ascii="Arial" w:hAnsi="Arial" w:cs="Arial"/>
        </w:rPr>
        <w:t>Kulikovskaja</w:t>
      </w:r>
      <w:proofErr w:type="spellEnd"/>
      <w:r w:rsidRPr="00D956A4">
        <w:rPr>
          <w:rFonts w:ascii="Arial" w:hAnsi="Arial" w:cs="Arial"/>
        </w:rPr>
        <w:t xml:space="preserve">, V., Hubert, M., Brock, C. and Grewal, D. (2023) ‘Effectiveness of engagement initiatives across engagement platforms: A meta-analysis’, </w:t>
      </w:r>
      <w:r w:rsidRPr="00D956A4">
        <w:rPr>
          <w:rStyle w:val="Emphasis"/>
          <w:rFonts w:ascii="Arial" w:eastAsiaTheme="majorEastAsia" w:hAnsi="Arial" w:cs="Arial"/>
        </w:rPr>
        <w:t>Journal of the Academy of Marketing Science</w:t>
      </w:r>
      <w:r w:rsidRPr="00D956A4">
        <w:rPr>
          <w:rFonts w:ascii="Arial" w:hAnsi="Arial" w:cs="Arial"/>
        </w:rPr>
        <w:t xml:space="preserve">, 51(5), pp. 941–965. Available at: </w:t>
      </w:r>
      <w:hyperlink r:id="rId31" w:history="1">
        <w:r w:rsidRPr="00D956A4">
          <w:rPr>
            <w:rStyle w:val="Hyperlink"/>
            <w:rFonts w:ascii="Arial" w:eastAsiaTheme="majorEastAsia" w:hAnsi="Arial" w:cs="Arial"/>
          </w:rPr>
          <w:t>https://doi.org/10.1007/s11747-023-00925-7</w:t>
        </w:r>
      </w:hyperlink>
      <w:r w:rsidRPr="00D956A4">
        <w:rPr>
          <w:rFonts w:ascii="Arial" w:hAnsi="Arial" w:cs="Arial"/>
        </w:rPr>
        <w:t>.</w:t>
      </w:r>
    </w:p>
    <w:p w14:paraId="749C9C24"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Blut</w:t>
      </w:r>
      <w:proofErr w:type="spellEnd"/>
      <w:r w:rsidRPr="00D956A4">
        <w:rPr>
          <w:rFonts w:ascii="Arial" w:hAnsi="Arial" w:cs="Arial"/>
        </w:rPr>
        <w:t xml:space="preserve">, M., </w:t>
      </w:r>
      <w:proofErr w:type="spellStart"/>
      <w:r w:rsidRPr="00D956A4">
        <w:rPr>
          <w:rFonts w:ascii="Arial" w:hAnsi="Arial" w:cs="Arial"/>
        </w:rPr>
        <w:t>Wünderlich</w:t>
      </w:r>
      <w:proofErr w:type="spellEnd"/>
      <w:r w:rsidRPr="00D956A4">
        <w:rPr>
          <w:rFonts w:ascii="Arial" w:hAnsi="Arial" w:cs="Arial"/>
        </w:rPr>
        <w:t xml:space="preserve">, N.V. and Brock, C. (2024) ‘Facilitating retail customers’ use of AI-based virtual assistants: A meta-analysis’, </w:t>
      </w:r>
      <w:r w:rsidRPr="00D956A4">
        <w:rPr>
          <w:rStyle w:val="Emphasis"/>
          <w:rFonts w:ascii="Arial" w:eastAsiaTheme="majorEastAsia" w:hAnsi="Arial" w:cs="Arial"/>
        </w:rPr>
        <w:t>Journal of Retailing</w:t>
      </w:r>
      <w:r w:rsidRPr="00D956A4">
        <w:rPr>
          <w:rFonts w:ascii="Arial" w:hAnsi="Arial" w:cs="Arial"/>
        </w:rPr>
        <w:t xml:space="preserve">, 100(2), pp. 293–315. Available at: </w:t>
      </w:r>
      <w:hyperlink r:id="rId32" w:history="1">
        <w:r w:rsidRPr="00D956A4">
          <w:rPr>
            <w:rStyle w:val="Hyperlink"/>
            <w:rFonts w:ascii="Arial" w:eastAsiaTheme="majorEastAsia" w:hAnsi="Arial" w:cs="Arial"/>
          </w:rPr>
          <w:t>https://doi.org/10.1016/j.jretai.2024.04.001</w:t>
        </w:r>
      </w:hyperlink>
      <w:r w:rsidRPr="00D956A4">
        <w:rPr>
          <w:rFonts w:ascii="Arial" w:hAnsi="Arial" w:cs="Arial"/>
        </w:rPr>
        <w:t>.</w:t>
      </w:r>
    </w:p>
    <w:p w14:paraId="371F1733"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lastRenderedPageBreak/>
        <w:t xml:space="preserve">Braun, V. and Clarke, V. (2006) ‘Using thematic analysis in psychology’, </w:t>
      </w:r>
      <w:r w:rsidRPr="00D956A4">
        <w:rPr>
          <w:rStyle w:val="Emphasis"/>
          <w:rFonts w:ascii="Arial" w:eastAsiaTheme="majorEastAsia" w:hAnsi="Arial" w:cs="Arial"/>
        </w:rPr>
        <w:t>Qualitative Research in Psychology</w:t>
      </w:r>
      <w:r w:rsidRPr="00D956A4">
        <w:rPr>
          <w:rFonts w:ascii="Arial" w:hAnsi="Arial" w:cs="Arial"/>
        </w:rPr>
        <w:t xml:space="preserve">, 3(2), pp. 77–101. Available at: </w:t>
      </w:r>
      <w:hyperlink r:id="rId33" w:history="1">
        <w:r w:rsidRPr="00D956A4">
          <w:rPr>
            <w:rStyle w:val="Hyperlink"/>
            <w:rFonts w:ascii="Arial" w:eastAsiaTheme="majorEastAsia" w:hAnsi="Arial" w:cs="Arial"/>
          </w:rPr>
          <w:t>https://doi.org/10.1191/1478088706qp063oa</w:t>
        </w:r>
      </w:hyperlink>
      <w:r w:rsidRPr="00D956A4">
        <w:rPr>
          <w:rFonts w:ascii="Arial" w:hAnsi="Arial" w:cs="Arial"/>
        </w:rPr>
        <w:t>.</w:t>
      </w:r>
    </w:p>
    <w:p w14:paraId="3EC9DEC3"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Braun, V. and Clarke, V. (2021) ‘One size fits all? What counts as quality practice in (reflexive) thematic analysis?</w:t>
      </w:r>
      <w:proofErr w:type="gramStart"/>
      <w:r w:rsidRPr="00D956A4">
        <w:rPr>
          <w:rFonts w:ascii="Arial" w:hAnsi="Arial" w:cs="Arial"/>
        </w:rPr>
        <w:t>’,</w:t>
      </w:r>
      <w:proofErr w:type="gramEnd"/>
      <w:r w:rsidRPr="00D956A4">
        <w:rPr>
          <w:rFonts w:ascii="Arial" w:hAnsi="Arial" w:cs="Arial"/>
        </w:rPr>
        <w:t xml:space="preserve"> </w:t>
      </w:r>
      <w:r w:rsidRPr="00D956A4">
        <w:rPr>
          <w:rStyle w:val="Emphasis"/>
          <w:rFonts w:ascii="Arial" w:eastAsiaTheme="majorEastAsia" w:hAnsi="Arial" w:cs="Arial"/>
        </w:rPr>
        <w:t>Qualitative Research in Psychology</w:t>
      </w:r>
      <w:r w:rsidRPr="00D956A4">
        <w:rPr>
          <w:rFonts w:ascii="Arial" w:hAnsi="Arial" w:cs="Arial"/>
        </w:rPr>
        <w:t xml:space="preserve">, 18(3), pp. 328–352. Available at: </w:t>
      </w:r>
      <w:hyperlink r:id="rId34" w:history="1">
        <w:r w:rsidRPr="00D956A4">
          <w:rPr>
            <w:rStyle w:val="Hyperlink"/>
            <w:rFonts w:ascii="Arial" w:eastAsiaTheme="majorEastAsia" w:hAnsi="Arial" w:cs="Arial"/>
          </w:rPr>
          <w:t>https://doi.org/10.1080/14780887.2020.1769238</w:t>
        </w:r>
      </w:hyperlink>
      <w:r w:rsidRPr="00D956A4">
        <w:rPr>
          <w:rFonts w:ascii="Arial" w:hAnsi="Arial" w:cs="Arial"/>
        </w:rPr>
        <w:t>.</w:t>
      </w:r>
    </w:p>
    <w:p w14:paraId="6173B382"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Braun, V. and Clarke, V. (2022) </w:t>
      </w:r>
      <w:r w:rsidRPr="00D956A4">
        <w:rPr>
          <w:rStyle w:val="Emphasis"/>
          <w:rFonts w:ascii="Arial" w:eastAsiaTheme="majorEastAsia" w:hAnsi="Arial" w:cs="Arial"/>
        </w:rPr>
        <w:t>Thematic analysis: A practical guide</w:t>
      </w:r>
      <w:r w:rsidRPr="00D956A4">
        <w:rPr>
          <w:rFonts w:ascii="Arial" w:hAnsi="Arial" w:cs="Arial"/>
        </w:rPr>
        <w:t>. London: SAGE.</w:t>
      </w:r>
    </w:p>
    <w:p w14:paraId="2EBA65CF"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Campagna</w:t>
      </w:r>
      <w:proofErr w:type="spellEnd"/>
      <w:r w:rsidRPr="00D956A4">
        <w:rPr>
          <w:rFonts w:ascii="Arial" w:hAnsi="Arial" w:cs="Arial"/>
        </w:rPr>
        <w:t xml:space="preserve">, C.L., </w:t>
      </w:r>
      <w:proofErr w:type="spellStart"/>
      <w:r w:rsidRPr="00D956A4">
        <w:rPr>
          <w:rFonts w:ascii="Arial" w:hAnsi="Arial" w:cs="Arial"/>
        </w:rPr>
        <w:t>Donthu</w:t>
      </w:r>
      <w:proofErr w:type="spellEnd"/>
      <w:r w:rsidRPr="00D956A4">
        <w:rPr>
          <w:rFonts w:ascii="Arial" w:hAnsi="Arial" w:cs="Arial"/>
        </w:rPr>
        <w:t xml:space="preserve">, N. and </w:t>
      </w:r>
      <w:proofErr w:type="spellStart"/>
      <w:r w:rsidRPr="00D956A4">
        <w:rPr>
          <w:rFonts w:ascii="Arial" w:hAnsi="Arial" w:cs="Arial"/>
        </w:rPr>
        <w:t>Yoo</w:t>
      </w:r>
      <w:proofErr w:type="spellEnd"/>
      <w:r w:rsidRPr="00D956A4">
        <w:rPr>
          <w:rFonts w:ascii="Arial" w:hAnsi="Arial" w:cs="Arial"/>
        </w:rPr>
        <w:t xml:space="preserve">, B. (2023) ‘Brand authenticity: Literature review, comprehensive definition, and an amalgamated scale’, </w:t>
      </w:r>
      <w:r w:rsidRPr="00D956A4">
        <w:rPr>
          <w:rStyle w:val="Emphasis"/>
          <w:rFonts w:ascii="Arial" w:eastAsiaTheme="majorEastAsia" w:hAnsi="Arial" w:cs="Arial"/>
        </w:rPr>
        <w:t>Journal of Marketing Theory and Practice</w:t>
      </w:r>
      <w:r w:rsidRPr="00D956A4">
        <w:rPr>
          <w:rFonts w:ascii="Arial" w:hAnsi="Arial" w:cs="Arial"/>
        </w:rPr>
        <w:t xml:space="preserve">, 31(2), pp. 129–145. Available at: </w:t>
      </w:r>
      <w:hyperlink r:id="rId35" w:history="1">
        <w:r w:rsidRPr="00D956A4">
          <w:rPr>
            <w:rStyle w:val="Hyperlink"/>
            <w:rFonts w:ascii="Arial" w:eastAsiaTheme="majorEastAsia" w:hAnsi="Arial" w:cs="Arial"/>
          </w:rPr>
          <w:t>https://doi.org/10.1080/10696679.2021.2018937</w:t>
        </w:r>
      </w:hyperlink>
      <w:r w:rsidRPr="00D956A4">
        <w:rPr>
          <w:rFonts w:ascii="Arial" w:hAnsi="Arial" w:cs="Arial"/>
        </w:rPr>
        <w:t>.</w:t>
      </w:r>
    </w:p>
    <w:p w14:paraId="3FE07909"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Çalyan</w:t>
      </w:r>
      <w:proofErr w:type="spellEnd"/>
      <w:r w:rsidRPr="00D956A4">
        <w:rPr>
          <w:rFonts w:ascii="Arial" w:hAnsi="Arial" w:cs="Arial"/>
        </w:rPr>
        <w:t xml:space="preserve">, </w:t>
      </w:r>
      <w:proofErr w:type="gramStart"/>
      <w:r w:rsidRPr="00D956A4">
        <w:rPr>
          <w:rFonts w:ascii="Arial" w:hAnsi="Arial" w:cs="Arial"/>
        </w:rPr>
        <w:t>Ö.,</w:t>
      </w:r>
      <w:proofErr w:type="gramEnd"/>
      <w:r w:rsidRPr="00D956A4">
        <w:rPr>
          <w:rFonts w:ascii="Arial" w:hAnsi="Arial" w:cs="Arial"/>
        </w:rPr>
        <w:t xml:space="preserve"> </w:t>
      </w:r>
      <w:proofErr w:type="spellStart"/>
      <w:r w:rsidRPr="00D956A4">
        <w:rPr>
          <w:rFonts w:ascii="Arial" w:hAnsi="Arial" w:cs="Arial"/>
        </w:rPr>
        <w:t>Elbir</w:t>
      </w:r>
      <w:proofErr w:type="spellEnd"/>
      <w:r w:rsidRPr="00D956A4">
        <w:rPr>
          <w:rFonts w:ascii="Arial" w:hAnsi="Arial" w:cs="Arial"/>
        </w:rPr>
        <w:t xml:space="preserve">, İ. and </w:t>
      </w:r>
      <w:proofErr w:type="spellStart"/>
      <w:r w:rsidRPr="00D956A4">
        <w:rPr>
          <w:rFonts w:ascii="Arial" w:hAnsi="Arial" w:cs="Arial"/>
        </w:rPr>
        <w:t>Eşiyok</w:t>
      </w:r>
      <w:proofErr w:type="spellEnd"/>
      <w:r w:rsidRPr="00D956A4">
        <w:rPr>
          <w:rFonts w:ascii="Arial" w:hAnsi="Arial" w:cs="Arial"/>
        </w:rPr>
        <w:t xml:space="preserve">, E. (2021) ‘The role of mobile applications in building customer loyalty: A qualitative study’, </w:t>
      </w:r>
      <w:proofErr w:type="spellStart"/>
      <w:r w:rsidRPr="00D956A4">
        <w:rPr>
          <w:rStyle w:val="Emphasis"/>
          <w:rFonts w:ascii="Arial" w:eastAsiaTheme="majorEastAsia" w:hAnsi="Arial" w:cs="Arial"/>
        </w:rPr>
        <w:t>Türkiye</w:t>
      </w:r>
      <w:proofErr w:type="spellEnd"/>
      <w:r w:rsidRPr="00D956A4">
        <w:rPr>
          <w:rStyle w:val="Emphasis"/>
          <w:rFonts w:ascii="Arial" w:eastAsiaTheme="majorEastAsia" w:hAnsi="Arial" w:cs="Arial"/>
        </w:rPr>
        <w:t xml:space="preserve"> </w:t>
      </w:r>
      <w:proofErr w:type="spellStart"/>
      <w:r w:rsidRPr="00D956A4">
        <w:rPr>
          <w:rStyle w:val="Emphasis"/>
          <w:rFonts w:ascii="Arial" w:eastAsiaTheme="majorEastAsia" w:hAnsi="Arial" w:cs="Arial"/>
        </w:rPr>
        <w:t>İletişim</w:t>
      </w:r>
      <w:proofErr w:type="spellEnd"/>
      <w:r w:rsidRPr="00D956A4">
        <w:rPr>
          <w:rStyle w:val="Emphasis"/>
          <w:rFonts w:ascii="Arial" w:eastAsiaTheme="majorEastAsia" w:hAnsi="Arial" w:cs="Arial"/>
        </w:rPr>
        <w:t xml:space="preserve"> </w:t>
      </w:r>
      <w:proofErr w:type="spellStart"/>
      <w:r w:rsidRPr="00D956A4">
        <w:rPr>
          <w:rStyle w:val="Emphasis"/>
          <w:rFonts w:ascii="Arial" w:eastAsiaTheme="majorEastAsia" w:hAnsi="Arial" w:cs="Arial"/>
        </w:rPr>
        <w:t>Araştırmaları</w:t>
      </w:r>
      <w:proofErr w:type="spellEnd"/>
      <w:r w:rsidRPr="00D956A4">
        <w:rPr>
          <w:rStyle w:val="Emphasis"/>
          <w:rFonts w:ascii="Arial" w:eastAsiaTheme="majorEastAsia" w:hAnsi="Arial" w:cs="Arial"/>
        </w:rPr>
        <w:t xml:space="preserve"> </w:t>
      </w:r>
      <w:proofErr w:type="spellStart"/>
      <w:r w:rsidRPr="00D956A4">
        <w:rPr>
          <w:rStyle w:val="Emphasis"/>
          <w:rFonts w:ascii="Arial" w:eastAsiaTheme="majorEastAsia" w:hAnsi="Arial" w:cs="Arial"/>
        </w:rPr>
        <w:t>Dergisi</w:t>
      </w:r>
      <w:proofErr w:type="spellEnd"/>
      <w:r w:rsidRPr="00D956A4">
        <w:rPr>
          <w:rFonts w:ascii="Arial" w:hAnsi="Arial" w:cs="Arial"/>
        </w:rPr>
        <w:t xml:space="preserve">, 37, pp. 39–52. Available at: </w:t>
      </w:r>
      <w:hyperlink r:id="rId36" w:history="1">
        <w:r w:rsidRPr="00D956A4">
          <w:rPr>
            <w:rStyle w:val="Hyperlink"/>
            <w:rFonts w:ascii="Arial" w:eastAsiaTheme="majorEastAsia" w:hAnsi="Arial" w:cs="Arial"/>
          </w:rPr>
          <w:t>https://doi.org/10.17829/turcom.858501</w:t>
        </w:r>
      </w:hyperlink>
      <w:r w:rsidRPr="00D956A4">
        <w:rPr>
          <w:rFonts w:ascii="Arial" w:hAnsi="Arial" w:cs="Arial"/>
        </w:rPr>
        <w:t>.</w:t>
      </w:r>
    </w:p>
    <w:p w14:paraId="21902903"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Cloarec</w:t>
      </w:r>
      <w:proofErr w:type="spellEnd"/>
      <w:r w:rsidRPr="00D956A4">
        <w:rPr>
          <w:rFonts w:ascii="Arial" w:hAnsi="Arial" w:cs="Arial"/>
        </w:rPr>
        <w:t>, J., Meyer-</w:t>
      </w:r>
      <w:proofErr w:type="spellStart"/>
      <w:r w:rsidRPr="00D956A4">
        <w:rPr>
          <w:rFonts w:ascii="Arial" w:hAnsi="Arial" w:cs="Arial"/>
        </w:rPr>
        <w:t>Waarden</w:t>
      </w:r>
      <w:proofErr w:type="spellEnd"/>
      <w:r w:rsidRPr="00D956A4">
        <w:rPr>
          <w:rFonts w:ascii="Arial" w:hAnsi="Arial" w:cs="Arial"/>
        </w:rPr>
        <w:t xml:space="preserve">, L. and </w:t>
      </w:r>
      <w:proofErr w:type="spellStart"/>
      <w:r w:rsidRPr="00D956A4">
        <w:rPr>
          <w:rFonts w:ascii="Arial" w:hAnsi="Arial" w:cs="Arial"/>
        </w:rPr>
        <w:t>Munzel</w:t>
      </w:r>
      <w:proofErr w:type="spellEnd"/>
      <w:r w:rsidRPr="00D956A4">
        <w:rPr>
          <w:rFonts w:ascii="Arial" w:hAnsi="Arial" w:cs="Arial"/>
        </w:rPr>
        <w:t xml:space="preserve">, A. (2024) ‘Transformative privacy calculus: Conceptualizing the personalization-privacy paradox on social media’, </w:t>
      </w:r>
      <w:r w:rsidRPr="00D956A4">
        <w:rPr>
          <w:rStyle w:val="Emphasis"/>
          <w:rFonts w:ascii="Arial" w:eastAsiaTheme="majorEastAsia" w:hAnsi="Arial" w:cs="Arial"/>
        </w:rPr>
        <w:t>Psychology &amp; Marketing</w:t>
      </w:r>
      <w:r w:rsidRPr="00D956A4">
        <w:rPr>
          <w:rFonts w:ascii="Arial" w:hAnsi="Arial" w:cs="Arial"/>
        </w:rPr>
        <w:t xml:space="preserve">, 41(7), pp. 1574–1596. Available at: </w:t>
      </w:r>
      <w:hyperlink r:id="rId37" w:history="1">
        <w:r w:rsidRPr="00D956A4">
          <w:rPr>
            <w:rStyle w:val="Hyperlink"/>
            <w:rFonts w:ascii="Arial" w:eastAsiaTheme="majorEastAsia" w:hAnsi="Arial" w:cs="Arial"/>
          </w:rPr>
          <w:t>https://doi.org/10.1002/mar.21998</w:t>
        </w:r>
      </w:hyperlink>
      <w:r w:rsidRPr="00D956A4">
        <w:rPr>
          <w:rFonts w:ascii="Arial" w:hAnsi="Arial" w:cs="Arial"/>
        </w:rPr>
        <w:t>.</w:t>
      </w:r>
    </w:p>
    <w:p w14:paraId="32820A4B"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Costa Coffee (2022) </w:t>
      </w:r>
      <w:proofErr w:type="gramStart"/>
      <w:r w:rsidRPr="00D956A4">
        <w:rPr>
          <w:rStyle w:val="Emphasis"/>
          <w:rFonts w:ascii="Arial" w:eastAsiaTheme="majorEastAsia" w:hAnsi="Arial" w:cs="Arial"/>
        </w:rPr>
        <w:t>Our</w:t>
      </w:r>
      <w:proofErr w:type="gramEnd"/>
      <w:r w:rsidRPr="00D956A4">
        <w:rPr>
          <w:rStyle w:val="Emphasis"/>
          <w:rFonts w:ascii="Arial" w:eastAsiaTheme="majorEastAsia" w:hAnsi="Arial" w:cs="Arial"/>
        </w:rPr>
        <w:t xml:space="preserve"> climate commitments</w:t>
      </w:r>
      <w:r w:rsidRPr="00D956A4">
        <w:rPr>
          <w:rFonts w:ascii="Arial" w:hAnsi="Arial" w:cs="Arial"/>
        </w:rPr>
        <w:t xml:space="preserve">. Available at: </w:t>
      </w:r>
      <w:hyperlink r:id="rId38" w:history="1">
        <w:r w:rsidRPr="00D956A4">
          <w:rPr>
            <w:rStyle w:val="Hyperlink"/>
            <w:rFonts w:ascii="Arial" w:eastAsiaTheme="majorEastAsia" w:hAnsi="Arial" w:cs="Arial"/>
          </w:rPr>
          <w:t>https://www.costa.co.uk/sustainability/climate</w:t>
        </w:r>
      </w:hyperlink>
      <w:r w:rsidRPr="00D956A4">
        <w:rPr>
          <w:rFonts w:ascii="Arial" w:hAnsi="Arial" w:cs="Arial"/>
        </w:rPr>
        <w:t xml:space="preserve"> (Accessed: 8 August 2026).</w:t>
      </w:r>
    </w:p>
    <w:p w14:paraId="41D1AD8C"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Costa Coffee (no date a) </w:t>
      </w:r>
      <w:r w:rsidRPr="00D956A4">
        <w:rPr>
          <w:rStyle w:val="Emphasis"/>
          <w:rFonts w:ascii="Arial" w:eastAsiaTheme="majorEastAsia" w:hAnsi="Arial" w:cs="Arial"/>
        </w:rPr>
        <w:t>Costa Club</w:t>
      </w:r>
      <w:r w:rsidRPr="00D956A4">
        <w:rPr>
          <w:rFonts w:ascii="Arial" w:hAnsi="Arial" w:cs="Arial"/>
        </w:rPr>
        <w:t xml:space="preserve">. Available at: </w:t>
      </w:r>
      <w:hyperlink r:id="rId39" w:history="1">
        <w:r w:rsidRPr="00D956A4">
          <w:rPr>
            <w:rStyle w:val="Hyperlink"/>
            <w:rFonts w:ascii="Arial" w:eastAsiaTheme="majorEastAsia" w:hAnsi="Arial" w:cs="Arial"/>
          </w:rPr>
          <w:t>https://www.costa.co.uk/costa-club</w:t>
        </w:r>
      </w:hyperlink>
      <w:r w:rsidRPr="00D956A4">
        <w:rPr>
          <w:rFonts w:ascii="Arial" w:hAnsi="Arial" w:cs="Arial"/>
        </w:rPr>
        <w:t xml:space="preserve"> (Accessed: 8 August 2026).</w:t>
      </w:r>
    </w:p>
    <w:p w14:paraId="23FBA695"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Costa Coffee (no date b) </w:t>
      </w:r>
      <w:r w:rsidRPr="00D956A4">
        <w:rPr>
          <w:rStyle w:val="Emphasis"/>
          <w:rFonts w:ascii="Arial" w:eastAsiaTheme="majorEastAsia" w:hAnsi="Arial" w:cs="Arial"/>
        </w:rPr>
        <w:t>Coffee sustainability</w:t>
      </w:r>
      <w:r w:rsidRPr="00D956A4">
        <w:rPr>
          <w:rFonts w:ascii="Arial" w:hAnsi="Arial" w:cs="Arial"/>
        </w:rPr>
        <w:t xml:space="preserve">. Available at: </w:t>
      </w:r>
      <w:hyperlink r:id="rId40" w:history="1">
        <w:r w:rsidRPr="00D956A4">
          <w:rPr>
            <w:rStyle w:val="Hyperlink"/>
            <w:rFonts w:ascii="Arial" w:eastAsiaTheme="majorEastAsia" w:hAnsi="Arial" w:cs="Arial"/>
          </w:rPr>
          <w:t>https://www.costa.co.uk/sustainability/coffee</w:t>
        </w:r>
      </w:hyperlink>
      <w:r w:rsidRPr="00D956A4">
        <w:rPr>
          <w:rFonts w:ascii="Arial" w:hAnsi="Arial" w:cs="Arial"/>
        </w:rPr>
        <w:t xml:space="preserve"> (Accessed: 8 August 2026).</w:t>
      </w:r>
    </w:p>
    <w:p w14:paraId="083269FD"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Costa Coffee (no date c) </w:t>
      </w:r>
      <w:proofErr w:type="gramStart"/>
      <w:r w:rsidRPr="00D956A4">
        <w:rPr>
          <w:rStyle w:val="Emphasis"/>
          <w:rFonts w:ascii="Arial" w:eastAsiaTheme="majorEastAsia" w:hAnsi="Arial" w:cs="Arial"/>
        </w:rPr>
        <w:t>Our</w:t>
      </w:r>
      <w:proofErr w:type="gramEnd"/>
      <w:r w:rsidRPr="00D956A4">
        <w:rPr>
          <w:rStyle w:val="Emphasis"/>
          <w:rFonts w:ascii="Arial" w:eastAsiaTheme="majorEastAsia" w:hAnsi="Arial" w:cs="Arial"/>
        </w:rPr>
        <w:t xml:space="preserve"> history</w:t>
      </w:r>
      <w:r w:rsidRPr="00D956A4">
        <w:rPr>
          <w:rFonts w:ascii="Arial" w:hAnsi="Arial" w:cs="Arial"/>
        </w:rPr>
        <w:t xml:space="preserve">. Available at: </w:t>
      </w:r>
      <w:hyperlink r:id="rId41" w:history="1">
        <w:r w:rsidRPr="00D956A4">
          <w:rPr>
            <w:rStyle w:val="Hyperlink"/>
            <w:rFonts w:ascii="Arial" w:eastAsiaTheme="majorEastAsia" w:hAnsi="Arial" w:cs="Arial"/>
          </w:rPr>
          <w:t>https://www.costa.co.uk/behind-the-beans/our-story/history</w:t>
        </w:r>
      </w:hyperlink>
      <w:r w:rsidRPr="00D956A4">
        <w:rPr>
          <w:rFonts w:ascii="Arial" w:hAnsi="Arial" w:cs="Arial"/>
        </w:rPr>
        <w:t xml:space="preserve"> (Accessed: 8 August 2026).</w:t>
      </w:r>
    </w:p>
    <w:p w14:paraId="1118C9CF"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lastRenderedPageBreak/>
        <w:t xml:space="preserve">Costa </w:t>
      </w:r>
      <w:proofErr w:type="gramStart"/>
      <w:r w:rsidRPr="00D956A4">
        <w:rPr>
          <w:rFonts w:ascii="Arial" w:hAnsi="Arial" w:cs="Arial"/>
        </w:rPr>
        <w:t>Limited</w:t>
      </w:r>
      <w:proofErr w:type="gramEnd"/>
      <w:r w:rsidRPr="00D956A4">
        <w:rPr>
          <w:rFonts w:ascii="Arial" w:hAnsi="Arial" w:cs="Arial"/>
        </w:rPr>
        <w:t xml:space="preserve"> (2025) </w:t>
      </w:r>
      <w:r w:rsidRPr="00D956A4">
        <w:rPr>
          <w:rStyle w:val="Emphasis"/>
          <w:rFonts w:ascii="Arial" w:eastAsiaTheme="majorEastAsia" w:hAnsi="Arial" w:cs="Arial"/>
        </w:rPr>
        <w:t>Annual report and financial statements for the year ended 31 December 2024</w:t>
      </w:r>
      <w:r w:rsidRPr="00D956A4">
        <w:rPr>
          <w:rFonts w:ascii="Arial" w:hAnsi="Arial" w:cs="Arial"/>
        </w:rPr>
        <w:t xml:space="preserve">. Companies House. Available at: </w:t>
      </w:r>
      <w:hyperlink r:id="rId42" w:history="1">
        <w:r w:rsidRPr="00D956A4">
          <w:rPr>
            <w:rStyle w:val="Hyperlink"/>
            <w:rFonts w:ascii="Arial" w:eastAsiaTheme="majorEastAsia" w:hAnsi="Arial" w:cs="Arial"/>
          </w:rPr>
          <w:t>https://find-and-update.company-information.service.gov.uk/company/01270695/filing-history</w:t>
        </w:r>
      </w:hyperlink>
      <w:r w:rsidRPr="00D956A4">
        <w:rPr>
          <w:rFonts w:ascii="Arial" w:hAnsi="Arial" w:cs="Arial"/>
        </w:rPr>
        <w:t xml:space="preserve"> (Accessed: 8 August 2026).</w:t>
      </w:r>
    </w:p>
    <w:p w14:paraId="7F02B4D4"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Davenport, T., </w:t>
      </w:r>
      <w:proofErr w:type="spellStart"/>
      <w:r w:rsidRPr="00D956A4">
        <w:rPr>
          <w:rFonts w:ascii="Arial" w:hAnsi="Arial" w:cs="Arial"/>
        </w:rPr>
        <w:t>Guha</w:t>
      </w:r>
      <w:proofErr w:type="spellEnd"/>
      <w:r w:rsidRPr="00D956A4">
        <w:rPr>
          <w:rFonts w:ascii="Arial" w:hAnsi="Arial" w:cs="Arial"/>
        </w:rPr>
        <w:t xml:space="preserve">, A., Grewal, D. and </w:t>
      </w:r>
      <w:proofErr w:type="spellStart"/>
      <w:r w:rsidRPr="00D956A4">
        <w:rPr>
          <w:rFonts w:ascii="Arial" w:hAnsi="Arial" w:cs="Arial"/>
        </w:rPr>
        <w:t>Bressgott</w:t>
      </w:r>
      <w:proofErr w:type="spellEnd"/>
      <w:r w:rsidRPr="00D956A4">
        <w:rPr>
          <w:rFonts w:ascii="Arial" w:hAnsi="Arial" w:cs="Arial"/>
        </w:rPr>
        <w:t xml:space="preserve">, T. (2020) ‘How artificial intelligence will change the future of marketing’, </w:t>
      </w:r>
      <w:r w:rsidRPr="00D956A4">
        <w:rPr>
          <w:rStyle w:val="Emphasis"/>
          <w:rFonts w:ascii="Arial" w:eastAsiaTheme="majorEastAsia" w:hAnsi="Arial" w:cs="Arial"/>
        </w:rPr>
        <w:t>Journal of the Academy of Marketing Science</w:t>
      </w:r>
      <w:r w:rsidRPr="00D956A4">
        <w:rPr>
          <w:rFonts w:ascii="Arial" w:hAnsi="Arial" w:cs="Arial"/>
        </w:rPr>
        <w:t xml:space="preserve">, 48(1), pp. 24–42. Available at: </w:t>
      </w:r>
      <w:hyperlink r:id="rId43" w:history="1">
        <w:r w:rsidRPr="00D956A4">
          <w:rPr>
            <w:rStyle w:val="Hyperlink"/>
            <w:rFonts w:ascii="Arial" w:eastAsiaTheme="majorEastAsia" w:hAnsi="Arial" w:cs="Arial"/>
          </w:rPr>
          <w:t>https://doi.org/10.1007/s11747-019-00696-0</w:t>
        </w:r>
      </w:hyperlink>
      <w:r w:rsidRPr="00D956A4">
        <w:rPr>
          <w:rFonts w:ascii="Arial" w:hAnsi="Arial" w:cs="Arial"/>
        </w:rPr>
        <w:t>.</w:t>
      </w:r>
    </w:p>
    <w:p w14:paraId="25E036C8" w14:textId="77777777" w:rsidR="00D956A4" w:rsidRPr="00D956A4" w:rsidRDefault="00D956A4" w:rsidP="00D956A4">
      <w:pPr>
        <w:pStyle w:val="isselectedend"/>
        <w:spacing w:line="360" w:lineRule="auto"/>
        <w:jc w:val="both"/>
        <w:rPr>
          <w:rFonts w:ascii="Arial" w:hAnsi="Arial" w:cs="Arial"/>
        </w:rPr>
      </w:pPr>
      <w:proofErr w:type="gramStart"/>
      <w:r w:rsidRPr="00D956A4">
        <w:rPr>
          <w:rFonts w:ascii="Arial" w:hAnsi="Arial" w:cs="Arial"/>
        </w:rPr>
        <w:t>de</w:t>
      </w:r>
      <w:proofErr w:type="gramEnd"/>
      <w:r w:rsidRPr="00D956A4">
        <w:rPr>
          <w:rFonts w:ascii="Arial" w:hAnsi="Arial" w:cs="Arial"/>
        </w:rPr>
        <w:t xml:space="preserve"> </w:t>
      </w:r>
      <w:proofErr w:type="spellStart"/>
      <w:r w:rsidRPr="00D956A4">
        <w:rPr>
          <w:rFonts w:ascii="Arial" w:hAnsi="Arial" w:cs="Arial"/>
        </w:rPr>
        <w:t>Freitas</w:t>
      </w:r>
      <w:proofErr w:type="spellEnd"/>
      <w:r w:rsidRPr="00D956A4">
        <w:rPr>
          <w:rFonts w:ascii="Arial" w:hAnsi="Arial" w:cs="Arial"/>
        </w:rPr>
        <w:t xml:space="preserve"> </w:t>
      </w:r>
      <w:proofErr w:type="spellStart"/>
      <w:r w:rsidRPr="00D956A4">
        <w:rPr>
          <w:rFonts w:ascii="Arial" w:hAnsi="Arial" w:cs="Arial"/>
        </w:rPr>
        <w:t>Netto</w:t>
      </w:r>
      <w:proofErr w:type="spellEnd"/>
      <w:r w:rsidRPr="00D956A4">
        <w:rPr>
          <w:rFonts w:ascii="Arial" w:hAnsi="Arial" w:cs="Arial"/>
        </w:rPr>
        <w:t xml:space="preserve">, S.V., </w:t>
      </w:r>
      <w:proofErr w:type="spellStart"/>
      <w:r w:rsidRPr="00D956A4">
        <w:rPr>
          <w:rFonts w:ascii="Arial" w:hAnsi="Arial" w:cs="Arial"/>
        </w:rPr>
        <w:t>Sobral</w:t>
      </w:r>
      <w:proofErr w:type="spellEnd"/>
      <w:r w:rsidRPr="00D956A4">
        <w:rPr>
          <w:rFonts w:ascii="Arial" w:hAnsi="Arial" w:cs="Arial"/>
        </w:rPr>
        <w:t xml:space="preserve">, M.F.F., Ribeiro, A.R.B. and </w:t>
      </w:r>
      <w:proofErr w:type="spellStart"/>
      <w:r w:rsidRPr="00D956A4">
        <w:rPr>
          <w:rFonts w:ascii="Arial" w:hAnsi="Arial" w:cs="Arial"/>
        </w:rPr>
        <w:t>Soares</w:t>
      </w:r>
      <w:proofErr w:type="spellEnd"/>
      <w:r w:rsidRPr="00D956A4">
        <w:rPr>
          <w:rFonts w:ascii="Arial" w:hAnsi="Arial" w:cs="Arial"/>
        </w:rPr>
        <w:t xml:space="preserve">, G.R.L. (2020) ‘Concepts and forms of </w:t>
      </w:r>
      <w:proofErr w:type="spellStart"/>
      <w:r w:rsidRPr="00D956A4">
        <w:rPr>
          <w:rFonts w:ascii="Arial" w:hAnsi="Arial" w:cs="Arial"/>
        </w:rPr>
        <w:t>greenwashing</w:t>
      </w:r>
      <w:proofErr w:type="spellEnd"/>
      <w:r w:rsidRPr="00D956A4">
        <w:rPr>
          <w:rFonts w:ascii="Arial" w:hAnsi="Arial" w:cs="Arial"/>
        </w:rPr>
        <w:t xml:space="preserve">: A systematic review’, </w:t>
      </w:r>
      <w:r w:rsidRPr="00D956A4">
        <w:rPr>
          <w:rStyle w:val="Emphasis"/>
          <w:rFonts w:ascii="Arial" w:eastAsiaTheme="majorEastAsia" w:hAnsi="Arial" w:cs="Arial"/>
        </w:rPr>
        <w:t>Environmental Sciences Europe</w:t>
      </w:r>
      <w:r w:rsidRPr="00D956A4">
        <w:rPr>
          <w:rFonts w:ascii="Arial" w:hAnsi="Arial" w:cs="Arial"/>
        </w:rPr>
        <w:t xml:space="preserve">, 32, article 19. Available at: </w:t>
      </w:r>
      <w:hyperlink r:id="rId44" w:history="1">
        <w:r w:rsidRPr="00D956A4">
          <w:rPr>
            <w:rStyle w:val="Hyperlink"/>
            <w:rFonts w:ascii="Arial" w:eastAsiaTheme="majorEastAsia" w:hAnsi="Arial" w:cs="Arial"/>
          </w:rPr>
          <w:t>https://doi.org/10.1186/s12302-020-0300-3</w:t>
        </w:r>
      </w:hyperlink>
      <w:r w:rsidRPr="00D956A4">
        <w:rPr>
          <w:rFonts w:ascii="Arial" w:hAnsi="Arial" w:cs="Arial"/>
        </w:rPr>
        <w:t>.</w:t>
      </w:r>
    </w:p>
    <w:p w14:paraId="25A2639C" w14:textId="77777777" w:rsidR="00D956A4" w:rsidRPr="00D956A4" w:rsidRDefault="00D956A4" w:rsidP="00D956A4">
      <w:pPr>
        <w:pStyle w:val="isselectedend"/>
        <w:spacing w:line="360" w:lineRule="auto"/>
        <w:jc w:val="both"/>
        <w:rPr>
          <w:rFonts w:ascii="Arial" w:hAnsi="Arial" w:cs="Arial"/>
        </w:rPr>
      </w:pPr>
      <w:proofErr w:type="gramStart"/>
      <w:r w:rsidRPr="00D956A4">
        <w:rPr>
          <w:rFonts w:ascii="Arial" w:hAnsi="Arial" w:cs="Arial"/>
        </w:rPr>
        <w:t>de</w:t>
      </w:r>
      <w:proofErr w:type="gramEnd"/>
      <w:r w:rsidRPr="00D956A4">
        <w:rPr>
          <w:rFonts w:ascii="Arial" w:hAnsi="Arial" w:cs="Arial"/>
        </w:rPr>
        <w:t xml:space="preserve"> </w:t>
      </w:r>
      <w:proofErr w:type="spellStart"/>
      <w:r w:rsidRPr="00D956A4">
        <w:rPr>
          <w:rFonts w:ascii="Arial" w:hAnsi="Arial" w:cs="Arial"/>
        </w:rPr>
        <w:t>Mooij</w:t>
      </w:r>
      <w:proofErr w:type="spellEnd"/>
      <w:r w:rsidRPr="00D956A4">
        <w:rPr>
          <w:rFonts w:ascii="Arial" w:hAnsi="Arial" w:cs="Arial"/>
        </w:rPr>
        <w:t xml:space="preserve">, M. (2021) </w:t>
      </w:r>
      <w:r w:rsidRPr="00D956A4">
        <w:rPr>
          <w:rStyle w:val="Emphasis"/>
          <w:rFonts w:ascii="Arial" w:eastAsiaTheme="majorEastAsia" w:hAnsi="Arial" w:cs="Arial"/>
        </w:rPr>
        <w:t>Global marketing and advertising: Understanding cultural paradoxes</w:t>
      </w:r>
      <w:r w:rsidRPr="00D956A4">
        <w:rPr>
          <w:rFonts w:ascii="Arial" w:hAnsi="Arial" w:cs="Arial"/>
        </w:rPr>
        <w:t xml:space="preserve">. 6th </w:t>
      </w:r>
      <w:proofErr w:type="spellStart"/>
      <w:r w:rsidRPr="00D956A4">
        <w:rPr>
          <w:rFonts w:ascii="Arial" w:hAnsi="Arial" w:cs="Arial"/>
        </w:rPr>
        <w:t>edn</w:t>
      </w:r>
      <w:proofErr w:type="spellEnd"/>
      <w:r w:rsidRPr="00D956A4">
        <w:rPr>
          <w:rFonts w:ascii="Arial" w:hAnsi="Arial" w:cs="Arial"/>
        </w:rPr>
        <w:t>. Thousand Oaks, CA: SAGE.</w:t>
      </w:r>
    </w:p>
    <w:p w14:paraId="61D4200D"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De Keyser, A., </w:t>
      </w:r>
      <w:proofErr w:type="spellStart"/>
      <w:r w:rsidRPr="00D956A4">
        <w:rPr>
          <w:rFonts w:ascii="Arial" w:hAnsi="Arial" w:cs="Arial"/>
        </w:rPr>
        <w:t>Verleye</w:t>
      </w:r>
      <w:proofErr w:type="spellEnd"/>
      <w:r w:rsidRPr="00D956A4">
        <w:rPr>
          <w:rFonts w:ascii="Arial" w:hAnsi="Arial" w:cs="Arial"/>
        </w:rPr>
        <w:t xml:space="preserve">, K., Lemon, K.N., </w:t>
      </w:r>
      <w:proofErr w:type="spellStart"/>
      <w:r w:rsidRPr="00D956A4">
        <w:rPr>
          <w:rFonts w:ascii="Arial" w:hAnsi="Arial" w:cs="Arial"/>
        </w:rPr>
        <w:t>Keiningham</w:t>
      </w:r>
      <w:proofErr w:type="spellEnd"/>
      <w:r w:rsidRPr="00D956A4">
        <w:rPr>
          <w:rFonts w:ascii="Arial" w:hAnsi="Arial" w:cs="Arial"/>
        </w:rPr>
        <w:t xml:space="preserve">, T.L. and Klaus, P. (2020) ‘Moving the customer experience field forward: Introducing the </w:t>
      </w:r>
      <w:proofErr w:type="spellStart"/>
      <w:r w:rsidRPr="00D956A4">
        <w:rPr>
          <w:rFonts w:ascii="Arial" w:hAnsi="Arial" w:cs="Arial"/>
        </w:rPr>
        <w:t>touchpoints</w:t>
      </w:r>
      <w:proofErr w:type="spellEnd"/>
      <w:r w:rsidRPr="00D956A4">
        <w:rPr>
          <w:rFonts w:ascii="Arial" w:hAnsi="Arial" w:cs="Arial"/>
        </w:rPr>
        <w:t xml:space="preserve">, context, qualities (TCQ) nomenclature’, </w:t>
      </w:r>
      <w:r w:rsidRPr="00D956A4">
        <w:rPr>
          <w:rStyle w:val="Emphasis"/>
          <w:rFonts w:ascii="Arial" w:eastAsiaTheme="majorEastAsia" w:hAnsi="Arial" w:cs="Arial"/>
        </w:rPr>
        <w:t>Journal of Service Research</w:t>
      </w:r>
      <w:r w:rsidRPr="00D956A4">
        <w:rPr>
          <w:rFonts w:ascii="Arial" w:hAnsi="Arial" w:cs="Arial"/>
        </w:rPr>
        <w:t xml:space="preserve">, 23(4), pp. 433–455. Available at: </w:t>
      </w:r>
      <w:hyperlink r:id="rId45" w:history="1">
        <w:r w:rsidRPr="00D956A4">
          <w:rPr>
            <w:rStyle w:val="Hyperlink"/>
            <w:rFonts w:ascii="Arial" w:eastAsiaTheme="majorEastAsia" w:hAnsi="Arial" w:cs="Arial"/>
          </w:rPr>
          <w:t>https://doi.org/10.1177/1094670520928390</w:t>
        </w:r>
      </w:hyperlink>
      <w:r w:rsidRPr="00D956A4">
        <w:rPr>
          <w:rFonts w:ascii="Arial" w:hAnsi="Arial" w:cs="Arial"/>
        </w:rPr>
        <w:t>.</w:t>
      </w:r>
    </w:p>
    <w:p w14:paraId="21DE7E66"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De </w:t>
      </w:r>
      <w:proofErr w:type="spellStart"/>
      <w:r w:rsidRPr="00D956A4">
        <w:rPr>
          <w:rFonts w:ascii="Arial" w:hAnsi="Arial" w:cs="Arial"/>
        </w:rPr>
        <w:t>Sordi</w:t>
      </w:r>
      <w:proofErr w:type="spellEnd"/>
      <w:r w:rsidRPr="00D956A4">
        <w:rPr>
          <w:rFonts w:ascii="Arial" w:hAnsi="Arial" w:cs="Arial"/>
        </w:rPr>
        <w:t xml:space="preserve">, J.O. (2024) </w:t>
      </w:r>
      <w:r w:rsidRPr="00D956A4">
        <w:rPr>
          <w:rStyle w:val="Emphasis"/>
          <w:rFonts w:ascii="Arial" w:eastAsiaTheme="majorEastAsia" w:hAnsi="Arial" w:cs="Arial"/>
        </w:rPr>
        <w:t>Qualitative research methods in business: Techniques for data collection and analysis</w:t>
      </w:r>
      <w:r w:rsidRPr="00D956A4">
        <w:rPr>
          <w:rFonts w:ascii="Arial" w:hAnsi="Arial" w:cs="Arial"/>
        </w:rPr>
        <w:t xml:space="preserve">. Cham: Palgrave Macmillan. Available at: </w:t>
      </w:r>
      <w:hyperlink r:id="rId46" w:history="1">
        <w:r w:rsidRPr="00D956A4">
          <w:rPr>
            <w:rStyle w:val="Hyperlink"/>
            <w:rFonts w:ascii="Arial" w:eastAsiaTheme="majorEastAsia" w:hAnsi="Arial" w:cs="Arial"/>
          </w:rPr>
          <w:t>https://doi.org/10.1007/978-3-031-50323-8</w:t>
        </w:r>
      </w:hyperlink>
      <w:r w:rsidRPr="00D956A4">
        <w:rPr>
          <w:rFonts w:ascii="Arial" w:hAnsi="Arial" w:cs="Arial"/>
        </w:rPr>
        <w:t>.</w:t>
      </w:r>
    </w:p>
    <w:p w14:paraId="6FA3C334"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Desveaud</w:t>
      </w:r>
      <w:proofErr w:type="spellEnd"/>
      <w:r w:rsidRPr="00D956A4">
        <w:rPr>
          <w:rFonts w:ascii="Arial" w:hAnsi="Arial" w:cs="Arial"/>
        </w:rPr>
        <w:t xml:space="preserve">, K., </w:t>
      </w:r>
      <w:proofErr w:type="spellStart"/>
      <w:r w:rsidRPr="00D956A4">
        <w:rPr>
          <w:rFonts w:ascii="Arial" w:hAnsi="Arial" w:cs="Arial"/>
        </w:rPr>
        <w:t>Mandler</w:t>
      </w:r>
      <w:proofErr w:type="spellEnd"/>
      <w:r w:rsidRPr="00D956A4">
        <w:rPr>
          <w:rFonts w:ascii="Arial" w:hAnsi="Arial" w:cs="Arial"/>
        </w:rPr>
        <w:t xml:space="preserve">, T. and </w:t>
      </w:r>
      <w:proofErr w:type="spellStart"/>
      <w:r w:rsidRPr="00D956A4">
        <w:rPr>
          <w:rFonts w:ascii="Arial" w:hAnsi="Arial" w:cs="Arial"/>
        </w:rPr>
        <w:t>Eisend</w:t>
      </w:r>
      <w:proofErr w:type="spellEnd"/>
      <w:r w:rsidRPr="00D956A4">
        <w:rPr>
          <w:rFonts w:ascii="Arial" w:hAnsi="Arial" w:cs="Arial"/>
        </w:rPr>
        <w:t xml:space="preserve">, M. (2024) ‘A meta-model of customer brand loyalty and its antecedents’, </w:t>
      </w:r>
      <w:r w:rsidRPr="00D956A4">
        <w:rPr>
          <w:rStyle w:val="Emphasis"/>
          <w:rFonts w:ascii="Arial" w:eastAsiaTheme="majorEastAsia" w:hAnsi="Arial" w:cs="Arial"/>
        </w:rPr>
        <w:t>Journal of Business Research</w:t>
      </w:r>
      <w:r w:rsidRPr="00D956A4">
        <w:rPr>
          <w:rFonts w:ascii="Arial" w:hAnsi="Arial" w:cs="Arial"/>
        </w:rPr>
        <w:t xml:space="preserve">, 176, article 114589. Available at: </w:t>
      </w:r>
      <w:hyperlink r:id="rId47" w:history="1">
        <w:r w:rsidRPr="00D956A4">
          <w:rPr>
            <w:rStyle w:val="Hyperlink"/>
            <w:rFonts w:ascii="Arial" w:eastAsiaTheme="majorEastAsia" w:hAnsi="Arial" w:cs="Arial"/>
          </w:rPr>
          <w:t>https://doi.org/10.1016/j.jbusres.2024.114589</w:t>
        </w:r>
      </w:hyperlink>
      <w:r w:rsidRPr="00D956A4">
        <w:rPr>
          <w:rFonts w:ascii="Arial" w:hAnsi="Arial" w:cs="Arial"/>
        </w:rPr>
        <w:t>.</w:t>
      </w:r>
    </w:p>
    <w:p w14:paraId="78848BE9"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Grewal, D., Noble, S.M., </w:t>
      </w:r>
      <w:proofErr w:type="spellStart"/>
      <w:r w:rsidRPr="00D956A4">
        <w:rPr>
          <w:rFonts w:ascii="Arial" w:hAnsi="Arial" w:cs="Arial"/>
        </w:rPr>
        <w:t>Roggeveen</w:t>
      </w:r>
      <w:proofErr w:type="spellEnd"/>
      <w:r w:rsidRPr="00D956A4">
        <w:rPr>
          <w:rFonts w:ascii="Arial" w:hAnsi="Arial" w:cs="Arial"/>
        </w:rPr>
        <w:t xml:space="preserve">, A.L. and </w:t>
      </w:r>
      <w:proofErr w:type="spellStart"/>
      <w:r w:rsidRPr="00D956A4">
        <w:rPr>
          <w:rFonts w:ascii="Arial" w:hAnsi="Arial" w:cs="Arial"/>
        </w:rPr>
        <w:t>Nordfält</w:t>
      </w:r>
      <w:proofErr w:type="spellEnd"/>
      <w:r w:rsidRPr="00D956A4">
        <w:rPr>
          <w:rFonts w:ascii="Arial" w:hAnsi="Arial" w:cs="Arial"/>
        </w:rPr>
        <w:t xml:space="preserve">, J. (2020) ‘The future of in-store technology’, </w:t>
      </w:r>
      <w:r w:rsidRPr="00D956A4">
        <w:rPr>
          <w:rStyle w:val="Emphasis"/>
          <w:rFonts w:ascii="Arial" w:eastAsiaTheme="majorEastAsia" w:hAnsi="Arial" w:cs="Arial"/>
        </w:rPr>
        <w:t>Journal of the Academy of Marketing Science</w:t>
      </w:r>
      <w:r w:rsidRPr="00D956A4">
        <w:rPr>
          <w:rFonts w:ascii="Arial" w:hAnsi="Arial" w:cs="Arial"/>
        </w:rPr>
        <w:t xml:space="preserve">, 48(1), pp. 96–113. Available at: </w:t>
      </w:r>
      <w:hyperlink r:id="rId48" w:history="1">
        <w:r w:rsidRPr="00D956A4">
          <w:rPr>
            <w:rStyle w:val="Hyperlink"/>
            <w:rFonts w:ascii="Arial" w:eastAsiaTheme="majorEastAsia" w:hAnsi="Arial" w:cs="Arial"/>
          </w:rPr>
          <w:t>https://doi.org/10.1007/s11747-019-00697-z</w:t>
        </w:r>
      </w:hyperlink>
      <w:r w:rsidRPr="00D956A4">
        <w:rPr>
          <w:rFonts w:ascii="Arial" w:hAnsi="Arial" w:cs="Arial"/>
        </w:rPr>
        <w:t>.</w:t>
      </w:r>
    </w:p>
    <w:p w14:paraId="0FF86AC0"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lastRenderedPageBreak/>
        <w:t xml:space="preserve">Grewal, D., </w:t>
      </w:r>
      <w:proofErr w:type="spellStart"/>
      <w:r w:rsidRPr="00D956A4">
        <w:rPr>
          <w:rFonts w:ascii="Arial" w:hAnsi="Arial" w:cs="Arial"/>
        </w:rPr>
        <w:t>Satornino</w:t>
      </w:r>
      <w:proofErr w:type="spellEnd"/>
      <w:r w:rsidRPr="00D956A4">
        <w:rPr>
          <w:rFonts w:ascii="Arial" w:hAnsi="Arial" w:cs="Arial"/>
        </w:rPr>
        <w:t xml:space="preserve">, C.B., Davenport, T. and </w:t>
      </w:r>
      <w:proofErr w:type="spellStart"/>
      <w:r w:rsidRPr="00D956A4">
        <w:rPr>
          <w:rFonts w:ascii="Arial" w:hAnsi="Arial" w:cs="Arial"/>
        </w:rPr>
        <w:t>Guha</w:t>
      </w:r>
      <w:proofErr w:type="spellEnd"/>
      <w:r w:rsidRPr="00D956A4">
        <w:rPr>
          <w:rFonts w:ascii="Arial" w:hAnsi="Arial" w:cs="Arial"/>
        </w:rPr>
        <w:t xml:space="preserve">, A. (2025) ‘How generative AI is shaping the future of marketing’, </w:t>
      </w:r>
      <w:r w:rsidRPr="00D956A4">
        <w:rPr>
          <w:rStyle w:val="Emphasis"/>
          <w:rFonts w:ascii="Arial" w:eastAsiaTheme="majorEastAsia" w:hAnsi="Arial" w:cs="Arial"/>
        </w:rPr>
        <w:t>Journal of the Academy of Marketing Science</w:t>
      </w:r>
      <w:r w:rsidRPr="00D956A4">
        <w:rPr>
          <w:rFonts w:ascii="Arial" w:hAnsi="Arial" w:cs="Arial"/>
        </w:rPr>
        <w:t xml:space="preserve">, 53(3), pp. 702–722. Available at: </w:t>
      </w:r>
      <w:hyperlink r:id="rId49" w:history="1">
        <w:r w:rsidRPr="00D956A4">
          <w:rPr>
            <w:rStyle w:val="Hyperlink"/>
            <w:rFonts w:ascii="Arial" w:eastAsiaTheme="majorEastAsia" w:hAnsi="Arial" w:cs="Arial"/>
          </w:rPr>
          <w:t>https://doi.org/10.1007/s11747-024-01064-3</w:t>
        </w:r>
      </w:hyperlink>
      <w:r w:rsidRPr="00D956A4">
        <w:rPr>
          <w:rFonts w:ascii="Arial" w:hAnsi="Arial" w:cs="Arial"/>
        </w:rPr>
        <w:t>.</w:t>
      </w:r>
    </w:p>
    <w:p w14:paraId="4823FA07"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Hollebeek</w:t>
      </w:r>
      <w:proofErr w:type="spellEnd"/>
      <w:r w:rsidRPr="00D956A4">
        <w:rPr>
          <w:rFonts w:ascii="Arial" w:hAnsi="Arial" w:cs="Arial"/>
        </w:rPr>
        <w:t xml:space="preserve">, L.D. and </w:t>
      </w:r>
      <w:proofErr w:type="spellStart"/>
      <w:r w:rsidRPr="00D956A4">
        <w:rPr>
          <w:rFonts w:ascii="Arial" w:hAnsi="Arial" w:cs="Arial"/>
        </w:rPr>
        <w:t>Macky</w:t>
      </w:r>
      <w:proofErr w:type="spellEnd"/>
      <w:r w:rsidRPr="00D956A4">
        <w:rPr>
          <w:rFonts w:ascii="Arial" w:hAnsi="Arial" w:cs="Arial"/>
        </w:rPr>
        <w:t xml:space="preserve">, K. (2019) ‘Digital content marketing’s role in fostering consumer engagement, trust, and value: Framework, fundamental propositions, and implications’, </w:t>
      </w:r>
      <w:r w:rsidRPr="00D956A4">
        <w:rPr>
          <w:rStyle w:val="Emphasis"/>
          <w:rFonts w:ascii="Arial" w:eastAsiaTheme="majorEastAsia" w:hAnsi="Arial" w:cs="Arial"/>
        </w:rPr>
        <w:t>Journal of Interactive Marketing</w:t>
      </w:r>
      <w:r w:rsidRPr="00D956A4">
        <w:rPr>
          <w:rFonts w:ascii="Arial" w:hAnsi="Arial" w:cs="Arial"/>
        </w:rPr>
        <w:t xml:space="preserve">, 45, pp. 27–41. Available at: </w:t>
      </w:r>
      <w:hyperlink r:id="rId50" w:history="1">
        <w:r w:rsidRPr="00D956A4">
          <w:rPr>
            <w:rStyle w:val="Hyperlink"/>
            <w:rFonts w:ascii="Arial" w:eastAsiaTheme="majorEastAsia" w:hAnsi="Arial" w:cs="Arial"/>
          </w:rPr>
          <w:t>https://doi.org/10.1016/j.intmar.2018.07.003</w:t>
        </w:r>
      </w:hyperlink>
      <w:r w:rsidRPr="00D956A4">
        <w:rPr>
          <w:rFonts w:ascii="Arial" w:hAnsi="Arial" w:cs="Arial"/>
        </w:rPr>
        <w:t>.</w:t>
      </w:r>
    </w:p>
    <w:p w14:paraId="273BB3D0"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Holmlund</w:t>
      </w:r>
      <w:proofErr w:type="spellEnd"/>
      <w:r w:rsidRPr="00D956A4">
        <w:rPr>
          <w:rFonts w:ascii="Arial" w:hAnsi="Arial" w:cs="Arial"/>
        </w:rPr>
        <w:t xml:space="preserve">, M., Van </w:t>
      </w:r>
      <w:proofErr w:type="spellStart"/>
      <w:r w:rsidRPr="00D956A4">
        <w:rPr>
          <w:rFonts w:ascii="Arial" w:hAnsi="Arial" w:cs="Arial"/>
        </w:rPr>
        <w:t>Vaerenbergh</w:t>
      </w:r>
      <w:proofErr w:type="spellEnd"/>
      <w:r w:rsidRPr="00D956A4">
        <w:rPr>
          <w:rFonts w:ascii="Arial" w:hAnsi="Arial" w:cs="Arial"/>
        </w:rPr>
        <w:t xml:space="preserve">, Y., </w:t>
      </w:r>
      <w:proofErr w:type="spellStart"/>
      <w:r w:rsidRPr="00D956A4">
        <w:rPr>
          <w:rFonts w:ascii="Arial" w:hAnsi="Arial" w:cs="Arial"/>
        </w:rPr>
        <w:t>Ciuchita</w:t>
      </w:r>
      <w:proofErr w:type="spellEnd"/>
      <w:r w:rsidRPr="00D956A4">
        <w:rPr>
          <w:rFonts w:ascii="Arial" w:hAnsi="Arial" w:cs="Arial"/>
        </w:rPr>
        <w:t xml:space="preserve">, R., </w:t>
      </w:r>
      <w:proofErr w:type="spellStart"/>
      <w:r w:rsidRPr="00D956A4">
        <w:rPr>
          <w:rFonts w:ascii="Arial" w:hAnsi="Arial" w:cs="Arial"/>
        </w:rPr>
        <w:t>Ravald</w:t>
      </w:r>
      <w:proofErr w:type="spellEnd"/>
      <w:r w:rsidRPr="00D956A4">
        <w:rPr>
          <w:rFonts w:ascii="Arial" w:hAnsi="Arial" w:cs="Arial"/>
        </w:rPr>
        <w:t xml:space="preserve">, A., Sarantopoulos, P., </w:t>
      </w:r>
      <w:proofErr w:type="spellStart"/>
      <w:r w:rsidRPr="00D956A4">
        <w:rPr>
          <w:rFonts w:ascii="Arial" w:hAnsi="Arial" w:cs="Arial"/>
        </w:rPr>
        <w:t>Villarroel</w:t>
      </w:r>
      <w:proofErr w:type="spellEnd"/>
      <w:r w:rsidRPr="00D956A4">
        <w:rPr>
          <w:rFonts w:ascii="Arial" w:hAnsi="Arial" w:cs="Arial"/>
        </w:rPr>
        <w:t xml:space="preserve"> </w:t>
      </w:r>
      <w:proofErr w:type="spellStart"/>
      <w:r w:rsidRPr="00D956A4">
        <w:rPr>
          <w:rFonts w:ascii="Arial" w:hAnsi="Arial" w:cs="Arial"/>
        </w:rPr>
        <w:t>Ordenes</w:t>
      </w:r>
      <w:proofErr w:type="spellEnd"/>
      <w:r w:rsidRPr="00D956A4">
        <w:rPr>
          <w:rFonts w:ascii="Arial" w:hAnsi="Arial" w:cs="Arial"/>
        </w:rPr>
        <w:t xml:space="preserve">, F. and </w:t>
      </w:r>
      <w:proofErr w:type="spellStart"/>
      <w:r w:rsidRPr="00D956A4">
        <w:rPr>
          <w:rFonts w:ascii="Arial" w:hAnsi="Arial" w:cs="Arial"/>
        </w:rPr>
        <w:t>Zaki</w:t>
      </w:r>
      <w:proofErr w:type="spellEnd"/>
      <w:r w:rsidRPr="00D956A4">
        <w:rPr>
          <w:rFonts w:ascii="Arial" w:hAnsi="Arial" w:cs="Arial"/>
        </w:rPr>
        <w:t xml:space="preserve">, M. (2020) ‘Customer experience management in the age of big data analytics: A strategic framework’, </w:t>
      </w:r>
      <w:r w:rsidRPr="00D956A4">
        <w:rPr>
          <w:rStyle w:val="Emphasis"/>
          <w:rFonts w:ascii="Arial" w:eastAsiaTheme="majorEastAsia" w:hAnsi="Arial" w:cs="Arial"/>
        </w:rPr>
        <w:t>Journal of Business Research</w:t>
      </w:r>
      <w:r w:rsidRPr="00D956A4">
        <w:rPr>
          <w:rFonts w:ascii="Arial" w:hAnsi="Arial" w:cs="Arial"/>
        </w:rPr>
        <w:t xml:space="preserve">, 116, pp. 356–365. Available at: </w:t>
      </w:r>
      <w:hyperlink r:id="rId51" w:history="1">
        <w:r w:rsidRPr="00D956A4">
          <w:rPr>
            <w:rStyle w:val="Hyperlink"/>
            <w:rFonts w:ascii="Arial" w:eastAsiaTheme="majorEastAsia" w:hAnsi="Arial" w:cs="Arial"/>
          </w:rPr>
          <w:t>https://doi.org/10.1016/j.jbusres.2020.01.022</w:t>
        </w:r>
      </w:hyperlink>
      <w:r w:rsidRPr="00D956A4">
        <w:rPr>
          <w:rFonts w:ascii="Arial" w:hAnsi="Arial" w:cs="Arial"/>
        </w:rPr>
        <w:t>.</w:t>
      </w:r>
    </w:p>
    <w:p w14:paraId="386E012A"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Hoyer, W.D., </w:t>
      </w:r>
      <w:proofErr w:type="spellStart"/>
      <w:r w:rsidRPr="00D956A4">
        <w:rPr>
          <w:rFonts w:ascii="Arial" w:hAnsi="Arial" w:cs="Arial"/>
        </w:rPr>
        <w:t>Kroschke</w:t>
      </w:r>
      <w:proofErr w:type="spellEnd"/>
      <w:r w:rsidRPr="00D956A4">
        <w:rPr>
          <w:rFonts w:ascii="Arial" w:hAnsi="Arial" w:cs="Arial"/>
        </w:rPr>
        <w:t xml:space="preserve">, M., Schmitt, B., </w:t>
      </w:r>
      <w:proofErr w:type="spellStart"/>
      <w:r w:rsidRPr="00D956A4">
        <w:rPr>
          <w:rFonts w:ascii="Arial" w:hAnsi="Arial" w:cs="Arial"/>
        </w:rPr>
        <w:t>Kraume</w:t>
      </w:r>
      <w:proofErr w:type="spellEnd"/>
      <w:r w:rsidRPr="00D956A4">
        <w:rPr>
          <w:rFonts w:ascii="Arial" w:hAnsi="Arial" w:cs="Arial"/>
        </w:rPr>
        <w:t xml:space="preserve">, K. and Shankar, V. (2020) ‘Transforming the customer experience through new technologies’, </w:t>
      </w:r>
      <w:r w:rsidRPr="00D956A4">
        <w:rPr>
          <w:rStyle w:val="Emphasis"/>
          <w:rFonts w:ascii="Arial" w:eastAsiaTheme="majorEastAsia" w:hAnsi="Arial" w:cs="Arial"/>
        </w:rPr>
        <w:t>Journal of Interactive Marketing</w:t>
      </w:r>
      <w:r w:rsidRPr="00D956A4">
        <w:rPr>
          <w:rFonts w:ascii="Arial" w:hAnsi="Arial" w:cs="Arial"/>
        </w:rPr>
        <w:t xml:space="preserve">, 51, pp. 57–71. Available at: </w:t>
      </w:r>
      <w:hyperlink r:id="rId52" w:history="1">
        <w:r w:rsidRPr="00D956A4">
          <w:rPr>
            <w:rStyle w:val="Hyperlink"/>
            <w:rFonts w:ascii="Arial" w:eastAsiaTheme="majorEastAsia" w:hAnsi="Arial" w:cs="Arial"/>
          </w:rPr>
          <w:t>https://doi.org/10.1016/j.intmar.2020.04.001</w:t>
        </w:r>
      </w:hyperlink>
      <w:r w:rsidRPr="00D956A4">
        <w:rPr>
          <w:rFonts w:ascii="Arial" w:hAnsi="Arial" w:cs="Arial"/>
        </w:rPr>
        <w:t>.</w:t>
      </w:r>
    </w:p>
    <w:p w14:paraId="6F2F707C"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Huang, M.-H. </w:t>
      </w:r>
      <w:proofErr w:type="gramStart"/>
      <w:r w:rsidRPr="00D956A4">
        <w:rPr>
          <w:rFonts w:ascii="Arial" w:hAnsi="Arial" w:cs="Arial"/>
        </w:rPr>
        <w:t>and</w:t>
      </w:r>
      <w:proofErr w:type="gramEnd"/>
      <w:r w:rsidRPr="00D956A4">
        <w:rPr>
          <w:rFonts w:ascii="Arial" w:hAnsi="Arial" w:cs="Arial"/>
        </w:rPr>
        <w:t xml:space="preserve"> Rust, R.T. (2021) ‘A strategic framework for artificial intelligence in marketing’, </w:t>
      </w:r>
      <w:r w:rsidRPr="00D956A4">
        <w:rPr>
          <w:rStyle w:val="Emphasis"/>
          <w:rFonts w:ascii="Arial" w:eastAsiaTheme="majorEastAsia" w:hAnsi="Arial" w:cs="Arial"/>
        </w:rPr>
        <w:t>Journal of the Academy of Marketing Science</w:t>
      </w:r>
      <w:r w:rsidRPr="00D956A4">
        <w:rPr>
          <w:rFonts w:ascii="Arial" w:hAnsi="Arial" w:cs="Arial"/>
        </w:rPr>
        <w:t xml:space="preserve">, 49(1), pp. 30–50. Available at: </w:t>
      </w:r>
      <w:hyperlink r:id="rId53" w:history="1">
        <w:r w:rsidRPr="00D956A4">
          <w:rPr>
            <w:rStyle w:val="Hyperlink"/>
            <w:rFonts w:ascii="Arial" w:eastAsiaTheme="majorEastAsia" w:hAnsi="Arial" w:cs="Arial"/>
          </w:rPr>
          <w:t>https://doi.org/10.1007/s11747-020-00749-9</w:t>
        </w:r>
      </w:hyperlink>
      <w:r w:rsidRPr="00D956A4">
        <w:rPr>
          <w:rFonts w:ascii="Arial" w:hAnsi="Arial" w:cs="Arial"/>
        </w:rPr>
        <w:t>.</w:t>
      </w:r>
    </w:p>
    <w:p w14:paraId="09FB4926"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Huang, Z., Shi, Y. and </w:t>
      </w:r>
      <w:proofErr w:type="spellStart"/>
      <w:r w:rsidRPr="00D956A4">
        <w:rPr>
          <w:rFonts w:ascii="Arial" w:hAnsi="Arial" w:cs="Arial"/>
        </w:rPr>
        <w:t>Jia</w:t>
      </w:r>
      <w:proofErr w:type="spellEnd"/>
      <w:r w:rsidRPr="00D956A4">
        <w:rPr>
          <w:rFonts w:ascii="Arial" w:hAnsi="Arial" w:cs="Arial"/>
        </w:rPr>
        <w:t>, M. (2025) ‘</w:t>
      </w:r>
      <w:proofErr w:type="spellStart"/>
      <w:r w:rsidRPr="00D956A4">
        <w:rPr>
          <w:rFonts w:ascii="Arial" w:hAnsi="Arial" w:cs="Arial"/>
        </w:rPr>
        <w:t>Greenwashing</w:t>
      </w:r>
      <w:proofErr w:type="spellEnd"/>
      <w:r w:rsidRPr="00D956A4">
        <w:rPr>
          <w:rFonts w:ascii="Arial" w:hAnsi="Arial" w:cs="Arial"/>
        </w:rPr>
        <w:t xml:space="preserve">: A systematic literature review’, </w:t>
      </w:r>
      <w:r w:rsidRPr="00D956A4">
        <w:rPr>
          <w:rStyle w:val="Emphasis"/>
          <w:rFonts w:ascii="Arial" w:eastAsiaTheme="majorEastAsia" w:hAnsi="Arial" w:cs="Arial"/>
        </w:rPr>
        <w:t>Accounting &amp; Finance</w:t>
      </w:r>
      <w:r w:rsidRPr="00D956A4">
        <w:rPr>
          <w:rFonts w:ascii="Arial" w:hAnsi="Arial" w:cs="Arial"/>
        </w:rPr>
        <w:t xml:space="preserve">, 65(1), pp. 857–882. Available at: </w:t>
      </w:r>
      <w:hyperlink r:id="rId54" w:history="1">
        <w:r w:rsidRPr="00D956A4">
          <w:rPr>
            <w:rStyle w:val="Hyperlink"/>
            <w:rFonts w:ascii="Arial" w:eastAsiaTheme="majorEastAsia" w:hAnsi="Arial" w:cs="Arial"/>
          </w:rPr>
          <w:t>https://doi.org/10.1111/acfi.13352</w:t>
        </w:r>
      </w:hyperlink>
      <w:r w:rsidRPr="00D956A4">
        <w:rPr>
          <w:rFonts w:ascii="Arial" w:hAnsi="Arial" w:cs="Arial"/>
        </w:rPr>
        <w:t>.</w:t>
      </w:r>
    </w:p>
    <w:p w14:paraId="0831F347"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Irfan</w:t>
      </w:r>
      <w:proofErr w:type="spellEnd"/>
      <w:r w:rsidRPr="00D956A4">
        <w:rPr>
          <w:rFonts w:ascii="Arial" w:hAnsi="Arial" w:cs="Arial"/>
        </w:rPr>
        <w:t xml:space="preserve">, A. and </w:t>
      </w:r>
      <w:proofErr w:type="spellStart"/>
      <w:r w:rsidRPr="00D956A4">
        <w:rPr>
          <w:rFonts w:ascii="Arial" w:hAnsi="Arial" w:cs="Arial"/>
        </w:rPr>
        <w:t>Bryła</w:t>
      </w:r>
      <w:proofErr w:type="spellEnd"/>
      <w:r w:rsidRPr="00D956A4">
        <w:rPr>
          <w:rFonts w:ascii="Arial" w:hAnsi="Arial" w:cs="Arial"/>
        </w:rPr>
        <w:t xml:space="preserve">, P. (2025) ‘Green marketing strategies for sustainable food and consumer behavior: A systematic literature review and future research agenda’, </w:t>
      </w:r>
      <w:r w:rsidRPr="00D956A4">
        <w:rPr>
          <w:rStyle w:val="Emphasis"/>
          <w:rFonts w:ascii="Arial" w:eastAsiaTheme="majorEastAsia" w:hAnsi="Arial" w:cs="Arial"/>
        </w:rPr>
        <w:t>Journal of Cleaner Production</w:t>
      </w:r>
      <w:r w:rsidRPr="00D956A4">
        <w:rPr>
          <w:rFonts w:ascii="Arial" w:hAnsi="Arial" w:cs="Arial"/>
        </w:rPr>
        <w:t xml:space="preserve">, 486, article 144597. Available at: </w:t>
      </w:r>
      <w:hyperlink r:id="rId55" w:history="1">
        <w:r w:rsidRPr="00D956A4">
          <w:rPr>
            <w:rStyle w:val="Hyperlink"/>
            <w:rFonts w:ascii="Arial" w:eastAsiaTheme="majorEastAsia" w:hAnsi="Arial" w:cs="Arial"/>
          </w:rPr>
          <w:t>https://doi.org/10.1016/j.jclepro.2024.144597</w:t>
        </w:r>
      </w:hyperlink>
      <w:r w:rsidRPr="00D956A4">
        <w:rPr>
          <w:rFonts w:ascii="Arial" w:hAnsi="Arial" w:cs="Arial"/>
        </w:rPr>
        <w:t>.</w:t>
      </w:r>
    </w:p>
    <w:p w14:paraId="7F4E8E4E"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Kao, L.-J., Chiu, C.-C., Lin, H.-T., Hung, Y.-W. </w:t>
      </w:r>
      <w:proofErr w:type="gramStart"/>
      <w:r w:rsidRPr="00D956A4">
        <w:rPr>
          <w:rFonts w:ascii="Arial" w:hAnsi="Arial" w:cs="Arial"/>
        </w:rPr>
        <w:t>and</w:t>
      </w:r>
      <w:proofErr w:type="gramEnd"/>
      <w:r w:rsidRPr="00D956A4">
        <w:rPr>
          <w:rFonts w:ascii="Arial" w:hAnsi="Arial" w:cs="Arial"/>
        </w:rPr>
        <w:t xml:space="preserve"> Lu, C.-C. (2024) ‘</w:t>
      </w:r>
      <w:proofErr w:type="gramStart"/>
      <w:r w:rsidRPr="00D956A4">
        <w:rPr>
          <w:rFonts w:ascii="Arial" w:hAnsi="Arial" w:cs="Arial"/>
        </w:rPr>
        <w:t>Unveiling</w:t>
      </w:r>
      <w:proofErr w:type="gramEnd"/>
      <w:r w:rsidRPr="00D956A4">
        <w:rPr>
          <w:rFonts w:ascii="Arial" w:hAnsi="Arial" w:cs="Arial"/>
        </w:rPr>
        <w:t xml:space="preserve"> the dimensions of digital transformation: A comprehensive taxonomy and assessment model for </w:t>
      </w:r>
      <w:r w:rsidRPr="00D956A4">
        <w:rPr>
          <w:rFonts w:ascii="Arial" w:hAnsi="Arial" w:cs="Arial"/>
        </w:rPr>
        <w:lastRenderedPageBreak/>
        <w:t xml:space="preserve">business’, </w:t>
      </w:r>
      <w:r w:rsidRPr="00D956A4">
        <w:rPr>
          <w:rStyle w:val="Emphasis"/>
          <w:rFonts w:ascii="Arial" w:eastAsiaTheme="majorEastAsia" w:hAnsi="Arial" w:cs="Arial"/>
        </w:rPr>
        <w:t>Journal of Business Research</w:t>
      </w:r>
      <w:r w:rsidRPr="00D956A4">
        <w:rPr>
          <w:rFonts w:ascii="Arial" w:hAnsi="Arial" w:cs="Arial"/>
        </w:rPr>
        <w:t xml:space="preserve">, 176, article 114595. Available at: </w:t>
      </w:r>
      <w:hyperlink r:id="rId56" w:history="1">
        <w:r w:rsidRPr="00D956A4">
          <w:rPr>
            <w:rStyle w:val="Hyperlink"/>
            <w:rFonts w:ascii="Arial" w:eastAsiaTheme="majorEastAsia" w:hAnsi="Arial" w:cs="Arial"/>
          </w:rPr>
          <w:t>https://doi.org/10.1016/j.jbusres.2024.114595</w:t>
        </w:r>
      </w:hyperlink>
      <w:r w:rsidRPr="00D956A4">
        <w:rPr>
          <w:rFonts w:ascii="Arial" w:hAnsi="Arial" w:cs="Arial"/>
        </w:rPr>
        <w:t>.</w:t>
      </w:r>
    </w:p>
    <w:p w14:paraId="03B64A4A"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Keller, K.L. (1993) ‘Conceptualizing, measuring, and managing customer-based brand equity’, </w:t>
      </w:r>
      <w:r w:rsidRPr="00D956A4">
        <w:rPr>
          <w:rStyle w:val="Emphasis"/>
          <w:rFonts w:ascii="Arial" w:eastAsiaTheme="majorEastAsia" w:hAnsi="Arial" w:cs="Arial"/>
        </w:rPr>
        <w:t>Journal of Marketing</w:t>
      </w:r>
      <w:r w:rsidRPr="00D956A4">
        <w:rPr>
          <w:rFonts w:ascii="Arial" w:hAnsi="Arial" w:cs="Arial"/>
        </w:rPr>
        <w:t xml:space="preserve">, 57(1), pp. 1–22. Available at: </w:t>
      </w:r>
      <w:hyperlink r:id="rId57" w:history="1">
        <w:r w:rsidRPr="00D956A4">
          <w:rPr>
            <w:rStyle w:val="Hyperlink"/>
            <w:rFonts w:ascii="Arial" w:eastAsiaTheme="majorEastAsia" w:hAnsi="Arial" w:cs="Arial"/>
          </w:rPr>
          <w:t>https://doi.org/10.1177/002224299305700101</w:t>
        </w:r>
      </w:hyperlink>
      <w:r w:rsidRPr="00D956A4">
        <w:rPr>
          <w:rFonts w:ascii="Arial" w:hAnsi="Arial" w:cs="Arial"/>
        </w:rPr>
        <w:t>.</w:t>
      </w:r>
    </w:p>
    <w:p w14:paraId="034CA76B"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Kotler, P., Keller, K.L. and </w:t>
      </w:r>
      <w:proofErr w:type="spellStart"/>
      <w:r w:rsidRPr="00D956A4">
        <w:rPr>
          <w:rFonts w:ascii="Arial" w:hAnsi="Arial" w:cs="Arial"/>
        </w:rPr>
        <w:t>Chernev</w:t>
      </w:r>
      <w:proofErr w:type="spellEnd"/>
      <w:r w:rsidRPr="00D956A4">
        <w:rPr>
          <w:rFonts w:ascii="Arial" w:hAnsi="Arial" w:cs="Arial"/>
        </w:rPr>
        <w:t xml:space="preserve">, A. (2022) </w:t>
      </w:r>
      <w:r w:rsidRPr="00D956A4">
        <w:rPr>
          <w:rStyle w:val="Emphasis"/>
          <w:rFonts w:ascii="Arial" w:eastAsiaTheme="majorEastAsia" w:hAnsi="Arial" w:cs="Arial"/>
        </w:rPr>
        <w:t>Marketing management</w:t>
      </w:r>
      <w:r w:rsidRPr="00D956A4">
        <w:rPr>
          <w:rFonts w:ascii="Arial" w:hAnsi="Arial" w:cs="Arial"/>
        </w:rPr>
        <w:t xml:space="preserve">. 16th global </w:t>
      </w:r>
      <w:proofErr w:type="spellStart"/>
      <w:r w:rsidRPr="00D956A4">
        <w:rPr>
          <w:rFonts w:ascii="Arial" w:hAnsi="Arial" w:cs="Arial"/>
        </w:rPr>
        <w:t>edn</w:t>
      </w:r>
      <w:proofErr w:type="spellEnd"/>
      <w:r w:rsidRPr="00D956A4">
        <w:rPr>
          <w:rFonts w:ascii="Arial" w:hAnsi="Arial" w:cs="Arial"/>
        </w:rPr>
        <w:t>. Harlow: Pearson.</w:t>
      </w:r>
    </w:p>
    <w:p w14:paraId="2EBF5FA1"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Lahmeyer</w:t>
      </w:r>
      <w:proofErr w:type="spellEnd"/>
      <w:r w:rsidRPr="00D956A4">
        <w:rPr>
          <w:rFonts w:ascii="Arial" w:hAnsi="Arial" w:cs="Arial"/>
        </w:rPr>
        <w:t>, S. and Roemer, E. (2024) ‘</w:t>
      </w:r>
      <w:proofErr w:type="gramStart"/>
      <w:r w:rsidRPr="00D956A4">
        <w:rPr>
          <w:rFonts w:ascii="Arial" w:hAnsi="Arial" w:cs="Arial"/>
        </w:rPr>
        <w:t>The</w:t>
      </w:r>
      <w:proofErr w:type="gramEnd"/>
      <w:r w:rsidRPr="00D956A4">
        <w:rPr>
          <w:rFonts w:ascii="Arial" w:hAnsi="Arial" w:cs="Arial"/>
        </w:rPr>
        <w:t xml:space="preserve"> link between consumer-facing technologies and customer experience in physical retail environments: A critical literature review’, </w:t>
      </w:r>
      <w:r w:rsidRPr="00D956A4">
        <w:rPr>
          <w:rStyle w:val="Emphasis"/>
          <w:rFonts w:ascii="Arial" w:eastAsiaTheme="majorEastAsia" w:hAnsi="Arial" w:cs="Arial"/>
        </w:rPr>
        <w:t>The International Review of Retail, Distribution and Consumer Research</w:t>
      </w:r>
      <w:r w:rsidRPr="00D956A4">
        <w:rPr>
          <w:rFonts w:ascii="Arial" w:hAnsi="Arial" w:cs="Arial"/>
        </w:rPr>
        <w:t xml:space="preserve">, 34(2), pp. 128–159. Available at: </w:t>
      </w:r>
      <w:hyperlink r:id="rId58" w:history="1">
        <w:r w:rsidRPr="00D956A4">
          <w:rPr>
            <w:rStyle w:val="Hyperlink"/>
            <w:rFonts w:ascii="Arial" w:eastAsiaTheme="majorEastAsia" w:hAnsi="Arial" w:cs="Arial"/>
          </w:rPr>
          <w:t>https://doi.org/10.1080/09593969.2024.2332224</w:t>
        </w:r>
      </w:hyperlink>
      <w:r w:rsidRPr="00D956A4">
        <w:rPr>
          <w:rFonts w:ascii="Arial" w:hAnsi="Arial" w:cs="Arial"/>
        </w:rPr>
        <w:t>.</w:t>
      </w:r>
    </w:p>
    <w:p w14:paraId="7EC48053"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Lemon, K.N. and </w:t>
      </w:r>
      <w:proofErr w:type="spellStart"/>
      <w:r w:rsidRPr="00D956A4">
        <w:rPr>
          <w:rFonts w:ascii="Arial" w:hAnsi="Arial" w:cs="Arial"/>
        </w:rPr>
        <w:t>Verhoef</w:t>
      </w:r>
      <w:proofErr w:type="spellEnd"/>
      <w:r w:rsidRPr="00D956A4">
        <w:rPr>
          <w:rFonts w:ascii="Arial" w:hAnsi="Arial" w:cs="Arial"/>
        </w:rPr>
        <w:t xml:space="preserve">, P.C. (2016) ‘Understanding customer experience throughout the customer journey’, </w:t>
      </w:r>
      <w:r w:rsidRPr="00D956A4">
        <w:rPr>
          <w:rStyle w:val="Emphasis"/>
          <w:rFonts w:ascii="Arial" w:eastAsiaTheme="majorEastAsia" w:hAnsi="Arial" w:cs="Arial"/>
        </w:rPr>
        <w:t>Journal of Marketing</w:t>
      </w:r>
      <w:r w:rsidRPr="00D956A4">
        <w:rPr>
          <w:rFonts w:ascii="Arial" w:hAnsi="Arial" w:cs="Arial"/>
        </w:rPr>
        <w:t xml:space="preserve">, 80(6), pp. 69–96. Available at: </w:t>
      </w:r>
      <w:hyperlink r:id="rId59" w:history="1">
        <w:r w:rsidRPr="00D956A4">
          <w:rPr>
            <w:rStyle w:val="Hyperlink"/>
            <w:rFonts w:ascii="Arial" w:eastAsiaTheme="majorEastAsia" w:hAnsi="Arial" w:cs="Arial"/>
          </w:rPr>
          <w:t>https://doi.org/10.1509/jm.15.0420</w:t>
        </w:r>
      </w:hyperlink>
      <w:r w:rsidRPr="00D956A4">
        <w:rPr>
          <w:rFonts w:ascii="Arial" w:hAnsi="Arial" w:cs="Arial"/>
        </w:rPr>
        <w:t>.</w:t>
      </w:r>
    </w:p>
    <w:p w14:paraId="537BE304"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Li, Q., Tan, J. and Jiao, Y. (2024) ‘Research on the formation mechanism of brand identification in cross-border e-commerce platforms—Based on the perspective of perceived brand </w:t>
      </w:r>
      <w:proofErr w:type="spellStart"/>
      <w:r w:rsidRPr="00D956A4">
        <w:rPr>
          <w:rFonts w:ascii="Arial" w:hAnsi="Arial" w:cs="Arial"/>
        </w:rPr>
        <w:t>globalness</w:t>
      </w:r>
      <w:proofErr w:type="spellEnd"/>
      <w:r w:rsidRPr="00D956A4">
        <w:rPr>
          <w:rFonts w:ascii="Arial" w:hAnsi="Arial" w:cs="Arial"/>
        </w:rPr>
        <w:t xml:space="preserve">/localness’, </w:t>
      </w:r>
      <w:proofErr w:type="spellStart"/>
      <w:r w:rsidRPr="00D956A4">
        <w:rPr>
          <w:rStyle w:val="Emphasis"/>
          <w:rFonts w:ascii="Arial" w:eastAsiaTheme="majorEastAsia" w:hAnsi="Arial" w:cs="Arial"/>
        </w:rPr>
        <w:t>Heliyon</w:t>
      </w:r>
      <w:proofErr w:type="spellEnd"/>
      <w:r w:rsidRPr="00D956A4">
        <w:rPr>
          <w:rFonts w:ascii="Arial" w:hAnsi="Arial" w:cs="Arial"/>
        </w:rPr>
        <w:t xml:space="preserve">, 10(3), article e25155. Available at: </w:t>
      </w:r>
      <w:hyperlink r:id="rId60" w:history="1">
        <w:r w:rsidRPr="00D956A4">
          <w:rPr>
            <w:rStyle w:val="Hyperlink"/>
            <w:rFonts w:ascii="Arial" w:eastAsiaTheme="majorEastAsia" w:hAnsi="Arial" w:cs="Arial"/>
          </w:rPr>
          <w:t>https://doi.org/10.1016/j.heliyon.2024.e25155</w:t>
        </w:r>
      </w:hyperlink>
      <w:r w:rsidRPr="00D956A4">
        <w:rPr>
          <w:rFonts w:ascii="Arial" w:hAnsi="Arial" w:cs="Arial"/>
        </w:rPr>
        <w:t>.</w:t>
      </w:r>
    </w:p>
    <w:p w14:paraId="52C0FBD3"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Li, X., Lim, M.-F., </w:t>
      </w:r>
      <w:proofErr w:type="spellStart"/>
      <w:r w:rsidRPr="00D956A4">
        <w:rPr>
          <w:rFonts w:ascii="Arial" w:hAnsi="Arial" w:cs="Arial"/>
        </w:rPr>
        <w:t>Ramlee</w:t>
      </w:r>
      <w:proofErr w:type="spellEnd"/>
      <w:r w:rsidRPr="00D956A4">
        <w:rPr>
          <w:rFonts w:ascii="Arial" w:hAnsi="Arial" w:cs="Arial"/>
        </w:rPr>
        <w:t xml:space="preserve">, A.N.A. and </w:t>
      </w:r>
      <w:proofErr w:type="spellStart"/>
      <w:r w:rsidRPr="00D956A4">
        <w:rPr>
          <w:rFonts w:ascii="Arial" w:hAnsi="Arial" w:cs="Arial"/>
        </w:rPr>
        <w:t>Chekima</w:t>
      </w:r>
      <w:proofErr w:type="spellEnd"/>
      <w:r w:rsidRPr="00D956A4">
        <w:rPr>
          <w:rFonts w:ascii="Arial" w:hAnsi="Arial" w:cs="Arial"/>
        </w:rPr>
        <w:t xml:space="preserve">, B. (2024) ‘Brand authenticity: A 21-year </w:t>
      </w:r>
      <w:proofErr w:type="spellStart"/>
      <w:r w:rsidRPr="00D956A4">
        <w:rPr>
          <w:rFonts w:ascii="Arial" w:hAnsi="Arial" w:cs="Arial"/>
        </w:rPr>
        <w:t>bibliometric</w:t>
      </w:r>
      <w:proofErr w:type="spellEnd"/>
      <w:r w:rsidRPr="00D956A4">
        <w:rPr>
          <w:rFonts w:ascii="Arial" w:hAnsi="Arial" w:cs="Arial"/>
        </w:rPr>
        <w:t xml:space="preserve"> review and future outlook’, </w:t>
      </w:r>
      <w:r w:rsidRPr="00D956A4">
        <w:rPr>
          <w:rStyle w:val="Emphasis"/>
          <w:rFonts w:ascii="Arial" w:eastAsiaTheme="majorEastAsia" w:hAnsi="Arial" w:cs="Arial"/>
        </w:rPr>
        <w:t>SAGE Open</w:t>
      </w:r>
      <w:r w:rsidRPr="00D956A4">
        <w:rPr>
          <w:rFonts w:ascii="Arial" w:hAnsi="Arial" w:cs="Arial"/>
        </w:rPr>
        <w:t xml:space="preserve">, 14(3), pp. 1–18. Available at: </w:t>
      </w:r>
      <w:hyperlink r:id="rId61" w:history="1">
        <w:r w:rsidRPr="00D956A4">
          <w:rPr>
            <w:rStyle w:val="Hyperlink"/>
            <w:rFonts w:ascii="Arial" w:eastAsiaTheme="majorEastAsia" w:hAnsi="Arial" w:cs="Arial"/>
          </w:rPr>
          <w:t>https://doi.org/10.1177/21582440241268847</w:t>
        </w:r>
      </w:hyperlink>
      <w:r w:rsidRPr="00D956A4">
        <w:rPr>
          <w:rFonts w:ascii="Arial" w:hAnsi="Arial" w:cs="Arial"/>
        </w:rPr>
        <w:t>.</w:t>
      </w:r>
    </w:p>
    <w:p w14:paraId="5089B2A8"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Liu, H., </w:t>
      </w:r>
      <w:proofErr w:type="spellStart"/>
      <w:r w:rsidRPr="00D956A4">
        <w:rPr>
          <w:rFonts w:ascii="Arial" w:hAnsi="Arial" w:cs="Arial"/>
        </w:rPr>
        <w:t>Schoefer</w:t>
      </w:r>
      <w:proofErr w:type="spellEnd"/>
      <w:r w:rsidRPr="00D956A4">
        <w:rPr>
          <w:rFonts w:ascii="Arial" w:hAnsi="Arial" w:cs="Arial"/>
        </w:rPr>
        <w:t xml:space="preserve">, K., </w:t>
      </w:r>
      <w:proofErr w:type="spellStart"/>
      <w:r w:rsidRPr="00D956A4">
        <w:rPr>
          <w:rFonts w:ascii="Arial" w:hAnsi="Arial" w:cs="Arial"/>
        </w:rPr>
        <w:t>Fastoso</w:t>
      </w:r>
      <w:proofErr w:type="spellEnd"/>
      <w:r w:rsidRPr="00D956A4">
        <w:rPr>
          <w:rFonts w:ascii="Arial" w:hAnsi="Arial" w:cs="Arial"/>
        </w:rPr>
        <w:t xml:space="preserve">, F. and </w:t>
      </w:r>
      <w:proofErr w:type="spellStart"/>
      <w:r w:rsidRPr="00D956A4">
        <w:rPr>
          <w:rFonts w:ascii="Arial" w:hAnsi="Arial" w:cs="Arial"/>
        </w:rPr>
        <w:t>Tzemou</w:t>
      </w:r>
      <w:proofErr w:type="spellEnd"/>
      <w:r w:rsidRPr="00D956A4">
        <w:rPr>
          <w:rFonts w:ascii="Arial" w:hAnsi="Arial" w:cs="Arial"/>
        </w:rPr>
        <w:t xml:space="preserve">, E. (2021) ‘Perceived brand </w:t>
      </w:r>
      <w:proofErr w:type="spellStart"/>
      <w:r w:rsidRPr="00D956A4">
        <w:rPr>
          <w:rFonts w:ascii="Arial" w:hAnsi="Arial" w:cs="Arial"/>
        </w:rPr>
        <w:t>globalness</w:t>
      </w:r>
      <w:proofErr w:type="spellEnd"/>
      <w:r w:rsidRPr="00D956A4">
        <w:rPr>
          <w:rFonts w:ascii="Arial" w:hAnsi="Arial" w:cs="Arial"/>
        </w:rPr>
        <w:t xml:space="preserve">/localness: A systematic review of the literature and directions for further research’, </w:t>
      </w:r>
      <w:r w:rsidRPr="00D956A4">
        <w:rPr>
          <w:rStyle w:val="Emphasis"/>
          <w:rFonts w:ascii="Arial" w:eastAsiaTheme="majorEastAsia" w:hAnsi="Arial" w:cs="Arial"/>
        </w:rPr>
        <w:t>Journal of International Marketing</w:t>
      </w:r>
      <w:r w:rsidRPr="00D956A4">
        <w:rPr>
          <w:rFonts w:ascii="Arial" w:hAnsi="Arial" w:cs="Arial"/>
        </w:rPr>
        <w:t xml:space="preserve">, 29(1), pp. 77–94. Available at: </w:t>
      </w:r>
      <w:hyperlink r:id="rId62" w:history="1">
        <w:r w:rsidRPr="00D956A4">
          <w:rPr>
            <w:rStyle w:val="Hyperlink"/>
            <w:rFonts w:ascii="Arial" w:eastAsiaTheme="majorEastAsia" w:hAnsi="Arial" w:cs="Arial"/>
          </w:rPr>
          <w:t>https://doi.org/10.1177/1069031X20973184</w:t>
        </w:r>
      </w:hyperlink>
      <w:r w:rsidRPr="00D956A4">
        <w:rPr>
          <w:rFonts w:ascii="Arial" w:hAnsi="Arial" w:cs="Arial"/>
        </w:rPr>
        <w:t>.</w:t>
      </w:r>
    </w:p>
    <w:p w14:paraId="4D97AB2D"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lastRenderedPageBreak/>
        <w:t>Mandler</w:t>
      </w:r>
      <w:proofErr w:type="spellEnd"/>
      <w:r w:rsidRPr="00D956A4">
        <w:rPr>
          <w:rFonts w:ascii="Arial" w:hAnsi="Arial" w:cs="Arial"/>
        </w:rPr>
        <w:t xml:space="preserve">, T., </w:t>
      </w:r>
      <w:proofErr w:type="spellStart"/>
      <w:r w:rsidRPr="00D956A4">
        <w:rPr>
          <w:rFonts w:ascii="Arial" w:hAnsi="Arial" w:cs="Arial"/>
        </w:rPr>
        <w:t>Bartsch</w:t>
      </w:r>
      <w:proofErr w:type="spellEnd"/>
      <w:r w:rsidRPr="00D956A4">
        <w:rPr>
          <w:rFonts w:ascii="Arial" w:hAnsi="Arial" w:cs="Arial"/>
        </w:rPr>
        <w:t xml:space="preserve">, F. and Han, C.M. (2021) ‘Brand credibility and marketplace globalization: The role of perceived brand </w:t>
      </w:r>
      <w:proofErr w:type="spellStart"/>
      <w:r w:rsidRPr="00D956A4">
        <w:rPr>
          <w:rFonts w:ascii="Arial" w:hAnsi="Arial" w:cs="Arial"/>
        </w:rPr>
        <w:t>globalness</w:t>
      </w:r>
      <w:proofErr w:type="spellEnd"/>
      <w:r w:rsidRPr="00D956A4">
        <w:rPr>
          <w:rFonts w:ascii="Arial" w:hAnsi="Arial" w:cs="Arial"/>
        </w:rPr>
        <w:t xml:space="preserve"> and localness’, </w:t>
      </w:r>
      <w:r w:rsidRPr="00D956A4">
        <w:rPr>
          <w:rStyle w:val="Emphasis"/>
          <w:rFonts w:ascii="Arial" w:eastAsiaTheme="majorEastAsia" w:hAnsi="Arial" w:cs="Arial"/>
        </w:rPr>
        <w:t>Journal of International Business Studies</w:t>
      </w:r>
      <w:r w:rsidRPr="00D956A4">
        <w:rPr>
          <w:rFonts w:ascii="Arial" w:hAnsi="Arial" w:cs="Arial"/>
        </w:rPr>
        <w:t xml:space="preserve">, 52(8), pp. 1559–1590. Available at: </w:t>
      </w:r>
      <w:hyperlink r:id="rId63" w:history="1">
        <w:r w:rsidRPr="00D956A4">
          <w:rPr>
            <w:rStyle w:val="Hyperlink"/>
            <w:rFonts w:ascii="Arial" w:eastAsiaTheme="majorEastAsia" w:hAnsi="Arial" w:cs="Arial"/>
          </w:rPr>
          <w:t>https://doi.org/10.1057/s41267-020-00312-2</w:t>
        </w:r>
      </w:hyperlink>
      <w:r w:rsidRPr="00D956A4">
        <w:rPr>
          <w:rFonts w:ascii="Arial" w:hAnsi="Arial" w:cs="Arial"/>
        </w:rPr>
        <w:t>.</w:t>
      </w:r>
    </w:p>
    <w:p w14:paraId="4E8EB683"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Mandler</w:t>
      </w:r>
      <w:proofErr w:type="spellEnd"/>
      <w:r w:rsidRPr="00D956A4">
        <w:rPr>
          <w:rFonts w:ascii="Arial" w:hAnsi="Arial" w:cs="Arial"/>
        </w:rPr>
        <w:t xml:space="preserve">, T., </w:t>
      </w:r>
      <w:proofErr w:type="spellStart"/>
      <w:r w:rsidRPr="00D956A4">
        <w:rPr>
          <w:rFonts w:ascii="Arial" w:hAnsi="Arial" w:cs="Arial"/>
        </w:rPr>
        <w:t>Sezen</w:t>
      </w:r>
      <w:proofErr w:type="spellEnd"/>
      <w:r w:rsidRPr="00D956A4">
        <w:rPr>
          <w:rFonts w:ascii="Arial" w:hAnsi="Arial" w:cs="Arial"/>
        </w:rPr>
        <w:t xml:space="preserve">, B., Chen, J. and </w:t>
      </w:r>
      <w:proofErr w:type="spellStart"/>
      <w:r w:rsidRPr="00D956A4">
        <w:rPr>
          <w:rFonts w:ascii="Arial" w:hAnsi="Arial" w:cs="Arial"/>
        </w:rPr>
        <w:t>Özsomer</w:t>
      </w:r>
      <w:proofErr w:type="spellEnd"/>
      <w:r w:rsidRPr="00D956A4">
        <w:rPr>
          <w:rFonts w:ascii="Arial" w:hAnsi="Arial" w:cs="Arial"/>
        </w:rPr>
        <w:t xml:space="preserve">, A. (2021) ‘Performance consequences of marketing standardization/adaptation: A systematic literature review and future research agenda’, </w:t>
      </w:r>
      <w:r w:rsidRPr="00D956A4">
        <w:rPr>
          <w:rStyle w:val="Emphasis"/>
          <w:rFonts w:ascii="Arial" w:eastAsiaTheme="majorEastAsia" w:hAnsi="Arial" w:cs="Arial"/>
        </w:rPr>
        <w:t>Journal of Business Research</w:t>
      </w:r>
      <w:r w:rsidRPr="00D956A4">
        <w:rPr>
          <w:rFonts w:ascii="Arial" w:hAnsi="Arial" w:cs="Arial"/>
        </w:rPr>
        <w:t xml:space="preserve">, 125, pp. 416–435. Available at: </w:t>
      </w:r>
      <w:hyperlink r:id="rId64" w:history="1">
        <w:r w:rsidRPr="00D956A4">
          <w:rPr>
            <w:rStyle w:val="Hyperlink"/>
            <w:rFonts w:ascii="Arial" w:eastAsiaTheme="majorEastAsia" w:hAnsi="Arial" w:cs="Arial"/>
          </w:rPr>
          <w:t>https://doi.org/10.1016/j.jbusres.2020.12.023</w:t>
        </w:r>
      </w:hyperlink>
      <w:r w:rsidRPr="00D956A4">
        <w:rPr>
          <w:rFonts w:ascii="Arial" w:hAnsi="Arial" w:cs="Arial"/>
        </w:rPr>
        <w:t>.</w:t>
      </w:r>
    </w:p>
    <w:p w14:paraId="53FC9F46"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Mardhatilah</w:t>
      </w:r>
      <w:proofErr w:type="spellEnd"/>
      <w:r w:rsidRPr="00D956A4">
        <w:rPr>
          <w:rFonts w:ascii="Arial" w:hAnsi="Arial" w:cs="Arial"/>
        </w:rPr>
        <w:t xml:space="preserve">, D., Omar, A. and </w:t>
      </w:r>
      <w:proofErr w:type="spellStart"/>
      <w:r w:rsidRPr="00D956A4">
        <w:rPr>
          <w:rFonts w:ascii="Arial" w:hAnsi="Arial" w:cs="Arial"/>
        </w:rPr>
        <w:t>Septiari</w:t>
      </w:r>
      <w:proofErr w:type="spellEnd"/>
      <w:r w:rsidRPr="00D956A4">
        <w:rPr>
          <w:rFonts w:ascii="Arial" w:hAnsi="Arial" w:cs="Arial"/>
        </w:rPr>
        <w:t xml:space="preserve">, E.D. (2024) ‘Building consumer engagement in social media: A systematic literature review’, </w:t>
      </w:r>
      <w:r w:rsidRPr="00D956A4">
        <w:rPr>
          <w:rStyle w:val="Emphasis"/>
          <w:rFonts w:ascii="Arial" w:eastAsiaTheme="majorEastAsia" w:hAnsi="Arial" w:cs="Arial"/>
        </w:rPr>
        <w:t>Journal of Business Management and Accounting</w:t>
      </w:r>
      <w:r w:rsidRPr="00D956A4">
        <w:rPr>
          <w:rFonts w:ascii="Arial" w:hAnsi="Arial" w:cs="Arial"/>
        </w:rPr>
        <w:t xml:space="preserve">, 14(1), pp. 1–35. Available at: </w:t>
      </w:r>
      <w:hyperlink r:id="rId65" w:history="1">
        <w:r w:rsidRPr="00D956A4">
          <w:rPr>
            <w:rStyle w:val="Hyperlink"/>
            <w:rFonts w:ascii="Arial" w:eastAsiaTheme="majorEastAsia" w:hAnsi="Arial" w:cs="Arial"/>
          </w:rPr>
          <w:t>https://doi.org/10.32890/jbma2024.14.1.1</w:t>
        </w:r>
      </w:hyperlink>
      <w:r w:rsidRPr="00D956A4">
        <w:rPr>
          <w:rFonts w:ascii="Arial" w:hAnsi="Arial" w:cs="Arial"/>
        </w:rPr>
        <w:t>.</w:t>
      </w:r>
    </w:p>
    <w:p w14:paraId="1D77188C"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Morgan, R.M. and Hunt, S.D. (1994) ‘The commitment-trust theory of relationship marketing’, </w:t>
      </w:r>
      <w:r w:rsidRPr="00D956A4">
        <w:rPr>
          <w:rStyle w:val="Emphasis"/>
          <w:rFonts w:ascii="Arial" w:eastAsiaTheme="majorEastAsia" w:hAnsi="Arial" w:cs="Arial"/>
        </w:rPr>
        <w:t>Journal of Marketing</w:t>
      </w:r>
      <w:r w:rsidRPr="00D956A4">
        <w:rPr>
          <w:rFonts w:ascii="Arial" w:hAnsi="Arial" w:cs="Arial"/>
        </w:rPr>
        <w:t xml:space="preserve">, 58(3), pp. 20–38. Available at: </w:t>
      </w:r>
      <w:hyperlink r:id="rId66" w:history="1">
        <w:r w:rsidRPr="00D956A4">
          <w:rPr>
            <w:rStyle w:val="Hyperlink"/>
            <w:rFonts w:ascii="Arial" w:eastAsiaTheme="majorEastAsia" w:hAnsi="Arial" w:cs="Arial"/>
          </w:rPr>
          <w:t>https://doi.org/10.1177/002224299405800302</w:t>
        </w:r>
      </w:hyperlink>
      <w:r w:rsidRPr="00D956A4">
        <w:rPr>
          <w:rFonts w:ascii="Arial" w:hAnsi="Arial" w:cs="Arial"/>
        </w:rPr>
        <w:t>.</w:t>
      </w:r>
    </w:p>
    <w:p w14:paraId="7CF57DB6"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Muchangos</w:t>
      </w:r>
      <w:proofErr w:type="spellEnd"/>
      <w:r w:rsidRPr="00D956A4">
        <w:rPr>
          <w:rFonts w:ascii="Arial" w:hAnsi="Arial" w:cs="Arial"/>
        </w:rPr>
        <w:t xml:space="preserve">, L.S., Mejia, C., Gupta, R., </w:t>
      </w:r>
      <w:proofErr w:type="spellStart"/>
      <w:r w:rsidRPr="00D956A4">
        <w:rPr>
          <w:rFonts w:ascii="Arial" w:hAnsi="Arial" w:cs="Arial"/>
        </w:rPr>
        <w:t>Sadreghazi</w:t>
      </w:r>
      <w:proofErr w:type="spellEnd"/>
      <w:r w:rsidRPr="00D956A4">
        <w:rPr>
          <w:rFonts w:ascii="Arial" w:hAnsi="Arial" w:cs="Arial"/>
        </w:rPr>
        <w:t xml:space="preserve">, S. and </w:t>
      </w:r>
      <w:proofErr w:type="spellStart"/>
      <w:r w:rsidRPr="00D956A4">
        <w:rPr>
          <w:rFonts w:ascii="Arial" w:hAnsi="Arial" w:cs="Arial"/>
        </w:rPr>
        <w:t>Kajikawa</w:t>
      </w:r>
      <w:proofErr w:type="spellEnd"/>
      <w:r w:rsidRPr="00D956A4">
        <w:rPr>
          <w:rFonts w:ascii="Arial" w:hAnsi="Arial" w:cs="Arial"/>
        </w:rPr>
        <w:t xml:space="preserve">, Y. (2025) ‘A systematic review of life cycle assessment and environmental footprint for the global coffee value chain’, </w:t>
      </w:r>
      <w:r w:rsidRPr="00D956A4">
        <w:rPr>
          <w:rStyle w:val="Emphasis"/>
          <w:rFonts w:ascii="Arial" w:eastAsiaTheme="majorEastAsia" w:hAnsi="Arial" w:cs="Arial"/>
        </w:rPr>
        <w:t>Environmental Impact Assessment Review</w:t>
      </w:r>
      <w:r w:rsidRPr="00D956A4">
        <w:rPr>
          <w:rFonts w:ascii="Arial" w:hAnsi="Arial" w:cs="Arial"/>
        </w:rPr>
        <w:t xml:space="preserve">, 111, article 107740. Available at: </w:t>
      </w:r>
      <w:hyperlink r:id="rId67" w:history="1">
        <w:r w:rsidRPr="00D956A4">
          <w:rPr>
            <w:rStyle w:val="Hyperlink"/>
            <w:rFonts w:ascii="Arial" w:eastAsiaTheme="majorEastAsia" w:hAnsi="Arial" w:cs="Arial"/>
          </w:rPr>
          <w:t>https://doi.org/10.1016/j.eiar.2024.107740</w:t>
        </w:r>
      </w:hyperlink>
      <w:r w:rsidRPr="00D956A4">
        <w:rPr>
          <w:rFonts w:ascii="Arial" w:hAnsi="Arial" w:cs="Arial"/>
        </w:rPr>
        <w:t>.</w:t>
      </w:r>
    </w:p>
    <w:p w14:paraId="70E49A90"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Oldenburg, R. (1999) </w:t>
      </w:r>
      <w:proofErr w:type="gramStart"/>
      <w:r w:rsidRPr="00D956A4">
        <w:rPr>
          <w:rStyle w:val="Emphasis"/>
          <w:rFonts w:ascii="Arial" w:eastAsiaTheme="majorEastAsia" w:hAnsi="Arial" w:cs="Arial"/>
        </w:rPr>
        <w:t>The</w:t>
      </w:r>
      <w:proofErr w:type="gramEnd"/>
      <w:r w:rsidRPr="00D956A4">
        <w:rPr>
          <w:rStyle w:val="Emphasis"/>
          <w:rFonts w:ascii="Arial" w:eastAsiaTheme="majorEastAsia" w:hAnsi="Arial" w:cs="Arial"/>
        </w:rPr>
        <w:t xml:space="preserve"> great good place: Cafés, coffee shops, bookstores, bars, hair salons and other hangouts at the heart of a community</w:t>
      </w:r>
      <w:r w:rsidRPr="00D956A4">
        <w:rPr>
          <w:rFonts w:ascii="Arial" w:hAnsi="Arial" w:cs="Arial"/>
        </w:rPr>
        <w:t>. New York: Marlowe &amp; Company.</w:t>
      </w:r>
    </w:p>
    <w:p w14:paraId="0D0A7270"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Office for National Statistics (2022) </w:t>
      </w:r>
      <w:r w:rsidRPr="00D956A4">
        <w:rPr>
          <w:rStyle w:val="Emphasis"/>
          <w:rFonts w:ascii="Arial" w:eastAsiaTheme="majorEastAsia" w:hAnsi="Arial" w:cs="Arial"/>
        </w:rPr>
        <w:t>Ethnic group, England and Wales: Census 2021</w:t>
      </w:r>
      <w:r w:rsidRPr="00D956A4">
        <w:rPr>
          <w:rFonts w:ascii="Arial" w:hAnsi="Arial" w:cs="Arial"/>
        </w:rPr>
        <w:t xml:space="preserve">. Available at: </w:t>
      </w:r>
      <w:hyperlink r:id="rId68" w:history="1">
        <w:r w:rsidRPr="00D956A4">
          <w:rPr>
            <w:rStyle w:val="Hyperlink"/>
            <w:rFonts w:ascii="Arial" w:eastAsiaTheme="majorEastAsia" w:hAnsi="Arial" w:cs="Arial"/>
          </w:rPr>
          <w:t>https://www.ons.gov.uk/peoplepopulationandcommunity/culturalidentity/ethnicity/bulletins/ethnicgroupenglandandwales/census2021</w:t>
        </w:r>
      </w:hyperlink>
      <w:r w:rsidRPr="00D956A4">
        <w:rPr>
          <w:rFonts w:ascii="Arial" w:hAnsi="Arial" w:cs="Arial"/>
        </w:rPr>
        <w:t xml:space="preserve"> (Accessed: 8 August 2026).</w:t>
      </w:r>
    </w:p>
    <w:p w14:paraId="64D4EA5B"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Peruchini</w:t>
      </w:r>
      <w:proofErr w:type="spellEnd"/>
      <w:r w:rsidRPr="00D956A4">
        <w:rPr>
          <w:rFonts w:ascii="Arial" w:hAnsi="Arial" w:cs="Arial"/>
        </w:rPr>
        <w:t>, M., da Silva, G.M. and Teixeira, J.M. (2024) ‘</w:t>
      </w:r>
      <w:proofErr w:type="gramStart"/>
      <w:r w:rsidRPr="00D956A4">
        <w:rPr>
          <w:rFonts w:ascii="Arial" w:hAnsi="Arial" w:cs="Arial"/>
        </w:rPr>
        <w:t>Between</w:t>
      </w:r>
      <w:proofErr w:type="gramEnd"/>
      <w:r w:rsidRPr="00D956A4">
        <w:rPr>
          <w:rFonts w:ascii="Arial" w:hAnsi="Arial" w:cs="Arial"/>
        </w:rPr>
        <w:t xml:space="preserve"> artificial intelligence and customer experience: A literature review on the intersection’, </w:t>
      </w:r>
      <w:r w:rsidRPr="00D956A4">
        <w:rPr>
          <w:rStyle w:val="Emphasis"/>
          <w:rFonts w:ascii="Arial" w:eastAsiaTheme="majorEastAsia" w:hAnsi="Arial" w:cs="Arial"/>
        </w:rPr>
        <w:t>Discover Artificial Intelligence</w:t>
      </w:r>
      <w:r w:rsidRPr="00D956A4">
        <w:rPr>
          <w:rFonts w:ascii="Arial" w:hAnsi="Arial" w:cs="Arial"/>
        </w:rPr>
        <w:t xml:space="preserve">, 4, article 4. Available at: </w:t>
      </w:r>
      <w:hyperlink r:id="rId69" w:history="1">
        <w:r w:rsidRPr="00D956A4">
          <w:rPr>
            <w:rStyle w:val="Hyperlink"/>
            <w:rFonts w:ascii="Arial" w:eastAsiaTheme="majorEastAsia" w:hAnsi="Arial" w:cs="Arial"/>
          </w:rPr>
          <w:t>https://doi.org/10.1007/s44163-024-00105-8</w:t>
        </w:r>
      </w:hyperlink>
      <w:r w:rsidRPr="00D956A4">
        <w:rPr>
          <w:rFonts w:ascii="Arial" w:hAnsi="Arial" w:cs="Arial"/>
        </w:rPr>
        <w:t>.</w:t>
      </w:r>
    </w:p>
    <w:p w14:paraId="572FA3B0"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lastRenderedPageBreak/>
        <w:t>Puntoni</w:t>
      </w:r>
      <w:proofErr w:type="spellEnd"/>
      <w:r w:rsidRPr="00D956A4">
        <w:rPr>
          <w:rFonts w:ascii="Arial" w:hAnsi="Arial" w:cs="Arial"/>
        </w:rPr>
        <w:t xml:space="preserve">, S., </w:t>
      </w:r>
      <w:proofErr w:type="spellStart"/>
      <w:r w:rsidRPr="00D956A4">
        <w:rPr>
          <w:rFonts w:ascii="Arial" w:hAnsi="Arial" w:cs="Arial"/>
        </w:rPr>
        <w:t>Reczek</w:t>
      </w:r>
      <w:proofErr w:type="spellEnd"/>
      <w:r w:rsidRPr="00D956A4">
        <w:rPr>
          <w:rFonts w:ascii="Arial" w:hAnsi="Arial" w:cs="Arial"/>
        </w:rPr>
        <w:t xml:space="preserve">, R.W., </w:t>
      </w:r>
      <w:proofErr w:type="spellStart"/>
      <w:r w:rsidRPr="00D956A4">
        <w:rPr>
          <w:rFonts w:ascii="Arial" w:hAnsi="Arial" w:cs="Arial"/>
        </w:rPr>
        <w:t>Giesler</w:t>
      </w:r>
      <w:proofErr w:type="spellEnd"/>
      <w:r w:rsidRPr="00D956A4">
        <w:rPr>
          <w:rFonts w:ascii="Arial" w:hAnsi="Arial" w:cs="Arial"/>
        </w:rPr>
        <w:t xml:space="preserve">, M. and </w:t>
      </w:r>
      <w:proofErr w:type="spellStart"/>
      <w:r w:rsidRPr="00D956A4">
        <w:rPr>
          <w:rFonts w:ascii="Arial" w:hAnsi="Arial" w:cs="Arial"/>
        </w:rPr>
        <w:t>Botti</w:t>
      </w:r>
      <w:proofErr w:type="spellEnd"/>
      <w:r w:rsidRPr="00D956A4">
        <w:rPr>
          <w:rFonts w:ascii="Arial" w:hAnsi="Arial" w:cs="Arial"/>
        </w:rPr>
        <w:t xml:space="preserve">, S. (2021) ‘Consumers and artificial intelligence: An experiential perspective’, </w:t>
      </w:r>
      <w:r w:rsidRPr="00D956A4">
        <w:rPr>
          <w:rStyle w:val="Emphasis"/>
          <w:rFonts w:ascii="Arial" w:eastAsiaTheme="majorEastAsia" w:hAnsi="Arial" w:cs="Arial"/>
        </w:rPr>
        <w:t>Journal of Marketing</w:t>
      </w:r>
      <w:r w:rsidRPr="00D956A4">
        <w:rPr>
          <w:rFonts w:ascii="Arial" w:hAnsi="Arial" w:cs="Arial"/>
        </w:rPr>
        <w:t xml:space="preserve">, 85(1), pp. 131–151. Available at: </w:t>
      </w:r>
      <w:hyperlink r:id="rId70" w:history="1">
        <w:r w:rsidRPr="00D956A4">
          <w:rPr>
            <w:rStyle w:val="Hyperlink"/>
            <w:rFonts w:ascii="Arial" w:eastAsiaTheme="majorEastAsia" w:hAnsi="Arial" w:cs="Arial"/>
          </w:rPr>
          <w:t>https://doi.org/10.1177/0022242920953847</w:t>
        </w:r>
      </w:hyperlink>
      <w:r w:rsidRPr="00D956A4">
        <w:rPr>
          <w:rFonts w:ascii="Arial" w:hAnsi="Arial" w:cs="Arial"/>
        </w:rPr>
        <w:t>.</w:t>
      </w:r>
    </w:p>
    <w:p w14:paraId="59A76FBA"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Reitsamer</w:t>
      </w:r>
      <w:proofErr w:type="spellEnd"/>
      <w:r w:rsidRPr="00D956A4">
        <w:rPr>
          <w:rFonts w:ascii="Arial" w:hAnsi="Arial" w:cs="Arial"/>
        </w:rPr>
        <w:t xml:space="preserve">, B.F. and Becker, L. (2024) ‘Customer journey partitioning: A customer-centric conceptualization beyond stages and </w:t>
      </w:r>
      <w:proofErr w:type="spellStart"/>
      <w:r w:rsidRPr="00D956A4">
        <w:rPr>
          <w:rFonts w:ascii="Arial" w:hAnsi="Arial" w:cs="Arial"/>
        </w:rPr>
        <w:t>touchpoints</w:t>
      </w:r>
      <w:proofErr w:type="spellEnd"/>
      <w:r w:rsidRPr="00D956A4">
        <w:rPr>
          <w:rFonts w:ascii="Arial" w:hAnsi="Arial" w:cs="Arial"/>
        </w:rPr>
        <w:t xml:space="preserve">’, </w:t>
      </w:r>
      <w:r w:rsidRPr="00D956A4">
        <w:rPr>
          <w:rStyle w:val="Emphasis"/>
          <w:rFonts w:ascii="Arial" w:eastAsiaTheme="majorEastAsia" w:hAnsi="Arial" w:cs="Arial"/>
        </w:rPr>
        <w:t>Journal of Business Research</w:t>
      </w:r>
      <w:r w:rsidRPr="00D956A4">
        <w:rPr>
          <w:rFonts w:ascii="Arial" w:hAnsi="Arial" w:cs="Arial"/>
        </w:rPr>
        <w:t xml:space="preserve">, 181, article 114745. Available at: </w:t>
      </w:r>
      <w:hyperlink r:id="rId71" w:history="1">
        <w:r w:rsidRPr="00D956A4">
          <w:rPr>
            <w:rStyle w:val="Hyperlink"/>
            <w:rFonts w:ascii="Arial" w:eastAsiaTheme="majorEastAsia" w:hAnsi="Arial" w:cs="Arial"/>
          </w:rPr>
          <w:t>https://doi.org/10.1016/j.jbusres.2024.114745</w:t>
        </w:r>
      </w:hyperlink>
      <w:r w:rsidRPr="00D956A4">
        <w:rPr>
          <w:rFonts w:ascii="Arial" w:hAnsi="Arial" w:cs="Arial"/>
        </w:rPr>
        <w:t>.</w:t>
      </w:r>
    </w:p>
    <w:p w14:paraId="077615C7"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Safeer</w:t>
      </w:r>
      <w:proofErr w:type="spellEnd"/>
      <w:r w:rsidRPr="00D956A4">
        <w:rPr>
          <w:rFonts w:ascii="Arial" w:hAnsi="Arial" w:cs="Arial"/>
        </w:rPr>
        <w:t xml:space="preserve">, A.A., Chen, Y., </w:t>
      </w:r>
      <w:proofErr w:type="spellStart"/>
      <w:r w:rsidRPr="00D956A4">
        <w:rPr>
          <w:rFonts w:ascii="Arial" w:hAnsi="Arial" w:cs="Arial"/>
        </w:rPr>
        <w:t>Abrar</w:t>
      </w:r>
      <w:proofErr w:type="spellEnd"/>
      <w:r w:rsidRPr="00D956A4">
        <w:rPr>
          <w:rFonts w:ascii="Arial" w:hAnsi="Arial" w:cs="Arial"/>
        </w:rPr>
        <w:t xml:space="preserve">, M., Kumar, N. and </w:t>
      </w:r>
      <w:proofErr w:type="spellStart"/>
      <w:r w:rsidRPr="00D956A4">
        <w:rPr>
          <w:rFonts w:ascii="Arial" w:hAnsi="Arial" w:cs="Arial"/>
        </w:rPr>
        <w:t>Razzaq</w:t>
      </w:r>
      <w:proofErr w:type="spellEnd"/>
      <w:r w:rsidRPr="00D956A4">
        <w:rPr>
          <w:rFonts w:ascii="Arial" w:hAnsi="Arial" w:cs="Arial"/>
        </w:rPr>
        <w:t xml:space="preserve">, A. (2022) ‘Impact of perceived brand localness and </w:t>
      </w:r>
      <w:proofErr w:type="spellStart"/>
      <w:r w:rsidRPr="00D956A4">
        <w:rPr>
          <w:rFonts w:ascii="Arial" w:hAnsi="Arial" w:cs="Arial"/>
        </w:rPr>
        <w:t>globalness</w:t>
      </w:r>
      <w:proofErr w:type="spellEnd"/>
      <w:r w:rsidRPr="00D956A4">
        <w:rPr>
          <w:rFonts w:ascii="Arial" w:hAnsi="Arial" w:cs="Arial"/>
        </w:rPr>
        <w:t xml:space="preserve"> on brand authenticity to predict brand attitude: A cross-cultural Asian perspective’, </w:t>
      </w:r>
      <w:r w:rsidRPr="00D956A4">
        <w:rPr>
          <w:rStyle w:val="Emphasis"/>
          <w:rFonts w:ascii="Arial" w:eastAsiaTheme="majorEastAsia" w:hAnsi="Arial" w:cs="Arial"/>
        </w:rPr>
        <w:t>Asia Pacific Journal of Marketing and Logistics</w:t>
      </w:r>
      <w:r w:rsidRPr="00D956A4">
        <w:rPr>
          <w:rFonts w:ascii="Arial" w:hAnsi="Arial" w:cs="Arial"/>
        </w:rPr>
        <w:t xml:space="preserve">, 34(7), pp. 1524–1543. Available at: </w:t>
      </w:r>
      <w:hyperlink r:id="rId72" w:history="1">
        <w:r w:rsidRPr="00D956A4">
          <w:rPr>
            <w:rStyle w:val="Hyperlink"/>
            <w:rFonts w:ascii="Arial" w:eastAsiaTheme="majorEastAsia" w:hAnsi="Arial" w:cs="Arial"/>
          </w:rPr>
          <w:t>https://doi.org/10.1108/APJML-05-2021-0297</w:t>
        </w:r>
      </w:hyperlink>
      <w:r w:rsidRPr="00D956A4">
        <w:rPr>
          <w:rFonts w:ascii="Arial" w:hAnsi="Arial" w:cs="Arial"/>
        </w:rPr>
        <w:t>.</w:t>
      </w:r>
    </w:p>
    <w:p w14:paraId="582E39A6"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Santini</w:t>
      </w:r>
      <w:proofErr w:type="spellEnd"/>
      <w:r w:rsidRPr="00D956A4">
        <w:rPr>
          <w:rFonts w:ascii="Arial" w:hAnsi="Arial" w:cs="Arial"/>
        </w:rPr>
        <w:t xml:space="preserve">, F.O., </w:t>
      </w:r>
      <w:proofErr w:type="spellStart"/>
      <w:r w:rsidRPr="00D956A4">
        <w:rPr>
          <w:rFonts w:ascii="Arial" w:hAnsi="Arial" w:cs="Arial"/>
        </w:rPr>
        <w:t>Ladeira</w:t>
      </w:r>
      <w:proofErr w:type="spellEnd"/>
      <w:r w:rsidRPr="00D956A4">
        <w:rPr>
          <w:rFonts w:ascii="Arial" w:hAnsi="Arial" w:cs="Arial"/>
        </w:rPr>
        <w:t xml:space="preserve">, W.J., Pinto, D.C., Herter, M.M., </w:t>
      </w:r>
      <w:proofErr w:type="spellStart"/>
      <w:r w:rsidRPr="00D956A4">
        <w:rPr>
          <w:rFonts w:ascii="Arial" w:hAnsi="Arial" w:cs="Arial"/>
        </w:rPr>
        <w:t>Sampaio</w:t>
      </w:r>
      <w:proofErr w:type="spellEnd"/>
      <w:r w:rsidRPr="00D956A4">
        <w:rPr>
          <w:rFonts w:ascii="Arial" w:hAnsi="Arial" w:cs="Arial"/>
        </w:rPr>
        <w:t xml:space="preserve">, C.H. and </w:t>
      </w:r>
      <w:proofErr w:type="spellStart"/>
      <w:r w:rsidRPr="00D956A4">
        <w:rPr>
          <w:rFonts w:ascii="Arial" w:hAnsi="Arial" w:cs="Arial"/>
        </w:rPr>
        <w:t>Babin</w:t>
      </w:r>
      <w:proofErr w:type="spellEnd"/>
      <w:r w:rsidRPr="00D956A4">
        <w:rPr>
          <w:rFonts w:ascii="Arial" w:hAnsi="Arial" w:cs="Arial"/>
        </w:rPr>
        <w:t xml:space="preserve">, B.J. (2020) ‘Customer engagement in social media: A framework and meta-analysis’, </w:t>
      </w:r>
      <w:r w:rsidRPr="00D956A4">
        <w:rPr>
          <w:rStyle w:val="Emphasis"/>
          <w:rFonts w:ascii="Arial" w:eastAsiaTheme="majorEastAsia" w:hAnsi="Arial" w:cs="Arial"/>
        </w:rPr>
        <w:t>Journal of the Academy of Marketing Science</w:t>
      </w:r>
      <w:r w:rsidRPr="00D956A4">
        <w:rPr>
          <w:rFonts w:ascii="Arial" w:hAnsi="Arial" w:cs="Arial"/>
        </w:rPr>
        <w:t xml:space="preserve">, 48(6), pp. 1211–1228. Available at: </w:t>
      </w:r>
      <w:hyperlink r:id="rId73" w:history="1">
        <w:r w:rsidRPr="00D956A4">
          <w:rPr>
            <w:rStyle w:val="Hyperlink"/>
            <w:rFonts w:ascii="Arial" w:eastAsiaTheme="majorEastAsia" w:hAnsi="Arial" w:cs="Arial"/>
          </w:rPr>
          <w:t>https://doi.org/10.1007/s11747-020-00731-5</w:t>
        </w:r>
      </w:hyperlink>
      <w:r w:rsidRPr="00D956A4">
        <w:rPr>
          <w:rFonts w:ascii="Arial" w:hAnsi="Arial" w:cs="Arial"/>
        </w:rPr>
        <w:t>.</w:t>
      </w:r>
    </w:p>
    <w:p w14:paraId="006684A7"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Saunders, M.N.K., Lewis, P. and </w:t>
      </w:r>
      <w:proofErr w:type="spellStart"/>
      <w:r w:rsidRPr="00D956A4">
        <w:rPr>
          <w:rFonts w:ascii="Arial" w:hAnsi="Arial" w:cs="Arial"/>
        </w:rPr>
        <w:t>Thornhill</w:t>
      </w:r>
      <w:proofErr w:type="spellEnd"/>
      <w:r w:rsidRPr="00D956A4">
        <w:rPr>
          <w:rFonts w:ascii="Arial" w:hAnsi="Arial" w:cs="Arial"/>
        </w:rPr>
        <w:t xml:space="preserve">, A. (2023) </w:t>
      </w:r>
      <w:r w:rsidRPr="00D956A4">
        <w:rPr>
          <w:rStyle w:val="Emphasis"/>
          <w:rFonts w:ascii="Arial" w:eastAsiaTheme="majorEastAsia" w:hAnsi="Arial" w:cs="Arial"/>
        </w:rPr>
        <w:t>Research methods for business students</w:t>
      </w:r>
      <w:r w:rsidRPr="00D956A4">
        <w:rPr>
          <w:rFonts w:ascii="Arial" w:hAnsi="Arial" w:cs="Arial"/>
        </w:rPr>
        <w:t xml:space="preserve">. 9th </w:t>
      </w:r>
      <w:proofErr w:type="spellStart"/>
      <w:r w:rsidRPr="00D956A4">
        <w:rPr>
          <w:rFonts w:ascii="Arial" w:hAnsi="Arial" w:cs="Arial"/>
        </w:rPr>
        <w:t>edn</w:t>
      </w:r>
      <w:proofErr w:type="spellEnd"/>
      <w:r w:rsidRPr="00D956A4">
        <w:rPr>
          <w:rFonts w:ascii="Arial" w:hAnsi="Arial" w:cs="Arial"/>
        </w:rPr>
        <w:t>. Harlow: Pearson.</w:t>
      </w:r>
    </w:p>
    <w:p w14:paraId="77FBAAFE"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Shavitt</w:t>
      </w:r>
      <w:proofErr w:type="spellEnd"/>
      <w:r w:rsidRPr="00D956A4">
        <w:rPr>
          <w:rFonts w:ascii="Arial" w:hAnsi="Arial" w:cs="Arial"/>
        </w:rPr>
        <w:t xml:space="preserve">, S. and Barnes, A.J. (2020) ‘Culture and the consumer journey’, </w:t>
      </w:r>
      <w:r w:rsidRPr="00D956A4">
        <w:rPr>
          <w:rStyle w:val="Emphasis"/>
          <w:rFonts w:ascii="Arial" w:eastAsiaTheme="majorEastAsia" w:hAnsi="Arial" w:cs="Arial"/>
        </w:rPr>
        <w:t>Journal of Retailing</w:t>
      </w:r>
      <w:r w:rsidRPr="00D956A4">
        <w:rPr>
          <w:rFonts w:ascii="Arial" w:hAnsi="Arial" w:cs="Arial"/>
        </w:rPr>
        <w:t xml:space="preserve">, 96(1), pp. 40–54. Available at: </w:t>
      </w:r>
      <w:hyperlink r:id="rId74" w:history="1">
        <w:r w:rsidRPr="00D956A4">
          <w:rPr>
            <w:rStyle w:val="Hyperlink"/>
            <w:rFonts w:ascii="Arial" w:eastAsiaTheme="majorEastAsia" w:hAnsi="Arial" w:cs="Arial"/>
          </w:rPr>
          <w:t>https://doi.org/10.1016/j.jretai.2019.11.009</w:t>
        </w:r>
      </w:hyperlink>
      <w:r w:rsidRPr="00D956A4">
        <w:rPr>
          <w:rFonts w:ascii="Arial" w:hAnsi="Arial" w:cs="Arial"/>
        </w:rPr>
        <w:t>.</w:t>
      </w:r>
    </w:p>
    <w:p w14:paraId="0CDBD88D"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Snyder, H. (2019) ‘Literature review as a research methodology: An overview and guidelines’, </w:t>
      </w:r>
      <w:r w:rsidRPr="00D956A4">
        <w:rPr>
          <w:rStyle w:val="Emphasis"/>
          <w:rFonts w:ascii="Arial" w:eastAsiaTheme="majorEastAsia" w:hAnsi="Arial" w:cs="Arial"/>
        </w:rPr>
        <w:t>Journal of Business Research</w:t>
      </w:r>
      <w:r w:rsidRPr="00D956A4">
        <w:rPr>
          <w:rFonts w:ascii="Arial" w:hAnsi="Arial" w:cs="Arial"/>
        </w:rPr>
        <w:t xml:space="preserve">, 104, pp. 333–339. Available at: </w:t>
      </w:r>
      <w:hyperlink r:id="rId75" w:history="1">
        <w:r w:rsidRPr="00D956A4">
          <w:rPr>
            <w:rStyle w:val="Hyperlink"/>
            <w:rFonts w:ascii="Arial" w:eastAsiaTheme="majorEastAsia" w:hAnsi="Arial" w:cs="Arial"/>
          </w:rPr>
          <w:t>https://doi.org/10.1016/j.jbusres.2019.07.039</w:t>
        </w:r>
      </w:hyperlink>
      <w:r w:rsidRPr="00D956A4">
        <w:rPr>
          <w:rFonts w:ascii="Arial" w:hAnsi="Arial" w:cs="Arial"/>
        </w:rPr>
        <w:t>.</w:t>
      </w:r>
    </w:p>
    <w:p w14:paraId="690F47E7"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Starbucks (2024a) </w:t>
      </w:r>
      <w:r w:rsidRPr="00D956A4">
        <w:rPr>
          <w:rStyle w:val="Emphasis"/>
          <w:rFonts w:ascii="Arial" w:eastAsiaTheme="majorEastAsia" w:hAnsi="Arial" w:cs="Arial"/>
        </w:rPr>
        <w:t xml:space="preserve">Starbucks UK launches industry-leading training </w:t>
      </w:r>
      <w:proofErr w:type="spellStart"/>
      <w:r w:rsidRPr="00D956A4">
        <w:rPr>
          <w:rStyle w:val="Emphasis"/>
          <w:rFonts w:ascii="Arial" w:eastAsiaTheme="majorEastAsia" w:hAnsi="Arial" w:cs="Arial"/>
        </w:rPr>
        <w:t>programme</w:t>
      </w:r>
      <w:proofErr w:type="spellEnd"/>
      <w:r w:rsidRPr="00D956A4">
        <w:rPr>
          <w:rStyle w:val="Emphasis"/>
          <w:rFonts w:ascii="Arial" w:eastAsiaTheme="majorEastAsia" w:hAnsi="Arial" w:cs="Arial"/>
        </w:rPr>
        <w:t xml:space="preserve"> teaching store partners British Sign Language, elevating the Starbucks experience for deaf and hard of hearing customers</w:t>
      </w:r>
      <w:r w:rsidRPr="00D956A4">
        <w:rPr>
          <w:rFonts w:ascii="Arial" w:hAnsi="Arial" w:cs="Arial"/>
        </w:rPr>
        <w:t xml:space="preserve">. Available at: </w:t>
      </w:r>
      <w:hyperlink r:id="rId76" w:history="1">
        <w:r w:rsidRPr="00D956A4">
          <w:rPr>
            <w:rStyle w:val="Hyperlink"/>
            <w:rFonts w:ascii="Arial" w:eastAsiaTheme="majorEastAsia" w:hAnsi="Arial" w:cs="Arial"/>
          </w:rPr>
          <w:t>https://stories.starbucks.com/emea/stories/2024/starbucks-uk-launches-industry-leading-training-programme-teaching-store-</w:t>
        </w:r>
        <w:r w:rsidRPr="00D956A4">
          <w:rPr>
            <w:rStyle w:val="Hyperlink"/>
            <w:rFonts w:ascii="Arial" w:eastAsiaTheme="majorEastAsia" w:hAnsi="Arial" w:cs="Arial"/>
          </w:rPr>
          <w:lastRenderedPageBreak/>
          <w:t>partners-british-sign-language-elevating-the-starbucks-experience-for-deaf-and-hard-of-hearing-customers/</w:t>
        </w:r>
      </w:hyperlink>
      <w:r w:rsidRPr="00D956A4">
        <w:rPr>
          <w:rFonts w:ascii="Arial" w:hAnsi="Arial" w:cs="Arial"/>
        </w:rPr>
        <w:t xml:space="preserve"> (Accessed: 8 August 2026).</w:t>
      </w:r>
    </w:p>
    <w:p w14:paraId="0A4648FB"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Starbucks (2024b) </w:t>
      </w:r>
      <w:r w:rsidRPr="00D956A4">
        <w:rPr>
          <w:rStyle w:val="Emphasis"/>
          <w:rFonts w:ascii="Arial" w:eastAsiaTheme="majorEastAsia" w:hAnsi="Arial" w:cs="Arial"/>
        </w:rPr>
        <w:t>C.A.F.E. Practices: Starbucks approach to ethically sourcing coffee</w:t>
      </w:r>
      <w:r w:rsidRPr="00D956A4">
        <w:rPr>
          <w:rFonts w:ascii="Arial" w:hAnsi="Arial" w:cs="Arial"/>
        </w:rPr>
        <w:t xml:space="preserve">. Available at: </w:t>
      </w:r>
      <w:hyperlink r:id="rId77" w:history="1">
        <w:r w:rsidRPr="00D956A4">
          <w:rPr>
            <w:rStyle w:val="Hyperlink"/>
            <w:rFonts w:ascii="Arial" w:eastAsiaTheme="majorEastAsia" w:hAnsi="Arial" w:cs="Arial"/>
          </w:rPr>
          <w:t>https://about.starbucks.com/press/2024/cafe-practices-starbucks-approach-to-ethically-sourcing-coffee/</w:t>
        </w:r>
      </w:hyperlink>
      <w:r w:rsidRPr="00D956A4">
        <w:rPr>
          <w:rFonts w:ascii="Arial" w:hAnsi="Arial" w:cs="Arial"/>
        </w:rPr>
        <w:t xml:space="preserve"> (Accessed: 8 August 2026).</w:t>
      </w:r>
    </w:p>
    <w:p w14:paraId="456A736A"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Starbucks (2025) </w:t>
      </w:r>
      <w:r w:rsidRPr="00D956A4">
        <w:rPr>
          <w:rStyle w:val="Emphasis"/>
          <w:rFonts w:ascii="Arial" w:eastAsiaTheme="majorEastAsia" w:hAnsi="Arial" w:cs="Arial"/>
        </w:rPr>
        <w:t>Global impact report</w:t>
      </w:r>
      <w:r w:rsidRPr="00D956A4">
        <w:rPr>
          <w:rFonts w:ascii="Arial" w:hAnsi="Arial" w:cs="Arial"/>
        </w:rPr>
        <w:t xml:space="preserve">. Available at: </w:t>
      </w:r>
      <w:hyperlink r:id="rId78" w:history="1">
        <w:r w:rsidRPr="00D956A4">
          <w:rPr>
            <w:rStyle w:val="Hyperlink"/>
            <w:rFonts w:ascii="Arial" w:eastAsiaTheme="majorEastAsia" w:hAnsi="Arial" w:cs="Arial"/>
          </w:rPr>
          <w:t>https://about.starbucks.com/annual-impact-report/</w:t>
        </w:r>
      </w:hyperlink>
      <w:r w:rsidRPr="00D956A4">
        <w:rPr>
          <w:rFonts w:ascii="Arial" w:hAnsi="Arial" w:cs="Arial"/>
        </w:rPr>
        <w:t xml:space="preserve"> (Accessed: 8 August 2026).</w:t>
      </w:r>
    </w:p>
    <w:p w14:paraId="1FDA861F"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Starbucks (2026) </w:t>
      </w:r>
      <w:r w:rsidRPr="00D956A4">
        <w:rPr>
          <w:rStyle w:val="Emphasis"/>
          <w:rFonts w:ascii="Arial" w:eastAsiaTheme="majorEastAsia" w:hAnsi="Arial" w:cs="Arial"/>
        </w:rPr>
        <w:t>Starbucks files UK and EMEA accounts for the fiscal year ended September 2025</w:t>
      </w:r>
      <w:r w:rsidRPr="00D956A4">
        <w:rPr>
          <w:rFonts w:ascii="Arial" w:hAnsi="Arial" w:cs="Arial"/>
        </w:rPr>
        <w:t xml:space="preserve">. Available at: </w:t>
      </w:r>
      <w:hyperlink r:id="rId79" w:history="1">
        <w:r w:rsidRPr="00D956A4">
          <w:rPr>
            <w:rStyle w:val="Hyperlink"/>
            <w:rFonts w:ascii="Arial" w:eastAsiaTheme="majorEastAsia" w:hAnsi="Arial" w:cs="Arial"/>
          </w:rPr>
          <w:t>https://stories.starbucks.com/emea/stories/2026/starbucks-uk-and-emea-accounts-fiscal-year-ended-september-2025/</w:t>
        </w:r>
      </w:hyperlink>
      <w:r w:rsidRPr="00D956A4">
        <w:rPr>
          <w:rFonts w:ascii="Arial" w:hAnsi="Arial" w:cs="Arial"/>
        </w:rPr>
        <w:t xml:space="preserve"> (Accessed: 8 August 2026).</w:t>
      </w:r>
    </w:p>
    <w:p w14:paraId="1D581A39"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Starbucks Coffee Company (UK) Limited (2025) </w:t>
      </w:r>
      <w:r w:rsidRPr="00D956A4">
        <w:rPr>
          <w:rStyle w:val="Emphasis"/>
          <w:rFonts w:ascii="Arial" w:eastAsiaTheme="majorEastAsia" w:hAnsi="Arial" w:cs="Arial"/>
        </w:rPr>
        <w:t>Starbucks Rewards terms and conditions</w:t>
      </w:r>
      <w:r w:rsidRPr="00D956A4">
        <w:rPr>
          <w:rFonts w:ascii="Arial" w:hAnsi="Arial" w:cs="Arial"/>
        </w:rPr>
        <w:t xml:space="preserve">. Available at: </w:t>
      </w:r>
      <w:hyperlink r:id="rId80" w:history="1">
        <w:r w:rsidRPr="00D956A4">
          <w:rPr>
            <w:rStyle w:val="Hyperlink"/>
            <w:rFonts w:ascii="Arial" w:eastAsiaTheme="majorEastAsia" w:hAnsi="Arial" w:cs="Arial"/>
          </w:rPr>
          <w:t>https://www.starbucks.co.uk/rewards/ts-and-cs</w:t>
        </w:r>
      </w:hyperlink>
      <w:r w:rsidRPr="00D956A4">
        <w:rPr>
          <w:rFonts w:ascii="Arial" w:hAnsi="Arial" w:cs="Arial"/>
        </w:rPr>
        <w:t xml:space="preserve"> (Accessed: 8 August 2026).</w:t>
      </w:r>
    </w:p>
    <w:p w14:paraId="57F2B0B5"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Starbucks Corporation (2025) </w:t>
      </w:r>
      <w:r w:rsidRPr="00D956A4">
        <w:rPr>
          <w:rStyle w:val="Emphasis"/>
          <w:rFonts w:ascii="Arial" w:eastAsiaTheme="majorEastAsia" w:hAnsi="Arial" w:cs="Arial"/>
        </w:rPr>
        <w:t>2025 annual report</w:t>
      </w:r>
      <w:r w:rsidRPr="00D956A4">
        <w:rPr>
          <w:rFonts w:ascii="Arial" w:hAnsi="Arial" w:cs="Arial"/>
        </w:rPr>
        <w:t xml:space="preserve">. Available at: </w:t>
      </w:r>
      <w:hyperlink r:id="rId81" w:history="1">
        <w:r w:rsidRPr="00D956A4">
          <w:rPr>
            <w:rStyle w:val="Hyperlink"/>
            <w:rFonts w:ascii="Arial" w:eastAsiaTheme="majorEastAsia" w:hAnsi="Arial" w:cs="Arial"/>
          </w:rPr>
          <w:t>https://investor.starbucks.com/financials/annual-reports/default.aspx</w:t>
        </w:r>
      </w:hyperlink>
      <w:r w:rsidRPr="00D956A4">
        <w:rPr>
          <w:rFonts w:ascii="Arial" w:hAnsi="Arial" w:cs="Arial"/>
        </w:rPr>
        <w:t xml:space="preserve"> (Accessed: 8 August 2026).</w:t>
      </w:r>
    </w:p>
    <w:p w14:paraId="1471EBD8"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Syed, S., </w:t>
      </w:r>
      <w:proofErr w:type="spellStart"/>
      <w:r w:rsidRPr="00D956A4">
        <w:rPr>
          <w:rFonts w:ascii="Arial" w:hAnsi="Arial" w:cs="Arial"/>
        </w:rPr>
        <w:t>Acquaye</w:t>
      </w:r>
      <w:proofErr w:type="spellEnd"/>
      <w:r w:rsidRPr="00D956A4">
        <w:rPr>
          <w:rFonts w:ascii="Arial" w:hAnsi="Arial" w:cs="Arial"/>
        </w:rPr>
        <w:t xml:space="preserve">, A., </w:t>
      </w:r>
      <w:proofErr w:type="spellStart"/>
      <w:r w:rsidRPr="00D956A4">
        <w:rPr>
          <w:rFonts w:ascii="Arial" w:hAnsi="Arial" w:cs="Arial"/>
        </w:rPr>
        <w:t>Khalfan</w:t>
      </w:r>
      <w:proofErr w:type="spellEnd"/>
      <w:r w:rsidRPr="00D956A4">
        <w:rPr>
          <w:rFonts w:ascii="Arial" w:hAnsi="Arial" w:cs="Arial"/>
        </w:rPr>
        <w:t xml:space="preserve">, M.M., </w:t>
      </w:r>
      <w:proofErr w:type="spellStart"/>
      <w:r w:rsidRPr="00D956A4">
        <w:rPr>
          <w:rFonts w:ascii="Arial" w:hAnsi="Arial" w:cs="Arial"/>
        </w:rPr>
        <w:t>Obuobisa-Darko</w:t>
      </w:r>
      <w:proofErr w:type="spellEnd"/>
      <w:r w:rsidRPr="00D956A4">
        <w:rPr>
          <w:rFonts w:ascii="Arial" w:hAnsi="Arial" w:cs="Arial"/>
        </w:rPr>
        <w:t xml:space="preserve">, T. and </w:t>
      </w:r>
      <w:proofErr w:type="spellStart"/>
      <w:r w:rsidRPr="00D956A4">
        <w:rPr>
          <w:rFonts w:ascii="Arial" w:hAnsi="Arial" w:cs="Arial"/>
        </w:rPr>
        <w:t>Yamoah</w:t>
      </w:r>
      <w:proofErr w:type="spellEnd"/>
      <w:r w:rsidRPr="00D956A4">
        <w:rPr>
          <w:rFonts w:ascii="Arial" w:hAnsi="Arial" w:cs="Arial"/>
        </w:rPr>
        <w:t xml:space="preserve">, F.A. (2024) ‘Decoding sustainable consumption behavior: A systematic review of theories and models and provision of a guidance framework’, </w:t>
      </w:r>
      <w:r w:rsidRPr="00D956A4">
        <w:rPr>
          <w:rStyle w:val="Emphasis"/>
          <w:rFonts w:ascii="Arial" w:eastAsiaTheme="majorEastAsia" w:hAnsi="Arial" w:cs="Arial"/>
        </w:rPr>
        <w:t>Resources, Conservation &amp; Recycling Advances</w:t>
      </w:r>
      <w:r w:rsidRPr="00D956A4">
        <w:rPr>
          <w:rFonts w:ascii="Arial" w:hAnsi="Arial" w:cs="Arial"/>
        </w:rPr>
        <w:t xml:space="preserve">, 23, article 200232. Available at: </w:t>
      </w:r>
      <w:hyperlink r:id="rId82" w:history="1">
        <w:r w:rsidRPr="00D956A4">
          <w:rPr>
            <w:rStyle w:val="Hyperlink"/>
            <w:rFonts w:ascii="Arial" w:eastAsiaTheme="majorEastAsia" w:hAnsi="Arial" w:cs="Arial"/>
          </w:rPr>
          <w:t>https://doi.org/10.1016/j.rcradv.2024.200232</w:t>
        </w:r>
      </w:hyperlink>
      <w:r w:rsidRPr="00D956A4">
        <w:rPr>
          <w:rFonts w:ascii="Arial" w:hAnsi="Arial" w:cs="Arial"/>
        </w:rPr>
        <w:t>.</w:t>
      </w:r>
    </w:p>
    <w:p w14:paraId="71717A02"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Szabo, S. and Webster, J. (2021) ‘Perceived </w:t>
      </w:r>
      <w:proofErr w:type="spellStart"/>
      <w:r w:rsidRPr="00D956A4">
        <w:rPr>
          <w:rFonts w:ascii="Arial" w:hAnsi="Arial" w:cs="Arial"/>
        </w:rPr>
        <w:t>greenwashing</w:t>
      </w:r>
      <w:proofErr w:type="spellEnd"/>
      <w:r w:rsidRPr="00D956A4">
        <w:rPr>
          <w:rFonts w:ascii="Arial" w:hAnsi="Arial" w:cs="Arial"/>
        </w:rPr>
        <w:t xml:space="preserve">: The effects of green marketing on environmental and product perceptions’, </w:t>
      </w:r>
      <w:r w:rsidRPr="00D956A4">
        <w:rPr>
          <w:rStyle w:val="Emphasis"/>
          <w:rFonts w:ascii="Arial" w:eastAsiaTheme="majorEastAsia" w:hAnsi="Arial" w:cs="Arial"/>
        </w:rPr>
        <w:t>Journal of Business Ethics</w:t>
      </w:r>
      <w:r w:rsidRPr="00D956A4">
        <w:rPr>
          <w:rFonts w:ascii="Arial" w:hAnsi="Arial" w:cs="Arial"/>
        </w:rPr>
        <w:t xml:space="preserve">, 171(4), pp. 719–739. Available at: </w:t>
      </w:r>
      <w:hyperlink r:id="rId83" w:history="1">
        <w:r w:rsidRPr="00D956A4">
          <w:rPr>
            <w:rStyle w:val="Hyperlink"/>
            <w:rFonts w:ascii="Arial" w:eastAsiaTheme="majorEastAsia" w:hAnsi="Arial" w:cs="Arial"/>
          </w:rPr>
          <w:t>https://doi.org/10.1007/s10551-020-04461-0</w:t>
        </w:r>
      </w:hyperlink>
      <w:r w:rsidRPr="00D956A4">
        <w:rPr>
          <w:rFonts w:ascii="Arial" w:hAnsi="Arial" w:cs="Arial"/>
        </w:rPr>
        <w:t>.</w:t>
      </w:r>
    </w:p>
    <w:p w14:paraId="296295F0"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The Coca-Cola Company (2026) </w:t>
      </w:r>
      <w:r w:rsidRPr="00D956A4">
        <w:rPr>
          <w:rStyle w:val="Emphasis"/>
          <w:rFonts w:ascii="Arial" w:eastAsiaTheme="majorEastAsia" w:hAnsi="Arial" w:cs="Arial"/>
        </w:rPr>
        <w:t>2025 annual report</w:t>
      </w:r>
      <w:r w:rsidRPr="00D956A4">
        <w:rPr>
          <w:rFonts w:ascii="Arial" w:hAnsi="Arial" w:cs="Arial"/>
        </w:rPr>
        <w:t xml:space="preserve">. Available at: </w:t>
      </w:r>
      <w:hyperlink r:id="rId84" w:history="1">
        <w:r w:rsidRPr="00D956A4">
          <w:rPr>
            <w:rStyle w:val="Hyperlink"/>
            <w:rFonts w:ascii="Arial" w:eastAsiaTheme="majorEastAsia" w:hAnsi="Arial" w:cs="Arial"/>
          </w:rPr>
          <w:t>https://investors.coca-colacompany.com/filings-reports/all-sec-filings/content/0001628280-26-010047/ko-20251231.htm</w:t>
        </w:r>
      </w:hyperlink>
      <w:r w:rsidRPr="00D956A4">
        <w:rPr>
          <w:rFonts w:ascii="Arial" w:hAnsi="Arial" w:cs="Arial"/>
        </w:rPr>
        <w:t xml:space="preserve"> (Accessed: 8 August 2026).</w:t>
      </w:r>
    </w:p>
    <w:p w14:paraId="461EF1BA"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lastRenderedPageBreak/>
        <w:t xml:space="preserve">Thompson, C.J. and </w:t>
      </w:r>
      <w:proofErr w:type="spellStart"/>
      <w:r w:rsidRPr="00D956A4">
        <w:rPr>
          <w:rFonts w:ascii="Arial" w:hAnsi="Arial" w:cs="Arial"/>
        </w:rPr>
        <w:t>Arsel</w:t>
      </w:r>
      <w:proofErr w:type="spellEnd"/>
      <w:r w:rsidRPr="00D956A4">
        <w:rPr>
          <w:rFonts w:ascii="Arial" w:hAnsi="Arial" w:cs="Arial"/>
        </w:rPr>
        <w:t xml:space="preserve">, Z. (2004) ‘The Starbucks </w:t>
      </w:r>
      <w:proofErr w:type="spellStart"/>
      <w:r w:rsidRPr="00D956A4">
        <w:rPr>
          <w:rFonts w:ascii="Arial" w:hAnsi="Arial" w:cs="Arial"/>
        </w:rPr>
        <w:t>brandscape</w:t>
      </w:r>
      <w:proofErr w:type="spellEnd"/>
      <w:r w:rsidRPr="00D956A4">
        <w:rPr>
          <w:rFonts w:ascii="Arial" w:hAnsi="Arial" w:cs="Arial"/>
        </w:rPr>
        <w:t xml:space="preserve"> and consumers’ (</w:t>
      </w:r>
      <w:proofErr w:type="spellStart"/>
      <w:r w:rsidRPr="00D956A4">
        <w:rPr>
          <w:rFonts w:ascii="Arial" w:hAnsi="Arial" w:cs="Arial"/>
        </w:rPr>
        <w:t>anticorporate</w:t>
      </w:r>
      <w:proofErr w:type="spellEnd"/>
      <w:r w:rsidRPr="00D956A4">
        <w:rPr>
          <w:rFonts w:ascii="Arial" w:hAnsi="Arial" w:cs="Arial"/>
        </w:rPr>
        <w:t xml:space="preserve">) experiences of </w:t>
      </w:r>
      <w:proofErr w:type="spellStart"/>
      <w:r w:rsidRPr="00D956A4">
        <w:rPr>
          <w:rFonts w:ascii="Arial" w:hAnsi="Arial" w:cs="Arial"/>
        </w:rPr>
        <w:t>glocalization</w:t>
      </w:r>
      <w:proofErr w:type="spellEnd"/>
      <w:r w:rsidRPr="00D956A4">
        <w:rPr>
          <w:rFonts w:ascii="Arial" w:hAnsi="Arial" w:cs="Arial"/>
        </w:rPr>
        <w:t xml:space="preserve">’, </w:t>
      </w:r>
      <w:r w:rsidRPr="00D956A4">
        <w:rPr>
          <w:rStyle w:val="Emphasis"/>
          <w:rFonts w:ascii="Arial" w:eastAsiaTheme="majorEastAsia" w:hAnsi="Arial" w:cs="Arial"/>
        </w:rPr>
        <w:t>Journal of Consumer Research</w:t>
      </w:r>
      <w:r w:rsidRPr="00D956A4">
        <w:rPr>
          <w:rFonts w:ascii="Arial" w:hAnsi="Arial" w:cs="Arial"/>
        </w:rPr>
        <w:t xml:space="preserve">, 31(3), pp. 631–642. Available at: </w:t>
      </w:r>
      <w:hyperlink r:id="rId85" w:history="1">
        <w:r w:rsidRPr="00D956A4">
          <w:rPr>
            <w:rStyle w:val="Hyperlink"/>
            <w:rFonts w:ascii="Arial" w:eastAsiaTheme="majorEastAsia" w:hAnsi="Arial" w:cs="Arial"/>
          </w:rPr>
          <w:t>https://doi.org/10.1086/425098</w:t>
        </w:r>
      </w:hyperlink>
      <w:r w:rsidRPr="00D956A4">
        <w:rPr>
          <w:rFonts w:ascii="Arial" w:hAnsi="Arial" w:cs="Arial"/>
        </w:rPr>
        <w:t>.</w:t>
      </w:r>
    </w:p>
    <w:p w14:paraId="2C2C48BC"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Unny</w:t>
      </w:r>
      <w:proofErr w:type="spellEnd"/>
      <w:r w:rsidRPr="00D956A4">
        <w:rPr>
          <w:rFonts w:ascii="Arial" w:hAnsi="Arial" w:cs="Arial"/>
        </w:rPr>
        <w:t xml:space="preserve">, B.R., Shankar, A. and </w:t>
      </w:r>
      <w:proofErr w:type="spellStart"/>
      <w:r w:rsidRPr="00D956A4">
        <w:rPr>
          <w:rFonts w:ascii="Arial" w:hAnsi="Arial" w:cs="Arial"/>
        </w:rPr>
        <w:t>Pani</w:t>
      </w:r>
      <w:proofErr w:type="spellEnd"/>
      <w:r w:rsidRPr="00D956A4">
        <w:rPr>
          <w:rFonts w:ascii="Arial" w:hAnsi="Arial" w:cs="Arial"/>
        </w:rPr>
        <w:t xml:space="preserve">, S.K. (2024) ‘Consumer privacy in smartphones: A systematic literature review’, </w:t>
      </w:r>
      <w:r w:rsidRPr="00D956A4">
        <w:rPr>
          <w:rStyle w:val="Emphasis"/>
          <w:rFonts w:ascii="Arial" w:eastAsiaTheme="majorEastAsia" w:hAnsi="Arial" w:cs="Arial"/>
        </w:rPr>
        <w:t>Journal of Consumer Marketing</w:t>
      </w:r>
      <w:r w:rsidRPr="00D956A4">
        <w:rPr>
          <w:rFonts w:ascii="Arial" w:hAnsi="Arial" w:cs="Arial"/>
        </w:rPr>
        <w:t xml:space="preserve">, 41(1), pp. 1–16. Available at: </w:t>
      </w:r>
      <w:hyperlink r:id="rId86" w:history="1">
        <w:r w:rsidRPr="00D956A4">
          <w:rPr>
            <w:rStyle w:val="Hyperlink"/>
            <w:rFonts w:ascii="Arial" w:eastAsiaTheme="majorEastAsia" w:hAnsi="Arial" w:cs="Arial"/>
          </w:rPr>
          <w:t>https://doi.org/10.1108/JCM-03-2021-4563</w:t>
        </w:r>
      </w:hyperlink>
      <w:r w:rsidRPr="00D956A4">
        <w:rPr>
          <w:rFonts w:ascii="Arial" w:hAnsi="Arial" w:cs="Arial"/>
        </w:rPr>
        <w:t>.</w:t>
      </w:r>
    </w:p>
    <w:p w14:paraId="39EF17CF" w14:textId="77777777" w:rsidR="00D956A4" w:rsidRPr="00D956A4" w:rsidRDefault="00D956A4" w:rsidP="00D956A4">
      <w:pPr>
        <w:pStyle w:val="isselectedend"/>
        <w:spacing w:line="360" w:lineRule="auto"/>
        <w:jc w:val="both"/>
        <w:rPr>
          <w:rFonts w:ascii="Arial" w:hAnsi="Arial" w:cs="Arial"/>
        </w:rPr>
      </w:pPr>
      <w:proofErr w:type="spellStart"/>
      <w:r w:rsidRPr="00D956A4">
        <w:rPr>
          <w:rFonts w:ascii="Arial" w:hAnsi="Arial" w:cs="Arial"/>
        </w:rPr>
        <w:t>Verhoef</w:t>
      </w:r>
      <w:proofErr w:type="spellEnd"/>
      <w:r w:rsidRPr="00D956A4">
        <w:rPr>
          <w:rFonts w:ascii="Arial" w:hAnsi="Arial" w:cs="Arial"/>
        </w:rPr>
        <w:t xml:space="preserve">, P.C., </w:t>
      </w:r>
      <w:proofErr w:type="spellStart"/>
      <w:r w:rsidRPr="00D956A4">
        <w:rPr>
          <w:rFonts w:ascii="Arial" w:hAnsi="Arial" w:cs="Arial"/>
        </w:rPr>
        <w:t>Broekhuizen</w:t>
      </w:r>
      <w:proofErr w:type="spellEnd"/>
      <w:r w:rsidRPr="00D956A4">
        <w:rPr>
          <w:rFonts w:ascii="Arial" w:hAnsi="Arial" w:cs="Arial"/>
        </w:rPr>
        <w:t xml:space="preserve">, T., Bart, Y., Bhattacharya, A., Dong, J.Q., Fabian, N. and </w:t>
      </w:r>
      <w:proofErr w:type="spellStart"/>
      <w:r w:rsidRPr="00D956A4">
        <w:rPr>
          <w:rFonts w:ascii="Arial" w:hAnsi="Arial" w:cs="Arial"/>
        </w:rPr>
        <w:t>Haenlein</w:t>
      </w:r>
      <w:proofErr w:type="spellEnd"/>
      <w:r w:rsidRPr="00D956A4">
        <w:rPr>
          <w:rFonts w:ascii="Arial" w:hAnsi="Arial" w:cs="Arial"/>
        </w:rPr>
        <w:t xml:space="preserve">, M. (2021) ‘Digital transformation: A multidisciplinary reflection and research agenda’, </w:t>
      </w:r>
      <w:r w:rsidRPr="00D956A4">
        <w:rPr>
          <w:rStyle w:val="Emphasis"/>
          <w:rFonts w:ascii="Arial" w:eastAsiaTheme="majorEastAsia" w:hAnsi="Arial" w:cs="Arial"/>
        </w:rPr>
        <w:t>Journal of Business Research</w:t>
      </w:r>
      <w:r w:rsidRPr="00D956A4">
        <w:rPr>
          <w:rFonts w:ascii="Arial" w:hAnsi="Arial" w:cs="Arial"/>
        </w:rPr>
        <w:t xml:space="preserve">, 122, pp. 889–901. Available at: </w:t>
      </w:r>
      <w:hyperlink r:id="rId87" w:history="1">
        <w:r w:rsidRPr="00D956A4">
          <w:rPr>
            <w:rStyle w:val="Hyperlink"/>
            <w:rFonts w:ascii="Arial" w:eastAsiaTheme="majorEastAsia" w:hAnsi="Arial" w:cs="Arial"/>
          </w:rPr>
          <w:t>https://doi.org/10.1016/j.jbusres.2019.09.022</w:t>
        </w:r>
      </w:hyperlink>
      <w:r w:rsidRPr="00D956A4">
        <w:rPr>
          <w:rFonts w:ascii="Arial" w:hAnsi="Arial" w:cs="Arial"/>
        </w:rPr>
        <w:t>.</w:t>
      </w:r>
    </w:p>
    <w:p w14:paraId="24712CEE"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World Coffee Portal (2025) </w:t>
      </w:r>
      <w:r w:rsidRPr="00D956A4">
        <w:rPr>
          <w:rStyle w:val="Emphasis"/>
          <w:rFonts w:ascii="Arial" w:eastAsiaTheme="majorEastAsia" w:hAnsi="Arial" w:cs="Arial"/>
        </w:rPr>
        <w:t>Value in the spotlight as competition heats up in £6.1bn UK branded coffee shop market</w:t>
      </w:r>
      <w:r w:rsidRPr="00D956A4">
        <w:rPr>
          <w:rFonts w:ascii="Arial" w:hAnsi="Arial" w:cs="Arial"/>
        </w:rPr>
        <w:t xml:space="preserve">. Available at: </w:t>
      </w:r>
      <w:hyperlink r:id="rId88" w:history="1">
        <w:r w:rsidRPr="00D956A4">
          <w:rPr>
            <w:rStyle w:val="Hyperlink"/>
            <w:rFonts w:ascii="Arial" w:eastAsiaTheme="majorEastAsia" w:hAnsi="Arial" w:cs="Arial"/>
          </w:rPr>
          <w:t>https://www.worldcoffeeportal.com/news/value-in-the-spotlight-as-competition-heats-up-in-6-1bn-uk-branded-coffee-shop-market/</w:t>
        </w:r>
      </w:hyperlink>
      <w:r w:rsidRPr="00D956A4">
        <w:rPr>
          <w:rFonts w:ascii="Arial" w:hAnsi="Arial" w:cs="Arial"/>
        </w:rPr>
        <w:t xml:space="preserve"> (Accessed: 8 August 2026).</w:t>
      </w:r>
    </w:p>
    <w:p w14:paraId="24D559F0" w14:textId="77777777" w:rsidR="00D956A4" w:rsidRPr="00D956A4" w:rsidRDefault="00D956A4" w:rsidP="00D956A4">
      <w:pPr>
        <w:pStyle w:val="isselectedend"/>
        <w:spacing w:line="360" w:lineRule="auto"/>
        <w:jc w:val="both"/>
        <w:rPr>
          <w:rFonts w:ascii="Arial" w:hAnsi="Arial" w:cs="Arial"/>
        </w:rPr>
      </w:pPr>
      <w:r w:rsidRPr="00D956A4">
        <w:rPr>
          <w:rFonts w:ascii="Arial" w:hAnsi="Arial" w:cs="Arial"/>
        </w:rPr>
        <w:t xml:space="preserve">Wright, D.R., </w:t>
      </w:r>
      <w:proofErr w:type="spellStart"/>
      <w:r w:rsidRPr="00D956A4">
        <w:rPr>
          <w:rFonts w:ascii="Arial" w:hAnsi="Arial" w:cs="Arial"/>
        </w:rPr>
        <w:t>Bekessy</w:t>
      </w:r>
      <w:proofErr w:type="spellEnd"/>
      <w:r w:rsidRPr="00D956A4">
        <w:rPr>
          <w:rFonts w:ascii="Arial" w:hAnsi="Arial" w:cs="Arial"/>
        </w:rPr>
        <w:t xml:space="preserve">, S.A., </w:t>
      </w:r>
      <w:proofErr w:type="spellStart"/>
      <w:r w:rsidRPr="00D956A4">
        <w:rPr>
          <w:rFonts w:ascii="Arial" w:hAnsi="Arial" w:cs="Arial"/>
        </w:rPr>
        <w:t>Lentini</w:t>
      </w:r>
      <w:proofErr w:type="spellEnd"/>
      <w:r w:rsidRPr="00D956A4">
        <w:rPr>
          <w:rFonts w:ascii="Arial" w:hAnsi="Arial" w:cs="Arial"/>
        </w:rPr>
        <w:t xml:space="preserve">, P.E., Garrard, G.E., Gordon, A., </w:t>
      </w:r>
      <w:proofErr w:type="spellStart"/>
      <w:r w:rsidRPr="00D956A4">
        <w:rPr>
          <w:rFonts w:ascii="Arial" w:hAnsi="Arial" w:cs="Arial"/>
        </w:rPr>
        <w:t>Rodewald</w:t>
      </w:r>
      <w:proofErr w:type="spellEnd"/>
      <w:r w:rsidRPr="00D956A4">
        <w:rPr>
          <w:rFonts w:ascii="Arial" w:hAnsi="Arial" w:cs="Arial"/>
        </w:rPr>
        <w:t xml:space="preserve">, A.D., Bennett, R.E. and </w:t>
      </w:r>
      <w:proofErr w:type="spellStart"/>
      <w:r w:rsidRPr="00D956A4">
        <w:rPr>
          <w:rFonts w:ascii="Arial" w:hAnsi="Arial" w:cs="Arial"/>
        </w:rPr>
        <w:t>Selinske</w:t>
      </w:r>
      <w:proofErr w:type="spellEnd"/>
      <w:r w:rsidRPr="00D956A4">
        <w:rPr>
          <w:rFonts w:ascii="Arial" w:hAnsi="Arial" w:cs="Arial"/>
        </w:rPr>
        <w:t xml:space="preserve">, M.J. (2024) ‘Sustainable coffee: A review of the diverse initiatives and governance dimensions of global coffee supply chains’, </w:t>
      </w:r>
      <w:proofErr w:type="spellStart"/>
      <w:r w:rsidRPr="00D956A4">
        <w:rPr>
          <w:rStyle w:val="Emphasis"/>
          <w:rFonts w:ascii="Arial" w:eastAsiaTheme="majorEastAsia" w:hAnsi="Arial" w:cs="Arial"/>
        </w:rPr>
        <w:t>Ambio</w:t>
      </w:r>
      <w:proofErr w:type="spellEnd"/>
      <w:r w:rsidRPr="00D956A4">
        <w:rPr>
          <w:rFonts w:ascii="Arial" w:hAnsi="Arial" w:cs="Arial"/>
        </w:rPr>
        <w:t xml:space="preserve">, 53(7), pp. 984–1001. Available at: </w:t>
      </w:r>
      <w:hyperlink r:id="rId89" w:history="1">
        <w:r w:rsidRPr="00D956A4">
          <w:rPr>
            <w:rStyle w:val="Hyperlink"/>
            <w:rFonts w:ascii="Arial" w:eastAsiaTheme="majorEastAsia" w:hAnsi="Arial" w:cs="Arial"/>
          </w:rPr>
          <w:t>https://doi.org/10.1007/s13280-024-02003-w</w:t>
        </w:r>
      </w:hyperlink>
      <w:r w:rsidRPr="00D956A4">
        <w:rPr>
          <w:rFonts w:ascii="Arial" w:hAnsi="Arial" w:cs="Arial"/>
        </w:rPr>
        <w:t>.</w:t>
      </w:r>
    </w:p>
    <w:p w14:paraId="27E81DDC" w14:textId="77777777" w:rsidR="00D956A4" w:rsidRPr="00D956A4" w:rsidRDefault="00D956A4" w:rsidP="00D956A4">
      <w:pPr>
        <w:pStyle w:val="NormalWeb"/>
        <w:spacing w:line="360" w:lineRule="auto"/>
        <w:jc w:val="both"/>
        <w:rPr>
          <w:rFonts w:ascii="Arial" w:hAnsi="Arial" w:cs="Arial"/>
        </w:rPr>
      </w:pPr>
      <w:r w:rsidRPr="00D956A4">
        <w:rPr>
          <w:rFonts w:ascii="Arial" w:hAnsi="Arial" w:cs="Arial"/>
        </w:rPr>
        <w:t xml:space="preserve">Yin, R.K. (2018) </w:t>
      </w:r>
      <w:r w:rsidRPr="00D956A4">
        <w:rPr>
          <w:rStyle w:val="Emphasis"/>
          <w:rFonts w:ascii="Arial" w:eastAsiaTheme="majorEastAsia" w:hAnsi="Arial" w:cs="Arial"/>
        </w:rPr>
        <w:t>Case study research and applications: Design and methods</w:t>
      </w:r>
      <w:r w:rsidRPr="00D956A4">
        <w:rPr>
          <w:rFonts w:ascii="Arial" w:hAnsi="Arial" w:cs="Arial"/>
        </w:rPr>
        <w:t xml:space="preserve">. 6th </w:t>
      </w:r>
      <w:proofErr w:type="spellStart"/>
      <w:r w:rsidRPr="00D956A4">
        <w:rPr>
          <w:rFonts w:ascii="Arial" w:hAnsi="Arial" w:cs="Arial"/>
        </w:rPr>
        <w:t>edn</w:t>
      </w:r>
      <w:proofErr w:type="spellEnd"/>
      <w:r w:rsidRPr="00D956A4">
        <w:rPr>
          <w:rFonts w:ascii="Arial" w:hAnsi="Arial" w:cs="Arial"/>
        </w:rPr>
        <w:t>. Thousand Oaks, CA: SAGE.</w:t>
      </w:r>
    </w:p>
    <w:p w14:paraId="02EA3028" w14:textId="77777777" w:rsidR="00D8014E" w:rsidRDefault="00D8014E">
      <w:pPr>
        <w:spacing w:line="360" w:lineRule="auto"/>
      </w:pPr>
    </w:p>
    <w:sectPr w:rsidR="00D8014E">
      <w:footerReference w:type="even" r:id="rId90"/>
      <w:footerReference w:type="default" r:id="rId91"/>
      <w:footerReference w:type="first" r:id="rId92"/>
      <w:pgSz w:w="12240" w:h="15840"/>
      <w:pgMar w:top="1440" w:right="1440" w:bottom="1440" w:left="1440" w:header="0" w:footer="720" w:gutter="0"/>
      <w:pgNumType w:start="1"/>
      <w:cols w:space="720"/>
      <w:formProt w:val="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7EC961" w14:textId="77777777" w:rsidR="00D1339B" w:rsidRDefault="00D1339B">
      <w:pPr>
        <w:spacing w:after="0" w:line="240" w:lineRule="auto"/>
      </w:pPr>
      <w:r>
        <w:separator/>
      </w:r>
    </w:p>
  </w:endnote>
  <w:endnote w:type="continuationSeparator" w:id="0">
    <w:p w14:paraId="27ECC7AB" w14:textId="77777777" w:rsidR="00D1339B" w:rsidRDefault="00D13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altName w:val="Cambri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22042"/>
      <w:docPartObj>
        <w:docPartGallery w:val="Page Numbers (Bottom of Page)"/>
        <w:docPartUnique/>
      </w:docPartObj>
    </w:sdtPr>
    <w:sdtContent>
      <w:p w14:paraId="4316BEF6" w14:textId="77777777" w:rsidR="00D27030" w:rsidRDefault="00D27030">
        <w:pPr>
          <w:pStyle w:val="Footer"/>
          <w:jc w:val="right"/>
        </w:pPr>
        <w:r>
          <w:t xml:space="preserve">Page | </w:t>
        </w:r>
        <w:r>
          <w:fldChar w:fldCharType="begin"/>
        </w:r>
        <w:r>
          <w:instrText xml:space="preserve"> PAGE </w:instrText>
        </w:r>
        <w:r>
          <w:fldChar w:fldCharType="separate"/>
        </w:r>
        <w:r w:rsidR="00E91B92">
          <w:rPr>
            <w:noProof/>
          </w:rPr>
          <w:t>iii</w:t>
        </w:r>
        <w:r>
          <w:fldChar w:fldCharType="end"/>
        </w:r>
        <w:r>
          <w:t xml:space="preserve"> </w:t>
        </w:r>
      </w:p>
    </w:sdtContent>
  </w:sdt>
  <w:p w14:paraId="5AA8CA94" w14:textId="77777777" w:rsidR="00D27030" w:rsidRDefault="00D2703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6893717"/>
      <w:docPartObj>
        <w:docPartGallery w:val="Page Numbers (Bottom of Page)"/>
        <w:docPartUnique/>
      </w:docPartObj>
    </w:sdtPr>
    <w:sdtContent>
      <w:p w14:paraId="2FA3A209" w14:textId="77777777" w:rsidR="00D27030" w:rsidRDefault="00D27030">
        <w:pPr>
          <w:pStyle w:val="Footer"/>
          <w:jc w:val="right"/>
        </w:pPr>
        <w:r>
          <w:t xml:space="preserve">Page | </w:t>
        </w:r>
        <w:r>
          <w:fldChar w:fldCharType="begin"/>
        </w:r>
        <w:r>
          <w:instrText xml:space="preserve"> PAGE </w:instrText>
        </w:r>
        <w:r>
          <w:fldChar w:fldCharType="separate"/>
        </w:r>
        <w:r>
          <w:t>ii</w:t>
        </w:r>
        <w:r>
          <w:fldChar w:fldCharType="end"/>
        </w:r>
        <w:r>
          <w:t xml:space="preserve"> </w:t>
        </w:r>
      </w:p>
    </w:sdtContent>
  </w:sdt>
  <w:p w14:paraId="338C0CE3" w14:textId="77777777" w:rsidR="00D27030" w:rsidRDefault="00D2703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894630" w14:textId="77777777" w:rsidR="00D27030" w:rsidRDefault="00D2703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8EC073" w14:textId="77777777" w:rsidR="00D27030" w:rsidRDefault="00D27030">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74CF85" w14:textId="77777777" w:rsidR="00D27030" w:rsidRDefault="00D27030">
    <w:pPr>
      <w:pStyle w:val="Foote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D3F1A4" w14:textId="77777777" w:rsidR="00D27030" w:rsidRDefault="00D27030">
    <w:pPr>
      <w:pStyle w:val="Footer"/>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8C344D" w14:textId="77777777" w:rsidR="00D27030" w:rsidRDefault="00D27030">
    <w:pPr>
      <w:pStyle w:val="Footer"/>
    </w:pP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B0EB86" w14:textId="77777777" w:rsidR="00D27030" w:rsidRDefault="00D27030">
    <w:pPr>
      <w:pStyle w:val="Footer"/>
    </w:pP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A1AFAD" w14:textId="77777777" w:rsidR="00D27030" w:rsidRDefault="00D27030">
    <w:pPr>
      <w:pStyle w:val="Footer"/>
    </w:pP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7882906"/>
      <w:docPartObj>
        <w:docPartGallery w:val="Page Numbers (Bottom of Page)"/>
        <w:docPartUnique/>
      </w:docPartObj>
    </w:sdtPr>
    <w:sdtContent>
      <w:p w14:paraId="503C35DF" w14:textId="77777777" w:rsidR="00D27030" w:rsidRDefault="00D27030">
        <w:pPr>
          <w:pStyle w:val="Footer"/>
          <w:jc w:val="right"/>
        </w:pPr>
        <w:r>
          <w:t xml:space="preserve">Page | </w:t>
        </w:r>
        <w:r>
          <w:fldChar w:fldCharType="begin"/>
        </w:r>
        <w:r>
          <w:instrText xml:space="preserve"> PAGE </w:instrText>
        </w:r>
        <w:r>
          <w:fldChar w:fldCharType="separate"/>
        </w:r>
        <w:r w:rsidR="00E91B92">
          <w:rPr>
            <w:noProof/>
          </w:rPr>
          <w:t>19</w:t>
        </w:r>
        <w:r>
          <w:fldChar w:fldCharType="end"/>
        </w:r>
        <w:r>
          <w:t xml:space="preserve"> </w:t>
        </w:r>
      </w:p>
    </w:sdtContent>
  </w:sdt>
  <w:p w14:paraId="30EB8DB8" w14:textId="77777777" w:rsidR="00D27030" w:rsidRDefault="00D27030">
    <w:pPr>
      <w:pStyle w:val="Footer"/>
    </w:pP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70582953"/>
      <w:docPartObj>
        <w:docPartGallery w:val="Page Numbers (Bottom of Page)"/>
        <w:docPartUnique/>
      </w:docPartObj>
    </w:sdtPr>
    <w:sdtContent>
      <w:p w14:paraId="7B1A058E" w14:textId="77777777" w:rsidR="00D27030" w:rsidRDefault="00D27030">
        <w:pPr>
          <w:pStyle w:val="Footer"/>
          <w:jc w:val="right"/>
        </w:pPr>
        <w:r>
          <w:t xml:space="preserve">Page | </w:t>
        </w:r>
        <w:r>
          <w:fldChar w:fldCharType="begin"/>
        </w:r>
        <w:r>
          <w:instrText xml:space="preserve"> PAGE </w:instrText>
        </w:r>
        <w:r>
          <w:fldChar w:fldCharType="separate"/>
        </w:r>
        <w:r>
          <w:t>61</w:t>
        </w:r>
        <w:r>
          <w:fldChar w:fldCharType="end"/>
        </w:r>
        <w:r>
          <w:t xml:space="preserve"> </w:t>
        </w:r>
      </w:p>
    </w:sdtContent>
  </w:sdt>
  <w:p w14:paraId="30540E26" w14:textId="77777777" w:rsidR="00D27030" w:rsidRDefault="00D270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9BA866" w14:textId="77777777" w:rsidR="00D1339B" w:rsidRDefault="00D1339B">
      <w:pPr>
        <w:spacing w:after="0" w:line="240" w:lineRule="auto"/>
      </w:pPr>
      <w:r>
        <w:separator/>
      </w:r>
    </w:p>
  </w:footnote>
  <w:footnote w:type="continuationSeparator" w:id="0">
    <w:p w14:paraId="20C7B488" w14:textId="77777777" w:rsidR="00D1339B" w:rsidRDefault="00D1339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C610E2"/>
    <w:multiLevelType w:val="hybridMultilevel"/>
    <w:tmpl w:val="3A6470CE"/>
    <w:lvl w:ilvl="0" w:tplc="07EA0806">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9AF1D94"/>
    <w:multiLevelType w:val="multilevel"/>
    <w:tmpl w:val="E5AC835C"/>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nsid w:val="45383668"/>
    <w:multiLevelType w:val="multilevel"/>
    <w:tmpl w:val="F1A86808"/>
    <w:lvl w:ilvl="0">
      <w:start w:val="1"/>
      <w:numFmt w:val="decimal"/>
      <w:lvlText w:val="%1."/>
      <w:lvlJc w:val="left"/>
      <w:pPr>
        <w:tabs>
          <w:tab w:val="num" w:pos="0"/>
        </w:tabs>
        <w:ind w:left="720" w:hanging="360"/>
      </w:p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nsid w:val="7C290A8A"/>
    <w:multiLevelType w:val="multilevel"/>
    <w:tmpl w:val="E56CDD54"/>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014E"/>
    <w:rsid w:val="0000610C"/>
    <w:rsid w:val="000673C0"/>
    <w:rsid w:val="000771AD"/>
    <w:rsid w:val="000F358A"/>
    <w:rsid w:val="001152B0"/>
    <w:rsid w:val="0012194E"/>
    <w:rsid w:val="001A10C5"/>
    <w:rsid w:val="001C018E"/>
    <w:rsid w:val="00206665"/>
    <w:rsid w:val="00217398"/>
    <w:rsid w:val="00232011"/>
    <w:rsid w:val="002453D5"/>
    <w:rsid w:val="002B7345"/>
    <w:rsid w:val="002F4B1B"/>
    <w:rsid w:val="003474BE"/>
    <w:rsid w:val="00365991"/>
    <w:rsid w:val="00387541"/>
    <w:rsid w:val="003C6068"/>
    <w:rsid w:val="00435AAC"/>
    <w:rsid w:val="00496094"/>
    <w:rsid w:val="004D6839"/>
    <w:rsid w:val="005238AD"/>
    <w:rsid w:val="00526E87"/>
    <w:rsid w:val="00565A21"/>
    <w:rsid w:val="0059671E"/>
    <w:rsid w:val="005A3F05"/>
    <w:rsid w:val="005C5AA4"/>
    <w:rsid w:val="005F5445"/>
    <w:rsid w:val="00614BA9"/>
    <w:rsid w:val="00646B06"/>
    <w:rsid w:val="00732F67"/>
    <w:rsid w:val="00745CD7"/>
    <w:rsid w:val="007A6E2E"/>
    <w:rsid w:val="007C6543"/>
    <w:rsid w:val="007F08CB"/>
    <w:rsid w:val="008627F3"/>
    <w:rsid w:val="00877242"/>
    <w:rsid w:val="009238F9"/>
    <w:rsid w:val="00924371"/>
    <w:rsid w:val="0093694F"/>
    <w:rsid w:val="00965B4F"/>
    <w:rsid w:val="00976A80"/>
    <w:rsid w:val="00980AFB"/>
    <w:rsid w:val="00983B3B"/>
    <w:rsid w:val="009F1E15"/>
    <w:rsid w:val="009F6BB3"/>
    <w:rsid w:val="00AB08A9"/>
    <w:rsid w:val="00AC6000"/>
    <w:rsid w:val="00AE7777"/>
    <w:rsid w:val="00B064BB"/>
    <w:rsid w:val="00B66E3E"/>
    <w:rsid w:val="00B7687F"/>
    <w:rsid w:val="00BA36AF"/>
    <w:rsid w:val="00BB1781"/>
    <w:rsid w:val="00BB65C2"/>
    <w:rsid w:val="00C20769"/>
    <w:rsid w:val="00C22855"/>
    <w:rsid w:val="00C45788"/>
    <w:rsid w:val="00C64F9C"/>
    <w:rsid w:val="00CB48B8"/>
    <w:rsid w:val="00D1339B"/>
    <w:rsid w:val="00D27030"/>
    <w:rsid w:val="00D8014E"/>
    <w:rsid w:val="00D956A4"/>
    <w:rsid w:val="00E25B63"/>
    <w:rsid w:val="00E35291"/>
    <w:rsid w:val="00E736E5"/>
    <w:rsid w:val="00E90EB9"/>
    <w:rsid w:val="00E91B92"/>
    <w:rsid w:val="00FD740B"/>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AAB6B"/>
  <w15:docId w15:val="{9204C996-8006-4041-9CD2-A9D647B0B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0A6E"/>
    <w:pPr>
      <w:spacing w:after="160" w:line="259" w:lineRule="auto"/>
      <w:jc w:val="both"/>
    </w:pPr>
    <w:rPr>
      <w:rFonts w:ascii="Arial" w:hAnsi="Arial"/>
      <w:sz w:val="24"/>
    </w:rPr>
  </w:style>
  <w:style w:type="paragraph" w:styleId="Heading1">
    <w:name w:val="heading 1"/>
    <w:basedOn w:val="Normal"/>
    <w:next w:val="Normal"/>
    <w:link w:val="Heading1Char"/>
    <w:uiPriority w:val="9"/>
    <w:qFormat/>
    <w:rsid w:val="00526E87"/>
    <w:pPr>
      <w:keepNext/>
      <w:keepLines/>
      <w:spacing w:before="240" w:after="0" w:line="480" w:lineRule="auto"/>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40A6E"/>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B6479"/>
    <w:pPr>
      <w:keepNext/>
      <w:keepLines/>
      <w:spacing w:before="40" w:after="0" w:line="360" w:lineRule="auto"/>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261244"/>
    <w:pPr>
      <w:keepNext/>
      <w:keepLines/>
      <w:spacing w:before="40" w:after="0" w:line="360" w:lineRule="auto"/>
      <w:jc w:val="center"/>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526E87"/>
    <w:rPr>
      <w:rFonts w:ascii="Arial" w:eastAsiaTheme="majorEastAsia" w:hAnsi="Arial" w:cstheme="majorBidi"/>
      <w:b/>
      <w:sz w:val="32"/>
      <w:szCs w:val="32"/>
    </w:rPr>
  </w:style>
  <w:style w:type="character" w:customStyle="1" w:styleId="Heading2Char">
    <w:name w:val="Heading 2 Char"/>
    <w:basedOn w:val="DefaultParagraphFont"/>
    <w:link w:val="Heading2"/>
    <w:uiPriority w:val="9"/>
    <w:qFormat/>
    <w:rsid w:val="00B40A6E"/>
    <w:rPr>
      <w:rFonts w:ascii="Arial" w:eastAsiaTheme="majorEastAsia" w:hAnsi="Arial" w:cstheme="majorBidi"/>
      <w:b/>
      <w:sz w:val="28"/>
      <w:szCs w:val="26"/>
    </w:rPr>
  </w:style>
  <w:style w:type="character" w:customStyle="1" w:styleId="Heading3Char">
    <w:name w:val="Heading 3 Char"/>
    <w:basedOn w:val="DefaultParagraphFont"/>
    <w:link w:val="Heading3"/>
    <w:uiPriority w:val="9"/>
    <w:qFormat/>
    <w:rsid w:val="009B6479"/>
    <w:rPr>
      <w:rFonts w:ascii="Arial" w:eastAsiaTheme="majorEastAsia" w:hAnsi="Arial" w:cstheme="majorBidi"/>
      <w:b/>
      <w:sz w:val="24"/>
      <w:szCs w:val="24"/>
    </w:rPr>
  </w:style>
  <w:style w:type="character" w:customStyle="1" w:styleId="Heading4Char">
    <w:name w:val="Heading 4 Char"/>
    <w:basedOn w:val="DefaultParagraphFont"/>
    <w:link w:val="Heading4"/>
    <w:uiPriority w:val="9"/>
    <w:qFormat/>
    <w:rsid w:val="00261244"/>
    <w:rPr>
      <w:rFonts w:ascii="Arial" w:eastAsiaTheme="majorEastAsia" w:hAnsi="Arial" w:cstheme="majorBidi"/>
      <w:b/>
      <w:iCs/>
      <w:sz w:val="24"/>
    </w:rPr>
  </w:style>
  <w:style w:type="character" w:customStyle="1" w:styleId="HeaderChar">
    <w:name w:val="Header Char"/>
    <w:basedOn w:val="DefaultParagraphFont"/>
    <w:link w:val="Header"/>
    <w:uiPriority w:val="99"/>
    <w:qFormat/>
    <w:rsid w:val="007A6C4B"/>
    <w:rPr>
      <w:rFonts w:ascii="Arial" w:hAnsi="Arial"/>
      <w:sz w:val="24"/>
    </w:rPr>
  </w:style>
  <w:style w:type="character" w:customStyle="1" w:styleId="FooterChar">
    <w:name w:val="Footer Char"/>
    <w:basedOn w:val="DefaultParagraphFont"/>
    <w:link w:val="Footer"/>
    <w:uiPriority w:val="99"/>
    <w:qFormat/>
    <w:rsid w:val="007A6C4B"/>
    <w:rPr>
      <w:rFonts w:ascii="Arial" w:hAnsi="Arial"/>
      <w:sz w:val="24"/>
    </w:rPr>
  </w:style>
  <w:style w:type="character" w:styleId="Hyperlink">
    <w:name w:val="Hyperlink"/>
    <w:basedOn w:val="DefaultParagraphFont"/>
    <w:uiPriority w:val="99"/>
    <w:unhideWhenUsed/>
    <w:rsid w:val="00C00398"/>
    <w:rPr>
      <w:color w:val="0563C1"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next w:val="Normal"/>
    <w:uiPriority w:val="35"/>
    <w:unhideWhenUsed/>
    <w:qFormat/>
    <w:rsid w:val="00261244"/>
    <w:pPr>
      <w:keepLines/>
      <w:spacing w:before="60" w:after="40" w:line="240" w:lineRule="auto"/>
      <w:jc w:val="center"/>
    </w:pPr>
    <w:rPr>
      <w:rFonts w:ascii="Calibri" w:eastAsiaTheme="minorEastAsia" w:hAnsi="Calibri"/>
      <w:b/>
      <w:bCs/>
      <w:color w:val="153B56"/>
      <w:sz w:val="18"/>
      <w:szCs w:val="18"/>
    </w:rPr>
  </w:style>
  <w:style w:type="paragraph" w:customStyle="1" w:styleId="Index">
    <w:name w:val="Index"/>
    <w:basedOn w:val="Normal"/>
    <w:qFormat/>
    <w:pPr>
      <w:suppressLineNumbers/>
    </w:pPr>
    <w:rPr>
      <w:rFonts w:cs="Lohit Devanagari"/>
    </w:rPr>
  </w:style>
  <w:style w:type="paragraph" w:styleId="ListParagraph">
    <w:name w:val="List Paragraph"/>
    <w:basedOn w:val="Normal"/>
    <w:uiPriority w:val="34"/>
    <w:qFormat/>
    <w:rsid w:val="004227AB"/>
    <w:pPr>
      <w:ind w:left="720"/>
      <w:contextualSpacing/>
    </w:pPr>
  </w:style>
  <w:style w:type="paragraph" w:customStyle="1" w:styleId="SourceNote">
    <w:name w:val="Source Note"/>
    <w:qFormat/>
    <w:rsid w:val="00261244"/>
    <w:pPr>
      <w:spacing w:after="140" w:line="276" w:lineRule="auto"/>
      <w:jc w:val="center"/>
    </w:pPr>
    <w:rPr>
      <w:rFonts w:ascii="Calibri" w:eastAsiaTheme="minorEastAsia" w:hAnsi="Calibri"/>
      <w:i/>
      <w:color w:val="5C6B75"/>
      <w:sz w:val="17"/>
    </w:rPr>
  </w:style>
  <w:style w:type="paragraph" w:customStyle="1" w:styleId="Reference">
    <w:name w:val="Reference"/>
    <w:qFormat/>
    <w:rsid w:val="002A03D7"/>
    <w:pPr>
      <w:spacing w:after="100" w:line="276" w:lineRule="auto"/>
      <w:ind w:left="403" w:hanging="403"/>
    </w:pPr>
    <w:rPr>
      <w:rFonts w:ascii="Calibri" w:eastAsiaTheme="minorEastAsia" w:hAnsi="Calibri"/>
      <w:color w:val="24323D"/>
      <w:sz w:val="20"/>
    </w:rPr>
  </w:style>
  <w:style w:type="paragraph" w:customStyle="1" w:styleId="HeaderandFooter">
    <w:name w:val="Header and Footer"/>
    <w:basedOn w:val="Normal"/>
    <w:qFormat/>
  </w:style>
  <w:style w:type="paragraph" w:styleId="Header">
    <w:name w:val="header"/>
    <w:basedOn w:val="Normal"/>
    <w:link w:val="HeaderChar"/>
    <w:uiPriority w:val="99"/>
    <w:unhideWhenUsed/>
    <w:rsid w:val="007A6C4B"/>
    <w:pPr>
      <w:tabs>
        <w:tab w:val="center" w:pos="4680"/>
        <w:tab w:val="right" w:pos="9360"/>
      </w:tabs>
      <w:spacing w:after="0" w:line="240" w:lineRule="auto"/>
    </w:pPr>
  </w:style>
  <w:style w:type="paragraph" w:styleId="Footer">
    <w:name w:val="footer"/>
    <w:basedOn w:val="Normal"/>
    <w:link w:val="FooterChar"/>
    <w:uiPriority w:val="99"/>
    <w:unhideWhenUsed/>
    <w:rsid w:val="007A6C4B"/>
    <w:pPr>
      <w:tabs>
        <w:tab w:val="center" w:pos="4680"/>
        <w:tab w:val="right" w:pos="9360"/>
      </w:tabs>
      <w:spacing w:after="0" w:line="240" w:lineRule="auto"/>
    </w:pPr>
  </w:style>
  <w:style w:type="paragraph" w:styleId="IndexHeading">
    <w:name w:val="index heading"/>
    <w:basedOn w:val="Heading"/>
  </w:style>
  <w:style w:type="paragraph" w:styleId="TOCHeading">
    <w:name w:val="TOC Heading"/>
    <w:basedOn w:val="Heading1"/>
    <w:next w:val="Normal"/>
    <w:uiPriority w:val="39"/>
    <w:unhideWhenUsed/>
    <w:qFormat/>
    <w:rsid w:val="00C00398"/>
    <w:pPr>
      <w:spacing w:line="259" w:lineRule="auto"/>
      <w:jc w:val="left"/>
      <w:outlineLvl w:val="9"/>
    </w:pPr>
    <w:rPr>
      <w:rFonts w:asciiTheme="majorHAnsi" w:hAnsiTheme="majorHAnsi"/>
      <w:color w:val="000000"/>
    </w:rPr>
  </w:style>
  <w:style w:type="paragraph" w:styleId="TOC1">
    <w:name w:val="toc 1"/>
    <w:basedOn w:val="Normal"/>
    <w:next w:val="Normal"/>
    <w:autoRedefine/>
    <w:uiPriority w:val="39"/>
    <w:unhideWhenUsed/>
    <w:rsid w:val="00C00398"/>
    <w:pPr>
      <w:spacing w:after="100"/>
    </w:pPr>
  </w:style>
  <w:style w:type="paragraph" w:styleId="TOC2">
    <w:name w:val="toc 2"/>
    <w:basedOn w:val="Normal"/>
    <w:next w:val="Normal"/>
    <w:autoRedefine/>
    <w:uiPriority w:val="39"/>
    <w:unhideWhenUsed/>
    <w:rsid w:val="00C00398"/>
    <w:pPr>
      <w:spacing w:after="100"/>
      <w:ind w:left="240"/>
    </w:pPr>
  </w:style>
  <w:style w:type="paragraph" w:styleId="TOC3">
    <w:name w:val="toc 3"/>
    <w:basedOn w:val="Normal"/>
    <w:next w:val="Normal"/>
    <w:autoRedefine/>
    <w:uiPriority w:val="39"/>
    <w:unhideWhenUsed/>
    <w:rsid w:val="00C00398"/>
    <w:pPr>
      <w:spacing w:after="100"/>
      <w:ind w:left="480"/>
    </w:pPr>
  </w:style>
  <w:style w:type="paragraph" w:styleId="NormalWeb">
    <w:name w:val="Normal (Web)"/>
    <w:basedOn w:val="Normal"/>
    <w:uiPriority w:val="99"/>
    <w:unhideWhenUsed/>
    <w:qFormat/>
    <w:rsid w:val="006413AC"/>
    <w:pPr>
      <w:spacing w:beforeAutospacing="1" w:afterAutospacing="1" w:line="240" w:lineRule="auto"/>
      <w:jc w:val="left"/>
    </w:pPr>
    <w:rPr>
      <w:rFonts w:ascii="Times New Roman" w:eastAsia="Times New Roman" w:hAnsi="Times New Roman" w:cs="Times New Roman"/>
      <w:szCs w:val="24"/>
    </w:rPr>
  </w:style>
  <w:style w:type="paragraph" w:customStyle="1" w:styleId="isselectedend">
    <w:name w:val="isselectedend"/>
    <w:basedOn w:val="Normal"/>
    <w:rsid w:val="00D956A4"/>
    <w:pPr>
      <w:suppressAutoHyphens w:val="0"/>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D956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4022499">
      <w:bodyDiv w:val="1"/>
      <w:marLeft w:val="0"/>
      <w:marRight w:val="0"/>
      <w:marTop w:val="0"/>
      <w:marBottom w:val="0"/>
      <w:divBdr>
        <w:top w:val="none" w:sz="0" w:space="0" w:color="auto"/>
        <w:left w:val="none" w:sz="0" w:space="0" w:color="auto"/>
        <w:bottom w:val="none" w:sz="0" w:space="0" w:color="auto"/>
        <w:right w:val="none" w:sz="0" w:space="0" w:color="auto"/>
      </w:divBdr>
    </w:div>
    <w:div w:id="1026950959">
      <w:bodyDiv w:val="1"/>
      <w:marLeft w:val="0"/>
      <w:marRight w:val="0"/>
      <w:marTop w:val="0"/>
      <w:marBottom w:val="0"/>
      <w:divBdr>
        <w:top w:val="none" w:sz="0" w:space="0" w:color="auto"/>
        <w:left w:val="none" w:sz="0" w:space="0" w:color="auto"/>
        <w:bottom w:val="none" w:sz="0" w:space="0" w:color="auto"/>
        <w:right w:val="none" w:sz="0" w:space="0" w:color="auto"/>
      </w:divBdr>
    </w:div>
    <w:div w:id="20657121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retconser.2020.102338" TargetMode="External"/><Relationship Id="rId21" Type="http://schemas.openxmlformats.org/officeDocument/2006/relationships/image" Target="media/image4.jpeg"/><Relationship Id="rId42" Type="http://schemas.openxmlformats.org/officeDocument/2006/relationships/hyperlink" Target="https://find-and-update.company-information.service.gov.uk/company/01270695/filing-history" TargetMode="External"/><Relationship Id="rId47" Type="http://schemas.openxmlformats.org/officeDocument/2006/relationships/hyperlink" Target="https://doi.org/10.1016/j.jbusres.2024.114589" TargetMode="External"/><Relationship Id="rId63" Type="http://schemas.openxmlformats.org/officeDocument/2006/relationships/hyperlink" Target="https://doi.org/10.1057/s41267-020-00312-2" TargetMode="External"/><Relationship Id="rId68" Type="http://schemas.openxmlformats.org/officeDocument/2006/relationships/hyperlink" Target="https://www.ons.gov.uk/peoplepopulationandcommunity/culturalidentity/ethnicity/bulletins/ethnicgroupenglandandwales/census2021" TargetMode="External"/><Relationship Id="rId84" Type="http://schemas.openxmlformats.org/officeDocument/2006/relationships/hyperlink" Target="https://investors.coca-colacompany.com/filings-reports/all-sec-filings/content/0001628280-26-010047/ko-20251231.htm" TargetMode="External"/><Relationship Id="rId89" Type="http://schemas.openxmlformats.org/officeDocument/2006/relationships/hyperlink" Target="https://doi.org/10.1007/s13280-024-02003-w" TargetMode="External"/><Relationship Id="rId16" Type="http://schemas.openxmlformats.org/officeDocument/2006/relationships/footer" Target="footer6.xml"/><Relationship Id="rId11" Type="http://schemas.openxmlformats.org/officeDocument/2006/relationships/footer" Target="footer1.xml"/><Relationship Id="rId32" Type="http://schemas.openxmlformats.org/officeDocument/2006/relationships/hyperlink" Target="https://doi.org/10.1016/j.jretai.2024.04.001" TargetMode="External"/><Relationship Id="rId37" Type="http://schemas.openxmlformats.org/officeDocument/2006/relationships/hyperlink" Target="https://doi.org/10.1002/mar.21998" TargetMode="External"/><Relationship Id="rId53" Type="http://schemas.openxmlformats.org/officeDocument/2006/relationships/hyperlink" Target="https://doi.org/10.1007/s11747-020-00749-9" TargetMode="External"/><Relationship Id="rId58" Type="http://schemas.openxmlformats.org/officeDocument/2006/relationships/hyperlink" Target="https://doi.org/10.1080/09593969.2024.2332224" TargetMode="External"/><Relationship Id="rId74" Type="http://schemas.openxmlformats.org/officeDocument/2006/relationships/hyperlink" Target="https://doi.org/10.1016/j.jretai.2019.11.009" TargetMode="External"/><Relationship Id="rId79" Type="http://schemas.openxmlformats.org/officeDocument/2006/relationships/hyperlink" Target="https://stories.starbucks.com/emea/stories/2026/starbucks-uk-and-emea-accounts-fiscal-year-ended-september-2025/" TargetMode="External"/><Relationship Id="rId5" Type="http://schemas.openxmlformats.org/officeDocument/2006/relationships/webSettings" Target="webSettings.xml"/><Relationship Id="rId90" Type="http://schemas.openxmlformats.org/officeDocument/2006/relationships/footer" Target="footer9.xml"/><Relationship Id="rId22" Type="http://schemas.openxmlformats.org/officeDocument/2006/relationships/image" Target="media/image5.jpeg"/><Relationship Id="rId27" Type="http://schemas.openxmlformats.org/officeDocument/2006/relationships/hyperlink" Target="https://doi.org/10.1086/426626" TargetMode="External"/><Relationship Id="rId43" Type="http://schemas.openxmlformats.org/officeDocument/2006/relationships/hyperlink" Target="https://doi.org/10.1007/s11747-019-00696-0" TargetMode="External"/><Relationship Id="rId48" Type="http://schemas.openxmlformats.org/officeDocument/2006/relationships/hyperlink" Target="https://doi.org/10.1007/s11747-019-00697-z" TargetMode="External"/><Relationship Id="rId64" Type="http://schemas.openxmlformats.org/officeDocument/2006/relationships/hyperlink" Target="https://doi.org/10.1016/j.jbusres.2020.12.023" TargetMode="External"/><Relationship Id="rId69" Type="http://schemas.openxmlformats.org/officeDocument/2006/relationships/hyperlink" Target="https://doi.org/10.1007/s44163-024-00105-8" TargetMode="External"/><Relationship Id="rId8" Type="http://schemas.openxmlformats.org/officeDocument/2006/relationships/image" Target="media/image1.png"/><Relationship Id="rId51" Type="http://schemas.openxmlformats.org/officeDocument/2006/relationships/hyperlink" Target="https://doi.org/10.1016/j.jbusres.2020.01.022" TargetMode="External"/><Relationship Id="rId72" Type="http://schemas.openxmlformats.org/officeDocument/2006/relationships/hyperlink" Target="https://doi.org/10.1108/APJML-05-2021-0297" TargetMode="External"/><Relationship Id="rId80" Type="http://schemas.openxmlformats.org/officeDocument/2006/relationships/hyperlink" Target="https://www.starbucks.co.uk/rewards/ts-and-cs" TargetMode="External"/><Relationship Id="rId85" Type="http://schemas.openxmlformats.org/officeDocument/2006/relationships/hyperlink" Target="https://doi.org/10.1086/425098"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footer" Target="footer7.xml"/><Relationship Id="rId25" Type="http://schemas.openxmlformats.org/officeDocument/2006/relationships/image" Target="media/image8.png"/><Relationship Id="rId33" Type="http://schemas.openxmlformats.org/officeDocument/2006/relationships/hyperlink" Target="https://doi.org/10.1191/1478088706qp063oa" TargetMode="External"/><Relationship Id="rId38" Type="http://schemas.openxmlformats.org/officeDocument/2006/relationships/hyperlink" Target="https://www.costa.co.uk/sustainability/climate" TargetMode="External"/><Relationship Id="rId46" Type="http://schemas.openxmlformats.org/officeDocument/2006/relationships/hyperlink" Target="https://doi.org/10.1007/978-3-031-50323-8" TargetMode="External"/><Relationship Id="rId59" Type="http://schemas.openxmlformats.org/officeDocument/2006/relationships/hyperlink" Target="https://doi.org/10.1509/jm.15.0420" TargetMode="External"/><Relationship Id="rId67" Type="http://schemas.openxmlformats.org/officeDocument/2006/relationships/hyperlink" Target="https://doi.org/10.1016/j.eiar.2024.107740" TargetMode="External"/><Relationship Id="rId20" Type="http://schemas.openxmlformats.org/officeDocument/2006/relationships/image" Target="media/image3.jpg"/><Relationship Id="rId41" Type="http://schemas.openxmlformats.org/officeDocument/2006/relationships/hyperlink" Target="https://www.costa.co.uk/behind-the-beans/our-story/history" TargetMode="External"/><Relationship Id="rId54" Type="http://schemas.openxmlformats.org/officeDocument/2006/relationships/hyperlink" Target="https://doi.org/10.1111/acfi.13352" TargetMode="External"/><Relationship Id="rId62" Type="http://schemas.openxmlformats.org/officeDocument/2006/relationships/hyperlink" Target="https://doi.org/10.1177/1069031X20973184" TargetMode="External"/><Relationship Id="rId70" Type="http://schemas.openxmlformats.org/officeDocument/2006/relationships/hyperlink" Target="https://doi.org/10.1177/0022242920953847" TargetMode="External"/><Relationship Id="rId75" Type="http://schemas.openxmlformats.org/officeDocument/2006/relationships/hyperlink" Target="https://doi.org/10.1016/j.jbusres.2019.07.039" TargetMode="External"/><Relationship Id="rId83" Type="http://schemas.openxmlformats.org/officeDocument/2006/relationships/hyperlink" Target="https://doi.org/10.1007/s10551-020-04461-0" TargetMode="External"/><Relationship Id="rId88" Type="http://schemas.openxmlformats.org/officeDocument/2006/relationships/hyperlink" Target="https://www.worldcoffeeportal.com/news/value-in-the-spotlight-as-competition-heats-up-in-6-1bn-uk-branded-coffee-shop-market/" TargetMode="External"/><Relationship Id="rId9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5.xml"/><Relationship Id="rId23" Type="http://schemas.openxmlformats.org/officeDocument/2006/relationships/image" Target="media/image6.jpeg"/><Relationship Id="rId28" Type="http://schemas.openxmlformats.org/officeDocument/2006/relationships/hyperlink" Target="https://doi.org/10.1002/bse.2596" TargetMode="External"/><Relationship Id="rId36" Type="http://schemas.openxmlformats.org/officeDocument/2006/relationships/hyperlink" Target="https://doi.org/10.17829/turcom.858501" TargetMode="External"/><Relationship Id="rId49" Type="http://schemas.openxmlformats.org/officeDocument/2006/relationships/hyperlink" Target="https://doi.org/10.1007/s11747-024-01064-3" TargetMode="External"/><Relationship Id="rId57" Type="http://schemas.openxmlformats.org/officeDocument/2006/relationships/hyperlink" Target="https://doi.org/10.1177/002224299305700101" TargetMode="External"/><Relationship Id="rId10" Type="http://schemas.openxmlformats.org/officeDocument/2006/relationships/image" Target="media/image10.png"/><Relationship Id="rId31" Type="http://schemas.openxmlformats.org/officeDocument/2006/relationships/hyperlink" Target="https://doi.org/10.1007/s11747-023-00925-7" TargetMode="External"/><Relationship Id="rId44" Type="http://schemas.openxmlformats.org/officeDocument/2006/relationships/hyperlink" Target="https://doi.org/10.1186/s12302-020-0300-3" TargetMode="External"/><Relationship Id="rId52" Type="http://schemas.openxmlformats.org/officeDocument/2006/relationships/hyperlink" Target="https://doi.org/10.1016/j.intmar.2020.04.001" TargetMode="External"/><Relationship Id="rId60" Type="http://schemas.openxmlformats.org/officeDocument/2006/relationships/hyperlink" Target="https://doi.org/10.1016/j.heliyon.2024.e25155" TargetMode="External"/><Relationship Id="rId65" Type="http://schemas.openxmlformats.org/officeDocument/2006/relationships/hyperlink" Target="https://doi.org/10.32890/jbma2024.14.1.1" TargetMode="External"/><Relationship Id="rId73" Type="http://schemas.openxmlformats.org/officeDocument/2006/relationships/hyperlink" Target="https://doi.org/10.1007/s11747-020-00731-5" TargetMode="External"/><Relationship Id="rId78" Type="http://schemas.openxmlformats.org/officeDocument/2006/relationships/hyperlink" Target="https://about.starbucks.com/annual-impact-report/" TargetMode="External"/><Relationship Id="rId81" Type="http://schemas.openxmlformats.org/officeDocument/2006/relationships/hyperlink" Target="https://investor.starbucks.com/financials/annual-reports/default.aspx" TargetMode="External"/><Relationship Id="rId86" Type="http://schemas.openxmlformats.org/officeDocument/2006/relationships/hyperlink" Target="https://doi.org/10.1108/JCM-03-2021-4563" TargetMode="External"/><Relationship Id="rId94"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footer" Target="footer3.xml"/><Relationship Id="rId18" Type="http://schemas.openxmlformats.org/officeDocument/2006/relationships/footer" Target="footer8.xml"/><Relationship Id="rId39" Type="http://schemas.openxmlformats.org/officeDocument/2006/relationships/hyperlink" Target="https://www.costa.co.uk/costa-club" TargetMode="External"/><Relationship Id="rId34" Type="http://schemas.openxmlformats.org/officeDocument/2006/relationships/hyperlink" Target="https://doi.org/10.1080/14780887.2020.1769238" TargetMode="External"/><Relationship Id="rId50" Type="http://schemas.openxmlformats.org/officeDocument/2006/relationships/hyperlink" Target="https://doi.org/10.1016/j.intmar.2018.07.003" TargetMode="External"/><Relationship Id="rId55" Type="http://schemas.openxmlformats.org/officeDocument/2006/relationships/hyperlink" Target="https://doi.org/10.1016/j.jclepro.2024.144597" TargetMode="External"/><Relationship Id="rId76" Type="http://schemas.openxmlformats.org/officeDocument/2006/relationships/hyperlink" Target="https://stories.starbucks.com/emea/stories/2024/starbucks-uk-launches-industry-leading-training-programme-teaching-store-partners-british-sign-language-elevating-the-starbucks-experience-for-deaf-and-hard-of-hearing-customers/" TargetMode="External"/><Relationship Id="rId7" Type="http://schemas.openxmlformats.org/officeDocument/2006/relationships/endnotes" Target="endnotes.xml"/><Relationship Id="rId71" Type="http://schemas.openxmlformats.org/officeDocument/2006/relationships/hyperlink" Target="https://doi.org/10.1016/j.jbusres.2024.114745" TargetMode="External"/><Relationship Id="rId92" Type="http://schemas.openxmlformats.org/officeDocument/2006/relationships/footer" Target="footer11.xml"/><Relationship Id="rId2" Type="http://schemas.openxmlformats.org/officeDocument/2006/relationships/numbering" Target="numbering.xml"/><Relationship Id="rId29" Type="http://schemas.openxmlformats.org/officeDocument/2006/relationships/hyperlink" Target="https://doi.org/10.1007/s11747-019-00718-x" TargetMode="External"/><Relationship Id="rId24" Type="http://schemas.openxmlformats.org/officeDocument/2006/relationships/image" Target="media/image7.png"/><Relationship Id="rId40" Type="http://schemas.openxmlformats.org/officeDocument/2006/relationships/hyperlink" Target="https://www.costa.co.uk/sustainability/coffee" TargetMode="External"/><Relationship Id="rId45" Type="http://schemas.openxmlformats.org/officeDocument/2006/relationships/hyperlink" Target="https://doi.org/10.1177/1094670520928390" TargetMode="External"/><Relationship Id="rId66" Type="http://schemas.openxmlformats.org/officeDocument/2006/relationships/hyperlink" Target="https://doi.org/10.1177/002224299405800302" TargetMode="External"/><Relationship Id="rId87" Type="http://schemas.openxmlformats.org/officeDocument/2006/relationships/hyperlink" Target="https://doi.org/10.1016/j.jbusres.2019.09.022" TargetMode="External"/><Relationship Id="rId61" Type="http://schemas.openxmlformats.org/officeDocument/2006/relationships/hyperlink" Target="https://doi.org/10.1177/21582440241268847" TargetMode="External"/><Relationship Id="rId82" Type="http://schemas.openxmlformats.org/officeDocument/2006/relationships/hyperlink" Target="https://doi.org/10.1016/j.rcradv.2024.200232" TargetMode="External"/><Relationship Id="rId19" Type="http://schemas.openxmlformats.org/officeDocument/2006/relationships/image" Target="media/image2.png"/><Relationship Id="rId14" Type="http://schemas.openxmlformats.org/officeDocument/2006/relationships/footer" Target="footer4.xml"/><Relationship Id="rId30" Type="http://schemas.openxmlformats.org/officeDocument/2006/relationships/hyperlink" Target="https://doi.org/10.1111/beer.12631" TargetMode="External"/><Relationship Id="rId35" Type="http://schemas.openxmlformats.org/officeDocument/2006/relationships/hyperlink" Target="https://doi.org/10.1080/10696679.2021.2018937" TargetMode="External"/><Relationship Id="rId56" Type="http://schemas.openxmlformats.org/officeDocument/2006/relationships/hyperlink" Target="https://doi.org/10.1016/j.jbusres.2024.114595" TargetMode="External"/><Relationship Id="rId77" Type="http://schemas.openxmlformats.org/officeDocument/2006/relationships/hyperlink" Target="https://about.starbucks.com/press/2024/cafe-practices-starbucks-approach-to-ethically-sourcing-coffee/"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AE44B-449A-47AB-9AA3-E067E10E6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TotalTime>
  <Pages>1</Pages>
  <Words>20626</Words>
  <Characters>117570</Characters>
  <Application>Microsoft Office Word</Application>
  <DocSecurity>0</DocSecurity>
  <Lines>979</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Jower Ahmed</dc:creator>
  <cp:revision>32</cp:revision>
  <dcterms:created xsi:type="dcterms:W3CDTF">2026-09-06T11:14:00Z</dcterms:created>
  <dcterms:modified xsi:type="dcterms:W3CDTF">2026-09-22T19:17:00Z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2026-08-09T07:49:00Z</dcterms:created>
  <dc:creator>Jowher Ahmed</dc:creator>
  <dc:description/>
  <dc:language>en-US</dc:language>
  <cp:lastModifiedBy/>
  <dcterms:modified xsi:type="dcterms:W3CDTF">2026-09-06T10:57:04Z</dcterms:modified>
  <cp:revision>13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dc9fb903-6646-40c9-9bb4-17e7a03a7892</vt:lpwstr>
  </property>
</Properties>
</file>