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23526" w14:textId="77777777" w:rsidR="004204E7" w:rsidRPr="0013144A" w:rsidRDefault="004204E7" w:rsidP="0086434C">
      <w:pPr>
        <w:rPr>
          <w:lang w:val="en-GB"/>
        </w:rPr>
      </w:pPr>
    </w:p>
    <w:p w14:paraId="7E2D9AAA" w14:textId="77777777" w:rsidR="004204E7" w:rsidRDefault="004204E7" w:rsidP="004204E7">
      <w:pPr>
        <w:spacing w:after="200"/>
        <w:jc w:val="center"/>
        <w:rPr>
          <w:rFonts w:ascii="Arial" w:hAnsi="Arial"/>
        </w:rPr>
      </w:pPr>
      <w:r>
        <w:rPr>
          <w:rFonts w:ascii="Arial" w:hAnsi="Arial"/>
          <w:noProof/>
        </w:rPr>
        <w:drawing>
          <wp:inline distT="0" distB="0" distL="0" distR="0" wp14:anchorId="216C1835" wp14:editId="4AE97D53">
            <wp:extent cx="1240403" cy="689307"/>
            <wp:effectExtent l="0" t="0" r="0" b="0"/>
            <wp:docPr id="3" name="Picture 3" descr="C:\Users\USER\Downloads\university-of-wales-trinity-saint-david-logo-vect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ownloads\university-of-wales-trinity-saint-david-logo-vector.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51792" cy="695636"/>
                    </a:xfrm>
                    <a:prstGeom prst="rect">
                      <a:avLst/>
                    </a:prstGeom>
                    <a:noFill/>
                    <a:ln>
                      <a:noFill/>
                    </a:ln>
                  </pic:spPr>
                </pic:pic>
              </a:graphicData>
            </a:graphic>
          </wp:inline>
        </w:drawing>
      </w:r>
    </w:p>
    <w:p w14:paraId="36935DE0" w14:textId="77777777" w:rsidR="004204E7" w:rsidRPr="006563DE" w:rsidRDefault="004204E7" w:rsidP="001368B3">
      <w:pPr>
        <w:spacing w:after="200"/>
        <w:rPr>
          <w:sz w:val="44"/>
        </w:rPr>
      </w:pPr>
    </w:p>
    <w:p w14:paraId="4E8531F7" w14:textId="77777777" w:rsidR="004204E7" w:rsidRDefault="004204E7" w:rsidP="004204E7">
      <w:pPr>
        <w:pBdr>
          <w:bottom w:val="single" w:sz="6" w:space="1" w:color="2C3E50"/>
        </w:pBdr>
        <w:spacing w:before="240" w:after="240"/>
        <w:jc w:val="center"/>
      </w:pPr>
    </w:p>
    <w:p w14:paraId="66DAB788" w14:textId="77777777" w:rsidR="004204E7" w:rsidRDefault="004204E7" w:rsidP="004204E7">
      <w:pPr>
        <w:spacing w:after="80"/>
        <w:rPr>
          <w:b/>
          <w:bCs/>
        </w:rPr>
      </w:pPr>
    </w:p>
    <w:p w14:paraId="6FBFBE56" w14:textId="77777777" w:rsidR="004204E7" w:rsidRDefault="004204E7" w:rsidP="004204E7">
      <w:pPr>
        <w:spacing w:after="80"/>
        <w:jc w:val="center"/>
        <w:rPr>
          <w:b/>
          <w:bCs/>
        </w:rPr>
      </w:pPr>
    </w:p>
    <w:p w14:paraId="29F5D298" w14:textId="77777777" w:rsidR="004204E7" w:rsidRPr="006563DE" w:rsidRDefault="004204E7" w:rsidP="004204E7">
      <w:pPr>
        <w:spacing w:after="160"/>
        <w:jc w:val="center"/>
        <w:rPr>
          <w:sz w:val="22"/>
        </w:rPr>
      </w:pPr>
    </w:p>
    <w:p w14:paraId="569CD3AE" w14:textId="77777777" w:rsidR="004204E7" w:rsidRPr="006563DE" w:rsidRDefault="004204E7" w:rsidP="004204E7">
      <w:pPr>
        <w:spacing w:after="120" w:line="276" w:lineRule="auto"/>
        <w:jc w:val="center"/>
        <w:rPr>
          <w:sz w:val="28"/>
        </w:rPr>
      </w:pPr>
      <w:r w:rsidRPr="006563DE">
        <w:rPr>
          <w:rFonts w:ascii="Arial" w:hAnsi="Arial"/>
          <w:color w:val="555555"/>
          <w:sz w:val="28"/>
        </w:rPr>
        <w:t>Name</w:t>
      </w:r>
    </w:p>
    <w:p w14:paraId="59719878" w14:textId="77777777" w:rsidR="004204E7" w:rsidRPr="006563DE" w:rsidRDefault="004204E7" w:rsidP="004204E7">
      <w:pPr>
        <w:spacing w:after="280" w:line="276" w:lineRule="auto"/>
        <w:jc w:val="center"/>
        <w:rPr>
          <w:rFonts w:ascii="Arial" w:hAnsi="Arial"/>
          <w:b/>
          <w:sz w:val="32"/>
          <w:szCs w:val="28"/>
        </w:rPr>
      </w:pPr>
      <w:r w:rsidRPr="006563DE">
        <w:rPr>
          <w:rFonts w:ascii="Arial" w:hAnsi="Arial"/>
          <w:b/>
          <w:sz w:val="32"/>
          <w:szCs w:val="28"/>
        </w:rPr>
        <w:t>Elizabeth Olukemi Obafemi</w:t>
      </w:r>
    </w:p>
    <w:p w14:paraId="75F320C3" w14:textId="77777777" w:rsidR="004204E7" w:rsidRPr="006563DE" w:rsidRDefault="004204E7" w:rsidP="004204E7">
      <w:pPr>
        <w:spacing w:after="280" w:line="276" w:lineRule="auto"/>
        <w:jc w:val="center"/>
        <w:rPr>
          <w:sz w:val="28"/>
        </w:rPr>
      </w:pPr>
    </w:p>
    <w:p w14:paraId="0B3CCBA2" w14:textId="77777777" w:rsidR="004204E7" w:rsidRPr="006563DE" w:rsidRDefault="004204E7" w:rsidP="004204E7">
      <w:pPr>
        <w:spacing w:after="120" w:line="276" w:lineRule="auto"/>
        <w:jc w:val="center"/>
        <w:rPr>
          <w:sz w:val="28"/>
        </w:rPr>
      </w:pPr>
      <w:r w:rsidRPr="006563DE">
        <w:rPr>
          <w:rFonts w:ascii="Arial" w:hAnsi="Arial"/>
          <w:color w:val="555555"/>
          <w:sz w:val="28"/>
        </w:rPr>
        <w:t>Student ID</w:t>
      </w:r>
    </w:p>
    <w:p w14:paraId="365CC3D1" w14:textId="77777777" w:rsidR="004204E7" w:rsidRPr="006563DE" w:rsidRDefault="004204E7" w:rsidP="004204E7">
      <w:pPr>
        <w:spacing w:after="280" w:line="276" w:lineRule="auto"/>
        <w:jc w:val="center"/>
        <w:rPr>
          <w:rFonts w:ascii="Arial" w:hAnsi="Arial"/>
          <w:b/>
          <w:sz w:val="32"/>
          <w:szCs w:val="28"/>
        </w:rPr>
      </w:pPr>
      <w:r w:rsidRPr="006563DE">
        <w:rPr>
          <w:rFonts w:ascii="Arial" w:hAnsi="Arial"/>
          <w:b/>
          <w:sz w:val="32"/>
          <w:szCs w:val="28"/>
        </w:rPr>
        <w:t>2517115</w:t>
      </w:r>
    </w:p>
    <w:p w14:paraId="1FD10B16" w14:textId="77777777" w:rsidR="004204E7" w:rsidRPr="006563DE" w:rsidRDefault="004204E7" w:rsidP="004204E7">
      <w:pPr>
        <w:spacing w:after="280" w:line="276" w:lineRule="auto"/>
        <w:jc w:val="center"/>
        <w:rPr>
          <w:sz w:val="28"/>
        </w:rPr>
      </w:pPr>
    </w:p>
    <w:p w14:paraId="31A2FC85" w14:textId="77777777" w:rsidR="004204E7" w:rsidRPr="006563DE" w:rsidRDefault="004204E7" w:rsidP="004204E7">
      <w:pPr>
        <w:spacing w:after="120" w:line="276" w:lineRule="auto"/>
        <w:jc w:val="center"/>
        <w:rPr>
          <w:sz w:val="28"/>
        </w:rPr>
      </w:pPr>
      <w:r w:rsidRPr="006563DE">
        <w:rPr>
          <w:rFonts w:ascii="Arial" w:hAnsi="Arial"/>
          <w:color w:val="555555"/>
          <w:sz w:val="28"/>
        </w:rPr>
        <w:t>Module</w:t>
      </w:r>
    </w:p>
    <w:p w14:paraId="54BE56A1" w14:textId="77777777" w:rsidR="004204E7" w:rsidRPr="006563DE" w:rsidRDefault="004204E7" w:rsidP="004204E7">
      <w:pPr>
        <w:spacing w:after="280" w:line="276" w:lineRule="auto"/>
        <w:jc w:val="center"/>
        <w:rPr>
          <w:rFonts w:ascii="Arial" w:hAnsi="Arial"/>
          <w:b/>
          <w:sz w:val="32"/>
          <w:szCs w:val="28"/>
        </w:rPr>
      </w:pPr>
      <w:r w:rsidRPr="006563DE">
        <w:rPr>
          <w:rFonts w:ascii="Arial" w:hAnsi="Arial"/>
          <w:b/>
          <w:sz w:val="32"/>
          <w:szCs w:val="28"/>
        </w:rPr>
        <w:t xml:space="preserve">Introduction to </w:t>
      </w:r>
      <w:r w:rsidR="0086434C">
        <w:rPr>
          <w:rFonts w:ascii="Arial" w:hAnsi="Arial"/>
          <w:b/>
          <w:sz w:val="32"/>
          <w:szCs w:val="28"/>
        </w:rPr>
        <w:t>Public Health</w:t>
      </w:r>
    </w:p>
    <w:p w14:paraId="250E2FF0" w14:textId="77777777" w:rsidR="004204E7" w:rsidRPr="006563DE" w:rsidRDefault="004204E7" w:rsidP="004204E7">
      <w:pPr>
        <w:spacing w:after="280" w:line="276" w:lineRule="auto"/>
        <w:jc w:val="center"/>
        <w:rPr>
          <w:sz w:val="28"/>
        </w:rPr>
      </w:pPr>
    </w:p>
    <w:p w14:paraId="2C51CEAC" w14:textId="77777777" w:rsidR="004204E7" w:rsidRPr="006563DE" w:rsidRDefault="004204E7" w:rsidP="004204E7">
      <w:pPr>
        <w:spacing w:after="120" w:line="276" w:lineRule="auto"/>
        <w:jc w:val="center"/>
        <w:rPr>
          <w:sz w:val="28"/>
        </w:rPr>
      </w:pPr>
      <w:r w:rsidRPr="006563DE">
        <w:rPr>
          <w:rFonts w:ascii="Arial" w:hAnsi="Arial"/>
          <w:color w:val="555555"/>
          <w:sz w:val="28"/>
        </w:rPr>
        <w:t>Lecturer</w:t>
      </w:r>
    </w:p>
    <w:p w14:paraId="174EDE89" w14:textId="73ADC904" w:rsidR="004204E7" w:rsidRPr="006563DE" w:rsidRDefault="00353158" w:rsidP="00353158">
      <w:pPr>
        <w:tabs>
          <w:tab w:val="left" w:pos="3996"/>
        </w:tabs>
        <w:spacing w:after="480" w:line="276" w:lineRule="auto"/>
        <w:jc w:val="center"/>
        <w:rPr>
          <w:sz w:val="28"/>
        </w:rPr>
      </w:pPr>
      <w:r>
        <w:rPr>
          <w:rFonts w:ascii="Arial" w:hAnsi="Arial"/>
          <w:b/>
          <w:sz w:val="32"/>
          <w:szCs w:val="28"/>
        </w:rPr>
        <w:t>Patronella Ganza</w:t>
      </w:r>
    </w:p>
    <w:p w14:paraId="47BBDDF3" w14:textId="77777777" w:rsidR="004204E7" w:rsidRPr="006563DE" w:rsidRDefault="004204E7" w:rsidP="004204E7">
      <w:pPr>
        <w:spacing w:after="120" w:line="276" w:lineRule="auto"/>
        <w:jc w:val="center"/>
        <w:rPr>
          <w:sz w:val="28"/>
        </w:rPr>
      </w:pPr>
      <w:r w:rsidRPr="006563DE">
        <w:rPr>
          <w:rFonts w:ascii="Arial" w:hAnsi="Arial"/>
          <w:color w:val="555555"/>
          <w:sz w:val="28"/>
        </w:rPr>
        <w:t>Date of Submission</w:t>
      </w:r>
    </w:p>
    <w:p w14:paraId="0D3E8541" w14:textId="77777777" w:rsidR="004204E7" w:rsidRPr="006563DE" w:rsidRDefault="004204E7" w:rsidP="004204E7">
      <w:pPr>
        <w:spacing w:after="480" w:line="276" w:lineRule="auto"/>
        <w:jc w:val="center"/>
        <w:rPr>
          <w:sz w:val="28"/>
        </w:rPr>
      </w:pPr>
      <w:r>
        <w:rPr>
          <w:rFonts w:ascii="Arial" w:hAnsi="Arial"/>
          <w:b/>
          <w:sz w:val="32"/>
          <w:szCs w:val="28"/>
        </w:rPr>
        <w:t>April</w:t>
      </w:r>
      <w:r w:rsidRPr="006563DE">
        <w:rPr>
          <w:rFonts w:ascii="Arial" w:hAnsi="Arial"/>
          <w:b/>
          <w:sz w:val="32"/>
          <w:szCs w:val="28"/>
        </w:rPr>
        <w:t xml:space="preserve"> 2026</w:t>
      </w:r>
    </w:p>
    <w:p w14:paraId="328AB727" w14:textId="77777777" w:rsidR="004204E7" w:rsidRDefault="004204E7">
      <w:pPr>
        <w:rPr>
          <w:b/>
          <w:bCs/>
          <w:sz w:val="24"/>
          <w:szCs w:val="24"/>
        </w:rPr>
      </w:pPr>
    </w:p>
    <w:p w14:paraId="0EA110EA" w14:textId="77777777" w:rsidR="001368B3" w:rsidRDefault="001368B3">
      <w:pPr>
        <w:rPr>
          <w:b/>
          <w:bCs/>
          <w:sz w:val="24"/>
          <w:szCs w:val="24"/>
        </w:rPr>
      </w:pPr>
    </w:p>
    <w:p w14:paraId="541287E5" w14:textId="77777777" w:rsidR="001368B3" w:rsidRDefault="001368B3">
      <w:pPr>
        <w:rPr>
          <w:b/>
          <w:bCs/>
          <w:sz w:val="24"/>
          <w:szCs w:val="24"/>
        </w:rPr>
      </w:pPr>
      <w:r>
        <w:rPr>
          <w:b/>
          <w:bCs/>
          <w:sz w:val="24"/>
          <w:szCs w:val="24"/>
        </w:rPr>
        <w:br w:type="page"/>
      </w:r>
    </w:p>
    <w:p w14:paraId="65F44072" w14:textId="77777777" w:rsidR="00FC36E0" w:rsidRDefault="00FC36E0" w:rsidP="00FC36E0">
      <w:pPr>
        <w:jc w:val="center"/>
        <w:rPr>
          <w:b/>
          <w:bCs/>
          <w:sz w:val="36"/>
          <w:szCs w:val="24"/>
        </w:rPr>
      </w:pPr>
    </w:p>
    <w:p w14:paraId="6659309A" w14:textId="77777777" w:rsidR="00FC36E0" w:rsidRDefault="00FC36E0" w:rsidP="00FC36E0">
      <w:pPr>
        <w:jc w:val="center"/>
        <w:rPr>
          <w:b/>
          <w:bCs/>
          <w:sz w:val="36"/>
          <w:szCs w:val="24"/>
        </w:rPr>
      </w:pPr>
      <w:r>
        <w:rPr>
          <w:b/>
          <w:bCs/>
          <w:noProof/>
          <w:sz w:val="36"/>
          <w:szCs w:val="24"/>
        </w:rPr>
        <mc:AlternateContent>
          <mc:Choice Requires="wps">
            <w:drawing>
              <wp:anchor distT="0" distB="0" distL="114300" distR="114300" simplePos="0" relativeHeight="251659264" behindDoc="0" locked="0" layoutInCell="1" allowOverlap="1" wp14:anchorId="738C69CD" wp14:editId="6CC3BFC7">
                <wp:simplePos x="0" y="0"/>
                <wp:positionH relativeFrom="column">
                  <wp:posOffset>-463550</wp:posOffset>
                </wp:positionH>
                <wp:positionV relativeFrom="paragraph">
                  <wp:posOffset>226060</wp:posOffset>
                </wp:positionV>
                <wp:extent cx="6457950" cy="6432550"/>
                <wp:effectExtent l="0" t="0" r="19050" b="25400"/>
                <wp:wrapNone/>
                <wp:docPr id="2" name="Rectangle 2"/>
                <wp:cNvGraphicFramePr/>
                <a:graphic xmlns:a="http://schemas.openxmlformats.org/drawingml/2006/main">
                  <a:graphicData uri="http://schemas.microsoft.com/office/word/2010/wordprocessingShape">
                    <wps:wsp>
                      <wps:cNvSpPr/>
                      <wps:spPr>
                        <a:xfrm>
                          <a:off x="0" y="0"/>
                          <a:ext cx="6457950" cy="6432550"/>
                        </a:xfrm>
                        <a:prstGeom prst="rect">
                          <a:avLst/>
                        </a:prstGeom>
                        <a:noFill/>
                        <a:ln w="952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9449520" id="Rectangle 2" o:spid="_x0000_s1026" style="position:absolute;margin-left:-36.5pt;margin-top:17.8pt;width:508.5pt;height:506.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PoUgwIAAGgFAAAOAAAAZHJzL2Uyb0RvYy54bWysVE1v2zAMvQ/YfxB0X51kSbcGdYqgRYcB&#10;RVu0HXpWZak2IIsapcTJfv0oyXaCrthhWA6KZJKP5OPH+cWuNWyr0DdgSz49mXCmrISqsa8l//F0&#10;/ekrZz4IWwkDVpV8rzy/WH38cN65pZpBDaZSyAjE+mXnSl6H4JZF4WWtWuFPwClLQg3YikBPfC0q&#10;FB2ht6aYTSanRQdYOQSpvKevV1nIVwlfayXDndZeBWZKTrGFdGI6X+JZrM7F8hWFqxvZhyH+IYpW&#10;NJacjlBXIgi2weYPqLaRCB50OJHQFqB1I1XKgbKZTt5k81gLp1IuRI53I03+/8HK2+2ju0eioXN+&#10;6ekas9hpbOM/xcd2iaz9SJbaBSbp4+l88eVsQZxKkp3OP88W9CCc4mDu0IdvCloWLyVHqkYiSWxv&#10;fMiqg0r0ZuG6MSZVxFjWlfxsMVskAw+mqaIwqqXeUJcG2VZQVcNu2rs90qIgjKVYDkmlW9gbFSGM&#10;fVCaNRWlMcsOYr8dMIWUyoZpFtWiUtnVYkK/wdlgkTJOgBFZU5Ajdg8waGaQATvn3+tHU5XadTSe&#10;/C2wbDxaJM9gw2jcNhbwPQBDWfWes/5AUqYmsvQC1f4eGUIeFu/kdUP1uxE+3Auk6aCa08SHOzq0&#10;AaoT9DfOasBf732P+tS0JOWso2kruf+5Eag4M98ttfPZdD6P45ke1FgzeuCx5OVYYjftJVDpp7Rb&#10;nEzXqB/McNUI7TMthnX0SiJhJfkuuQw4PC5D3gK0WqRar5MajaQT4cY+OhnBI6uxP592zwJd38SB&#10;+v8WhskUyze9nHWjpYX1JoBuUqMfeO35pnFOjdOvnrgvjt9J67AgV78BAAD//wMAUEsDBBQABgAI&#10;AAAAIQA3Qvgz3gAAAAsBAAAPAAAAZHJzL2Rvd25yZXYueG1sTI/LTsMwEEX3SPyDNUhsUOvQhBBC&#10;nAohsQxSCx/gxkMc1a/GThv+nmEFy5k5unNus12sYWec4uidgPt1Bgxd79XoBgGfH2+rClhM0ilp&#10;vEMB3xhh215fNbJW/uJ2eN6ngVGIi7UUoFMKNeex12hlXPuAjm5ffrIy0TgNXE3yQuHW8E2WldzK&#10;0dEHLQO+auyP+9kKWObqdOrmo9WYd+Zuk8J7F4IQtzfLyzOwhEv6g+FXn9ShJaeDn52KzAhYPebU&#10;JQnIH0pgBDwVBS0ORGZFVQJvG/6/Q/sDAAD//wMAUEsBAi0AFAAGAAgAAAAhALaDOJL+AAAA4QEA&#10;ABMAAAAAAAAAAAAAAAAAAAAAAFtDb250ZW50X1R5cGVzXS54bWxQSwECLQAUAAYACAAAACEAOP0h&#10;/9YAAACUAQAACwAAAAAAAAAAAAAAAAAvAQAAX3JlbHMvLnJlbHNQSwECLQAUAAYACAAAACEAhgj6&#10;FIMCAABoBQAADgAAAAAAAAAAAAAAAAAuAgAAZHJzL2Uyb0RvYy54bWxQSwECLQAUAAYACAAAACEA&#10;N0L4M94AAAALAQAADwAAAAAAAAAAAAAAAADdBAAAZHJzL2Rvd25yZXYueG1sUEsFBgAAAAAEAAQA&#10;8wAAAOgFAAAAAA==&#10;" filled="f" strokecolor="black [3213]"/>
            </w:pict>
          </mc:Fallback>
        </mc:AlternateContent>
      </w:r>
    </w:p>
    <w:p w14:paraId="06AA5FF6" w14:textId="77777777" w:rsidR="00FC36E0" w:rsidRDefault="00FC36E0" w:rsidP="00FC36E0">
      <w:pPr>
        <w:jc w:val="center"/>
        <w:rPr>
          <w:b/>
          <w:bCs/>
          <w:sz w:val="36"/>
          <w:szCs w:val="24"/>
        </w:rPr>
      </w:pPr>
    </w:p>
    <w:p w14:paraId="513015F1" w14:textId="77777777" w:rsidR="00FC36E0" w:rsidRDefault="00FC36E0" w:rsidP="00FC36E0">
      <w:pPr>
        <w:jc w:val="center"/>
        <w:rPr>
          <w:b/>
          <w:bCs/>
          <w:sz w:val="36"/>
          <w:szCs w:val="24"/>
        </w:rPr>
      </w:pPr>
    </w:p>
    <w:p w14:paraId="3CC69385" w14:textId="77777777" w:rsidR="00FC36E0" w:rsidRDefault="00FC36E0" w:rsidP="00FC36E0">
      <w:pPr>
        <w:jc w:val="center"/>
        <w:rPr>
          <w:b/>
          <w:bCs/>
          <w:sz w:val="36"/>
          <w:szCs w:val="24"/>
        </w:rPr>
      </w:pPr>
    </w:p>
    <w:p w14:paraId="29162E68" w14:textId="77777777" w:rsidR="001368B3" w:rsidRPr="00FC36E0" w:rsidRDefault="001368B3" w:rsidP="00FC36E0">
      <w:pPr>
        <w:jc w:val="center"/>
        <w:rPr>
          <w:b/>
          <w:bCs/>
          <w:sz w:val="36"/>
          <w:szCs w:val="24"/>
        </w:rPr>
      </w:pPr>
      <w:r w:rsidRPr="00FC36E0">
        <w:rPr>
          <w:b/>
          <w:bCs/>
          <w:sz w:val="36"/>
          <w:szCs w:val="24"/>
        </w:rPr>
        <w:t>Table of Contents</w:t>
      </w:r>
    </w:p>
    <w:p w14:paraId="52FF247F" w14:textId="77777777" w:rsidR="001368B3" w:rsidRDefault="001368B3">
      <w:pPr>
        <w:rPr>
          <w:b/>
          <w:bCs/>
          <w:sz w:val="24"/>
          <w:szCs w:val="24"/>
        </w:rPr>
      </w:pPr>
    </w:p>
    <w:p w14:paraId="2127F860" w14:textId="77777777" w:rsidR="001368B3" w:rsidRDefault="001368B3" w:rsidP="00F33DBA">
      <w:pPr>
        <w:spacing w:before="280" w:after="160" w:line="360" w:lineRule="auto"/>
        <w:rPr>
          <w:b/>
          <w:bCs/>
          <w:sz w:val="24"/>
          <w:szCs w:val="24"/>
        </w:rPr>
      </w:pPr>
      <w:r>
        <w:rPr>
          <w:b/>
          <w:bCs/>
          <w:sz w:val="24"/>
          <w:szCs w:val="24"/>
        </w:rPr>
        <w:t>Introduction</w:t>
      </w:r>
      <w:r w:rsidR="00F33DBA">
        <w:rPr>
          <w:b/>
          <w:bCs/>
          <w:sz w:val="24"/>
          <w:szCs w:val="24"/>
        </w:rPr>
        <w:t>…………………………………………………………………………….. 3</w:t>
      </w:r>
    </w:p>
    <w:p w14:paraId="1570455B" w14:textId="77777777" w:rsidR="00F33DBA" w:rsidRDefault="001368B3" w:rsidP="00FC36E0">
      <w:pPr>
        <w:spacing w:before="280" w:after="160" w:line="360" w:lineRule="auto"/>
        <w:rPr>
          <w:b/>
          <w:bCs/>
          <w:sz w:val="24"/>
          <w:szCs w:val="24"/>
        </w:rPr>
      </w:pPr>
      <w:r>
        <w:rPr>
          <w:b/>
          <w:bCs/>
          <w:sz w:val="24"/>
          <w:szCs w:val="24"/>
        </w:rPr>
        <w:t>Approaches Used to Measure and Monitor Dementia</w:t>
      </w:r>
      <w:r w:rsidR="00F33DBA">
        <w:rPr>
          <w:b/>
          <w:bCs/>
          <w:sz w:val="24"/>
          <w:szCs w:val="24"/>
        </w:rPr>
        <w:t xml:space="preserve"> ……………………………….</w:t>
      </w:r>
      <w:r w:rsidR="00FC36E0">
        <w:rPr>
          <w:b/>
          <w:bCs/>
          <w:sz w:val="24"/>
          <w:szCs w:val="24"/>
        </w:rPr>
        <w:t xml:space="preserve"> 3</w:t>
      </w:r>
    </w:p>
    <w:p w14:paraId="0F217CAB" w14:textId="77777777" w:rsidR="00F33DBA" w:rsidRDefault="001368B3" w:rsidP="00F33DBA">
      <w:pPr>
        <w:spacing w:after="160"/>
        <w:rPr>
          <w:b/>
          <w:bCs/>
          <w:sz w:val="24"/>
          <w:szCs w:val="24"/>
        </w:rPr>
      </w:pPr>
      <w:r>
        <w:rPr>
          <w:b/>
          <w:bCs/>
          <w:sz w:val="24"/>
          <w:szCs w:val="24"/>
        </w:rPr>
        <w:t xml:space="preserve">Comparing Dementia Morbidity and Mortality: The United Kingdom </w:t>
      </w:r>
    </w:p>
    <w:p w14:paraId="12B85FF9" w14:textId="77777777" w:rsidR="001368B3" w:rsidRDefault="001368B3" w:rsidP="00F33DBA">
      <w:pPr>
        <w:spacing w:after="160" w:line="360" w:lineRule="auto"/>
        <w:rPr>
          <w:b/>
          <w:bCs/>
          <w:sz w:val="24"/>
          <w:szCs w:val="24"/>
        </w:rPr>
      </w:pPr>
      <w:r>
        <w:rPr>
          <w:b/>
          <w:bCs/>
          <w:sz w:val="24"/>
          <w:szCs w:val="24"/>
        </w:rPr>
        <w:t>and Nigeria</w:t>
      </w:r>
      <w:r w:rsidR="00F33DBA">
        <w:rPr>
          <w:b/>
          <w:bCs/>
          <w:sz w:val="24"/>
          <w:szCs w:val="24"/>
        </w:rPr>
        <w:t xml:space="preserve"> ………………………………………………………………………………</w:t>
      </w:r>
      <w:r w:rsidR="00FC36E0">
        <w:rPr>
          <w:b/>
          <w:bCs/>
          <w:sz w:val="24"/>
          <w:szCs w:val="24"/>
        </w:rPr>
        <w:t>4</w:t>
      </w:r>
    </w:p>
    <w:p w14:paraId="4646A19B" w14:textId="77777777" w:rsidR="00F33DBA" w:rsidRDefault="00F33DBA" w:rsidP="00F33DBA">
      <w:pPr>
        <w:spacing w:before="280" w:after="160" w:line="360" w:lineRule="auto"/>
        <w:rPr>
          <w:b/>
          <w:bCs/>
          <w:sz w:val="24"/>
          <w:szCs w:val="24"/>
        </w:rPr>
      </w:pPr>
      <w:r>
        <w:rPr>
          <w:b/>
          <w:bCs/>
          <w:sz w:val="24"/>
          <w:szCs w:val="24"/>
        </w:rPr>
        <w:t>How Dementia is Controlled …………………………………………………………</w:t>
      </w:r>
      <w:r w:rsidR="00FC36E0">
        <w:rPr>
          <w:b/>
          <w:bCs/>
          <w:sz w:val="24"/>
          <w:szCs w:val="24"/>
        </w:rPr>
        <w:t>…4</w:t>
      </w:r>
    </w:p>
    <w:p w14:paraId="1EB2A275" w14:textId="77777777" w:rsidR="00F33DBA" w:rsidRDefault="00F33DBA" w:rsidP="00F33DBA">
      <w:pPr>
        <w:spacing w:before="280" w:after="160" w:line="360" w:lineRule="auto"/>
        <w:rPr>
          <w:b/>
          <w:bCs/>
          <w:sz w:val="24"/>
          <w:szCs w:val="24"/>
        </w:rPr>
      </w:pPr>
      <w:r>
        <w:rPr>
          <w:b/>
          <w:bCs/>
          <w:sz w:val="24"/>
          <w:szCs w:val="24"/>
        </w:rPr>
        <w:t>Consequences of Dementia on People in the Community ……………………………</w:t>
      </w:r>
      <w:r w:rsidR="00FC36E0">
        <w:rPr>
          <w:b/>
          <w:bCs/>
          <w:sz w:val="24"/>
          <w:szCs w:val="24"/>
        </w:rPr>
        <w:t xml:space="preserve"> 5</w:t>
      </w:r>
    </w:p>
    <w:p w14:paraId="460F329A" w14:textId="77777777" w:rsidR="00F33DBA" w:rsidRDefault="00F33DBA" w:rsidP="00F33DBA">
      <w:pPr>
        <w:spacing w:before="280" w:after="160" w:line="360" w:lineRule="auto"/>
        <w:rPr>
          <w:b/>
          <w:bCs/>
          <w:sz w:val="24"/>
          <w:szCs w:val="24"/>
        </w:rPr>
      </w:pPr>
      <w:r>
        <w:rPr>
          <w:b/>
          <w:bCs/>
          <w:sz w:val="24"/>
          <w:szCs w:val="24"/>
        </w:rPr>
        <w:t>Health and Social Care Support Services Required ………………………………</w:t>
      </w:r>
      <w:r w:rsidR="00FC36E0">
        <w:rPr>
          <w:b/>
          <w:bCs/>
          <w:sz w:val="24"/>
          <w:szCs w:val="24"/>
        </w:rPr>
        <w:t>..... 5</w:t>
      </w:r>
    </w:p>
    <w:p w14:paraId="50151E74" w14:textId="77777777" w:rsidR="00FC36E0" w:rsidRDefault="00FC36E0" w:rsidP="00F33DBA">
      <w:pPr>
        <w:spacing w:before="280" w:after="160" w:line="360" w:lineRule="auto"/>
        <w:rPr>
          <w:b/>
          <w:bCs/>
          <w:sz w:val="24"/>
          <w:szCs w:val="24"/>
        </w:rPr>
      </w:pPr>
      <w:r>
        <w:rPr>
          <w:b/>
          <w:bCs/>
          <w:sz w:val="24"/>
          <w:szCs w:val="24"/>
        </w:rPr>
        <w:t>Conclusion ………………………………………………………………………………. 6</w:t>
      </w:r>
    </w:p>
    <w:p w14:paraId="553E202E" w14:textId="77777777" w:rsidR="00F33DBA" w:rsidRDefault="00F33DBA" w:rsidP="00F33DBA">
      <w:pPr>
        <w:spacing w:before="280" w:after="160"/>
      </w:pPr>
      <w:r>
        <w:rPr>
          <w:b/>
          <w:bCs/>
          <w:sz w:val="24"/>
          <w:szCs w:val="24"/>
        </w:rPr>
        <w:t>References ……………………………………………………………………………</w:t>
      </w:r>
      <w:r w:rsidR="00FC36E0">
        <w:rPr>
          <w:b/>
          <w:bCs/>
          <w:sz w:val="24"/>
          <w:szCs w:val="24"/>
        </w:rPr>
        <w:t>…. 7</w:t>
      </w:r>
    </w:p>
    <w:p w14:paraId="4B656EF5" w14:textId="77777777" w:rsidR="00F33DBA" w:rsidRDefault="00F33DBA" w:rsidP="00F33DBA">
      <w:pPr>
        <w:spacing w:before="280" w:after="160"/>
      </w:pPr>
    </w:p>
    <w:p w14:paraId="0D5E9C93" w14:textId="77777777" w:rsidR="00F33DBA" w:rsidRDefault="00F33DBA" w:rsidP="00F33DBA">
      <w:pPr>
        <w:spacing w:before="280" w:after="160"/>
      </w:pPr>
    </w:p>
    <w:p w14:paraId="01A978A4" w14:textId="77777777" w:rsidR="00F33DBA" w:rsidRDefault="00F33DBA" w:rsidP="001368B3">
      <w:pPr>
        <w:spacing w:before="280" w:after="160"/>
      </w:pPr>
    </w:p>
    <w:p w14:paraId="5D85D8C2" w14:textId="77777777" w:rsidR="001368B3" w:rsidRDefault="001368B3" w:rsidP="001368B3">
      <w:pPr>
        <w:spacing w:before="280" w:after="160"/>
      </w:pPr>
    </w:p>
    <w:p w14:paraId="72D9789F" w14:textId="77777777" w:rsidR="001368B3" w:rsidRDefault="001368B3" w:rsidP="001368B3">
      <w:pPr>
        <w:spacing w:before="280" w:after="160"/>
      </w:pPr>
    </w:p>
    <w:p w14:paraId="1BF55184" w14:textId="77777777" w:rsidR="001368B3" w:rsidRPr="001368B3" w:rsidRDefault="001368B3" w:rsidP="001368B3">
      <w:pPr>
        <w:spacing w:before="280" w:after="160"/>
      </w:pPr>
    </w:p>
    <w:p w14:paraId="2D450235" w14:textId="77777777" w:rsidR="001368B3" w:rsidRDefault="001368B3">
      <w:pPr>
        <w:rPr>
          <w:b/>
          <w:bCs/>
          <w:sz w:val="24"/>
          <w:szCs w:val="24"/>
        </w:rPr>
      </w:pPr>
      <w:r>
        <w:rPr>
          <w:b/>
          <w:bCs/>
          <w:sz w:val="24"/>
          <w:szCs w:val="24"/>
        </w:rPr>
        <w:br w:type="page"/>
      </w:r>
    </w:p>
    <w:p w14:paraId="4B726925" w14:textId="77777777" w:rsidR="001368B3" w:rsidRDefault="001368B3">
      <w:pPr>
        <w:rPr>
          <w:b/>
          <w:bCs/>
          <w:sz w:val="24"/>
          <w:szCs w:val="24"/>
        </w:rPr>
      </w:pPr>
    </w:p>
    <w:p w14:paraId="7F388BA0" w14:textId="77777777" w:rsidR="000539AD" w:rsidRDefault="007B60D5">
      <w:pPr>
        <w:spacing w:before="280" w:after="160"/>
        <w:jc w:val="center"/>
      </w:pPr>
      <w:r>
        <w:rPr>
          <w:b/>
          <w:bCs/>
          <w:sz w:val="24"/>
          <w:szCs w:val="24"/>
        </w:rPr>
        <w:t>Dementia: Understanding, Monitoring, and Supporting Individuals in the Community</w:t>
      </w:r>
    </w:p>
    <w:p w14:paraId="37517B80" w14:textId="77777777" w:rsidR="000539AD" w:rsidRDefault="007B60D5">
      <w:pPr>
        <w:spacing w:before="280" w:after="160"/>
      </w:pPr>
      <w:r>
        <w:rPr>
          <w:b/>
          <w:bCs/>
          <w:sz w:val="24"/>
          <w:szCs w:val="24"/>
        </w:rPr>
        <w:t>Introduction</w:t>
      </w:r>
    </w:p>
    <w:p w14:paraId="4BFBB970" w14:textId="4D0B3335" w:rsidR="000539AD" w:rsidRDefault="007B60D5">
      <w:pPr>
        <w:spacing w:after="200" w:line="360" w:lineRule="auto"/>
        <w:jc w:val="both"/>
      </w:pPr>
      <w:r>
        <w:rPr>
          <w:sz w:val="24"/>
          <w:szCs w:val="24"/>
        </w:rPr>
        <w:t xml:space="preserve">Dementia is not a single disease but a broad term for a group of conditions that damage the brain over time, eroding a person’s ability to think, remember, and function independently. The World Health </w:t>
      </w:r>
      <w:r w:rsidR="0013144A">
        <w:rPr>
          <w:sz w:val="24"/>
          <w:szCs w:val="24"/>
        </w:rPr>
        <w:t>Organization</w:t>
      </w:r>
      <w:r>
        <w:rPr>
          <w:sz w:val="24"/>
          <w:szCs w:val="24"/>
        </w:rPr>
        <w:t xml:space="preserve"> (2023) describes it as arising from various diseases and injuries that impair cognitive function beyond the ordinary forgetfulness of getting older. The most common </w:t>
      </w:r>
      <w:r w:rsidR="00A43786">
        <w:rPr>
          <w:sz w:val="24"/>
          <w:szCs w:val="24"/>
        </w:rPr>
        <w:t>types are</w:t>
      </w:r>
      <w:r>
        <w:rPr>
          <w:sz w:val="24"/>
          <w:szCs w:val="24"/>
        </w:rPr>
        <w:t xml:space="preserve"> Alzheimer’s disease, vascular dementia, Lewy body dementia, and frontotemporal dementia</w:t>
      </w:r>
      <w:r w:rsidR="00A43786">
        <w:rPr>
          <w:sz w:val="24"/>
          <w:szCs w:val="24"/>
        </w:rPr>
        <w:t>.</w:t>
      </w:r>
      <w:r>
        <w:rPr>
          <w:sz w:val="24"/>
          <w:szCs w:val="24"/>
        </w:rPr>
        <w:t xml:space="preserve"> </w:t>
      </w:r>
      <w:r w:rsidR="00A43786">
        <w:rPr>
          <w:sz w:val="24"/>
          <w:szCs w:val="24"/>
        </w:rPr>
        <w:t>E</w:t>
      </w:r>
      <w:r>
        <w:rPr>
          <w:sz w:val="24"/>
          <w:szCs w:val="24"/>
        </w:rPr>
        <w:t xml:space="preserve">ach </w:t>
      </w:r>
      <w:r w:rsidR="00A43786">
        <w:rPr>
          <w:sz w:val="24"/>
          <w:szCs w:val="24"/>
        </w:rPr>
        <w:t>one damages the</w:t>
      </w:r>
      <w:r>
        <w:rPr>
          <w:sz w:val="24"/>
          <w:szCs w:val="24"/>
        </w:rPr>
        <w:t xml:space="preserve"> brain through different mechanisms but ultimately </w:t>
      </w:r>
      <w:r w:rsidR="00186003">
        <w:rPr>
          <w:sz w:val="24"/>
          <w:szCs w:val="24"/>
        </w:rPr>
        <w:t>disrupts</w:t>
      </w:r>
      <w:r>
        <w:rPr>
          <w:sz w:val="24"/>
          <w:szCs w:val="24"/>
        </w:rPr>
        <w:t xml:space="preserve"> the connections that allow people to navigate daily </w:t>
      </w:r>
      <w:proofErr w:type="gramStart"/>
      <w:r>
        <w:rPr>
          <w:sz w:val="24"/>
          <w:szCs w:val="24"/>
        </w:rPr>
        <w:t>life</w:t>
      </w:r>
      <w:proofErr w:type="gramEnd"/>
      <w:r>
        <w:rPr>
          <w:sz w:val="24"/>
          <w:szCs w:val="24"/>
        </w:rPr>
        <w:t xml:space="preserve"> World Health </w:t>
      </w:r>
      <w:proofErr w:type="gramStart"/>
      <w:r w:rsidR="00660979">
        <w:rPr>
          <w:sz w:val="24"/>
          <w:szCs w:val="24"/>
        </w:rPr>
        <w:t>Organization</w:t>
      </w:r>
      <w:r>
        <w:rPr>
          <w:sz w:val="24"/>
          <w:szCs w:val="24"/>
        </w:rPr>
        <w:t xml:space="preserve">, </w:t>
      </w:r>
      <w:r w:rsidR="00660979">
        <w:rPr>
          <w:sz w:val="24"/>
          <w:szCs w:val="24"/>
        </w:rPr>
        <w:t>(</w:t>
      </w:r>
      <w:proofErr w:type="gramEnd"/>
      <w:r>
        <w:rPr>
          <w:sz w:val="24"/>
          <w:szCs w:val="24"/>
        </w:rPr>
        <w:t>2023).</w:t>
      </w:r>
    </w:p>
    <w:p w14:paraId="1305D2A9" w14:textId="2F47B150" w:rsidR="000539AD" w:rsidRDefault="007B60D5" w:rsidP="001368B3">
      <w:pPr>
        <w:spacing w:after="200" w:line="360" w:lineRule="auto"/>
        <w:jc w:val="both"/>
      </w:pPr>
      <w:r>
        <w:rPr>
          <w:sz w:val="24"/>
          <w:szCs w:val="24"/>
        </w:rPr>
        <w:t xml:space="preserve">How dementia presents depends greatly on its type and stage. Early on, someone might struggle to recall recent events, find words, keep track of time, or make simple decisions. As the condition worsens, people can become deeply disoriented, lose control of bodily functions, and no longer </w:t>
      </w:r>
      <w:r w:rsidR="0013144A">
        <w:rPr>
          <w:sz w:val="24"/>
          <w:szCs w:val="24"/>
        </w:rPr>
        <w:t>recognize</w:t>
      </w:r>
      <w:r>
        <w:rPr>
          <w:sz w:val="24"/>
          <w:szCs w:val="24"/>
        </w:rPr>
        <w:t xml:space="preserve"> those closest to them (Alzheimer’s Society, 2023). </w:t>
      </w:r>
      <w:r w:rsidR="00F56388">
        <w:rPr>
          <w:sz w:val="24"/>
          <w:szCs w:val="24"/>
        </w:rPr>
        <w:t xml:space="preserve">More than </w:t>
      </w:r>
      <w:r>
        <w:rPr>
          <w:sz w:val="24"/>
          <w:szCs w:val="24"/>
        </w:rPr>
        <w:t xml:space="preserve">55 million people </w:t>
      </w:r>
      <w:r w:rsidR="00F56388">
        <w:rPr>
          <w:sz w:val="24"/>
          <w:szCs w:val="24"/>
        </w:rPr>
        <w:t xml:space="preserve">around the </w:t>
      </w:r>
      <w:r>
        <w:rPr>
          <w:sz w:val="24"/>
          <w:szCs w:val="24"/>
        </w:rPr>
        <w:t xml:space="preserve">world </w:t>
      </w:r>
      <w:r w:rsidR="00F56388">
        <w:rPr>
          <w:sz w:val="24"/>
          <w:szCs w:val="24"/>
        </w:rPr>
        <w:t>have</w:t>
      </w:r>
      <w:r>
        <w:rPr>
          <w:sz w:val="24"/>
          <w:szCs w:val="24"/>
        </w:rPr>
        <w:t xml:space="preserve"> dementia</w:t>
      </w:r>
      <w:r w:rsidR="00F56388">
        <w:rPr>
          <w:sz w:val="24"/>
          <w:szCs w:val="24"/>
        </w:rPr>
        <w:t xml:space="preserve"> right now</w:t>
      </w:r>
      <w:r>
        <w:rPr>
          <w:sz w:val="24"/>
          <w:szCs w:val="24"/>
        </w:rPr>
        <w:t xml:space="preserve">, </w:t>
      </w:r>
      <w:r w:rsidR="00F56388">
        <w:rPr>
          <w:sz w:val="24"/>
          <w:szCs w:val="24"/>
        </w:rPr>
        <w:t>and about</w:t>
      </w:r>
      <w:r>
        <w:rPr>
          <w:sz w:val="24"/>
          <w:szCs w:val="24"/>
        </w:rPr>
        <w:t xml:space="preserve"> 10 million new </w:t>
      </w:r>
      <w:r w:rsidR="00A444DC">
        <w:rPr>
          <w:sz w:val="24"/>
          <w:szCs w:val="24"/>
        </w:rPr>
        <w:t>cases are diagnosed</w:t>
      </w:r>
      <w:r w:rsidR="00F56388">
        <w:rPr>
          <w:sz w:val="24"/>
          <w:szCs w:val="24"/>
        </w:rPr>
        <w:t xml:space="preserve"> every year.</w:t>
      </w:r>
      <w:r>
        <w:rPr>
          <w:sz w:val="24"/>
          <w:szCs w:val="24"/>
        </w:rPr>
        <w:t xml:space="preserve"> (World Health </w:t>
      </w:r>
      <w:r w:rsidR="0013144A">
        <w:rPr>
          <w:sz w:val="24"/>
          <w:szCs w:val="24"/>
        </w:rPr>
        <w:t>Organization</w:t>
      </w:r>
      <w:r>
        <w:rPr>
          <w:sz w:val="24"/>
          <w:szCs w:val="24"/>
        </w:rPr>
        <w:t>, 2023). In the U</w:t>
      </w:r>
      <w:r w:rsidR="00A444DC">
        <w:rPr>
          <w:sz w:val="24"/>
          <w:szCs w:val="24"/>
        </w:rPr>
        <w:t>K</w:t>
      </w:r>
      <w:r>
        <w:rPr>
          <w:sz w:val="24"/>
          <w:szCs w:val="24"/>
        </w:rPr>
        <w:t>, a</w:t>
      </w:r>
      <w:r w:rsidR="00A444DC">
        <w:rPr>
          <w:sz w:val="24"/>
          <w:szCs w:val="24"/>
        </w:rPr>
        <w:t>bout</w:t>
      </w:r>
      <w:r>
        <w:rPr>
          <w:sz w:val="24"/>
          <w:szCs w:val="24"/>
        </w:rPr>
        <w:t xml:space="preserve"> 944,000 people </w:t>
      </w:r>
      <w:r w:rsidR="00A444DC">
        <w:rPr>
          <w:sz w:val="24"/>
          <w:szCs w:val="24"/>
        </w:rPr>
        <w:t>have dementia</w:t>
      </w:r>
      <w:r>
        <w:rPr>
          <w:sz w:val="24"/>
          <w:szCs w:val="24"/>
        </w:rPr>
        <w:t>,</w:t>
      </w:r>
      <w:r w:rsidR="00A444DC">
        <w:rPr>
          <w:sz w:val="24"/>
          <w:szCs w:val="24"/>
        </w:rPr>
        <w:t xml:space="preserve"> and that figure is expected to go over 1 million</w:t>
      </w:r>
      <w:r>
        <w:rPr>
          <w:sz w:val="24"/>
          <w:szCs w:val="24"/>
        </w:rPr>
        <w:t xml:space="preserve"> within this decade (Alzheimer’s Society, 2023).</w:t>
      </w:r>
    </w:p>
    <w:p w14:paraId="616F501F" w14:textId="77777777" w:rsidR="000539AD" w:rsidRDefault="007B60D5">
      <w:pPr>
        <w:spacing w:before="280" w:after="160"/>
      </w:pPr>
      <w:r>
        <w:rPr>
          <w:b/>
          <w:bCs/>
          <w:sz w:val="24"/>
          <w:szCs w:val="24"/>
        </w:rPr>
        <w:t>Approaches Used to Measure and Monitor Dementia</w:t>
      </w:r>
    </w:p>
    <w:p w14:paraId="06618DFB" w14:textId="77777777" w:rsidR="000539AD" w:rsidRDefault="007B60D5">
      <w:pPr>
        <w:spacing w:after="200" w:line="360" w:lineRule="auto"/>
        <w:jc w:val="both"/>
      </w:pPr>
      <w:r>
        <w:rPr>
          <w:sz w:val="24"/>
          <w:szCs w:val="24"/>
        </w:rPr>
        <w:t>Identifying and tracking dementia relies on tools drawn from clinical practice, psychology, and public health research. The Mini-Mental State Examination (MMSE) assesses recall, orientation, attention, and language, with a score below 24 out of 30 pointing to cognitive impairment (</w:t>
      </w:r>
      <w:proofErr w:type="spellStart"/>
      <w:r>
        <w:rPr>
          <w:sz w:val="24"/>
          <w:szCs w:val="24"/>
        </w:rPr>
        <w:t>Folstein</w:t>
      </w:r>
      <w:proofErr w:type="spellEnd"/>
      <w:r>
        <w:rPr>
          <w:sz w:val="24"/>
          <w:szCs w:val="24"/>
        </w:rPr>
        <w:t xml:space="preserve">, </w:t>
      </w:r>
      <w:proofErr w:type="spellStart"/>
      <w:r>
        <w:rPr>
          <w:sz w:val="24"/>
          <w:szCs w:val="24"/>
        </w:rPr>
        <w:t>Folstein</w:t>
      </w:r>
      <w:proofErr w:type="spellEnd"/>
      <w:r>
        <w:rPr>
          <w:sz w:val="24"/>
          <w:szCs w:val="24"/>
        </w:rPr>
        <w:t xml:space="preserve"> and McHugh, 1975). The Montreal Cognitive Assessment (MoCA) is widely used alongside it, picking up on subtle early changes more reliably (Nasreddine et al., 2005). MRI and PET brain scans allow doctors to spot physical damage such as memory-area shrinkage or reduced blood flow (NICE, 2018), while blood-based biomarker testing </w:t>
      </w:r>
      <w:r w:rsidR="00A776D7">
        <w:rPr>
          <w:sz w:val="24"/>
          <w:szCs w:val="24"/>
        </w:rPr>
        <w:t>,</w:t>
      </w:r>
      <w:r>
        <w:rPr>
          <w:sz w:val="24"/>
          <w:szCs w:val="24"/>
        </w:rPr>
        <w:t xml:space="preserve"> measuring proteins like amyloid-beta and phosphorylated tau </w:t>
      </w:r>
      <w:r w:rsidR="00A776D7">
        <w:rPr>
          <w:sz w:val="24"/>
          <w:szCs w:val="24"/>
        </w:rPr>
        <w:t>,</w:t>
      </w:r>
      <w:r>
        <w:rPr>
          <w:sz w:val="24"/>
          <w:szCs w:val="24"/>
        </w:rPr>
        <w:t xml:space="preserve"> offers the possibility of detecting the condition before symptoms become apparent (Schindler et al., 2019). At a population level, national registers, GP records, and long-running studies such as the English Longitudinal Study of Ageing help researchers track trends and understand risk </w:t>
      </w:r>
      <w:r>
        <w:rPr>
          <w:sz w:val="24"/>
          <w:szCs w:val="24"/>
        </w:rPr>
        <w:lastRenderedPageBreak/>
        <w:t>(Prince et al., 2014). Family doctors remain the usual first point of contact, with NICE (2018) advising prompt referral to a specialist memory service when dementia is suspected.</w:t>
      </w:r>
    </w:p>
    <w:p w14:paraId="67908C0E" w14:textId="77777777" w:rsidR="000539AD" w:rsidRDefault="007B60D5">
      <w:pPr>
        <w:spacing w:before="280" w:after="160"/>
      </w:pPr>
      <w:r>
        <w:rPr>
          <w:b/>
          <w:bCs/>
          <w:sz w:val="24"/>
          <w:szCs w:val="24"/>
        </w:rPr>
        <w:t>Comparing Dementia Morbidity and Mortality: The United Kingdom and Nigeria</w:t>
      </w:r>
    </w:p>
    <w:p w14:paraId="2F59E5EE" w14:textId="453643F8" w:rsidR="000539AD" w:rsidRDefault="007B60D5">
      <w:pPr>
        <w:spacing w:after="200" w:line="360" w:lineRule="auto"/>
        <w:jc w:val="both"/>
      </w:pPr>
      <w:r>
        <w:rPr>
          <w:sz w:val="24"/>
          <w:szCs w:val="24"/>
        </w:rPr>
        <w:t xml:space="preserve">When the dementia landscape in the United Kingdom and Nigeria is </w:t>
      </w:r>
      <w:r w:rsidR="00F33428">
        <w:rPr>
          <w:sz w:val="24"/>
          <w:szCs w:val="24"/>
        </w:rPr>
        <w:t>compared</w:t>
      </w:r>
      <w:r>
        <w:rPr>
          <w:sz w:val="24"/>
          <w:szCs w:val="24"/>
        </w:rPr>
        <w:t>, what emerges is a picture shaped as much by systems, culture, and history as by biology.</w:t>
      </w:r>
    </w:p>
    <w:p w14:paraId="26D6A411" w14:textId="131240F4" w:rsidR="000539AD" w:rsidRDefault="007B60D5">
      <w:pPr>
        <w:spacing w:after="200" w:line="360" w:lineRule="auto"/>
        <w:jc w:val="both"/>
      </w:pPr>
      <w:r>
        <w:rPr>
          <w:sz w:val="24"/>
          <w:szCs w:val="24"/>
        </w:rPr>
        <w:t xml:space="preserve">In </w:t>
      </w:r>
      <w:r w:rsidR="00186A29">
        <w:rPr>
          <w:sz w:val="24"/>
          <w:szCs w:val="24"/>
        </w:rPr>
        <w:t>2024</w:t>
      </w:r>
      <w:r>
        <w:rPr>
          <w:sz w:val="24"/>
          <w:szCs w:val="24"/>
        </w:rPr>
        <w:t>, a</w:t>
      </w:r>
      <w:r w:rsidR="00186A29">
        <w:rPr>
          <w:sz w:val="24"/>
          <w:szCs w:val="24"/>
        </w:rPr>
        <w:t>bout</w:t>
      </w:r>
      <w:r>
        <w:rPr>
          <w:sz w:val="24"/>
          <w:szCs w:val="24"/>
        </w:rPr>
        <w:t xml:space="preserve"> 982,000 people </w:t>
      </w:r>
      <w:r w:rsidR="00186A29">
        <w:rPr>
          <w:sz w:val="24"/>
          <w:szCs w:val="24"/>
        </w:rPr>
        <w:t>in the UK had</w:t>
      </w:r>
      <w:r>
        <w:rPr>
          <w:sz w:val="24"/>
          <w:szCs w:val="24"/>
        </w:rPr>
        <w:t xml:space="preserve"> dementia</w:t>
      </w:r>
      <w:r w:rsidR="00186A29">
        <w:rPr>
          <w:sz w:val="24"/>
          <w:szCs w:val="24"/>
        </w:rPr>
        <w:t>. That number is expected to rise to</w:t>
      </w:r>
      <w:r>
        <w:rPr>
          <w:sz w:val="24"/>
          <w:szCs w:val="24"/>
        </w:rPr>
        <w:t xml:space="preserve">1.4 million by 2040 (Dementia Statistics Hub, 2024). Between 3.6% and 4.8% of people aged 65 and over hold a formal diagnosis (NHS England, 2024). Dementia claimed over 76,894 lives in </w:t>
      </w:r>
      <w:r w:rsidR="00186A29">
        <w:rPr>
          <w:sz w:val="24"/>
          <w:szCs w:val="24"/>
        </w:rPr>
        <w:t>2024,</w:t>
      </w:r>
      <w:r>
        <w:rPr>
          <w:sz w:val="24"/>
          <w:szCs w:val="24"/>
        </w:rPr>
        <w:t xml:space="preserve"> nearly 12% of all deaths, more than heart disease or </w:t>
      </w:r>
      <w:r w:rsidR="005B3935">
        <w:rPr>
          <w:sz w:val="24"/>
          <w:szCs w:val="24"/>
        </w:rPr>
        <w:t>stroke,</w:t>
      </w:r>
      <w:r>
        <w:rPr>
          <w:sz w:val="24"/>
          <w:szCs w:val="24"/>
        </w:rPr>
        <w:t xml:space="preserve"> </w:t>
      </w:r>
      <w:r w:rsidR="00186003">
        <w:rPr>
          <w:sz w:val="24"/>
          <w:szCs w:val="24"/>
        </w:rPr>
        <w:t>it</w:t>
      </w:r>
      <w:r>
        <w:rPr>
          <w:sz w:val="24"/>
          <w:szCs w:val="24"/>
        </w:rPr>
        <w:t xml:space="preserve"> has </w:t>
      </w:r>
      <w:r w:rsidR="00186003">
        <w:rPr>
          <w:sz w:val="24"/>
          <w:szCs w:val="24"/>
        </w:rPr>
        <w:t>also been</w:t>
      </w:r>
      <w:r>
        <w:rPr>
          <w:sz w:val="24"/>
          <w:szCs w:val="24"/>
        </w:rPr>
        <w:t xml:space="preserve"> the</w:t>
      </w:r>
      <w:r w:rsidR="00186003">
        <w:rPr>
          <w:sz w:val="24"/>
          <w:szCs w:val="24"/>
        </w:rPr>
        <w:t xml:space="preserve"> top </w:t>
      </w:r>
      <w:r>
        <w:rPr>
          <w:sz w:val="24"/>
          <w:szCs w:val="24"/>
        </w:rPr>
        <w:t xml:space="preserve"> cause of death </w:t>
      </w:r>
      <w:r w:rsidR="00186003">
        <w:rPr>
          <w:sz w:val="24"/>
          <w:szCs w:val="24"/>
        </w:rPr>
        <w:t>for</w:t>
      </w:r>
      <w:r>
        <w:rPr>
          <w:sz w:val="24"/>
          <w:szCs w:val="24"/>
        </w:rPr>
        <w:t xml:space="preserve"> women since 2011 (Alzheimer’s Research UK, 2025). Most people diagnosed are also managing at least one other serious condition, compounding pressure on care services (Sheppard et al., 2023).</w:t>
      </w:r>
    </w:p>
    <w:p w14:paraId="1360FA64" w14:textId="77777777" w:rsidR="000539AD" w:rsidRDefault="007B60D5">
      <w:pPr>
        <w:spacing w:after="200" w:line="360" w:lineRule="auto"/>
        <w:jc w:val="both"/>
      </w:pPr>
      <w:r>
        <w:rPr>
          <w:sz w:val="24"/>
          <w:szCs w:val="24"/>
        </w:rPr>
        <w:t>Nigeria’s picture is less clearly documented. Roughly 4.9% of Nigerians aged 60 and above are estimated to have dementia, with higher rates in urban areas (</w:t>
      </w:r>
      <w:proofErr w:type="spellStart"/>
      <w:r>
        <w:rPr>
          <w:sz w:val="24"/>
          <w:szCs w:val="24"/>
        </w:rPr>
        <w:t>Adeloye</w:t>
      </w:r>
      <w:proofErr w:type="spellEnd"/>
      <w:r>
        <w:rPr>
          <w:sz w:val="24"/>
          <w:szCs w:val="24"/>
        </w:rPr>
        <w:t xml:space="preserve"> et al., 2019). Cases more than quadrupled between 1995 and 2015, reaching over 318,000. Yet dementia rarely appears on death certificates, as specialist diagnosis is scarce and post-mortem examination uncommon (Oyinlola, 2024), meaning the true death toll is likely far higher.</w:t>
      </w:r>
    </w:p>
    <w:p w14:paraId="0A729C7B" w14:textId="3400BF25" w:rsidR="000539AD" w:rsidRDefault="007B60D5">
      <w:pPr>
        <w:spacing w:after="200" w:line="360" w:lineRule="auto"/>
        <w:jc w:val="both"/>
      </w:pPr>
      <w:r>
        <w:rPr>
          <w:sz w:val="24"/>
          <w:szCs w:val="24"/>
        </w:rPr>
        <w:t xml:space="preserve">The differences stem from several factors. The UK’s memory clinics, trained specialists, and data systems enable accurate tracking, while Nigeria’s lack of a national strategy means many cases go </w:t>
      </w:r>
      <w:r w:rsidR="00FE7857">
        <w:rPr>
          <w:sz w:val="24"/>
          <w:szCs w:val="24"/>
        </w:rPr>
        <w:t>unrecognized</w:t>
      </w:r>
      <w:r>
        <w:rPr>
          <w:sz w:val="24"/>
          <w:szCs w:val="24"/>
        </w:rPr>
        <w:t xml:space="preserve"> (Oyinlola, 2024). The UK’s older population also means more people in the high-risk age group. In Nigeria, cultural beliefs sometimes attribute memory loss to spiritual causes, discouraging families from seeking help (</w:t>
      </w:r>
      <w:proofErr w:type="spellStart"/>
      <w:r>
        <w:rPr>
          <w:sz w:val="24"/>
          <w:szCs w:val="24"/>
        </w:rPr>
        <w:t>Adeloye</w:t>
      </w:r>
      <w:proofErr w:type="spellEnd"/>
      <w:r>
        <w:rPr>
          <w:sz w:val="24"/>
          <w:szCs w:val="24"/>
        </w:rPr>
        <w:t xml:space="preserve"> et al., 2019). The Lancet Commission further notes that uncontrolled blood pressure, limited education, and poor </w:t>
      </w:r>
      <w:proofErr w:type="gramStart"/>
      <w:r>
        <w:rPr>
          <w:sz w:val="24"/>
          <w:szCs w:val="24"/>
        </w:rPr>
        <w:t xml:space="preserve">nutrition </w:t>
      </w:r>
      <w:r w:rsidR="00A776D7">
        <w:rPr>
          <w:sz w:val="24"/>
          <w:szCs w:val="24"/>
        </w:rPr>
        <w:t>,</w:t>
      </w:r>
      <w:proofErr w:type="gramEnd"/>
      <w:r>
        <w:rPr>
          <w:sz w:val="24"/>
          <w:szCs w:val="24"/>
        </w:rPr>
        <w:t xml:space="preserve"> more pre</w:t>
      </w:r>
      <w:r w:rsidR="00A776D7">
        <w:rPr>
          <w:sz w:val="24"/>
          <w:szCs w:val="24"/>
        </w:rPr>
        <w:t>valent in lower-income settings,</w:t>
      </w:r>
      <w:r>
        <w:rPr>
          <w:sz w:val="24"/>
          <w:szCs w:val="24"/>
        </w:rPr>
        <w:t xml:space="preserve"> create distinct dementia risk profiles that complicate direct comparison (Livingston et al., 2020).</w:t>
      </w:r>
    </w:p>
    <w:p w14:paraId="69E9DF77" w14:textId="77777777" w:rsidR="000539AD" w:rsidRDefault="007B60D5">
      <w:pPr>
        <w:spacing w:before="280" w:after="160"/>
      </w:pPr>
      <w:r>
        <w:rPr>
          <w:b/>
          <w:bCs/>
          <w:sz w:val="24"/>
          <w:szCs w:val="24"/>
        </w:rPr>
        <w:t>How Dementia is Controlled</w:t>
      </w:r>
    </w:p>
    <w:p w14:paraId="4C2ECEB1" w14:textId="77777777" w:rsidR="000539AD" w:rsidRDefault="007B60D5">
      <w:pPr>
        <w:spacing w:after="200" w:line="360" w:lineRule="auto"/>
        <w:jc w:val="both"/>
      </w:pPr>
      <w:r>
        <w:rPr>
          <w:sz w:val="24"/>
          <w:szCs w:val="24"/>
        </w:rPr>
        <w:t xml:space="preserve">Dementia cannot be cured or prevented in the way that many infectious illnesses can. Managing it is therefore about slowing its progression, easing its symptoms, and tackling the lifestyle factors that increase a person’s chances of developing it in the first place. Medicines such as donepezil, rivastigmine, and galantamine work by preserving the levels of a brain chemical called acetylcholine, helping to maintain memory and thinking in people with mild to moderate </w:t>
      </w:r>
      <w:r>
        <w:rPr>
          <w:sz w:val="24"/>
          <w:szCs w:val="24"/>
        </w:rPr>
        <w:lastRenderedPageBreak/>
        <w:t>Alzheimer’s disease. For those at a more advanced stage, memantine offers some relief by regulating a different set of chemical signals in the brain (NICE, 2018). Beyond medication, a range of non-drug approaches have shown real benefit: structured activities designed to stimulate the mind, reminiscence work using personal memories, and regular gentle exercise all help to slow cognitive decline and support emotional health (Woods et al., 2012). Music therapy in particular has been found to ease anxiety and restlessness in people in the later stages of the condition (van der Steen et al., 2018).</w:t>
      </w:r>
    </w:p>
    <w:p w14:paraId="3ABC3CCF" w14:textId="77777777" w:rsidR="000539AD" w:rsidRDefault="007B60D5">
      <w:pPr>
        <w:spacing w:after="200" w:line="360" w:lineRule="auto"/>
        <w:jc w:val="both"/>
      </w:pPr>
      <w:r>
        <w:rPr>
          <w:sz w:val="24"/>
          <w:szCs w:val="24"/>
        </w:rPr>
        <w:t>On a national level, the UK government has put in place a dementia strategy aimed at improving how quickly and accurately people are diagnosed, raising awareness in the general public, and reducing the stigma that still prevents many from seeking help early (Department of Health, 2009). Tackling risk factors such as high blood pressure, type 2 diabetes, smoking, and physical inactivity is seen as a key part of keeping dementia rates from rising further (Livingston et al., 2020).</w:t>
      </w:r>
    </w:p>
    <w:p w14:paraId="6275A93D" w14:textId="77777777" w:rsidR="000539AD" w:rsidRDefault="007B60D5">
      <w:pPr>
        <w:spacing w:before="280" w:after="160"/>
      </w:pPr>
      <w:r>
        <w:rPr>
          <w:b/>
          <w:bCs/>
          <w:sz w:val="24"/>
          <w:szCs w:val="24"/>
        </w:rPr>
        <w:t>Consequences of Dementia on People in the Community</w:t>
      </w:r>
    </w:p>
    <w:p w14:paraId="56EA7368" w14:textId="77777777" w:rsidR="000539AD" w:rsidRDefault="007B60D5">
      <w:pPr>
        <w:spacing w:after="200" w:line="360" w:lineRule="auto"/>
        <w:jc w:val="both"/>
      </w:pPr>
      <w:r>
        <w:rPr>
          <w:sz w:val="24"/>
          <w:szCs w:val="24"/>
        </w:rPr>
        <w:t xml:space="preserve">The impact of dementia reaches far beyond the person who has it. Losing the ability to make decisions, manage daily tasks, and communicate freely takes a heavy emotional toll, and it is not unusual for people with dementia to also experience depression or anxiety at some point </w:t>
      </w:r>
      <w:r w:rsidR="00A776D7">
        <w:rPr>
          <w:sz w:val="24"/>
          <w:szCs w:val="24"/>
        </w:rPr>
        <w:t>,</w:t>
      </w:r>
      <w:r>
        <w:rPr>
          <w:sz w:val="24"/>
          <w:szCs w:val="24"/>
        </w:rPr>
        <w:t xml:space="preserve"> affecting as many as four in ten (Alzheimer’s Society, 2023). Many gradually withdraw from friendships and community activities, becoming ever more dependent on those around them. For families and carers, the weight of this responsibility is significant. In the UK, an estimated 700,000 people provide unpaid support to a relative or friend with dementia, and many struggle with the emotional strain, financial pressure, and isolation this brings (Carers UK, 2021). The financial cost to the country as a whole is equally sobering: in 2019, the combined bill for health care, social care, and unpaid support was put at £34.7 billion (Alzheimer’s Research UK, 2019). There are also serious safety concerns, as the confusion and poor spatial awareness associated with dementia increase the risk of falls and accidents, while those with limited support networks are particularly exposed to financial exploitation and neglect (Care Quality Commission, 2022).</w:t>
      </w:r>
    </w:p>
    <w:p w14:paraId="7B5A4C59" w14:textId="77777777" w:rsidR="000539AD" w:rsidRDefault="007B60D5">
      <w:pPr>
        <w:spacing w:before="280" w:after="160"/>
      </w:pPr>
      <w:r>
        <w:rPr>
          <w:b/>
          <w:bCs/>
          <w:sz w:val="24"/>
          <w:szCs w:val="24"/>
        </w:rPr>
        <w:t>Health and Social Care Support Services Required</w:t>
      </w:r>
    </w:p>
    <w:p w14:paraId="522FDDEE" w14:textId="3228B26A" w:rsidR="000539AD" w:rsidRDefault="007B60D5">
      <w:pPr>
        <w:spacing w:after="200" w:line="360" w:lineRule="auto"/>
        <w:jc w:val="both"/>
      </w:pPr>
      <w:r>
        <w:rPr>
          <w:sz w:val="24"/>
          <w:szCs w:val="24"/>
        </w:rPr>
        <w:t>Supporting dementia</w:t>
      </w:r>
      <w:r w:rsidR="00AE6855">
        <w:rPr>
          <w:sz w:val="24"/>
          <w:szCs w:val="24"/>
        </w:rPr>
        <w:t xml:space="preserve"> patients</w:t>
      </w:r>
      <w:r>
        <w:rPr>
          <w:sz w:val="24"/>
          <w:szCs w:val="24"/>
        </w:rPr>
        <w:t xml:space="preserve"> in the community calls for a wide range of services working together. Memory clinics are typically where the journey into specialist care begins, bringing together psychiatrists, psychologists, occupational therapists, and nurses to assess, diagnose, </w:t>
      </w:r>
      <w:r>
        <w:rPr>
          <w:sz w:val="24"/>
          <w:szCs w:val="24"/>
        </w:rPr>
        <w:lastRenderedPageBreak/>
        <w:t xml:space="preserve">and plan care for people referred by their GP (NICE, 2018). Once diagnosed, people and their families can access ongoing support through community mental health teams and Admiral </w:t>
      </w:r>
      <w:r w:rsidR="00FE7857">
        <w:rPr>
          <w:sz w:val="24"/>
          <w:szCs w:val="24"/>
        </w:rPr>
        <w:t>Nurses,</w:t>
      </w:r>
      <w:r>
        <w:rPr>
          <w:sz w:val="24"/>
          <w:szCs w:val="24"/>
        </w:rPr>
        <w:t xml:space="preserve"> a specialist group of dementia nurses working through Dementia UK who provide practical and emotional guidance to carers navigating what is often an exhausting and isolating experience (Dementia UK, 2022).</w:t>
      </w:r>
    </w:p>
    <w:p w14:paraId="1161C702" w14:textId="712722BF" w:rsidR="000539AD" w:rsidRDefault="007B60D5">
      <w:pPr>
        <w:spacing w:after="200" w:line="360" w:lineRule="auto"/>
        <w:jc w:val="both"/>
      </w:pPr>
      <w:r>
        <w:rPr>
          <w:sz w:val="24"/>
          <w:szCs w:val="24"/>
        </w:rPr>
        <w:t xml:space="preserve">Day services offer people a chance to take part in structured activities and maintain social connections, while also giving family carers valuable time to rest and recover. For those who need help at home, care workers can assist with washing, dressing, taking medication, and keeping on top of household tasks. People with the most complex needs may be eligible for Continuing Healthcare funding, which covers the full cost of their care, though access to this varies considerably depending on where someone lives (Care Quality Commission, 2022). Charities </w:t>
      </w:r>
      <w:r w:rsidR="00AE6855">
        <w:rPr>
          <w:sz w:val="24"/>
          <w:szCs w:val="24"/>
        </w:rPr>
        <w:t>like</w:t>
      </w:r>
      <w:r>
        <w:rPr>
          <w:sz w:val="24"/>
          <w:szCs w:val="24"/>
        </w:rPr>
        <w:t xml:space="preserve"> the Alzheimer’s Society and Age UK play a vital role in reaching people who may not be engaged with statutory services, offering information, companionship, and peer support. Making </w:t>
      </w:r>
      <w:proofErr w:type="gramStart"/>
      <w:r>
        <w:rPr>
          <w:sz w:val="24"/>
          <w:szCs w:val="24"/>
        </w:rPr>
        <w:t>plans in advance</w:t>
      </w:r>
      <w:proofErr w:type="gramEnd"/>
      <w:r>
        <w:rPr>
          <w:sz w:val="24"/>
          <w:szCs w:val="24"/>
        </w:rPr>
        <w:t xml:space="preserve"> about future care </w:t>
      </w:r>
      <w:r w:rsidR="00AE6855">
        <w:rPr>
          <w:sz w:val="24"/>
          <w:szCs w:val="24"/>
        </w:rPr>
        <w:t>preferences,</w:t>
      </w:r>
      <w:r>
        <w:rPr>
          <w:sz w:val="24"/>
          <w:szCs w:val="24"/>
        </w:rPr>
        <w:t xml:space="preserve"> while a person still has the capacity to do </w:t>
      </w:r>
      <w:proofErr w:type="gramStart"/>
      <w:r>
        <w:rPr>
          <w:sz w:val="24"/>
          <w:szCs w:val="24"/>
        </w:rPr>
        <w:t xml:space="preserve">so </w:t>
      </w:r>
      <w:r w:rsidR="00A776D7">
        <w:rPr>
          <w:sz w:val="24"/>
          <w:szCs w:val="24"/>
        </w:rPr>
        <w:t>,</w:t>
      </w:r>
      <w:proofErr w:type="gramEnd"/>
      <w:r>
        <w:rPr>
          <w:sz w:val="24"/>
          <w:szCs w:val="24"/>
        </w:rPr>
        <w:t xml:space="preserve"> is also increasingly encouraged as a way of </w:t>
      </w:r>
      <w:r w:rsidR="00FE7857">
        <w:rPr>
          <w:sz w:val="24"/>
          <w:szCs w:val="24"/>
        </w:rPr>
        <w:t>honoring</w:t>
      </w:r>
      <w:r>
        <w:rPr>
          <w:sz w:val="24"/>
          <w:szCs w:val="24"/>
        </w:rPr>
        <w:t xml:space="preserve"> individual wishes and upholding the values of the Care Act 2014 (Social Care Institute for Excellence, 2020).</w:t>
      </w:r>
    </w:p>
    <w:p w14:paraId="6F1C5F81" w14:textId="77777777" w:rsidR="000539AD" w:rsidRDefault="007B60D5">
      <w:pPr>
        <w:spacing w:before="280" w:after="160"/>
      </w:pPr>
      <w:r>
        <w:rPr>
          <w:b/>
          <w:bCs/>
          <w:sz w:val="24"/>
          <w:szCs w:val="24"/>
        </w:rPr>
        <w:t>Conclusion</w:t>
      </w:r>
    </w:p>
    <w:p w14:paraId="2E88D884" w14:textId="50FE7FB3" w:rsidR="000539AD" w:rsidRDefault="007B60D5">
      <w:pPr>
        <w:spacing w:after="200" w:line="360" w:lineRule="auto"/>
        <w:jc w:val="both"/>
        <w:rPr>
          <w:sz w:val="24"/>
          <w:szCs w:val="24"/>
        </w:rPr>
      </w:pPr>
      <w:r>
        <w:rPr>
          <w:sz w:val="24"/>
          <w:szCs w:val="24"/>
        </w:rPr>
        <w:t xml:space="preserve">Few health challenges of our time are as wide-reaching or as complex as dementia. It touches every part of a person’s life and ripples outward to affect families, communities, and entire health systems. Better tools for identifying the condition early, combined with both medical and non-medical approaches to care, have made a real </w:t>
      </w:r>
      <w:r w:rsidR="00FE7857">
        <w:rPr>
          <w:sz w:val="24"/>
          <w:szCs w:val="24"/>
        </w:rPr>
        <w:t>difference,</w:t>
      </w:r>
      <w:r>
        <w:rPr>
          <w:sz w:val="24"/>
          <w:szCs w:val="24"/>
        </w:rPr>
        <w:t xml:space="preserve"> but there remains no cure. The comparison between the United Kingdom and Nigeria shows just how differently dementia plays out depending on the resources, infrastructure, and cultural context in which it occurs. Where the UK has data, services, and systems, Nigeria has a growing crisis that is still largely invisible in official statistics. Meeting the challenge in both </w:t>
      </w:r>
      <w:r w:rsidR="00FE7857">
        <w:rPr>
          <w:sz w:val="24"/>
          <w:szCs w:val="24"/>
        </w:rPr>
        <w:t>settings,</w:t>
      </w:r>
      <w:r>
        <w:rPr>
          <w:sz w:val="24"/>
          <w:szCs w:val="24"/>
        </w:rPr>
        <w:t xml:space="preserve"> and everywhere in </w:t>
      </w:r>
      <w:r w:rsidR="00FE7857">
        <w:rPr>
          <w:sz w:val="24"/>
          <w:szCs w:val="24"/>
        </w:rPr>
        <w:t>between,</w:t>
      </w:r>
      <w:r>
        <w:rPr>
          <w:sz w:val="24"/>
          <w:szCs w:val="24"/>
        </w:rPr>
        <w:t xml:space="preserve"> will require honest investment, cross-sector collaboration, and an unwavering commitment to placing the person with dementia at the heart of every decision made about their care.</w:t>
      </w:r>
    </w:p>
    <w:p w14:paraId="52E71525" w14:textId="77777777" w:rsidR="004204E7" w:rsidRDefault="004204E7">
      <w:pPr>
        <w:spacing w:after="200" w:line="360" w:lineRule="auto"/>
        <w:jc w:val="both"/>
        <w:rPr>
          <w:sz w:val="24"/>
          <w:szCs w:val="24"/>
        </w:rPr>
      </w:pPr>
    </w:p>
    <w:p w14:paraId="06231A71" w14:textId="77777777" w:rsidR="004204E7" w:rsidRDefault="004204E7">
      <w:pPr>
        <w:spacing w:after="200" w:line="360" w:lineRule="auto"/>
        <w:jc w:val="both"/>
      </w:pPr>
    </w:p>
    <w:p w14:paraId="337BE2A2" w14:textId="77777777" w:rsidR="0013144A" w:rsidRDefault="0013144A">
      <w:pPr>
        <w:spacing w:before="280" w:after="160"/>
        <w:rPr>
          <w:b/>
          <w:bCs/>
          <w:sz w:val="24"/>
          <w:szCs w:val="24"/>
        </w:rPr>
      </w:pPr>
    </w:p>
    <w:p w14:paraId="0BBA070B" w14:textId="6E8305A1" w:rsidR="000539AD" w:rsidRDefault="007B60D5">
      <w:pPr>
        <w:spacing w:before="280" w:after="160"/>
      </w:pPr>
      <w:r>
        <w:rPr>
          <w:b/>
          <w:bCs/>
          <w:sz w:val="24"/>
          <w:szCs w:val="24"/>
        </w:rPr>
        <w:lastRenderedPageBreak/>
        <w:t>References</w:t>
      </w:r>
    </w:p>
    <w:p w14:paraId="7AACE7FD" w14:textId="77777777" w:rsidR="000539AD" w:rsidRDefault="007B60D5">
      <w:pPr>
        <w:spacing w:after="160"/>
        <w:ind w:left="720" w:hanging="720"/>
      </w:pPr>
      <w:proofErr w:type="spellStart"/>
      <w:r>
        <w:rPr>
          <w:sz w:val="24"/>
          <w:szCs w:val="24"/>
        </w:rPr>
        <w:t>Adeloye</w:t>
      </w:r>
      <w:proofErr w:type="spellEnd"/>
      <w:r>
        <w:rPr>
          <w:sz w:val="24"/>
          <w:szCs w:val="24"/>
        </w:rPr>
        <w:t xml:space="preserve">, D., Auta, A., </w:t>
      </w:r>
      <w:proofErr w:type="spellStart"/>
      <w:r>
        <w:rPr>
          <w:sz w:val="24"/>
          <w:szCs w:val="24"/>
        </w:rPr>
        <w:t>Ezejimofor</w:t>
      </w:r>
      <w:proofErr w:type="spellEnd"/>
      <w:r>
        <w:rPr>
          <w:sz w:val="24"/>
          <w:szCs w:val="24"/>
        </w:rPr>
        <w:t xml:space="preserve">, M., Mukadam, N., </w:t>
      </w:r>
      <w:proofErr w:type="spellStart"/>
      <w:r>
        <w:rPr>
          <w:sz w:val="24"/>
          <w:szCs w:val="24"/>
        </w:rPr>
        <w:t>Mpamah</w:t>
      </w:r>
      <w:proofErr w:type="spellEnd"/>
      <w:r>
        <w:rPr>
          <w:sz w:val="24"/>
          <w:szCs w:val="24"/>
        </w:rPr>
        <w:t xml:space="preserve">, B.A., Obi, F., David, E., Adeosun, A.A., Chan, K.Y. and Bhatt, D.L. (2019) </w:t>
      </w:r>
      <w:r w:rsidRPr="004204E7">
        <w:rPr>
          <w:sz w:val="24"/>
          <w:szCs w:val="24"/>
        </w:rPr>
        <w:t xml:space="preserve">‘Prevalence of dementia in Nigeria: a systematic review of the evidence’, </w:t>
      </w:r>
      <w:r w:rsidRPr="004204E7">
        <w:rPr>
          <w:i/>
          <w:sz w:val="24"/>
          <w:szCs w:val="24"/>
        </w:rPr>
        <w:t>Journal of Global Health Reports,</w:t>
      </w:r>
      <w:r>
        <w:rPr>
          <w:sz w:val="24"/>
          <w:szCs w:val="24"/>
        </w:rPr>
        <w:t xml:space="preserve"> 3, e2019014. Available at: https://www.joghr.org/article/12027 (Accessed: 10 April 2025).</w:t>
      </w:r>
    </w:p>
    <w:p w14:paraId="564CE18D" w14:textId="77777777" w:rsidR="000539AD" w:rsidRDefault="007B60D5">
      <w:pPr>
        <w:spacing w:after="160"/>
        <w:ind w:left="720" w:hanging="720"/>
      </w:pPr>
      <w:r>
        <w:rPr>
          <w:sz w:val="24"/>
          <w:szCs w:val="24"/>
        </w:rPr>
        <w:t>Alzheimer’s Research UK (2019</w:t>
      </w:r>
      <w:r w:rsidRPr="004204E7">
        <w:rPr>
          <w:i/>
          <w:sz w:val="24"/>
          <w:szCs w:val="24"/>
        </w:rPr>
        <w:t>) Dementia statistics hub</w:t>
      </w:r>
      <w:r>
        <w:rPr>
          <w:sz w:val="24"/>
          <w:szCs w:val="24"/>
        </w:rPr>
        <w:t>. Available at: https://www.dementiastatistics.org (Accessed: 10 March 2024).</w:t>
      </w:r>
    </w:p>
    <w:p w14:paraId="5E75B5D0" w14:textId="77777777" w:rsidR="000539AD" w:rsidRDefault="007B60D5">
      <w:pPr>
        <w:spacing w:after="160"/>
        <w:ind w:left="720" w:hanging="720"/>
      </w:pPr>
      <w:r>
        <w:rPr>
          <w:sz w:val="24"/>
          <w:szCs w:val="24"/>
        </w:rPr>
        <w:t xml:space="preserve">Alzheimer’s Research UK (2025) </w:t>
      </w:r>
      <w:r w:rsidRPr="00A776D7">
        <w:rPr>
          <w:i/>
          <w:sz w:val="24"/>
          <w:szCs w:val="24"/>
        </w:rPr>
        <w:t>Dementia is still UK’s biggest killer – where do we go from here?</w:t>
      </w:r>
      <w:r>
        <w:rPr>
          <w:sz w:val="24"/>
          <w:szCs w:val="24"/>
        </w:rPr>
        <w:t xml:space="preserve"> Available at: https://www.alzheimersresearchuk.org/news/dementia-is-still-uks-biggest-killer-where-do-we-go-from-here/ (Accessed: 10 April 2025).</w:t>
      </w:r>
    </w:p>
    <w:p w14:paraId="64CCD35D" w14:textId="77777777" w:rsidR="000539AD" w:rsidRDefault="007B60D5">
      <w:pPr>
        <w:spacing w:after="160"/>
        <w:ind w:left="720" w:hanging="720"/>
      </w:pPr>
      <w:r>
        <w:rPr>
          <w:sz w:val="24"/>
          <w:szCs w:val="24"/>
        </w:rPr>
        <w:t xml:space="preserve">Alzheimer’s Society (2023) </w:t>
      </w:r>
      <w:r w:rsidRPr="00A776D7">
        <w:rPr>
          <w:i/>
          <w:sz w:val="24"/>
          <w:szCs w:val="24"/>
        </w:rPr>
        <w:t>Dementia UK report</w:t>
      </w:r>
      <w:r>
        <w:rPr>
          <w:sz w:val="24"/>
          <w:szCs w:val="24"/>
        </w:rPr>
        <w:t>. London: Alzheimer’s Society.</w:t>
      </w:r>
    </w:p>
    <w:p w14:paraId="20D578B8" w14:textId="77777777" w:rsidR="000539AD" w:rsidRDefault="007B60D5">
      <w:pPr>
        <w:spacing w:after="160"/>
        <w:ind w:left="720" w:hanging="720"/>
      </w:pPr>
      <w:r>
        <w:rPr>
          <w:sz w:val="24"/>
          <w:szCs w:val="24"/>
        </w:rPr>
        <w:t xml:space="preserve">Care Quality Commission (2022) </w:t>
      </w:r>
      <w:r w:rsidRPr="00A776D7">
        <w:rPr>
          <w:i/>
          <w:sz w:val="24"/>
          <w:szCs w:val="24"/>
        </w:rPr>
        <w:t xml:space="preserve">The state of health care and adult social care in England </w:t>
      </w:r>
      <w:r>
        <w:rPr>
          <w:sz w:val="24"/>
          <w:szCs w:val="24"/>
        </w:rPr>
        <w:t>2021/22. Newcastle: CQC. Available at: https://www.cqc.org.uk (Accessed: 10 March 2024).</w:t>
      </w:r>
    </w:p>
    <w:p w14:paraId="3884EDD5" w14:textId="77777777" w:rsidR="000539AD" w:rsidRDefault="007B60D5">
      <w:pPr>
        <w:spacing w:after="160"/>
        <w:ind w:left="720" w:hanging="720"/>
      </w:pPr>
      <w:r>
        <w:rPr>
          <w:sz w:val="24"/>
          <w:szCs w:val="24"/>
        </w:rPr>
        <w:t xml:space="preserve">Carers UK (2021) State of caring 2021: </w:t>
      </w:r>
      <w:r w:rsidRPr="00A776D7">
        <w:rPr>
          <w:i/>
          <w:sz w:val="24"/>
          <w:szCs w:val="24"/>
        </w:rPr>
        <w:t xml:space="preserve">A snapshot of unpaid care in the UK. </w:t>
      </w:r>
      <w:r w:rsidRPr="004204E7">
        <w:rPr>
          <w:sz w:val="24"/>
          <w:szCs w:val="24"/>
        </w:rPr>
        <w:t>London:</w:t>
      </w:r>
      <w:r>
        <w:rPr>
          <w:sz w:val="24"/>
          <w:szCs w:val="24"/>
        </w:rPr>
        <w:t xml:space="preserve"> Carers UK. Available at: https://www.carersuk.org (Accessed: 10 March 2024).</w:t>
      </w:r>
    </w:p>
    <w:p w14:paraId="5EA4C6B0" w14:textId="77777777" w:rsidR="000539AD" w:rsidRDefault="007B60D5">
      <w:pPr>
        <w:spacing w:after="160"/>
        <w:ind w:left="720" w:hanging="720"/>
      </w:pPr>
      <w:r>
        <w:rPr>
          <w:sz w:val="24"/>
          <w:szCs w:val="24"/>
        </w:rPr>
        <w:t xml:space="preserve">Dementia Statistics Hub (2024) </w:t>
      </w:r>
      <w:r w:rsidRPr="004204E7">
        <w:rPr>
          <w:i/>
          <w:sz w:val="24"/>
          <w:szCs w:val="24"/>
        </w:rPr>
        <w:t>Prevalence and incidence.</w:t>
      </w:r>
      <w:r>
        <w:rPr>
          <w:sz w:val="24"/>
          <w:szCs w:val="24"/>
        </w:rPr>
        <w:t xml:space="preserve"> Available at: https://dementiastatistics.org/about-dementia/prevalence-and-incidence/ (Accessed: 10 April 2025).</w:t>
      </w:r>
    </w:p>
    <w:p w14:paraId="7267449F" w14:textId="77777777" w:rsidR="000539AD" w:rsidRDefault="007B60D5">
      <w:pPr>
        <w:spacing w:after="160"/>
        <w:ind w:left="720" w:hanging="720"/>
      </w:pPr>
      <w:r>
        <w:rPr>
          <w:sz w:val="24"/>
          <w:szCs w:val="24"/>
        </w:rPr>
        <w:t xml:space="preserve">Dementia UK (2022) </w:t>
      </w:r>
      <w:r w:rsidRPr="00224771">
        <w:rPr>
          <w:i/>
          <w:sz w:val="24"/>
          <w:szCs w:val="24"/>
        </w:rPr>
        <w:t>Admiral Nurse service model</w:t>
      </w:r>
      <w:r>
        <w:rPr>
          <w:sz w:val="24"/>
          <w:szCs w:val="24"/>
        </w:rPr>
        <w:t>. London: Dementia UK. Available at: https://www.dementiauk.org (Accessed: 10 March 2024).</w:t>
      </w:r>
    </w:p>
    <w:p w14:paraId="7EC07D2C" w14:textId="77777777" w:rsidR="000539AD" w:rsidRDefault="007B60D5">
      <w:pPr>
        <w:spacing w:after="160"/>
        <w:ind w:left="720" w:hanging="720"/>
      </w:pPr>
      <w:r>
        <w:rPr>
          <w:sz w:val="24"/>
          <w:szCs w:val="24"/>
        </w:rPr>
        <w:t xml:space="preserve">Department of Health (2009) </w:t>
      </w:r>
      <w:r w:rsidRPr="00224771">
        <w:rPr>
          <w:i/>
          <w:sz w:val="24"/>
          <w:szCs w:val="24"/>
        </w:rPr>
        <w:t xml:space="preserve">Living well with dementia: A national dementia strategy. </w:t>
      </w:r>
      <w:r w:rsidRPr="004204E7">
        <w:rPr>
          <w:sz w:val="24"/>
          <w:szCs w:val="24"/>
        </w:rPr>
        <w:t xml:space="preserve">London: </w:t>
      </w:r>
      <w:r>
        <w:rPr>
          <w:sz w:val="24"/>
          <w:szCs w:val="24"/>
        </w:rPr>
        <w:t>The Stationery Office.</w:t>
      </w:r>
    </w:p>
    <w:p w14:paraId="398EF31A" w14:textId="77777777" w:rsidR="000539AD" w:rsidRDefault="007B60D5">
      <w:pPr>
        <w:spacing w:after="160"/>
        <w:ind w:left="720" w:hanging="720"/>
      </w:pPr>
      <w:proofErr w:type="spellStart"/>
      <w:r>
        <w:rPr>
          <w:sz w:val="24"/>
          <w:szCs w:val="24"/>
        </w:rPr>
        <w:t>Folstein</w:t>
      </w:r>
      <w:proofErr w:type="spellEnd"/>
      <w:r>
        <w:rPr>
          <w:sz w:val="24"/>
          <w:szCs w:val="24"/>
        </w:rPr>
        <w:t>, M.F., Folstein, S.E. and McHugh, P.R. (1975) ‘</w:t>
      </w:r>
      <w:r w:rsidRPr="004204E7">
        <w:rPr>
          <w:sz w:val="24"/>
          <w:szCs w:val="24"/>
        </w:rPr>
        <w:t>Mini-mental state: A practical method for grading the cognitive state of patients for the clinician’</w:t>
      </w:r>
      <w:r>
        <w:rPr>
          <w:sz w:val="24"/>
          <w:szCs w:val="24"/>
        </w:rPr>
        <w:t xml:space="preserve">, </w:t>
      </w:r>
      <w:r w:rsidRPr="004204E7">
        <w:rPr>
          <w:i/>
          <w:sz w:val="24"/>
          <w:szCs w:val="24"/>
        </w:rPr>
        <w:t xml:space="preserve">Journal of Psychiatric Research, </w:t>
      </w:r>
      <w:r>
        <w:rPr>
          <w:sz w:val="24"/>
          <w:szCs w:val="24"/>
        </w:rPr>
        <w:t>12(3), pp. 189–198.</w:t>
      </w:r>
    </w:p>
    <w:p w14:paraId="3C10F880" w14:textId="77777777" w:rsidR="000539AD" w:rsidRDefault="007B60D5">
      <w:pPr>
        <w:spacing w:after="160"/>
        <w:ind w:left="720" w:hanging="720"/>
      </w:pPr>
      <w:r>
        <w:rPr>
          <w:sz w:val="24"/>
          <w:szCs w:val="24"/>
        </w:rPr>
        <w:t xml:space="preserve">Livingston, G., Huntley, J., </w:t>
      </w:r>
      <w:proofErr w:type="spellStart"/>
      <w:r>
        <w:rPr>
          <w:sz w:val="24"/>
          <w:szCs w:val="24"/>
        </w:rPr>
        <w:t>Sommerlad</w:t>
      </w:r>
      <w:proofErr w:type="spellEnd"/>
      <w:r>
        <w:rPr>
          <w:sz w:val="24"/>
          <w:szCs w:val="24"/>
        </w:rPr>
        <w:t xml:space="preserve">, A., Ames, D., Ballard, C., Banerjee, S., </w:t>
      </w:r>
      <w:proofErr w:type="spellStart"/>
      <w:r>
        <w:rPr>
          <w:sz w:val="24"/>
          <w:szCs w:val="24"/>
        </w:rPr>
        <w:t>Brayne</w:t>
      </w:r>
      <w:proofErr w:type="spellEnd"/>
      <w:r>
        <w:rPr>
          <w:sz w:val="24"/>
          <w:szCs w:val="24"/>
        </w:rPr>
        <w:t xml:space="preserve">, C., Burns, A., Cohen-Mansfield, J., Cooper, C., </w:t>
      </w:r>
      <w:proofErr w:type="spellStart"/>
      <w:r>
        <w:rPr>
          <w:sz w:val="24"/>
          <w:szCs w:val="24"/>
        </w:rPr>
        <w:t>Costafreda</w:t>
      </w:r>
      <w:proofErr w:type="spellEnd"/>
      <w:r>
        <w:rPr>
          <w:sz w:val="24"/>
          <w:szCs w:val="24"/>
        </w:rPr>
        <w:t xml:space="preserve">, S.G., Dias, A., Fox, N., Gitlin, L.N., Howard, R., Kales, H.C., Kivimäki, M., Larson, E.B., Ogunniyi, A., Orgeta, V., Ritchie, K., Rockwood, K., Sampson, E.L., Samus, Q., Schneider, L.S., </w:t>
      </w:r>
      <w:proofErr w:type="spellStart"/>
      <w:r>
        <w:rPr>
          <w:sz w:val="24"/>
          <w:szCs w:val="24"/>
        </w:rPr>
        <w:t>Selbæk</w:t>
      </w:r>
      <w:proofErr w:type="spellEnd"/>
      <w:r>
        <w:rPr>
          <w:sz w:val="24"/>
          <w:szCs w:val="24"/>
        </w:rPr>
        <w:t>, G., Teri, L. and Mukadam, N. (2020) ‘</w:t>
      </w:r>
      <w:r w:rsidRPr="00224771">
        <w:rPr>
          <w:sz w:val="24"/>
          <w:szCs w:val="24"/>
        </w:rPr>
        <w:t>Dementia prevention, intervention, and care: 2020 report of the Lancet Commission’,</w:t>
      </w:r>
      <w:r>
        <w:rPr>
          <w:sz w:val="24"/>
          <w:szCs w:val="24"/>
        </w:rPr>
        <w:t xml:space="preserve"> </w:t>
      </w:r>
      <w:r w:rsidRPr="00224771">
        <w:rPr>
          <w:i/>
          <w:sz w:val="24"/>
          <w:szCs w:val="24"/>
        </w:rPr>
        <w:t xml:space="preserve">The Lancet, </w:t>
      </w:r>
      <w:r w:rsidRPr="004204E7">
        <w:rPr>
          <w:sz w:val="24"/>
          <w:szCs w:val="24"/>
        </w:rPr>
        <w:t>396(10248),</w:t>
      </w:r>
      <w:r w:rsidRPr="00224771">
        <w:rPr>
          <w:i/>
          <w:sz w:val="24"/>
          <w:szCs w:val="24"/>
        </w:rPr>
        <w:t xml:space="preserve"> </w:t>
      </w:r>
      <w:r>
        <w:rPr>
          <w:sz w:val="24"/>
          <w:szCs w:val="24"/>
        </w:rPr>
        <w:t>pp. 413–446.</w:t>
      </w:r>
    </w:p>
    <w:p w14:paraId="721A07FC" w14:textId="77777777" w:rsidR="000539AD" w:rsidRDefault="007B60D5">
      <w:pPr>
        <w:spacing w:after="160"/>
        <w:ind w:left="720" w:hanging="720"/>
      </w:pPr>
      <w:r>
        <w:rPr>
          <w:sz w:val="24"/>
          <w:szCs w:val="24"/>
        </w:rPr>
        <w:t xml:space="preserve">Nasreddine, Z.S., Phillips, N.A., </w:t>
      </w:r>
      <w:proofErr w:type="spellStart"/>
      <w:r>
        <w:rPr>
          <w:sz w:val="24"/>
          <w:szCs w:val="24"/>
        </w:rPr>
        <w:t>Bédirian</w:t>
      </w:r>
      <w:proofErr w:type="spellEnd"/>
      <w:r>
        <w:rPr>
          <w:sz w:val="24"/>
          <w:szCs w:val="24"/>
        </w:rPr>
        <w:t xml:space="preserve">, V., Charbonneau, S., Whitehead, V., Collin, I., Cummings, J.L. and </w:t>
      </w:r>
      <w:proofErr w:type="spellStart"/>
      <w:r>
        <w:rPr>
          <w:sz w:val="24"/>
          <w:szCs w:val="24"/>
        </w:rPr>
        <w:t>Chertkow</w:t>
      </w:r>
      <w:proofErr w:type="spellEnd"/>
      <w:r>
        <w:rPr>
          <w:sz w:val="24"/>
          <w:szCs w:val="24"/>
        </w:rPr>
        <w:t xml:space="preserve">, H. (2005) ‘The Montreal Cognitive Assessment, MoCA: </w:t>
      </w:r>
      <w:r w:rsidRPr="00224771">
        <w:rPr>
          <w:sz w:val="24"/>
          <w:szCs w:val="24"/>
        </w:rPr>
        <w:t>A brief screening tool for mild cognitive impairment’,</w:t>
      </w:r>
      <w:r w:rsidRPr="00224771">
        <w:rPr>
          <w:i/>
          <w:sz w:val="24"/>
          <w:szCs w:val="24"/>
        </w:rPr>
        <w:t xml:space="preserve"> Journal of the American Geriatrics Society,</w:t>
      </w:r>
      <w:r>
        <w:rPr>
          <w:sz w:val="24"/>
          <w:szCs w:val="24"/>
        </w:rPr>
        <w:t xml:space="preserve"> 53(4), pp. 695–699.</w:t>
      </w:r>
    </w:p>
    <w:p w14:paraId="6BB1454E" w14:textId="77777777" w:rsidR="000539AD" w:rsidRDefault="007B60D5">
      <w:pPr>
        <w:spacing w:after="160"/>
        <w:ind w:left="720" w:hanging="720"/>
      </w:pPr>
      <w:r>
        <w:rPr>
          <w:sz w:val="24"/>
          <w:szCs w:val="24"/>
        </w:rPr>
        <w:t xml:space="preserve">National Institute for Health and Care Excellence (2018) Dementia: </w:t>
      </w:r>
      <w:r w:rsidRPr="00224771">
        <w:rPr>
          <w:i/>
          <w:sz w:val="24"/>
          <w:szCs w:val="24"/>
        </w:rPr>
        <w:t>Assessment, management and support for people living with dementia and their carers (NG97).</w:t>
      </w:r>
      <w:r>
        <w:rPr>
          <w:sz w:val="24"/>
          <w:szCs w:val="24"/>
        </w:rPr>
        <w:t xml:space="preserve"> London: NICE. Available at: https://www.nice.org.uk/guidance/ng97 (Accessed: 10 March 2024).</w:t>
      </w:r>
    </w:p>
    <w:p w14:paraId="0ABCBDCC" w14:textId="77777777" w:rsidR="000539AD" w:rsidRDefault="007B60D5">
      <w:pPr>
        <w:spacing w:after="160"/>
        <w:ind w:left="720" w:hanging="720"/>
      </w:pPr>
      <w:r>
        <w:rPr>
          <w:sz w:val="24"/>
          <w:szCs w:val="24"/>
        </w:rPr>
        <w:t xml:space="preserve">NHS England (2024) Dementia profile: </w:t>
      </w:r>
      <w:r w:rsidRPr="00224771">
        <w:rPr>
          <w:i/>
          <w:sz w:val="24"/>
          <w:szCs w:val="24"/>
        </w:rPr>
        <w:t xml:space="preserve">Prevalence and supporting well topics statistical commentary, </w:t>
      </w:r>
      <w:r>
        <w:rPr>
          <w:sz w:val="24"/>
          <w:szCs w:val="24"/>
        </w:rPr>
        <w:t xml:space="preserve">March 2025. Available at: </w:t>
      </w:r>
      <w:r>
        <w:rPr>
          <w:sz w:val="24"/>
          <w:szCs w:val="24"/>
        </w:rPr>
        <w:lastRenderedPageBreak/>
        <w:t>https://www.gov.uk/government/statistics/dementia-profile-march-2025-update (Accessed: 10 April 2025).</w:t>
      </w:r>
    </w:p>
    <w:p w14:paraId="05C9E35A" w14:textId="77777777" w:rsidR="000539AD" w:rsidRDefault="007B60D5">
      <w:pPr>
        <w:spacing w:after="160"/>
        <w:ind w:left="720" w:hanging="720"/>
      </w:pPr>
      <w:r>
        <w:rPr>
          <w:sz w:val="24"/>
          <w:szCs w:val="24"/>
        </w:rPr>
        <w:t>Oyinlola, O. (2024) ‘Addressing the challenges of dementia care in Nigeria: A call for a comprehensive national strategy’, Public Health Challenges, 3, e186. Available at: https://onlinelibrary.wiley.com/doi/full/10.1002/puh2.186 (Accessed: 10 April 2025).</w:t>
      </w:r>
    </w:p>
    <w:p w14:paraId="2D239590" w14:textId="77777777" w:rsidR="000539AD" w:rsidRDefault="007B60D5">
      <w:pPr>
        <w:spacing w:after="160"/>
        <w:ind w:left="720" w:hanging="720"/>
      </w:pPr>
      <w:r>
        <w:rPr>
          <w:sz w:val="24"/>
          <w:szCs w:val="24"/>
        </w:rPr>
        <w:t xml:space="preserve">Prince, M., Wimo, A., </w:t>
      </w:r>
      <w:proofErr w:type="spellStart"/>
      <w:r>
        <w:rPr>
          <w:sz w:val="24"/>
          <w:szCs w:val="24"/>
        </w:rPr>
        <w:t>Guerchet</w:t>
      </w:r>
      <w:proofErr w:type="spellEnd"/>
      <w:r>
        <w:rPr>
          <w:sz w:val="24"/>
          <w:szCs w:val="24"/>
        </w:rPr>
        <w:t>, M., Ali, G.C., Wu, Y.T. and Prina, M. (2014) World Alzheimer report 2014: Dementia and risk reduction. London: Alzheimer’s Disease International.</w:t>
      </w:r>
    </w:p>
    <w:p w14:paraId="492D930C" w14:textId="77777777" w:rsidR="000539AD" w:rsidRDefault="007B60D5">
      <w:pPr>
        <w:spacing w:after="160"/>
        <w:ind w:left="720" w:hanging="720"/>
      </w:pPr>
      <w:r>
        <w:rPr>
          <w:sz w:val="24"/>
          <w:szCs w:val="24"/>
        </w:rPr>
        <w:t xml:space="preserve">Schindler, S.E., Bollinger, J.G., </w:t>
      </w:r>
      <w:proofErr w:type="spellStart"/>
      <w:r>
        <w:rPr>
          <w:sz w:val="24"/>
          <w:szCs w:val="24"/>
        </w:rPr>
        <w:t>Ovod</w:t>
      </w:r>
      <w:proofErr w:type="spellEnd"/>
      <w:r>
        <w:rPr>
          <w:sz w:val="24"/>
          <w:szCs w:val="24"/>
        </w:rPr>
        <w:t xml:space="preserve">, V., </w:t>
      </w:r>
      <w:proofErr w:type="spellStart"/>
      <w:r>
        <w:rPr>
          <w:sz w:val="24"/>
          <w:szCs w:val="24"/>
        </w:rPr>
        <w:t>Mawuenyega</w:t>
      </w:r>
      <w:proofErr w:type="spellEnd"/>
      <w:r>
        <w:rPr>
          <w:sz w:val="24"/>
          <w:szCs w:val="24"/>
        </w:rPr>
        <w:t>, K.G., Li, Y., Gordon, B.A., Holtzman, D.M., Morris, J.C., Bhatt, D.L., Rodrigue, K.M., Benzinger, T.L.S. and Bateman, R.J. (2019) ‘High-precision plasma β-amyloid 42/40 predicts current and future brain amyloidosis’, Neurology, 93(17), pp. e1647–e1659.</w:t>
      </w:r>
    </w:p>
    <w:p w14:paraId="746F161D" w14:textId="77777777" w:rsidR="000539AD" w:rsidRDefault="007B60D5">
      <w:pPr>
        <w:spacing w:after="160"/>
        <w:ind w:left="720" w:hanging="720"/>
      </w:pPr>
      <w:r>
        <w:rPr>
          <w:sz w:val="24"/>
          <w:szCs w:val="24"/>
        </w:rPr>
        <w:t>Sheppard, J.P., Fletcher, K., McManus, R.J., Mant, J., Payne, R.A., Schwartz, C.L., Singh, S., Sherlock, J., Hobbs, F.D.R. and Wood, A. (2023) ‘Incidence, morbidity, mortality and disparities in dementia: A population linked electronic health records study of 4.3 million individuals’, Alzheimer’s &amp; Dementia, 19(1), pp. 177–191. Available at: https://pmc.ncbi.nlm.nih.gov/articles/PMC10078672/ (Accessed: 10 April 2025).</w:t>
      </w:r>
    </w:p>
    <w:p w14:paraId="64B03FCF" w14:textId="77777777" w:rsidR="000539AD" w:rsidRDefault="007B60D5">
      <w:pPr>
        <w:spacing w:after="160"/>
        <w:ind w:left="720" w:hanging="720"/>
      </w:pPr>
      <w:r>
        <w:rPr>
          <w:sz w:val="24"/>
          <w:szCs w:val="24"/>
        </w:rPr>
        <w:t>Social Care Institute for Excellence (2020) Dementia and end of life care. Available at: https://www.scie.org.uk (Accessed: 10 March 2024).</w:t>
      </w:r>
    </w:p>
    <w:p w14:paraId="588CC9FB" w14:textId="77777777" w:rsidR="000539AD" w:rsidRDefault="007B60D5">
      <w:pPr>
        <w:spacing w:after="160"/>
        <w:ind w:left="720" w:hanging="720"/>
      </w:pPr>
      <w:r>
        <w:rPr>
          <w:sz w:val="24"/>
          <w:szCs w:val="24"/>
        </w:rPr>
        <w:t xml:space="preserve">van der Steen, J.T., </w:t>
      </w:r>
      <w:proofErr w:type="spellStart"/>
      <w:r>
        <w:rPr>
          <w:sz w:val="24"/>
          <w:szCs w:val="24"/>
        </w:rPr>
        <w:t>Smaling</w:t>
      </w:r>
      <w:proofErr w:type="spellEnd"/>
      <w:r>
        <w:rPr>
          <w:sz w:val="24"/>
          <w:szCs w:val="24"/>
        </w:rPr>
        <w:t xml:space="preserve">, H.J.A., van der </w:t>
      </w:r>
      <w:proofErr w:type="spellStart"/>
      <w:r>
        <w:rPr>
          <w:sz w:val="24"/>
          <w:szCs w:val="24"/>
        </w:rPr>
        <w:t>Wouden</w:t>
      </w:r>
      <w:proofErr w:type="spellEnd"/>
      <w:r>
        <w:rPr>
          <w:sz w:val="24"/>
          <w:szCs w:val="24"/>
        </w:rPr>
        <w:t>, J.C., Bruinsma, M.S., Scholten, R.J.P.M. and Vink, A.C. (2018) ‘Music-based therapeutic interventions for people with dementia’, Cochrane Database of Systematic Reviews, (7), Art. No.: CD003477.</w:t>
      </w:r>
    </w:p>
    <w:p w14:paraId="2C2D7D99" w14:textId="0F3E9266" w:rsidR="000539AD" w:rsidRDefault="007B60D5">
      <w:pPr>
        <w:spacing w:after="160"/>
        <w:ind w:left="720" w:hanging="720"/>
      </w:pPr>
      <w:r>
        <w:rPr>
          <w:sz w:val="24"/>
          <w:szCs w:val="24"/>
        </w:rPr>
        <w:t>Woods, B., Aguirre, E., Spector, A.E. and Orrell, M. (</w:t>
      </w:r>
      <w:r w:rsidR="0013144A">
        <w:rPr>
          <w:sz w:val="24"/>
          <w:szCs w:val="24"/>
        </w:rPr>
        <w:t xml:space="preserve">2012) </w:t>
      </w:r>
      <w:r>
        <w:rPr>
          <w:sz w:val="24"/>
          <w:szCs w:val="24"/>
        </w:rPr>
        <w:t>Cognitive stimulation to improve cognitive functioning in people with dementia’, Cochrane Database of Systematic Reviews, (2), Art. No.: CD005562.</w:t>
      </w:r>
    </w:p>
    <w:p w14:paraId="68382122" w14:textId="77777777" w:rsidR="000539AD" w:rsidRDefault="007B60D5">
      <w:pPr>
        <w:spacing w:after="160"/>
        <w:ind w:left="720" w:hanging="720"/>
      </w:pPr>
      <w:r>
        <w:rPr>
          <w:sz w:val="24"/>
          <w:szCs w:val="24"/>
        </w:rPr>
        <w:t xml:space="preserve">World Health </w:t>
      </w:r>
      <w:proofErr w:type="spellStart"/>
      <w:r>
        <w:rPr>
          <w:sz w:val="24"/>
          <w:szCs w:val="24"/>
        </w:rPr>
        <w:t>Organisation</w:t>
      </w:r>
      <w:proofErr w:type="spellEnd"/>
      <w:r>
        <w:rPr>
          <w:sz w:val="24"/>
          <w:szCs w:val="24"/>
        </w:rPr>
        <w:t xml:space="preserve"> (2023) Dementia. Available at: https://www.who.int/news-room/fact-sheets/detail/dementia (Accessed: 10 March 2024).</w:t>
      </w:r>
    </w:p>
    <w:sectPr w:rsidR="000539AD">
      <w:headerReference w:type="default" r:id="rId8"/>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14EA06" w14:textId="77777777" w:rsidR="002710B6" w:rsidRDefault="002710B6">
      <w:r>
        <w:separator/>
      </w:r>
    </w:p>
  </w:endnote>
  <w:endnote w:type="continuationSeparator" w:id="0">
    <w:p w14:paraId="09282021" w14:textId="77777777" w:rsidR="002710B6" w:rsidRDefault="002710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14F5F4" w14:textId="77777777" w:rsidR="000539AD" w:rsidRDefault="007B60D5">
    <w:pPr>
      <w:jc w:val="center"/>
    </w:pPr>
    <w:r>
      <w:rPr>
        <w:sz w:val="24"/>
        <w:szCs w:val="24"/>
      </w:rPr>
      <w:fldChar w:fldCharType="begin"/>
    </w:r>
    <w:r>
      <w:rPr>
        <w:sz w:val="24"/>
        <w:szCs w:val="24"/>
      </w:rPr>
      <w:instrText>PAGE</w:instrText>
    </w:r>
    <w:r>
      <w:rPr>
        <w:sz w:val="24"/>
        <w:szCs w:val="24"/>
      </w:rPr>
      <w:fldChar w:fldCharType="separate"/>
    </w:r>
    <w:r w:rsidR="00FC36E0">
      <w:rPr>
        <w:noProof/>
        <w:sz w:val="24"/>
        <w:szCs w:val="24"/>
      </w:rPr>
      <w:t>1</w:t>
    </w:r>
    <w:r>
      <w:rPr>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8B8DAE" w14:textId="77777777" w:rsidR="002710B6" w:rsidRDefault="002710B6">
      <w:r>
        <w:separator/>
      </w:r>
    </w:p>
  </w:footnote>
  <w:footnote w:type="continuationSeparator" w:id="0">
    <w:p w14:paraId="3927CE92" w14:textId="77777777" w:rsidR="002710B6" w:rsidRDefault="002710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DD188" w14:textId="77777777" w:rsidR="00C953CA" w:rsidRDefault="007B60D5">
    <w:r>
      <w:cr/>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946DF0"/>
    <w:multiLevelType w:val="hybridMultilevel"/>
    <w:tmpl w:val="BC5A5380"/>
    <w:lvl w:ilvl="0" w:tplc="D6AE7538">
      <w:start w:val="1"/>
      <w:numFmt w:val="bullet"/>
      <w:lvlText w:val="●"/>
      <w:lvlJc w:val="left"/>
      <w:pPr>
        <w:ind w:left="720" w:hanging="360"/>
      </w:pPr>
    </w:lvl>
    <w:lvl w:ilvl="1" w:tplc="512EB602">
      <w:start w:val="1"/>
      <w:numFmt w:val="bullet"/>
      <w:lvlText w:val="○"/>
      <w:lvlJc w:val="left"/>
      <w:pPr>
        <w:ind w:left="1440" w:hanging="360"/>
      </w:pPr>
    </w:lvl>
    <w:lvl w:ilvl="2" w:tplc="FB2EB4D4">
      <w:start w:val="1"/>
      <w:numFmt w:val="bullet"/>
      <w:lvlText w:val="■"/>
      <w:lvlJc w:val="left"/>
      <w:pPr>
        <w:ind w:left="2160" w:hanging="360"/>
      </w:pPr>
    </w:lvl>
    <w:lvl w:ilvl="3" w:tplc="9DFE939E">
      <w:start w:val="1"/>
      <w:numFmt w:val="bullet"/>
      <w:lvlText w:val="●"/>
      <w:lvlJc w:val="left"/>
      <w:pPr>
        <w:ind w:left="2880" w:hanging="360"/>
      </w:pPr>
    </w:lvl>
    <w:lvl w:ilvl="4" w:tplc="855EDE08">
      <w:start w:val="1"/>
      <w:numFmt w:val="bullet"/>
      <w:lvlText w:val="○"/>
      <w:lvlJc w:val="left"/>
      <w:pPr>
        <w:ind w:left="3600" w:hanging="360"/>
      </w:pPr>
    </w:lvl>
    <w:lvl w:ilvl="5" w:tplc="5E16E210">
      <w:start w:val="1"/>
      <w:numFmt w:val="bullet"/>
      <w:lvlText w:val="■"/>
      <w:lvlJc w:val="left"/>
      <w:pPr>
        <w:ind w:left="4320" w:hanging="360"/>
      </w:pPr>
    </w:lvl>
    <w:lvl w:ilvl="6" w:tplc="3ECEF302">
      <w:start w:val="1"/>
      <w:numFmt w:val="bullet"/>
      <w:lvlText w:val="●"/>
      <w:lvlJc w:val="left"/>
      <w:pPr>
        <w:ind w:left="5040" w:hanging="360"/>
      </w:pPr>
    </w:lvl>
    <w:lvl w:ilvl="7" w:tplc="5908E412">
      <w:start w:val="1"/>
      <w:numFmt w:val="bullet"/>
      <w:lvlText w:val="●"/>
      <w:lvlJc w:val="left"/>
      <w:pPr>
        <w:ind w:left="5760" w:hanging="360"/>
      </w:pPr>
    </w:lvl>
    <w:lvl w:ilvl="8" w:tplc="13E6C2BC">
      <w:start w:val="1"/>
      <w:numFmt w:val="bullet"/>
      <w:lvlText w:val="●"/>
      <w:lvlJc w:val="left"/>
      <w:pPr>
        <w:ind w:left="6480" w:hanging="360"/>
      </w:pPr>
    </w:lvl>
  </w:abstractNum>
  <w:num w:numId="1" w16cid:durableId="195724938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9AD"/>
    <w:rsid w:val="0003471F"/>
    <w:rsid w:val="000539AD"/>
    <w:rsid w:val="00113C07"/>
    <w:rsid w:val="0013144A"/>
    <w:rsid w:val="001368B3"/>
    <w:rsid w:val="00144ECF"/>
    <w:rsid w:val="00186003"/>
    <w:rsid w:val="00186A29"/>
    <w:rsid w:val="00192863"/>
    <w:rsid w:val="00224771"/>
    <w:rsid w:val="002710B6"/>
    <w:rsid w:val="002D0F2C"/>
    <w:rsid w:val="00353158"/>
    <w:rsid w:val="004204E7"/>
    <w:rsid w:val="00556CBA"/>
    <w:rsid w:val="005B3935"/>
    <w:rsid w:val="00660979"/>
    <w:rsid w:val="006A71C1"/>
    <w:rsid w:val="006D34C6"/>
    <w:rsid w:val="00753B3F"/>
    <w:rsid w:val="007B60D5"/>
    <w:rsid w:val="0086434C"/>
    <w:rsid w:val="0087134D"/>
    <w:rsid w:val="008A0E47"/>
    <w:rsid w:val="00A43786"/>
    <w:rsid w:val="00A444DC"/>
    <w:rsid w:val="00A776D7"/>
    <w:rsid w:val="00AE6855"/>
    <w:rsid w:val="00B64BFD"/>
    <w:rsid w:val="00C953CA"/>
    <w:rsid w:val="00E56390"/>
    <w:rsid w:val="00F33428"/>
    <w:rsid w:val="00F33DBA"/>
    <w:rsid w:val="00F51AD0"/>
    <w:rsid w:val="00F56388"/>
    <w:rsid w:val="00FC36E0"/>
    <w:rsid w:val="00FE78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5B504"/>
  <w15:docId w15:val="{C8F863CE-F8A9-492C-8D51-EA6D677E1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BalloonText">
    <w:name w:val="Balloon Text"/>
    <w:basedOn w:val="Normal"/>
    <w:link w:val="BalloonTextChar"/>
    <w:uiPriority w:val="99"/>
    <w:semiHidden/>
    <w:unhideWhenUsed/>
    <w:rsid w:val="004204E7"/>
    <w:rPr>
      <w:rFonts w:ascii="Tahoma" w:hAnsi="Tahoma" w:cs="Tahoma"/>
      <w:sz w:val="16"/>
      <w:szCs w:val="16"/>
    </w:rPr>
  </w:style>
  <w:style w:type="character" w:customStyle="1" w:styleId="BalloonTextChar">
    <w:name w:val="Balloon Text Char"/>
    <w:basedOn w:val="DefaultParagraphFont"/>
    <w:link w:val="BalloonText"/>
    <w:uiPriority w:val="99"/>
    <w:semiHidden/>
    <w:rsid w:val="004204E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452</TotalTime>
  <Pages>8</Pages>
  <Words>2350</Words>
  <Characters>13396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Elizabeth Obafemi</cp:lastModifiedBy>
  <cp:revision>43</cp:revision>
  <dcterms:created xsi:type="dcterms:W3CDTF">2026-04-18T01:47:00Z</dcterms:created>
  <dcterms:modified xsi:type="dcterms:W3CDTF">2026-04-18T11:12:00Z</dcterms:modified>
</cp:coreProperties>
</file>