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811782239"/>
        <w:docPartObj>
          <w:docPartGallery w:val="Cover Pages"/>
          <w:docPartUnique/>
        </w:docPartObj>
      </w:sdtPr>
      <w:sdtEndPr>
        <w:rPr>
          <w:color w:val="auto"/>
        </w:rPr>
      </w:sdtEndPr>
      <w:sdtContent>
        <w:p w14:paraId="0CC35977" w14:textId="0E2CCD5E" w:rsidR="0048460B" w:rsidRDefault="0048460B">
          <w:pPr>
            <w:pStyle w:val="NoSpacing"/>
            <w:spacing w:before="1540" w:after="240"/>
            <w:jc w:val="center"/>
            <w:rPr>
              <w:color w:val="4472C4" w:themeColor="accent1"/>
            </w:rPr>
          </w:pPr>
          <w:r>
            <w:rPr>
              <w:noProof/>
              <w:color w:val="4472C4" w:themeColor="accent1"/>
            </w:rPr>
            <w:drawing>
              <wp:inline distT="0" distB="0" distL="0" distR="0" wp14:anchorId="4E9BDC98" wp14:editId="46A987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72"/>
              <w:szCs w:val="72"/>
            </w:rPr>
            <w:alias w:val="Title"/>
            <w:tag w:val=""/>
            <w:id w:val="1735040861"/>
            <w:placeholder>
              <w:docPart w:val="A00C1ED362714547ABF7072F3F78CF9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D4BDF5B" w14:textId="5052BF9A" w:rsidR="0048460B" w:rsidRPr="0048460B" w:rsidRDefault="0048460B">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sz w:val="80"/>
                  <w:szCs w:val="80"/>
                </w:rPr>
              </w:pPr>
              <w:r w:rsidRPr="0048460B">
                <w:rPr>
                  <w:rFonts w:ascii="Times New Roman" w:eastAsiaTheme="majorEastAsia" w:hAnsi="Times New Roman" w:cs="Times New Roman"/>
                  <w:caps/>
                  <w:sz w:val="72"/>
                  <w:szCs w:val="72"/>
                </w:rPr>
                <w:t>Social Knowledge and Identity</w:t>
              </w:r>
            </w:p>
          </w:sdtContent>
        </w:sdt>
        <w:sdt>
          <w:sdtPr>
            <w:rPr>
              <w:rFonts w:ascii="Times New Roman" w:hAnsi="Times New Roman" w:cs="Times New Roman"/>
              <w:sz w:val="28"/>
              <w:szCs w:val="28"/>
            </w:rPr>
            <w:alias w:val="Subtitle"/>
            <w:tag w:val=""/>
            <w:id w:val="328029620"/>
            <w:placeholder>
              <w:docPart w:val="2D60AC0BAA37426287E809B8DBAC9D40"/>
            </w:placeholder>
            <w:dataBinding w:prefixMappings="xmlns:ns0='http://purl.org/dc/elements/1.1/' xmlns:ns1='http://schemas.openxmlformats.org/package/2006/metadata/core-properties' " w:xpath="/ns1:coreProperties[1]/ns0:subject[1]" w:storeItemID="{6C3C8BC8-F283-45AE-878A-BAB7291924A1}"/>
            <w:text/>
          </w:sdtPr>
          <w:sdtEndPr/>
          <w:sdtContent>
            <w:p w14:paraId="22C47795" w14:textId="6D596DAE" w:rsidR="0048460B" w:rsidRDefault="0048460B">
              <w:pPr>
                <w:pStyle w:val="NoSpacing"/>
                <w:jc w:val="center"/>
                <w:rPr>
                  <w:color w:val="4472C4" w:themeColor="accent1"/>
                  <w:sz w:val="28"/>
                  <w:szCs w:val="28"/>
                </w:rPr>
              </w:pPr>
              <w:r w:rsidRPr="0048460B">
                <w:rPr>
                  <w:rFonts w:ascii="Times New Roman" w:hAnsi="Times New Roman" w:cs="Times New Roman"/>
                  <w:sz w:val="28"/>
                  <w:szCs w:val="28"/>
                </w:rPr>
                <w:t>Communities of practice reflective assignment</w:t>
              </w:r>
            </w:p>
          </w:sdtContent>
        </w:sdt>
        <w:p w14:paraId="662C5A94" w14:textId="77777777" w:rsidR="0048460B" w:rsidRDefault="0048460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238E184" wp14:editId="4B30425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EndPr/>
                                <w:sdtContent>
                                  <w:p w14:paraId="165A17FE" w14:textId="2C642288" w:rsidR="0048460B" w:rsidRPr="00133E72" w:rsidRDefault="00133E72">
                                    <w:pPr>
                                      <w:pStyle w:val="NoSpacing"/>
                                      <w:spacing w:after="40"/>
                                      <w:jc w:val="center"/>
                                      <w:rPr>
                                        <w:rFonts w:ascii="Times New Roman" w:hAnsi="Times New Roman" w:cs="Times New Roman"/>
                                        <w:caps/>
                                        <w:sz w:val="28"/>
                                        <w:szCs w:val="28"/>
                                      </w:rPr>
                                    </w:pPr>
                                    <w:r w:rsidRPr="00133E72">
                                      <w:rPr>
                                        <w:rFonts w:ascii="Times New Roman" w:hAnsi="Times New Roman" w:cs="Times New Roman"/>
                                        <w:caps/>
                                        <w:sz w:val="28"/>
                                        <w:szCs w:val="28"/>
                                      </w:rPr>
                                      <w:t>May 5, 2020</w:t>
                                    </w:r>
                                  </w:p>
                                </w:sdtContent>
                              </w:sdt>
                              <w:p w14:paraId="41263C2F" w14:textId="432D9492" w:rsidR="0048460B" w:rsidRDefault="0048460B">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38E18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caps/>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Content>
                            <w:p w14:paraId="165A17FE" w14:textId="2C642288" w:rsidR="0048460B" w:rsidRPr="00133E72" w:rsidRDefault="00133E72">
                              <w:pPr>
                                <w:pStyle w:val="NoSpacing"/>
                                <w:spacing w:after="40"/>
                                <w:jc w:val="center"/>
                                <w:rPr>
                                  <w:rFonts w:ascii="Times New Roman" w:hAnsi="Times New Roman" w:cs="Times New Roman"/>
                                  <w:caps/>
                                  <w:sz w:val="28"/>
                                  <w:szCs w:val="28"/>
                                </w:rPr>
                              </w:pPr>
                              <w:r w:rsidRPr="00133E72">
                                <w:rPr>
                                  <w:rFonts w:ascii="Times New Roman" w:hAnsi="Times New Roman" w:cs="Times New Roman"/>
                                  <w:caps/>
                                  <w:sz w:val="28"/>
                                  <w:szCs w:val="28"/>
                                </w:rPr>
                                <w:t>May 5, 2020</w:t>
                              </w:r>
                            </w:p>
                          </w:sdtContent>
                        </w:sdt>
                        <w:p w14:paraId="41263C2F" w14:textId="432D9492" w:rsidR="0048460B" w:rsidRDefault="0048460B">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156D1491" wp14:editId="70B4610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726FF" w14:textId="27E28D6E" w:rsidR="0048460B" w:rsidRDefault="0048460B">
          <w:pPr>
            <w:rPr>
              <w:rFonts w:ascii="Times New Roman" w:hAnsi="Times New Roman"/>
              <w:sz w:val="24"/>
            </w:rPr>
          </w:pPr>
          <w:r>
            <w:br w:type="page"/>
          </w:r>
        </w:p>
      </w:sdtContent>
    </w:sdt>
    <w:p w14:paraId="6127C4AE" w14:textId="15374572" w:rsidR="00CD668A" w:rsidRDefault="006B4F90" w:rsidP="006B4F90">
      <w:pPr>
        <w:pStyle w:val="Dissertation"/>
        <w:ind w:firstLine="0"/>
      </w:pPr>
      <w:r>
        <w:lastRenderedPageBreak/>
        <w:tab/>
        <w:t>Too enable the critical reflectio</w:t>
      </w:r>
      <w:r w:rsidR="00D46395">
        <w:t>n</w:t>
      </w:r>
      <w:r>
        <w:t xml:space="preserve"> upon the role of chosen Community of Practice in supporting my personal and professional development using appropriate psychological theories, I have used my experience in the social care sector</w:t>
      </w:r>
      <w:r w:rsidR="00C650E1">
        <w:t xml:space="preserve">. This is as a residential care home </w:t>
      </w:r>
      <w:r w:rsidR="00410FC3">
        <w:t xml:space="preserve">which </w:t>
      </w:r>
      <w:r w:rsidR="00C650E1">
        <w:t>falls under the category of community of practice according to Hoadley</w:t>
      </w:r>
      <w:r w:rsidR="00B152E2">
        <w:rPr>
          <w:noProof/>
        </w:rPr>
        <w:t xml:space="preserve"> </w:t>
      </w:r>
      <w:sdt>
        <w:sdtPr>
          <w:rPr>
            <w:noProof/>
          </w:rPr>
          <w:id w:val="-1282185311"/>
          <w:citation/>
        </w:sdtPr>
        <w:sdtEndPr/>
        <w:sdtContent>
          <w:r w:rsidR="00B152E2">
            <w:rPr>
              <w:noProof/>
            </w:rPr>
            <w:fldChar w:fldCharType="begin"/>
          </w:r>
          <w:r w:rsidR="00B152E2">
            <w:rPr>
              <w:noProof/>
            </w:rPr>
            <w:instrText xml:space="preserve">CITATION Hoa12 \n  \t  \l 2057 </w:instrText>
          </w:r>
          <w:r w:rsidR="00B152E2">
            <w:rPr>
              <w:noProof/>
            </w:rPr>
            <w:fldChar w:fldCharType="separate"/>
          </w:r>
          <w:r w:rsidR="00B152E2">
            <w:rPr>
              <w:noProof/>
            </w:rPr>
            <w:t>(2012)</w:t>
          </w:r>
          <w:r w:rsidR="00B152E2">
            <w:rPr>
              <w:noProof/>
            </w:rPr>
            <w:fldChar w:fldCharType="end"/>
          </w:r>
        </w:sdtContent>
      </w:sdt>
      <w:r>
        <w:t>.</w:t>
      </w:r>
    </w:p>
    <w:p w14:paraId="06A40FF4" w14:textId="15F08C2E" w:rsidR="006B4F90" w:rsidRDefault="006B4F90" w:rsidP="006B4F90">
      <w:pPr>
        <w:pStyle w:val="Dissertation"/>
        <w:ind w:firstLine="0"/>
      </w:pPr>
      <w:r>
        <w:tab/>
      </w:r>
      <w:r w:rsidR="00380E5C">
        <w:t>Before starting in the position, I attended a two-week course leading to hopefully employment. This was a classroom-based style of traditional learning where I w</w:t>
      </w:r>
      <w:r w:rsidR="00D46395">
        <w:t>as</w:t>
      </w:r>
      <w:r w:rsidR="00380E5C">
        <w:t xml:space="preserve"> taught about food handling and hygiene, first aid at work, and </w:t>
      </w:r>
      <w:r w:rsidR="00410FC3">
        <w:t>H</w:t>
      </w:r>
      <w:r w:rsidR="00380E5C">
        <w:t xml:space="preserve">ealth and </w:t>
      </w:r>
      <w:r w:rsidR="00410FC3">
        <w:t>S</w:t>
      </w:r>
      <w:r w:rsidR="00380E5C">
        <w:t xml:space="preserve">afety which included the control of substances hazardous to health (COSHH). These gave me certificates that would prove useful </w:t>
      </w:r>
      <w:r w:rsidR="00410FC3">
        <w:t>for</w:t>
      </w:r>
      <w:r w:rsidR="00380E5C">
        <w:t xml:space="preserve"> gaining employment in social care.</w:t>
      </w:r>
      <w:r w:rsidR="00D46395">
        <w:t xml:space="preserve"> This style of learning followed the traditional</w:t>
      </w:r>
      <w:r w:rsidR="009745ED">
        <w:t xml:space="preserve"> classroom teaching</w:t>
      </w:r>
      <w:r w:rsidR="00D46395">
        <w:t xml:space="preserve"> </w:t>
      </w:r>
      <w:r w:rsidR="00410FC3">
        <w:t>methods.</w:t>
      </w:r>
    </w:p>
    <w:p w14:paraId="7BE84402" w14:textId="62AFB53D" w:rsidR="00380E5C" w:rsidRDefault="00380E5C" w:rsidP="006B4F90">
      <w:pPr>
        <w:pStyle w:val="Dissertation"/>
        <w:ind w:firstLine="0"/>
      </w:pPr>
      <w:r>
        <w:tab/>
        <w:t xml:space="preserve">When I attended work for the first time, I was nervous and unsure as to what exactly was </w:t>
      </w:r>
      <w:r w:rsidR="00D46395">
        <w:t>expected of me</w:t>
      </w:r>
      <w:r>
        <w:t xml:space="preserve">. </w:t>
      </w:r>
      <w:r w:rsidR="009745ED">
        <w:t>This is was what Lave and Wenger (1991) referred to as legitimate peripheral participation</w:t>
      </w:r>
      <w:r w:rsidR="00244CC1">
        <w:t xml:space="preserve"> </w:t>
      </w:r>
      <w:sdt>
        <w:sdtPr>
          <w:id w:val="1794329414"/>
          <w:citation/>
        </w:sdtPr>
        <w:sdtEndPr/>
        <w:sdtContent>
          <w:r w:rsidR="00244CC1">
            <w:fldChar w:fldCharType="begin"/>
          </w:r>
          <w:r w:rsidR="00E90870">
            <w:instrText xml:space="preserve">CITATION Ful05 \m Mal06 \m Wen00 \l 2057 </w:instrText>
          </w:r>
          <w:r w:rsidR="00244CC1">
            <w:fldChar w:fldCharType="separate"/>
          </w:r>
          <w:r w:rsidR="00E90870">
            <w:rPr>
              <w:noProof/>
            </w:rPr>
            <w:t>(Fuller, Hodkinson, Hodkinson, &amp; Unwin, 2005; Mallinson, Popay, Kowarzik, &amp; Mackian, 2006; Wenger, 2000)</w:t>
          </w:r>
          <w:r w:rsidR="00244CC1">
            <w:fldChar w:fldCharType="end"/>
          </w:r>
        </w:sdtContent>
      </w:sdt>
      <w:r w:rsidR="0042290C">
        <w:t xml:space="preserve">, </w:t>
      </w:r>
      <w:r w:rsidR="009745ED">
        <w:t xml:space="preserve">in that I was a novice entering a community of practice. </w:t>
      </w:r>
      <w:r>
        <w:t xml:space="preserve">I was assigned a mentor to </w:t>
      </w:r>
      <w:r w:rsidR="00C814EF">
        <w:t>initially shadow, and then to start carrying out duties under their observation</w:t>
      </w:r>
      <w:r w:rsidR="009745ED">
        <w:t xml:space="preserve">, which meant that I was gradually taking up the groups practices </w:t>
      </w:r>
      <w:sdt>
        <w:sdtPr>
          <w:id w:val="2065364938"/>
          <w:citation/>
        </w:sdtPr>
        <w:sdtEndPr/>
        <w:sdtContent>
          <w:r w:rsidR="00244CC1">
            <w:fldChar w:fldCharType="begin"/>
          </w:r>
          <w:r w:rsidR="00244CC1">
            <w:rPr>
              <w:noProof/>
            </w:rPr>
            <w:instrText xml:space="preserve"> CITATION Ful05 \l 2057 </w:instrText>
          </w:r>
          <w:r w:rsidR="00244CC1">
            <w:fldChar w:fldCharType="separate"/>
          </w:r>
          <w:r w:rsidR="00244CC1">
            <w:rPr>
              <w:noProof/>
            </w:rPr>
            <w:t>(Fuller, Hodkinson, Hodkinson, &amp; Unwin, 2005)</w:t>
          </w:r>
          <w:r w:rsidR="00244CC1">
            <w:fldChar w:fldCharType="end"/>
          </w:r>
        </w:sdtContent>
      </w:sdt>
      <w:sdt>
        <w:sdtPr>
          <w:id w:val="-347252165"/>
          <w:citation/>
        </w:sdtPr>
        <w:sdtEndPr/>
        <w:sdtContent>
          <w:r w:rsidR="00244CC1">
            <w:fldChar w:fldCharType="begin"/>
          </w:r>
          <w:r w:rsidR="00244CC1">
            <w:instrText xml:space="preserve"> CITATION Han06 \l 2057 </w:instrText>
          </w:r>
          <w:r w:rsidR="00244CC1">
            <w:fldChar w:fldCharType="separate"/>
          </w:r>
          <w:r w:rsidR="00244CC1">
            <w:rPr>
              <w:noProof/>
            </w:rPr>
            <w:t xml:space="preserve"> (Handley, Sturdy, Fincham, &amp; Clark, 2006)</w:t>
          </w:r>
          <w:r w:rsidR="00244CC1">
            <w:fldChar w:fldCharType="end"/>
          </w:r>
        </w:sdtContent>
      </w:sdt>
      <w:sdt>
        <w:sdtPr>
          <w:id w:val="-174258971"/>
          <w:citation/>
        </w:sdtPr>
        <w:sdtEndPr/>
        <w:sdtContent>
          <w:r w:rsidR="00244CC1">
            <w:fldChar w:fldCharType="begin"/>
          </w:r>
          <w:r w:rsidR="00244CC1">
            <w:instrText xml:space="preserve"> CITATION Lav91 \l 2057 </w:instrText>
          </w:r>
          <w:r w:rsidR="00244CC1">
            <w:fldChar w:fldCharType="separate"/>
          </w:r>
          <w:r w:rsidR="00244CC1">
            <w:rPr>
              <w:noProof/>
            </w:rPr>
            <w:t xml:space="preserve"> (Lave &amp; Wenger, 1991)</w:t>
          </w:r>
          <w:r w:rsidR="00244CC1">
            <w:fldChar w:fldCharType="end"/>
          </w:r>
        </w:sdtContent>
      </w:sdt>
      <w:sdt>
        <w:sdtPr>
          <w:id w:val="-442772657"/>
          <w:citation/>
        </w:sdtPr>
        <w:sdtEndPr/>
        <w:sdtContent>
          <w:r w:rsidR="00244CC1">
            <w:fldChar w:fldCharType="begin"/>
          </w:r>
          <w:r w:rsidR="00E90870">
            <w:instrText xml:space="preserve">CITATION Mal06 \l 2057 </w:instrText>
          </w:r>
          <w:r w:rsidR="00244CC1">
            <w:fldChar w:fldCharType="separate"/>
          </w:r>
          <w:r w:rsidR="00E90870">
            <w:rPr>
              <w:noProof/>
            </w:rPr>
            <w:t xml:space="preserve"> (Mallinson, Popay, Kowarzik, &amp; Mackian, 2006)</w:t>
          </w:r>
          <w:r w:rsidR="00244CC1">
            <w:fldChar w:fldCharType="end"/>
          </w:r>
        </w:sdtContent>
      </w:sdt>
      <w:sdt>
        <w:sdtPr>
          <w:id w:val="-1206403605"/>
          <w:citation/>
        </w:sdtPr>
        <w:sdtEndPr/>
        <w:sdtContent>
          <w:r w:rsidR="00244CC1">
            <w:fldChar w:fldCharType="begin"/>
          </w:r>
          <w:r w:rsidR="00244CC1">
            <w:instrText xml:space="preserve"> CITATION Wen00 \l 2057 </w:instrText>
          </w:r>
          <w:r w:rsidR="00244CC1">
            <w:fldChar w:fldCharType="separate"/>
          </w:r>
          <w:r w:rsidR="00244CC1">
            <w:rPr>
              <w:noProof/>
            </w:rPr>
            <w:t xml:space="preserve"> (Wenger, 2000)</w:t>
          </w:r>
          <w:r w:rsidR="00244CC1">
            <w:fldChar w:fldCharType="end"/>
          </w:r>
        </w:sdtContent>
      </w:sdt>
      <w:r w:rsidR="00C814EF">
        <w:t>.</w:t>
      </w:r>
      <w:r>
        <w:t xml:space="preserve"> </w:t>
      </w:r>
      <w:r w:rsidR="003519F8">
        <w:t xml:space="preserve">I also had to familiarise myself with the homes rules and regulations and those laid down by the </w:t>
      </w:r>
      <w:r w:rsidR="00410FC3">
        <w:t>C</w:t>
      </w:r>
      <w:r w:rsidR="003519F8">
        <w:t xml:space="preserve">are </w:t>
      </w:r>
      <w:r w:rsidR="00410FC3">
        <w:t>C</w:t>
      </w:r>
      <w:r w:rsidR="003519F8">
        <w:t>ommission.</w:t>
      </w:r>
    </w:p>
    <w:p w14:paraId="251AF766" w14:textId="4AD0D3E1" w:rsidR="00C814EF" w:rsidRDefault="00C814EF" w:rsidP="006B4F90">
      <w:pPr>
        <w:pStyle w:val="Dissertation"/>
        <w:ind w:firstLine="0"/>
      </w:pPr>
      <w:r>
        <w:tab/>
        <w:t xml:space="preserve">I learnt by observing </w:t>
      </w:r>
      <w:r w:rsidR="00D46395">
        <w:t>how things were</w:t>
      </w:r>
      <w:r>
        <w:t xml:space="preserve"> </w:t>
      </w:r>
      <w:r w:rsidR="00D46395">
        <w:t>carried out</w:t>
      </w:r>
      <w:r w:rsidR="00E90870">
        <w:t xml:space="preserve">, </w:t>
      </w:r>
      <w:r w:rsidR="00410FC3">
        <w:t xml:space="preserve">as </w:t>
      </w:r>
      <w:r w:rsidR="00E90870">
        <w:t xml:space="preserve">this follows with Bandura’s social learning theory (1977), </w:t>
      </w:r>
      <w:r>
        <w:t>and then</w:t>
      </w:r>
      <w:r w:rsidR="00410FC3">
        <w:t xml:space="preserve"> I was</w:t>
      </w:r>
      <w:r>
        <w:t xml:space="preserve"> gradually allowed to assist before carrying out the duty whilst being observed. This went on for a couple of weeks until I was given full responsibility for my own actions in providing care and assistance to the residents</w:t>
      </w:r>
      <w:r w:rsidR="00E90870">
        <w:t xml:space="preserve">, thus I </w:t>
      </w:r>
      <w:r w:rsidR="00E90870">
        <w:lastRenderedPageBreak/>
        <w:t xml:space="preserve">could claim competence </w:t>
      </w:r>
      <w:sdt>
        <w:sdtPr>
          <w:id w:val="-1116367484"/>
          <w:citation/>
        </w:sdtPr>
        <w:sdtEndPr/>
        <w:sdtContent>
          <w:r w:rsidR="00E90870">
            <w:fldChar w:fldCharType="begin"/>
          </w:r>
          <w:r w:rsidR="00E90870">
            <w:instrText xml:space="preserve"> CITATION Han06 \l 2057  \m Lav91 \m Roc19 \m Wen00</w:instrText>
          </w:r>
          <w:r w:rsidR="00E90870">
            <w:fldChar w:fldCharType="separate"/>
          </w:r>
          <w:r w:rsidR="00E90870">
            <w:rPr>
              <w:noProof/>
            </w:rPr>
            <w:t>(Handley, Sturdy, Fincham, &amp; Clark, 2006; Lave &amp; Wenger, 1991; Rochira, De Simone, Mannarini, &amp; Salvatore, 2019; Wenger, 2000)</w:t>
          </w:r>
          <w:r w:rsidR="00E90870">
            <w:fldChar w:fldCharType="end"/>
          </w:r>
        </w:sdtContent>
      </w:sdt>
      <w:r>
        <w:t>. This felt like a huge leap at the time as my self</w:t>
      </w:r>
      <w:r w:rsidR="00410FC3">
        <w:t>-</w:t>
      </w:r>
      <w:r>
        <w:t xml:space="preserve">esteem was not very good and was worried about </w:t>
      </w:r>
      <w:r w:rsidR="00410FC3">
        <w:t>‘</w:t>
      </w:r>
      <w:r>
        <w:t>messing u</w:t>
      </w:r>
      <w:r w:rsidR="00E90870">
        <w:t>p</w:t>
      </w:r>
      <w:r w:rsidR="00410FC3">
        <w:t>’</w:t>
      </w:r>
      <w:r w:rsidR="00E90870">
        <w:t>, this really helped me to feel that I had achieved the requirements to belong</w:t>
      </w:r>
      <w:r>
        <w:t>.</w:t>
      </w:r>
    </w:p>
    <w:p w14:paraId="7A575B53" w14:textId="3B4D7791" w:rsidR="00C814EF" w:rsidRDefault="00C814EF" w:rsidP="006B4F90">
      <w:pPr>
        <w:pStyle w:val="Dissertation"/>
        <w:ind w:firstLine="0"/>
      </w:pPr>
      <w:r>
        <w:tab/>
        <w:t xml:space="preserve">Once I was settled in the position as carer, I was sent out on day courses to learn more about dementia, safeguarding, </w:t>
      </w:r>
      <w:r w:rsidR="005F2EDF">
        <w:t xml:space="preserve">treating the individuals with dignity, even in what may have been slightly undignified situations, for example, changing incontinence pads for individuals who were urine incontinent or double incontinent. </w:t>
      </w:r>
      <w:r w:rsidR="00E90870">
        <w:t xml:space="preserve">This was provide by outside agencies that </w:t>
      </w:r>
      <w:r w:rsidR="00AA1B11">
        <w:t xml:space="preserve">allowed for alignment of boundary dimensions </w:t>
      </w:r>
      <w:sdt>
        <w:sdtPr>
          <w:id w:val="-100887276"/>
          <w:citation/>
        </w:sdtPr>
        <w:sdtEndPr/>
        <w:sdtContent>
          <w:r w:rsidR="00AA1B11">
            <w:fldChar w:fldCharType="begin"/>
          </w:r>
          <w:r w:rsidR="00AA1B11">
            <w:instrText xml:space="preserve"> CITATION Wen00 \l 2057 </w:instrText>
          </w:r>
          <w:r w:rsidR="00AA1B11">
            <w:fldChar w:fldCharType="separate"/>
          </w:r>
          <w:r w:rsidR="00AA1B11">
            <w:rPr>
              <w:noProof/>
            </w:rPr>
            <w:t>(Wenger, 2000)</w:t>
          </w:r>
          <w:r w:rsidR="00AA1B11">
            <w:fldChar w:fldCharType="end"/>
          </w:r>
        </w:sdtContent>
      </w:sdt>
      <w:r w:rsidR="00AA1B11">
        <w:t>, from other communities of practice within the field of social care</w:t>
      </w:r>
      <w:r w:rsidR="004F3C74">
        <w:t>, with input from both community nurses, social workers, and mental health teams</w:t>
      </w:r>
      <w:r w:rsidR="00AC61FA">
        <w:t xml:space="preserve">. As these various outside agencies were responsible for different aspects of each residents, and from different areas, </w:t>
      </w:r>
      <w:r w:rsidR="00C650E1">
        <w:t>this follows what Lev Vygotsky (1896-1934) described as the zone of proximal development</w:t>
      </w:r>
      <w:r w:rsidR="00C14C1E">
        <w:t xml:space="preserve"> </w:t>
      </w:r>
      <w:sdt>
        <w:sdtPr>
          <w:id w:val="413128377"/>
          <w:citation/>
        </w:sdtPr>
        <w:sdtEndPr/>
        <w:sdtContent>
          <w:r w:rsidR="00C14C1E">
            <w:fldChar w:fldCharType="begin"/>
          </w:r>
          <w:r w:rsidR="00C14C1E">
            <w:instrText xml:space="preserve"> CITATION Doo97 \l 2057 </w:instrText>
          </w:r>
          <w:r w:rsidR="00C14C1E">
            <w:fldChar w:fldCharType="separate"/>
          </w:r>
          <w:r w:rsidR="00C14C1E">
            <w:rPr>
              <w:noProof/>
            </w:rPr>
            <w:t>(Doolittle, 1997)</w:t>
          </w:r>
          <w:r w:rsidR="00C14C1E">
            <w:fldChar w:fldCharType="end"/>
          </w:r>
        </w:sdtContent>
      </w:sdt>
      <w:r w:rsidR="00C650E1">
        <w:t>.</w:t>
      </w:r>
      <w:r w:rsidR="00033A99">
        <w:t xml:space="preserve"> These meaningful interactions with outside agencies meant that the individual</w:t>
      </w:r>
      <w:r w:rsidR="00410FC3">
        <w:t>,</w:t>
      </w:r>
      <w:r w:rsidR="00033A99">
        <w:t xml:space="preserve"> either the manager or myself as senior carer was acting as a broker </w:t>
      </w:r>
      <w:sdt>
        <w:sdtPr>
          <w:id w:val="628441285"/>
          <w:citation/>
        </w:sdtPr>
        <w:sdtEndPr/>
        <w:sdtContent>
          <w:r w:rsidR="00033A99">
            <w:fldChar w:fldCharType="begin"/>
          </w:r>
          <w:r w:rsidR="00033A99">
            <w:instrText xml:space="preserve"> CITATION Wen00 \l 2057 </w:instrText>
          </w:r>
          <w:r w:rsidR="00033A99">
            <w:fldChar w:fldCharType="separate"/>
          </w:r>
          <w:r w:rsidR="00033A99">
            <w:rPr>
              <w:noProof/>
            </w:rPr>
            <w:t>(Wenger, 2000)</w:t>
          </w:r>
          <w:r w:rsidR="00033A99">
            <w:fldChar w:fldCharType="end"/>
          </w:r>
        </w:sdtContent>
      </w:sdt>
      <w:r w:rsidR="00410FC3">
        <w:t>.</w:t>
      </w:r>
    </w:p>
    <w:p w14:paraId="5F61C1C9" w14:textId="1752C021" w:rsidR="005F2EDF" w:rsidRDefault="005F2EDF" w:rsidP="006B4F90">
      <w:pPr>
        <w:pStyle w:val="Dissertation"/>
        <w:ind w:firstLine="0"/>
      </w:pPr>
      <w:r>
        <w:tab/>
        <w:t>Some of the residents would assist in letting you know what they needed specific help with, whilst others who had communication difficulties had other ways of letting you know if you were doing things correctly or incorrectly</w:t>
      </w:r>
      <w:r w:rsidR="004F3C74">
        <w:t>. This enabled m</w:t>
      </w:r>
      <w:r w:rsidR="00C650E1">
        <w:t xml:space="preserve">e </w:t>
      </w:r>
      <w:r w:rsidR="004F3C74">
        <w:t>to gain a sense of community</w:t>
      </w:r>
      <w:sdt>
        <w:sdtPr>
          <w:id w:val="1976561785"/>
          <w:citation/>
        </w:sdtPr>
        <w:sdtEndPr/>
        <w:sdtContent>
          <w:r w:rsidR="004F3C74">
            <w:fldChar w:fldCharType="begin"/>
          </w:r>
          <w:r w:rsidR="004F3C74">
            <w:instrText xml:space="preserve"> CITATION Roc19 \l 2057 </w:instrText>
          </w:r>
          <w:r w:rsidR="004F3C74">
            <w:fldChar w:fldCharType="separate"/>
          </w:r>
          <w:r w:rsidR="004F3C74">
            <w:rPr>
              <w:noProof/>
            </w:rPr>
            <w:t xml:space="preserve"> (Rochira, De Simone, Mannarini, &amp; Salvatore, 2019)</w:t>
          </w:r>
          <w:r w:rsidR="004F3C74">
            <w:fldChar w:fldCharType="end"/>
          </w:r>
        </w:sdtContent>
      </w:sdt>
      <w:r>
        <w:t xml:space="preserve">. </w:t>
      </w:r>
    </w:p>
    <w:p w14:paraId="26172628" w14:textId="78E7BD0D" w:rsidR="00381F86" w:rsidRDefault="00381F86" w:rsidP="006B4F90">
      <w:pPr>
        <w:pStyle w:val="Dissertation"/>
        <w:ind w:firstLine="0"/>
      </w:pPr>
      <w:r>
        <w:tab/>
        <w:t xml:space="preserve">As we were a residential home, </w:t>
      </w:r>
      <w:r w:rsidR="00E40FCD">
        <w:t xml:space="preserve">and therefore </w:t>
      </w:r>
      <w:r w:rsidR="00410FC3">
        <w:t xml:space="preserve">do </w:t>
      </w:r>
      <w:r w:rsidR="00E40FCD">
        <w:t xml:space="preserve">not have a nurse on staff, if dressings needed </w:t>
      </w:r>
      <w:r w:rsidR="00D46395">
        <w:t>changing</w:t>
      </w:r>
      <w:r w:rsidR="00E40FCD">
        <w:t xml:space="preserve"> or skin abrasions or lesions needed looking </w:t>
      </w:r>
      <w:r w:rsidR="00D46395">
        <w:t>at,</w:t>
      </w:r>
      <w:r w:rsidR="00E40FCD">
        <w:t xml:space="preserve"> we would rely on the district nurses. This I found fascinating and </w:t>
      </w:r>
      <w:r w:rsidR="00410FC3">
        <w:t xml:space="preserve">I </w:t>
      </w:r>
      <w:r w:rsidR="00E40FCD">
        <w:t>really liked accompanying the nurse to learn more about caring for the residents</w:t>
      </w:r>
      <w:r w:rsidR="00410FC3">
        <w:t>. One</w:t>
      </w:r>
      <w:r w:rsidR="00E40FCD">
        <w:t xml:space="preserve"> lesson I learnt was that when applying </w:t>
      </w:r>
      <w:r w:rsidR="00410FC3">
        <w:t>S</w:t>
      </w:r>
      <w:r w:rsidR="00E40FCD">
        <w:t xml:space="preserve">udocrem to residents nether regions, it should only be applied sparingly as too much would cause the skin </w:t>
      </w:r>
      <w:r w:rsidR="00E40FCD">
        <w:lastRenderedPageBreak/>
        <w:t xml:space="preserve">to dry out, I found this out after the nurse removed an incontinence pad from an individual and it looked like half a tub had been applied, </w:t>
      </w:r>
      <w:r w:rsidR="00C650E1">
        <w:t>th</w:t>
      </w:r>
      <w:r w:rsidR="00E40FCD">
        <w:t xml:space="preserve">e </w:t>
      </w:r>
      <w:r w:rsidR="00C650E1">
        <w:t xml:space="preserve">nurse </w:t>
      </w:r>
      <w:r w:rsidR="00E40FCD">
        <w:t>became rather agitated and explained the reason why it should not be plastered on</w:t>
      </w:r>
      <w:r w:rsidR="00410FC3">
        <w:t>.</w:t>
      </w:r>
      <w:r w:rsidR="00C14C1E">
        <w:t xml:space="preserve"> </w:t>
      </w:r>
      <w:r w:rsidR="00410FC3">
        <w:t>T</w:t>
      </w:r>
      <w:r w:rsidR="00C14C1E">
        <w:t xml:space="preserve">his is a further example of cooperative learning </w:t>
      </w:r>
      <w:sdt>
        <w:sdtPr>
          <w:id w:val="471107550"/>
          <w:citation/>
        </w:sdtPr>
        <w:sdtEndPr/>
        <w:sdtContent>
          <w:r w:rsidR="00C14C1E">
            <w:fldChar w:fldCharType="begin"/>
          </w:r>
          <w:r w:rsidR="00C14C1E">
            <w:instrText xml:space="preserve"> CITATION Doo97 \l 2057 </w:instrText>
          </w:r>
          <w:r w:rsidR="00C14C1E">
            <w:fldChar w:fldCharType="separate"/>
          </w:r>
          <w:r w:rsidR="00C14C1E">
            <w:rPr>
              <w:noProof/>
            </w:rPr>
            <w:t>(Doolittle, 1997)</w:t>
          </w:r>
          <w:r w:rsidR="00C14C1E">
            <w:fldChar w:fldCharType="end"/>
          </w:r>
        </w:sdtContent>
      </w:sdt>
      <w:r w:rsidR="00E40FCD">
        <w:t>, and this was a sign that the carer was more interested in getting the job done than caring about the person</w:t>
      </w:r>
      <w:r w:rsidR="00B152E2">
        <w:t xml:space="preserve">, this is describe by </w:t>
      </w:r>
      <w:r w:rsidR="00E40FCD">
        <w:t>.</w:t>
      </w:r>
    </w:p>
    <w:p w14:paraId="57D7F072" w14:textId="24E30A51" w:rsidR="005F2EDF" w:rsidRDefault="00381F86" w:rsidP="006B4F90">
      <w:pPr>
        <w:pStyle w:val="Dissertation"/>
        <w:ind w:firstLine="0"/>
      </w:pPr>
      <w:r>
        <w:tab/>
      </w:r>
      <w:r w:rsidR="005F2EDF">
        <w:t xml:space="preserve">After my probationary period which lasted three months, I </w:t>
      </w:r>
      <w:r w:rsidR="00410FC3">
        <w:t xml:space="preserve">was </w:t>
      </w:r>
      <w:r w:rsidR="00E40FCD">
        <w:t>offered a position as</w:t>
      </w:r>
      <w:r w:rsidR="005F2EDF">
        <w:t xml:space="preserve"> a full carer and shortly afterwards</w:t>
      </w:r>
      <w:r w:rsidR="00E40FCD">
        <w:t xml:space="preserve">, about three months, </w:t>
      </w:r>
      <w:r w:rsidR="00410FC3">
        <w:t xml:space="preserve">was </w:t>
      </w:r>
      <w:r w:rsidR="005F2EDF">
        <w:t>offered a position as senior carer</w:t>
      </w:r>
      <w:r w:rsidR="00410FC3">
        <w:t>.</w:t>
      </w:r>
      <w:r w:rsidR="004F3C74">
        <w:t xml:space="preserve"> </w:t>
      </w:r>
      <w:r w:rsidR="00410FC3">
        <w:t>T</w:t>
      </w:r>
      <w:r w:rsidR="004F3C74">
        <w:t>his</w:t>
      </w:r>
      <w:r w:rsidR="00C650E1">
        <w:t xml:space="preserve"> is an example of the leadership style </w:t>
      </w:r>
      <w:sdt>
        <w:sdtPr>
          <w:id w:val="-1154222063"/>
          <w:citation/>
        </w:sdtPr>
        <w:sdtEndPr/>
        <w:sdtContent>
          <w:r w:rsidR="00C650E1">
            <w:fldChar w:fldCharType="begin"/>
          </w:r>
          <w:r w:rsidR="00C650E1">
            <w:instrText xml:space="preserve"> CITATION Osh04 \l 2057 </w:instrText>
          </w:r>
          <w:r w:rsidR="00C650E1">
            <w:fldChar w:fldCharType="separate"/>
          </w:r>
          <w:r w:rsidR="00C650E1">
            <w:rPr>
              <w:noProof/>
            </w:rPr>
            <w:t>(Oshagbemi &amp; Gill, 2004)</w:t>
          </w:r>
          <w:r w:rsidR="00C650E1">
            <w:fldChar w:fldCharType="end"/>
          </w:r>
        </w:sdtContent>
      </w:sdt>
      <w:r w:rsidR="00C650E1">
        <w:t xml:space="preserve"> employed within the care sector, where managers train up their own staff rather than employ outsiders</w:t>
      </w:r>
      <w:r w:rsidR="000027C6">
        <w:t xml:space="preserve"> </w:t>
      </w:r>
      <w:sdt>
        <w:sdtPr>
          <w:id w:val="-1415009484"/>
          <w:citation/>
        </w:sdtPr>
        <w:sdtEndPr/>
        <w:sdtContent>
          <w:r w:rsidR="000027C6">
            <w:fldChar w:fldCharType="begin"/>
          </w:r>
          <w:r w:rsidR="000027C6">
            <w:instrText xml:space="preserve"> CITATION Ami00 \l 2057 </w:instrText>
          </w:r>
          <w:r w:rsidR="000027C6">
            <w:fldChar w:fldCharType="separate"/>
          </w:r>
          <w:r w:rsidR="000027C6">
            <w:rPr>
              <w:noProof/>
            </w:rPr>
            <w:t>(Amin &amp; Cohendet, 2000)</w:t>
          </w:r>
          <w:r w:rsidR="000027C6">
            <w:fldChar w:fldCharType="end"/>
          </w:r>
        </w:sdtContent>
      </w:sdt>
      <w:r w:rsidR="005F2EDF">
        <w:t>. This involved learning how to both record and administer the medications that had been prescribed by their doctor or specialist. This involved</w:t>
      </w:r>
      <w:r w:rsidR="00410FC3">
        <w:t>,</w:t>
      </w:r>
      <w:r w:rsidR="005F2EDF">
        <w:t xml:space="preserve"> firstly observing and then assisting in the drug round, of which there were two during a day shift and one on night shift. I was then for a few days observed administering</w:t>
      </w:r>
      <w:r w:rsidR="00410FC3">
        <w:t>, and</w:t>
      </w:r>
      <w:r w:rsidR="005F2EDF">
        <w:t xml:space="preserve"> assisting some residents taking </w:t>
      </w:r>
      <w:r w:rsidR="009E6C46">
        <w:t xml:space="preserve">medications </w:t>
      </w:r>
      <w:r w:rsidR="005F2EDF">
        <w:t xml:space="preserve">and recording on the appropriate documentation. I also had to learn what and how to write in the </w:t>
      </w:r>
      <w:r w:rsidR="003519F8">
        <w:t>resident’s</w:t>
      </w:r>
      <w:r w:rsidR="005F2EDF">
        <w:t xml:space="preserve"> notes, which each resident had and was a record of what </w:t>
      </w:r>
      <w:r w:rsidR="003519F8">
        <w:t>assistance if any had been given</w:t>
      </w:r>
      <w:r w:rsidR="009E6C46">
        <w:t>; e.g.</w:t>
      </w:r>
      <w:r w:rsidR="003519F8">
        <w:t xml:space="preserve"> personal hygiene recorded, and medications taken or refused. I was also then responsible for leading the shift which consisted of two or three carers and ensuring that they were complying with both care home rules and regulations but also those laid down by the care commission. </w:t>
      </w:r>
    </w:p>
    <w:p w14:paraId="456DBC68" w14:textId="4131040A" w:rsidR="003519F8" w:rsidRDefault="003519F8" w:rsidP="006B4F90">
      <w:pPr>
        <w:pStyle w:val="Dissertation"/>
        <w:ind w:firstLine="0"/>
      </w:pPr>
      <w:r>
        <w:tab/>
        <w:t xml:space="preserve">There were some of the carers </w:t>
      </w:r>
      <w:r w:rsidR="009E6C46">
        <w:t>who</w:t>
      </w:r>
      <w:r>
        <w:t xml:space="preserve"> were not happy that I had been put in the position of responsibility when they had been there longer than I had, they thought that seniority not ability meant being promoted</w:t>
      </w:r>
      <w:r w:rsidR="00B152E2">
        <w:t xml:space="preserve"> </w:t>
      </w:r>
      <w:sdt>
        <w:sdtPr>
          <w:id w:val="-1165927098"/>
          <w:citation/>
        </w:sdtPr>
        <w:sdtEndPr/>
        <w:sdtContent>
          <w:r w:rsidR="00B152E2">
            <w:fldChar w:fldCharType="begin"/>
          </w:r>
          <w:r w:rsidR="00B152E2">
            <w:instrText xml:space="preserve"> CITATION Dog01 \l 2057 </w:instrText>
          </w:r>
          <w:r w:rsidR="00B152E2">
            <w:fldChar w:fldCharType="separate"/>
          </w:r>
          <w:r w:rsidR="00B152E2">
            <w:rPr>
              <w:noProof/>
            </w:rPr>
            <w:t>(Dogan &amp; Vecchio, 2001)</w:t>
          </w:r>
          <w:r w:rsidR="00B152E2">
            <w:fldChar w:fldCharType="end"/>
          </w:r>
        </w:sdtContent>
      </w:sdt>
      <w:r w:rsidR="00B152E2">
        <w:t>, this resulted in being reported for stalking one of the female workers, when this came to light the female in question was told to grow up</w:t>
      </w:r>
      <w:r>
        <w:t>.</w:t>
      </w:r>
    </w:p>
    <w:p w14:paraId="61D542EF" w14:textId="4F026470" w:rsidR="003519F8" w:rsidRDefault="003519F8" w:rsidP="006B4F90">
      <w:pPr>
        <w:pStyle w:val="Dissertation"/>
        <w:ind w:firstLine="0"/>
      </w:pPr>
      <w:r>
        <w:lastRenderedPageBreak/>
        <w:tab/>
        <w:t>After my first wife became disabled, I changed to permanent night shifts as a senior carer, this role</w:t>
      </w:r>
      <w:r w:rsidR="009E6C46">
        <w:t>,</w:t>
      </w:r>
      <w:r>
        <w:t xml:space="preserve"> although similar was slightly different in that there was only myself and a carer, I then became solely responsible for not only the well-being and safety of the residents and my colleague, but also the security of the building.</w:t>
      </w:r>
    </w:p>
    <w:p w14:paraId="38AE04CD" w14:textId="2758A779" w:rsidR="0044553E" w:rsidRDefault="0044553E" w:rsidP="006B4F90">
      <w:pPr>
        <w:pStyle w:val="Dissertation"/>
        <w:ind w:firstLine="0"/>
      </w:pPr>
      <w:r>
        <w:tab/>
        <w:t>One of the biggest hurdles I faced was that a lot of carers that had been working in care for a long time were set in their ways and were not very receptive to change. Care homes used to be run for the convenience of the staff</w:t>
      </w:r>
      <w:r w:rsidR="009E6C46">
        <w:t xml:space="preserve"> and</w:t>
      </w:r>
      <w:r>
        <w:t>, this was being slowly changed into person centred care. This meant that more time</w:t>
      </w:r>
      <w:r w:rsidR="00E40FCD">
        <w:t xml:space="preserve"> should be </w:t>
      </w:r>
      <w:r>
        <w:t>spent with the residents and that they should be given the choices. For example, some members of staff would just open a resident’s wardrobe take out an outfit and dress the resident</w:t>
      </w:r>
      <w:r w:rsidR="009E6C46">
        <w:t>s.</w:t>
      </w:r>
      <w:r>
        <w:t xml:space="preserve"> </w:t>
      </w:r>
      <w:r w:rsidR="009E6C46">
        <w:t>T</w:t>
      </w:r>
      <w:r>
        <w:t>his changed to opening the wardrobe and letting the resident choose their outfit. This meant having to have a greater awareness of how the individual was able to communicate with the carer, and the carer communicating effectively with the resident</w:t>
      </w:r>
      <w:r w:rsidR="00B152E2">
        <w:t xml:space="preserve"> </w:t>
      </w:r>
      <w:sdt>
        <w:sdtPr>
          <w:id w:val="1181163101"/>
          <w:citation/>
        </w:sdtPr>
        <w:sdtEndPr/>
        <w:sdtContent>
          <w:r w:rsidR="00B152E2">
            <w:fldChar w:fldCharType="begin"/>
          </w:r>
          <w:r w:rsidR="00B152E2">
            <w:instrText xml:space="preserve"> CITATION DeV13 \l 2057 </w:instrText>
          </w:r>
          <w:r w:rsidR="00B152E2">
            <w:fldChar w:fldCharType="separate"/>
          </w:r>
          <w:r w:rsidR="00B152E2">
            <w:rPr>
              <w:noProof/>
            </w:rPr>
            <w:t>(De Vries, 2013)</w:t>
          </w:r>
          <w:r w:rsidR="00B152E2">
            <w:fldChar w:fldCharType="end"/>
          </w:r>
        </w:sdtContent>
      </w:sdt>
      <w:r>
        <w:t>.</w:t>
      </w:r>
      <w:r w:rsidR="00834199">
        <w:t xml:space="preserve"> This not wanting to comply with the new ways of working are described as disagreements by Roberts </w:t>
      </w:r>
      <w:sdt>
        <w:sdtPr>
          <w:id w:val="1488435422"/>
          <w:citation/>
        </w:sdtPr>
        <w:sdtEndPr/>
        <w:sdtContent>
          <w:r w:rsidR="00834199">
            <w:fldChar w:fldCharType="begin"/>
          </w:r>
          <w:r w:rsidR="00834199">
            <w:instrText xml:space="preserve">CITATION Rob06 \n  \t  \l 2057 </w:instrText>
          </w:r>
          <w:r w:rsidR="00834199">
            <w:fldChar w:fldCharType="separate"/>
          </w:r>
          <w:r w:rsidR="00834199">
            <w:rPr>
              <w:noProof/>
            </w:rPr>
            <w:t>(2006)</w:t>
          </w:r>
          <w:r w:rsidR="00834199">
            <w:fldChar w:fldCharType="end"/>
          </w:r>
        </w:sdtContent>
      </w:sdt>
      <w:r w:rsidR="00834199">
        <w:t>.</w:t>
      </w:r>
    </w:p>
    <w:p w14:paraId="4A94A9AD" w14:textId="7E0FD294" w:rsidR="00C814EF" w:rsidRDefault="0044553E" w:rsidP="006B4F90">
      <w:pPr>
        <w:pStyle w:val="Dissertation"/>
        <w:ind w:firstLine="0"/>
      </w:pPr>
      <w:r>
        <w:tab/>
        <w:t>At the beginning of every shift there was a hand over, this was where the lead on the outgoing shift would disseminate information about each resident</w:t>
      </w:r>
      <w:r w:rsidR="00381F86">
        <w:t xml:space="preserve"> individually, and if there were anything needed to be done by the incoming shift</w:t>
      </w:r>
      <w:r w:rsidR="00834199">
        <w:t xml:space="preserve">, this is part of the communication that was described explained by Wenger </w:t>
      </w:r>
      <w:sdt>
        <w:sdtPr>
          <w:id w:val="225494885"/>
          <w:citation/>
        </w:sdtPr>
        <w:sdtEndPr/>
        <w:sdtContent>
          <w:r w:rsidR="00834199">
            <w:fldChar w:fldCharType="begin"/>
          </w:r>
          <w:r w:rsidR="00834199">
            <w:instrText xml:space="preserve">CITATION Wen00 \n  \t  \l 2057 </w:instrText>
          </w:r>
          <w:r w:rsidR="00834199">
            <w:fldChar w:fldCharType="separate"/>
          </w:r>
          <w:r w:rsidR="00834199">
            <w:rPr>
              <w:noProof/>
            </w:rPr>
            <w:t>(2000)</w:t>
          </w:r>
          <w:r w:rsidR="00834199">
            <w:fldChar w:fldCharType="end"/>
          </w:r>
        </w:sdtContent>
      </w:sdt>
      <w:r w:rsidR="00381F86">
        <w:t xml:space="preserve">. Team communication also happened once a month at staff meetings where the care provider (home owner) and manager would chair a meeting to inform staff of anything new that was coming out in the way of rule and regulation changes, and if anything of note had happened like the occasional </w:t>
      </w:r>
      <w:r w:rsidR="009E6C46">
        <w:t>‘</w:t>
      </w:r>
      <w:r w:rsidR="00381F86">
        <w:t>thank you letter</w:t>
      </w:r>
      <w:r w:rsidR="009E6C46">
        <w:t>’</w:t>
      </w:r>
      <w:r w:rsidR="00381F86">
        <w:t xml:space="preserve"> from a relative or a special mention from outside agencies, I received one when I was observed by a social worker and member of the local health board, assisting a resident with their main meal. This was also a time where if any staff had </w:t>
      </w:r>
      <w:r w:rsidR="00E40FCD">
        <w:t>concerns,</w:t>
      </w:r>
      <w:r w:rsidR="00381F86">
        <w:t xml:space="preserve"> they could freely air </w:t>
      </w:r>
      <w:r w:rsidR="00381F86">
        <w:lastRenderedPageBreak/>
        <w:t xml:space="preserve">them and if valid points raised, they would </w:t>
      </w:r>
      <w:r w:rsidR="00D46395">
        <w:t>dealt with</w:t>
      </w:r>
      <w:r w:rsidR="009E6C46">
        <w:t>;</w:t>
      </w:r>
      <w:bookmarkStart w:id="0" w:name="_GoBack"/>
      <w:bookmarkEnd w:id="0"/>
      <w:r w:rsidR="00834199">
        <w:t xml:space="preserve"> a further example of the community of practice communication </w:t>
      </w:r>
      <w:sdt>
        <w:sdtPr>
          <w:id w:val="-971978028"/>
          <w:citation/>
        </w:sdtPr>
        <w:sdtEndPr/>
        <w:sdtContent>
          <w:r w:rsidR="00834199">
            <w:fldChar w:fldCharType="begin"/>
          </w:r>
          <w:r w:rsidR="00834199">
            <w:instrText xml:space="preserve"> CITATION Wen00 \l 2057 </w:instrText>
          </w:r>
          <w:r w:rsidR="00834199">
            <w:fldChar w:fldCharType="separate"/>
          </w:r>
          <w:r w:rsidR="00834199">
            <w:rPr>
              <w:noProof/>
            </w:rPr>
            <w:t>(Wenger, 2000)</w:t>
          </w:r>
          <w:r w:rsidR="00834199">
            <w:fldChar w:fldCharType="end"/>
          </w:r>
        </w:sdtContent>
      </w:sdt>
    </w:p>
    <w:p w14:paraId="1821C188" w14:textId="26E1BA54" w:rsidR="00D46395" w:rsidRDefault="00D46395" w:rsidP="0048460B">
      <w:pPr>
        <w:pStyle w:val="Dissertation"/>
        <w:ind w:firstLine="0"/>
      </w:pPr>
      <w:r>
        <w:tab/>
        <w:t xml:space="preserve">An important part of being a carer is reflection, when carrying out personal care if something went wrong, then what did I do that made it go wrong? And what can I do next time to get a better outcome? </w:t>
      </w:r>
      <w:r w:rsidR="00033A99">
        <w:t xml:space="preserve">This enabled the identification of dimensions that Wenger (2000) identified as engagement, imagination, and alignment and reflect using connectedness, expansiveness, and effectiveness </w:t>
      </w:r>
      <w:sdt>
        <w:sdtPr>
          <w:id w:val="1720018380"/>
          <w:citation/>
        </w:sdtPr>
        <w:sdtEndPr/>
        <w:sdtContent>
          <w:r w:rsidR="00033A99">
            <w:fldChar w:fldCharType="begin"/>
          </w:r>
          <w:r w:rsidR="00033A99">
            <w:instrText xml:space="preserve"> CITATION Wen00 \l 2057 </w:instrText>
          </w:r>
          <w:r w:rsidR="00033A99">
            <w:fldChar w:fldCharType="separate"/>
          </w:r>
          <w:r w:rsidR="00033A99">
            <w:rPr>
              <w:noProof/>
            </w:rPr>
            <w:t>(Wenger, 2000)</w:t>
          </w:r>
          <w:r w:rsidR="00033A99">
            <w:fldChar w:fldCharType="end"/>
          </w:r>
        </w:sdtContent>
      </w:sdt>
      <w:r w:rsidR="0048460B">
        <w:t>.</w:t>
      </w:r>
    </w:p>
    <w:p w14:paraId="3CB5FDB6" w14:textId="2017F2CF" w:rsidR="0048460B" w:rsidRDefault="0048460B" w:rsidP="0048460B">
      <w:pPr>
        <w:pStyle w:val="Dissertation"/>
        <w:ind w:firstLine="0"/>
      </w:pPr>
    </w:p>
    <w:p w14:paraId="51CAAF1D" w14:textId="67ACC30D" w:rsidR="0048460B" w:rsidRDefault="0048460B" w:rsidP="0048460B">
      <w:pPr>
        <w:pStyle w:val="Dissertation"/>
        <w:ind w:firstLine="0"/>
      </w:pPr>
    </w:p>
    <w:p w14:paraId="69C3A98E" w14:textId="124C92A4" w:rsidR="0048460B" w:rsidRDefault="0048460B" w:rsidP="0048460B">
      <w:pPr>
        <w:pStyle w:val="Dissertation"/>
        <w:ind w:firstLine="0"/>
      </w:pPr>
    </w:p>
    <w:p w14:paraId="1EA26031" w14:textId="5650FDA2" w:rsidR="0048460B" w:rsidRDefault="0048460B" w:rsidP="0048460B">
      <w:pPr>
        <w:pStyle w:val="Dissertation"/>
        <w:ind w:firstLine="0"/>
      </w:pPr>
    </w:p>
    <w:p w14:paraId="7C1F14C7" w14:textId="4F6D09D5" w:rsidR="0048460B" w:rsidRDefault="0048460B" w:rsidP="0048460B">
      <w:pPr>
        <w:pStyle w:val="Dissertation"/>
        <w:ind w:firstLine="0"/>
      </w:pPr>
    </w:p>
    <w:p w14:paraId="251F0DD1" w14:textId="3361D1CF" w:rsidR="0048460B" w:rsidRDefault="0048460B" w:rsidP="0048460B">
      <w:pPr>
        <w:pStyle w:val="Dissertation"/>
        <w:ind w:firstLine="0"/>
      </w:pPr>
    </w:p>
    <w:p w14:paraId="4ABAC598" w14:textId="7A3B386C" w:rsidR="0048460B" w:rsidRDefault="0048460B" w:rsidP="0048460B">
      <w:pPr>
        <w:pStyle w:val="Dissertation"/>
        <w:ind w:firstLine="0"/>
      </w:pPr>
    </w:p>
    <w:p w14:paraId="4CF09021" w14:textId="43D6166F" w:rsidR="0048460B" w:rsidRDefault="0048460B" w:rsidP="0048460B">
      <w:pPr>
        <w:pStyle w:val="Dissertation"/>
        <w:ind w:firstLine="0"/>
      </w:pPr>
    </w:p>
    <w:p w14:paraId="07276F01" w14:textId="0EDA2234" w:rsidR="0048460B" w:rsidRDefault="0048460B" w:rsidP="0048460B">
      <w:pPr>
        <w:pStyle w:val="Dissertation"/>
        <w:ind w:firstLine="0"/>
      </w:pPr>
    </w:p>
    <w:p w14:paraId="615ED824" w14:textId="0E96C036" w:rsidR="0048460B" w:rsidRDefault="0048460B" w:rsidP="0048460B">
      <w:pPr>
        <w:pStyle w:val="Dissertation"/>
        <w:ind w:firstLine="0"/>
      </w:pPr>
    </w:p>
    <w:p w14:paraId="48589702" w14:textId="09A5F4D5" w:rsidR="0048460B" w:rsidRDefault="0048460B" w:rsidP="0048460B">
      <w:pPr>
        <w:pStyle w:val="Dissertation"/>
        <w:ind w:firstLine="0"/>
      </w:pPr>
    </w:p>
    <w:p w14:paraId="3EAE3F55" w14:textId="3DC0834F" w:rsidR="0048460B" w:rsidRDefault="0048460B" w:rsidP="0048460B">
      <w:pPr>
        <w:pStyle w:val="Dissertation"/>
        <w:ind w:firstLine="0"/>
      </w:pPr>
    </w:p>
    <w:p w14:paraId="1D7A48F7" w14:textId="774DE858" w:rsidR="0048460B" w:rsidRDefault="0048460B" w:rsidP="0048460B">
      <w:pPr>
        <w:pStyle w:val="Dissertation"/>
        <w:ind w:firstLine="0"/>
      </w:pPr>
    </w:p>
    <w:p w14:paraId="08213861" w14:textId="7D7C95FC" w:rsidR="0048460B" w:rsidRDefault="0048460B" w:rsidP="0048460B">
      <w:pPr>
        <w:pStyle w:val="Dissertation"/>
        <w:ind w:firstLine="0"/>
      </w:pPr>
    </w:p>
    <w:sdt>
      <w:sdtPr>
        <w:rPr>
          <w:rFonts w:asciiTheme="minorHAnsi" w:eastAsiaTheme="minorHAnsi" w:hAnsiTheme="minorHAnsi" w:cstheme="minorBidi"/>
          <w:b w:val="0"/>
          <w:sz w:val="22"/>
          <w:szCs w:val="22"/>
        </w:rPr>
        <w:id w:val="1981813850"/>
        <w:docPartObj>
          <w:docPartGallery w:val="Bibliographies"/>
          <w:docPartUnique/>
        </w:docPartObj>
      </w:sdtPr>
      <w:sdtEndPr/>
      <w:sdtContent>
        <w:p w14:paraId="5268D166" w14:textId="0B991464" w:rsidR="0048460B" w:rsidRDefault="0048460B">
          <w:pPr>
            <w:pStyle w:val="Heading1"/>
          </w:pPr>
          <w:r>
            <w:t>References</w:t>
          </w:r>
        </w:p>
        <w:p w14:paraId="0AAFE5DF" w14:textId="77777777" w:rsidR="0048460B" w:rsidRPr="0048460B" w:rsidRDefault="0048460B" w:rsidP="0048460B">
          <w:pPr>
            <w:pStyle w:val="Dissertation"/>
          </w:pPr>
        </w:p>
        <w:sdt>
          <w:sdtPr>
            <w:id w:val="-573587230"/>
            <w:bibliography/>
          </w:sdtPr>
          <w:sdtEndPr/>
          <w:sdtContent>
            <w:p w14:paraId="5C2851E0" w14:textId="77777777" w:rsidR="0048460B" w:rsidRPr="0048460B" w:rsidRDefault="0048460B" w:rsidP="0048460B">
              <w:pPr>
                <w:pStyle w:val="Bibliography"/>
                <w:ind w:left="720" w:hanging="720"/>
                <w:rPr>
                  <w:rFonts w:ascii="Times New Roman" w:hAnsi="Times New Roman" w:cs="Times New Roman"/>
                  <w:noProof/>
                  <w:sz w:val="24"/>
                  <w:szCs w:val="24"/>
                </w:rPr>
              </w:pPr>
              <w:r>
                <w:fldChar w:fldCharType="begin"/>
              </w:r>
              <w:r>
                <w:instrText xml:space="preserve"> BIBLIOGRAPHY </w:instrText>
              </w:r>
              <w:r>
                <w:fldChar w:fldCharType="separate"/>
              </w:r>
              <w:r w:rsidRPr="0048460B">
                <w:rPr>
                  <w:rFonts w:ascii="Times New Roman" w:hAnsi="Times New Roman" w:cs="Times New Roman"/>
                  <w:noProof/>
                  <w:sz w:val="24"/>
                  <w:szCs w:val="24"/>
                </w:rPr>
                <w:t xml:space="preserve">Amin, A., &amp; Cohendet, P. (2000). Organisational learning and governance through embedded practices. </w:t>
              </w:r>
              <w:r w:rsidRPr="0048460B">
                <w:rPr>
                  <w:rFonts w:ascii="Times New Roman" w:hAnsi="Times New Roman" w:cs="Times New Roman"/>
                  <w:i/>
                  <w:iCs/>
                  <w:noProof/>
                  <w:sz w:val="24"/>
                  <w:szCs w:val="24"/>
                </w:rPr>
                <w:t>Journal of Management &amp; Governance, 4</w:t>
              </w:r>
              <w:r w:rsidRPr="0048460B">
                <w:rPr>
                  <w:rFonts w:ascii="Times New Roman" w:hAnsi="Times New Roman" w:cs="Times New Roman"/>
                  <w:noProof/>
                  <w:sz w:val="24"/>
                  <w:szCs w:val="24"/>
                </w:rPr>
                <w:t>(1/2), 93-117.</w:t>
              </w:r>
            </w:p>
            <w:p w14:paraId="11D9D598"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De Vries, K. (2013). Communicating with older people with dementia. </w:t>
              </w:r>
              <w:r w:rsidRPr="0048460B">
                <w:rPr>
                  <w:rFonts w:ascii="Times New Roman" w:hAnsi="Times New Roman" w:cs="Times New Roman"/>
                  <w:i/>
                  <w:iCs/>
                  <w:noProof/>
                  <w:sz w:val="24"/>
                  <w:szCs w:val="24"/>
                </w:rPr>
                <w:t>Nursing Older People, 25</w:t>
              </w:r>
              <w:r w:rsidRPr="0048460B">
                <w:rPr>
                  <w:rFonts w:ascii="Times New Roman" w:hAnsi="Times New Roman" w:cs="Times New Roman"/>
                  <w:noProof/>
                  <w:sz w:val="24"/>
                  <w:szCs w:val="24"/>
                </w:rPr>
                <w:t>(4), 30-39.</w:t>
              </w:r>
            </w:p>
            <w:p w14:paraId="6CE3EC2D"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Dogan, K., &amp; Vecchio, R. P. (2001). Managing envy and jealousy in the workplace. </w:t>
              </w:r>
              <w:r w:rsidRPr="0048460B">
                <w:rPr>
                  <w:rFonts w:ascii="Times New Roman" w:hAnsi="Times New Roman" w:cs="Times New Roman"/>
                  <w:i/>
                  <w:iCs/>
                  <w:noProof/>
                  <w:sz w:val="24"/>
                  <w:szCs w:val="24"/>
                </w:rPr>
                <w:t>Compensation &amp; Benefits Review, 33</w:t>
              </w:r>
              <w:r w:rsidRPr="0048460B">
                <w:rPr>
                  <w:rFonts w:ascii="Times New Roman" w:hAnsi="Times New Roman" w:cs="Times New Roman"/>
                  <w:noProof/>
                  <w:sz w:val="24"/>
                  <w:szCs w:val="24"/>
                </w:rPr>
                <w:t>(2), 57-64.</w:t>
              </w:r>
            </w:p>
            <w:p w14:paraId="7EE870E1"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Doolittle, P. E. (1997). Vygotsky's zone of proximal development as a theoretical foundation for cooperative learning. </w:t>
              </w:r>
              <w:r w:rsidRPr="0048460B">
                <w:rPr>
                  <w:rFonts w:ascii="Times New Roman" w:hAnsi="Times New Roman" w:cs="Times New Roman"/>
                  <w:i/>
                  <w:iCs/>
                  <w:noProof/>
                  <w:sz w:val="24"/>
                  <w:szCs w:val="24"/>
                </w:rPr>
                <w:t>8</w:t>
              </w:r>
              <w:r w:rsidRPr="0048460B">
                <w:rPr>
                  <w:rFonts w:ascii="Times New Roman" w:hAnsi="Times New Roman" w:cs="Times New Roman"/>
                  <w:noProof/>
                  <w:sz w:val="24"/>
                  <w:szCs w:val="24"/>
                </w:rPr>
                <w:t>(1), 83-103.</w:t>
              </w:r>
            </w:p>
            <w:p w14:paraId="363F75BA"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Fuller, A., Hodkinson, H., Hodkinson, P., &amp; Unwin, L. (2005). Learning as a peripheral participation in communities of practice: a reassessment of key concepts in workplace learning. </w:t>
              </w:r>
              <w:r w:rsidRPr="0048460B">
                <w:rPr>
                  <w:rFonts w:ascii="Times New Roman" w:hAnsi="Times New Roman" w:cs="Times New Roman"/>
                  <w:i/>
                  <w:iCs/>
                  <w:noProof/>
                  <w:sz w:val="24"/>
                  <w:szCs w:val="24"/>
                </w:rPr>
                <w:t>British Educational Research Journal, 31</w:t>
              </w:r>
              <w:r w:rsidRPr="0048460B">
                <w:rPr>
                  <w:rFonts w:ascii="Times New Roman" w:hAnsi="Times New Roman" w:cs="Times New Roman"/>
                  <w:noProof/>
                  <w:sz w:val="24"/>
                  <w:szCs w:val="24"/>
                </w:rPr>
                <w:t>(1), 49-68.</w:t>
              </w:r>
            </w:p>
            <w:p w14:paraId="3B944281"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Handley, K., Sturdy, A., Fincham, R., &amp; Clark, T. A. (2006). Within and beyond communities of practice: Making sense of learning through participation, identiy and practice. </w:t>
              </w:r>
              <w:r w:rsidRPr="0048460B">
                <w:rPr>
                  <w:rFonts w:ascii="Times New Roman" w:hAnsi="Times New Roman" w:cs="Times New Roman"/>
                  <w:i/>
                  <w:iCs/>
                  <w:noProof/>
                  <w:sz w:val="24"/>
                  <w:szCs w:val="24"/>
                </w:rPr>
                <w:t>Journal of Management Studies, 43</w:t>
              </w:r>
              <w:r w:rsidRPr="0048460B">
                <w:rPr>
                  <w:rFonts w:ascii="Times New Roman" w:hAnsi="Times New Roman" w:cs="Times New Roman"/>
                  <w:noProof/>
                  <w:sz w:val="24"/>
                  <w:szCs w:val="24"/>
                </w:rPr>
                <w:t>(3), 641-653.</w:t>
              </w:r>
            </w:p>
            <w:p w14:paraId="41C811D9"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Hoadley, C. (2012). What is community of practice and how can we support it. In S. Land, &amp; D. Jonassen (Eds.), </w:t>
              </w:r>
              <w:r w:rsidRPr="0048460B">
                <w:rPr>
                  <w:rFonts w:ascii="Times New Roman" w:hAnsi="Times New Roman" w:cs="Times New Roman"/>
                  <w:i/>
                  <w:iCs/>
                  <w:noProof/>
                  <w:sz w:val="24"/>
                  <w:szCs w:val="24"/>
                </w:rPr>
                <w:t>Theoretical foundations of learing environments</w:t>
              </w:r>
              <w:r w:rsidRPr="0048460B">
                <w:rPr>
                  <w:rFonts w:ascii="Times New Roman" w:hAnsi="Times New Roman" w:cs="Times New Roman"/>
                  <w:noProof/>
                  <w:sz w:val="24"/>
                  <w:szCs w:val="24"/>
                </w:rPr>
                <w:t xml:space="preserve"> (2nd ed.). New York, NY: Routledge.</w:t>
              </w:r>
            </w:p>
            <w:p w14:paraId="33619A82"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Lave, J., &amp; Wenger, E. (1991). </w:t>
              </w:r>
              <w:r w:rsidRPr="0048460B">
                <w:rPr>
                  <w:rFonts w:ascii="Times New Roman" w:hAnsi="Times New Roman" w:cs="Times New Roman"/>
                  <w:i/>
                  <w:iCs/>
                  <w:noProof/>
                  <w:sz w:val="24"/>
                  <w:szCs w:val="24"/>
                </w:rPr>
                <w:t>Situated learning: legitimate peripheral participation.</w:t>
              </w:r>
              <w:r w:rsidRPr="0048460B">
                <w:rPr>
                  <w:rFonts w:ascii="Times New Roman" w:hAnsi="Times New Roman" w:cs="Times New Roman"/>
                  <w:noProof/>
                  <w:sz w:val="24"/>
                  <w:szCs w:val="24"/>
                </w:rPr>
                <w:t xml:space="preserve"> Cambridge , UK: Cambridge University Press.</w:t>
              </w:r>
            </w:p>
            <w:p w14:paraId="42713D8D"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Mallinson, S., Popay, J., Kowarzik, U., &amp; Mackian, S. (2006). Developing the public health workforce: a 'communities of practice' perspective. </w:t>
              </w:r>
              <w:r w:rsidRPr="0048460B">
                <w:rPr>
                  <w:rFonts w:ascii="Times New Roman" w:hAnsi="Times New Roman" w:cs="Times New Roman"/>
                  <w:i/>
                  <w:iCs/>
                  <w:noProof/>
                  <w:sz w:val="24"/>
                  <w:szCs w:val="24"/>
                </w:rPr>
                <w:t>Policy and Politics, 34</w:t>
              </w:r>
              <w:r w:rsidRPr="0048460B">
                <w:rPr>
                  <w:rFonts w:ascii="Times New Roman" w:hAnsi="Times New Roman" w:cs="Times New Roman"/>
                  <w:noProof/>
                  <w:sz w:val="24"/>
                  <w:szCs w:val="24"/>
                </w:rPr>
                <w:t>(2), 265-285.</w:t>
              </w:r>
            </w:p>
            <w:p w14:paraId="0D531947"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Oshagbemi, T., &amp; Gill, R. (2004). Differences in leadership styles and behaviour across hierarchical levels in UK organisations. </w:t>
              </w:r>
              <w:r w:rsidRPr="0048460B">
                <w:rPr>
                  <w:rFonts w:ascii="Times New Roman" w:hAnsi="Times New Roman" w:cs="Times New Roman"/>
                  <w:i/>
                  <w:iCs/>
                  <w:noProof/>
                  <w:sz w:val="24"/>
                  <w:szCs w:val="24"/>
                </w:rPr>
                <w:t>Leadership &amp; Organization Development Journal, 25</w:t>
              </w:r>
              <w:r w:rsidRPr="0048460B">
                <w:rPr>
                  <w:rFonts w:ascii="Times New Roman" w:hAnsi="Times New Roman" w:cs="Times New Roman"/>
                  <w:noProof/>
                  <w:sz w:val="24"/>
                  <w:szCs w:val="24"/>
                </w:rPr>
                <w:t>(1), 93-106.</w:t>
              </w:r>
            </w:p>
            <w:p w14:paraId="47FD5E1B"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Robers, J. (2006). Limits to communities of practice. </w:t>
              </w:r>
              <w:r w:rsidRPr="0048460B">
                <w:rPr>
                  <w:rFonts w:ascii="Times New Roman" w:hAnsi="Times New Roman" w:cs="Times New Roman"/>
                  <w:i/>
                  <w:iCs/>
                  <w:noProof/>
                  <w:sz w:val="24"/>
                  <w:szCs w:val="24"/>
                </w:rPr>
                <w:t>Journal of Management Studies, 43</w:t>
              </w:r>
              <w:r w:rsidRPr="0048460B">
                <w:rPr>
                  <w:rFonts w:ascii="Times New Roman" w:hAnsi="Times New Roman" w:cs="Times New Roman"/>
                  <w:noProof/>
                  <w:sz w:val="24"/>
                  <w:szCs w:val="24"/>
                </w:rPr>
                <w:t>(3), 623-639.</w:t>
              </w:r>
            </w:p>
            <w:p w14:paraId="5E101D2E"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Rochira, A., De Simone, E., Mannarini, T., &amp; Salvatore, S. (2019). What do we talk about when we talk about participation? Sense fo community and social representations of participation. </w:t>
              </w:r>
              <w:r w:rsidRPr="0048460B">
                <w:rPr>
                  <w:rFonts w:ascii="Times New Roman" w:hAnsi="Times New Roman" w:cs="Times New Roman"/>
                  <w:i/>
                  <w:iCs/>
                  <w:noProof/>
                  <w:sz w:val="24"/>
                  <w:szCs w:val="24"/>
                </w:rPr>
                <w:t>Europe's Journal of Psychology, 15</w:t>
              </w:r>
              <w:r w:rsidRPr="0048460B">
                <w:rPr>
                  <w:rFonts w:ascii="Times New Roman" w:hAnsi="Times New Roman" w:cs="Times New Roman"/>
                  <w:noProof/>
                  <w:sz w:val="24"/>
                  <w:szCs w:val="24"/>
                </w:rPr>
                <w:t>(2), 312-328.</w:t>
              </w:r>
            </w:p>
            <w:p w14:paraId="2B3C52B7" w14:textId="77777777" w:rsidR="0048460B" w:rsidRDefault="0048460B" w:rsidP="0048460B">
              <w:pPr>
                <w:pStyle w:val="Bibliography"/>
                <w:ind w:left="720" w:hanging="720"/>
                <w:rPr>
                  <w:noProof/>
                </w:rPr>
              </w:pPr>
              <w:r w:rsidRPr="0048460B">
                <w:rPr>
                  <w:rFonts w:ascii="Times New Roman" w:hAnsi="Times New Roman" w:cs="Times New Roman"/>
                  <w:noProof/>
                  <w:sz w:val="24"/>
                  <w:szCs w:val="24"/>
                </w:rPr>
                <w:t xml:space="preserve">Wenger, E. (2000). Communities of practice and social learning systems. </w:t>
              </w:r>
              <w:r w:rsidRPr="0048460B">
                <w:rPr>
                  <w:rFonts w:ascii="Times New Roman" w:hAnsi="Times New Roman" w:cs="Times New Roman"/>
                  <w:i/>
                  <w:iCs/>
                  <w:noProof/>
                  <w:sz w:val="24"/>
                  <w:szCs w:val="24"/>
                </w:rPr>
                <w:t>Organization, 7</w:t>
              </w:r>
              <w:r w:rsidRPr="0048460B">
                <w:rPr>
                  <w:rFonts w:ascii="Times New Roman" w:hAnsi="Times New Roman" w:cs="Times New Roman"/>
                  <w:noProof/>
                  <w:sz w:val="24"/>
                  <w:szCs w:val="24"/>
                </w:rPr>
                <w:t>(2), 225-246</w:t>
              </w:r>
              <w:r>
                <w:rPr>
                  <w:noProof/>
                </w:rPr>
                <w:t>.</w:t>
              </w:r>
            </w:p>
            <w:p w14:paraId="1A36155E" w14:textId="46E27791" w:rsidR="0048460B" w:rsidRDefault="0048460B" w:rsidP="0048460B">
              <w:r>
                <w:rPr>
                  <w:b/>
                  <w:bCs/>
                  <w:noProof/>
                </w:rPr>
                <w:fldChar w:fldCharType="end"/>
              </w:r>
            </w:p>
          </w:sdtContent>
        </w:sdt>
      </w:sdtContent>
    </w:sdt>
    <w:p w14:paraId="2F92DFF5" w14:textId="77777777" w:rsidR="0048460B" w:rsidRPr="0048460B" w:rsidRDefault="0048460B" w:rsidP="0048460B">
      <w:pPr>
        <w:pStyle w:val="Dissertation"/>
        <w:ind w:firstLine="0"/>
      </w:pPr>
    </w:p>
    <w:sectPr w:rsidR="0048460B" w:rsidRPr="0048460B" w:rsidSect="004846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0" w:nlCheck="1" w:checkStyle="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F90"/>
    <w:rsid w:val="000027C6"/>
    <w:rsid w:val="00033A99"/>
    <w:rsid w:val="00041B23"/>
    <w:rsid w:val="00133E72"/>
    <w:rsid w:val="00244CC1"/>
    <w:rsid w:val="003519F8"/>
    <w:rsid w:val="00380E5C"/>
    <w:rsid w:val="00381F86"/>
    <w:rsid w:val="00410FC3"/>
    <w:rsid w:val="0042290C"/>
    <w:rsid w:val="0044553E"/>
    <w:rsid w:val="0048460B"/>
    <w:rsid w:val="004F3C74"/>
    <w:rsid w:val="005F2EDF"/>
    <w:rsid w:val="006447C2"/>
    <w:rsid w:val="006B4F90"/>
    <w:rsid w:val="00834199"/>
    <w:rsid w:val="009745ED"/>
    <w:rsid w:val="009E6C46"/>
    <w:rsid w:val="00AA1B11"/>
    <w:rsid w:val="00AC61FA"/>
    <w:rsid w:val="00B152E2"/>
    <w:rsid w:val="00C14C1E"/>
    <w:rsid w:val="00C650E1"/>
    <w:rsid w:val="00C814EF"/>
    <w:rsid w:val="00CD668A"/>
    <w:rsid w:val="00D46395"/>
    <w:rsid w:val="00E40FCD"/>
    <w:rsid w:val="00E41896"/>
    <w:rsid w:val="00E90870"/>
    <w:rsid w:val="00EC1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3ECF7"/>
  <w15:chartTrackingRefBased/>
  <w15:docId w15:val="{99A9CBA6-14ED-44BF-AE04-0F9ED0C9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Dissertation"/>
    <w:link w:val="Heading1Char"/>
    <w:uiPriority w:val="9"/>
    <w:qFormat/>
    <w:rsid w:val="006447C2"/>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6447C2"/>
    <w:pPr>
      <w:keepNext/>
      <w:keepLines/>
      <w:spacing w:before="40" w:after="0"/>
      <w:outlineLvl w:val="1"/>
    </w:pPr>
    <w:rPr>
      <w:rFonts w:ascii="Times New Roman" w:eastAsiaTheme="majorEastAsia" w:hAnsi="Times New Roman"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041B23"/>
    <w:pPr>
      <w:spacing w:line="480" w:lineRule="auto"/>
      <w:ind w:firstLine="720"/>
    </w:pPr>
    <w:rPr>
      <w:rFonts w:ascii="Times New Roman" w:hAnsi="Times New Roman"/>
      <w:sz w:val="24"/>
    </w:rPr>
  </w:style>
  <w:style w:type="character" w:customStyle="1" w:styleId="Style1Char">
    <w:name w:val="Style1 Char"/>
    <w:basedOn w:val="DefaultParagraphFont"/>
    <w:link w:val="Style1"/>
    <w:rsid w:val="00041B23"/>
    <w:rPr>
      <w:rFonts w:ascii="Times New Roman" w:hAnsi="Times New Roman"/>
      <w:sz w:val="24"/>
    </w:rPr>
  </w:style>
  <w:style w:type="paragraph" w:customStyle="1" w:styleId="DissH1">
    <w:name w:val="Diss H1"/>
    <w:basedOn w:val="Heading1"/>
    <w:link w:val="DissH1Char"/>
    <w:qFormat/>
    <w:rsid w:val="006447C2"/>
    <w:rPr>
      <w:color w:val="000000" w:themeColor="text1"/>
    </w:rPr>
  </w:style>
  <w:style w:type="character" w:customStyle="1" w:styleId="DissH1Char">
    <w:name w:val="Diss H1 Char"/>
    <w:basedOn w:val="Heading1Char"/>
    <w:link w:val="DissH1"/>
    <w:rsid w:val="006447C2"/>
    <w:rPr>
      <w:rFonts w:ascii="Times New Roman" w:eastAsiaTheme="majorEastAsia" w:hAnsi="Times New Roman" w:cstheme="majorBidi"/>
      <w:b/>
      <w:color w:val="000000" w:themeColor="text1"/>
      <w:sz w:val="24"/>
      <w:szCs w:val="32"/>
    </w:rPr>
  </w:style>
  <w:style w:type="character" w:customStyle="1" w:styleId="Heading1Char">
    <w:name w:val="Heading 1 Char"/>
    <w:basedOn w:val="DefaultParagraphFont"/>
    <w:link w:val="Heading1"/>
    <w:uiPriority w:val="9"/>
    <w:rsid w:val="006447C2"/>
    <w:rPr>
      <w:rFonts w:ascii="Times New Roman" w:eastAsiaTheme="majorEastAsia" w:hAnsi="Times New Roman" w:cstheme="majorBidi"/>
      <w:b/>
      <w:sz w:val="24"/>
      <w:szCs w:val="32"/>
    </w:rPr>
  </w:style>
  <w:style w:type="paragraph" w:customStyle="1" w:styleId="Dissertation">
    <w:name w:val="Dissertation"/>
    <w:basedOn w:val="Style1"/>
    <w:link w:val="DissertationChar"/>
    <w:qFormat/>
    <w:rsid w:val="006447C2"/>
  </w:style>
  <w:style w:type="character" w:customStyle="1" w:styleId="DissertationChar">
    <w:name w:val="Dissertation Char"/>
    <w:basedOn w:val="Style1Char"/>
    <w:link w:val="Dissertation"/>
    <w:rsid w:val="006447C2"/>
    <w:rPr>
      <w:rFonts w:ascii="Times New Roman" w:hAnsi="Times New Roman"/>
      <w:sz w:val="24"/>
    </w:rPr>
  </w:style>
  <w:style w:type="character" w:customStyle="1" w:styleId="Heading2Char">
    <w:name w:val="Heading 2 Char"/>
    <w:basedOn w:val="DefaultParagraphFont"/>
    <w:link w:val="Heading2"/>
    <w:uiPriority w:val="9"/>
    <w:rsid w:val="006447C2"/>
    <w:rPr>
      <w:rFonts w:ascii="Times New Roman" w:eastAsiaTheme="majorEastAsia" w:hAnsi="Times New Roman" w:cstheme="majorBidi"/>
      <w:i/>
      <w:sz w:val="24"/>
      <w:szCs w:val="26"/>
    </w:rPr>
  </w:style>
  <w:style w:type="paragraph" w:styleId="Bibliography">
    <w:name w:val="Bibliography"/>
    <w:basedOn w:val="Normal"/>
    <w:next w:val="Normal"/>
    <w:uiPriority w:val="37"/>
    <w:unhideWhenUsed/>
    <w:rsid w:val="0048460B"/>
  </w:style>
  <w:style w:type="paragraph" w:styleId="NoSpacing">
    <w:name w:val="No Spacing"/>
    <w:link w:val="NoSpacingChar"/>
    <w:uiPriority w:val="1"/>
    <w:qFormat/>
    <w:rsid w:val="004846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460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4176">
      <w:bodyDiv w:val="1"/>
      <w:marLeft w:val="0"/>
      <w:marRight w:val="0"/>
      <w:marTop w:val="0"/>
      <w:marBottom w:val="0"/>
      <w:divBdr>
        <w:top w:val="none" w:sz="0" w:space="0" w:color="auto"/>
        <w:left w:val="none" w:sz="0" w:space="0" w:color="auto"/>
        <w:bottom w:val="none" w:sz="0" w:space="0" w:color="auto"/>
        <w:right w:val="none" w:sz="0" w:space="0" w:color="auto"/>
      </w:divBdr>
    </w:div>
    <w:div w:id="57438767">
      <w:bodyDiv w:val="1"/>
      <w:marLeft w:val="0"/>
      <w:marRight w:val="0"/>
      <w:marTop w:val="0"/>
      <w:marBottom w:val="0"/>
      <w:divBdr>
        <w:top w:val="none" w:sz="0" w:space="0" w:color="auto"/>
        <w:left w:val="none" w:sz="0" w:space="0" w:color="auto"/>
        <w:bottom w:val="none" w:sz="0" w:space="0" w:color="auto"/>
        <w:right w:val="none" w:sz="0" w:space="0" w:color="auto"/>
      </w:divBdr>
    </w:div>
    <w:div w:id="64423199">
      <w:bodyDiv w:val="1"/>
      <w:marLeft w:val="0"/>
      <w:marRight w:val="0"/>
      <w:marTop w:val="0"/>
      <w:marBottom w:val="0"/>
      <w:divBdr>
        <w:top w:val="none" w:sz="0" w:space="0" w:color="auto"/>
        <w:left w:val="none" w:sz="0" w:space="0" w:color="auto"/>
        <w:bottom w:val="none" w:sz="0" w:space="0" w:color="auto"/>
        <w:right w:val="none" w:sz="0" w:space="0" w:color="auto"/>
      </w:divBdr>
    </w:div>
    <w:div w:id="149055693">
      <w:bodyDiv w:val="1"/>
      <w:marLeft w:val="0"/>
      <w:marRight w:val="0"/>
      <w:marTop w:val="0"/>
      <w:marBottom w:val="0"/>
      <w:divBdr>
        <w:top w:val="none" w:sz="0" w:space="0" w:color="auto"/>
        <w:left w:val="none" w:sz="0" w:space="0" w:color="auto"/>
        <w:bottom w:val="none" w:sz="0" w:space="0" w:color="auto"/>
        <w:right w:val="none" w:sz="0" w:space="0" w:color="auto"/>
      </w:divBdr>
    </w:div>
    <w:div w:id="188493897">
      <w:bodyDiv w:val="1"/>
      <w:marLeft w:val="0"/>
      <w:marRight w:val="0"/>
      <w:marTop w:val="0"/>
      <w:marBottom w:val="0"/>
      <w:divBdr>
        <w:top w:val="none" w:sz="0" w:space="0" w:color="auto"/>
        <w:left w:val="none" w:sz="0" w:space="0" w:color="auto"/>
        <w:bottom w:val="none" w:sz="0" w:space="0" w:color="auto"/>
        <w:right w:val="none" w:sz="0" w:space="0" w:color="auto"/>
      </w:divBdr>
    </w:div>
    <w:div w:id="204146463">
      <w:bodyDiv w:val="1"/>
      <w:marLeft w:val="0"/>
      <w:marRight w:val="0"/>
      <w:marTop w:val="0"/>
      <w:marBottom w:val="0"/>
      <w:divBdr>
        <w:top w:val="none" w:sz="0" w:space="0" w:color="auto"/>
        <w:left w:val="none" w:sz="0" w:space="0" w:color="auto"/>
        <w:bottom w:val="none" w:sz="0" w:space="0" w:color="auto"/>
        <w:right w:val="none" w:sz="0" w:space="0" w:color="auto"/>
      </w:divBdr>
    </w:div>
    <w:div w:id="291639082">
      <w:bodyDiv w:val="1"/>
      <w:marLeft w:val="0"/>
      <w:marRight w:val="0"/>
      <w:marTop w:val="0"/>
      <w:marBottom w:val="0"/>
      <w:divBdr>
        <w:top w:val="none" w:sz="0" w:space="0" w:color="auto"/>
        <w:left w:val="none" w:sz="0" w:space="0" w:color="auto"/>
        <w:bottom w:val="none" w:sz="0" w:space="0" w:color="auto"/>
        <w:right w:val="none" w:sz="0" w:space="0" w:color="auto"/>
      </w:divBdr>
    </w:div>
    <w:div w:id="297492742">
      <w:bodyDiv w:val="1"/>
      <w:marLeft w:val="0"/>
      <w:marRight w:val="0"/>
      <w:marTop w:val="0"/>
      <w:marBottom w:val="0"/>
      <w:divBdr>
        <w:top w:val="none" w:sz="0" w:space="0" w:color="auto"/>
        <w:left w:val="none" w:sz="0" w:space="0" w:color="auto"/>
        <w:bottom w:val="none" w:sz="0" w:space="0" w:color="auto"/>
        <w:right w:val="none" w:sz="0" w:space="0" w:color="auto"/>
      </w:divBdr>
    </w:div>
    <w:div w:id="345913154">
      <w:bodyDiv w:val="1"/>
      <w:marLeft w:val="0"/>
      <w:marRight w:val="0"/>
      <w:marTop w:val="0"/>
      <w:marBottom w:val="0"/>
      <w:divBdr>
        <w:top w:val="none" w:sz="0" w:space="0" w:color="auto"/>
        <w:left w:val="none" w:sz="0" w:space="0" w:color="auto"/>
        <w:bottom w:val="none" w:sz="0" w:space="0" w:color="auto"/>
        <w:right w:val="none" w:sz="0" w:space="0" w:color="auto"/>
      </w:divBdr>
    </w:div>
    <w:div w:id="385102652">
      <w:bodyDiv w:val="1"/>
      <w:marLeft w:val="0"/>
      <w:marRight w:val="0"/>
      <w:marTop w:val="0"/>
      <w:marBottom w:val="0"/>
      <w:divBdr>
        <w:top w:val="none" w:sz="0" w:space="0" w:color="auto"/>
        <w:left w:val="none" w:sz="0" w:space="0" w:color="auto"/>
        <w:bottom w:val="none" w:sz="0" w:space="0" w:color="auto"/>
        <w:right w:val="none" w:sz="0" w:space="0" w:color="auto"/>
      </w:divBdr>
    </w:div>
    <w:div w:id="397871241">
      <w:bodyDiv w:val="1"/>
      <w:marLeft w:val="0"/>
      <w:marRight w:val="0"/>
      <w:marTop w:val="0"/>
      <w:marBottom w:val="0"/>
      <w:divBdr>
        <w:top w:val="none" w:sz="0" w:space="0" w:color="auto"/>
        <w:left w:val="none" w:sz="0" w:space="0" w:color="auto"/>
        <w:bottom w:val="none" w:sz="0" w:space="0" w:color="auto"/>
        <w:right w:val="none" w:sz="0" w:space="0" w:color="auto"/>
      </w:divBdr>
    </w:div>
    <w:div w:id="431243689">
      <w:bodyDiv w:val="1"/>
      <w:marLeft w:val="0"/>
      <w:marRight w:val="0"/>
      <w:marTop w:val="0"/>
      <w:marBottom w:val="0"/>
      <w:divBdr>
        <w:top w:val="none" w:sz="0" w:space="0" w:color="auto"/>
        <w:left w:val="none" w:sz="0" w:space="0" w:color="auto"/>
        <w:bottom w:val="none" w:sz="0" w:space="0" w:color="auto"/>
        <w:right w:val="none" w:sz="0" w:space="0" w:color="auto"/>
      </w:divBdr>
    </w:div>
    <w:div w:id="515850369">
      <w:bodyDiv w:val="1"/>
      <w:marLeft w:val="0"/>
      <w:marRight w:val="0"/>
      <w:marTop w:val="0"/>
      <w:marBottom w:val="0"/>
      <w:divBdr>
        <w:top w:val="none" w:sz="0" w:space="0" w:color="auto"/>
        <w:left w:val="none" w:sz="0" w:space="0" w:color="auto"/>
        <w:bottom w:val="none" w:sz="0" w:space="0" w:color="auto"/>
        <w:right w:val="none" w:sz="0" w:space="0" w:color="auto"/>
      </w:divBdr>
    </w:div>
    <w:div w:id="535314959">
      <w:bodyDiv w:val="1"/>
      <w:marLeft w:val="0"/>
      <w:marRight w:val="0"/>
      <w:marTop w:val="0"/>
      <w:marBottom w:val="0"/>
      <w:divBdr>
        <w:top w:val="none" w:sz="0" w:space="0" w:color="auto"/>
        <w:left w:val="none" w:sz="0" w:space="0" w:color="auto"/>
        <w:bottom w:val="none" w:sz="0" w:space="0" w:color="auto"/>
        <w:right w:val="none" w:sz="0" w:space="0" w:color="auto"/>
      </w:divBdr>
    </w:div>
    <w:div w:id="574438070">
      <w:bodyDiv w:val="1"/>
      <w:marLeft w:val="0"/>
      <w:marRight w:val="0"/>
      <w:marTop w:val="0"/>
      <w:marBottom w:val="0"/>
      <w:divBdr>
        <w:top w:val="none" w:sz="0" w:space="0" w:color="auto"/>
        <w:left w:val="none" w:sz="0" w:space="0" w:color="auto"/>
        <w:bottom w:val="none" w:sz="0" w:space="0" w:color="auto"/>
        <w:right w:val="none" w:sz="0" w:space="0" w:color="auto"/>
      </w:divBdr>
    </w:div>
    <w:div w:id="582567280">
      <w:bodyDiv w:val="1"/>
      <w:marLeft w:val="0"/>
      <w:marRight w:val="0"/>
      <w:marTop w:val="0"/>
      <w:marBottom w:val="0"/>
      <w:divBdr>
        <w:top w:val="none" w:sz="0" w:space="0" w:color="auto"/>
        <w:left w:val="none" w:sz="0" w:space="0" w:color="auto"/>
        <w:bottom w:val="none" w:sz="0" w:space="0" w:color="auto"/>
        <w:right w:val="none" w:sz="0" w:space="0" w:color="auto"/>
      </w:divBdr>
    </w:div>
    <w:div w:id="604272040">
      <w:bodyDiv w:val="1"/>
      <w:marLeft w:val="0"/>
      <w:marRight w:val="0"/>
      <w:marTop w:val="0"/>
      <w:marBottom w:val="0"/>
      <w:divBdr>
        <w:top w:val="none" w:sz="0" w:space="0" w:color="auto"/>
        <w:left w:val="none" w:sz="0" w:space="0" w:color="auto"/>
        <w:bottom w:val="none" w:sz="0" w:space="0" w:color="auto"/>
        <w:right w:val="none" w:sz="0" w:space="0" w:color="auto"/>
      </w:divBdr>
    </w:div>
    <w:div w:id="668867315">
      <w:bodyDiv w:val="1"/>
      <w:marLeft w:val="0"/>
      <w:marRight w:val="0"/>
      <w:marTop w:val="0"/>
      <w:marBottom w:val="0"/>
      <w:divBdr>
        <w:top w:val="none" w:sz="0" w:space="0" w:color="auto"/>
        <w:left w:val="none" w:sz="0" w:space="0" w:color="auto"/>
        <w:bottom w:val="none" w:sz="0" w:space="0" w:color="auto"/>
        <w:right w:val="none" w:sz="0" w:space="0" w:color="auto"/>
      </w:divBdr>
    </w:div>
    <w:div w:id="768429821">
      <w:bodyDiv w:val="1"/>
      <w:marLeft w:val="0"/>
      <w:marRight w:val="0"/>
      <w:marTop w:val="0"/>
      <w:marBottom w:val="0"/>
      <w:divBdr>
        <w:top w:val="none" w:sz="0" w:space="0" w:color="auto"/>
        <w:left w:val="none" w:sz="0" w:space="0" w:color="auto"/>
        <w:bottom w:val="none" w:sz="0" w:space="0" w:color="auto"/>
        <w:right w:val="none" w:sz="0" w:space="0" w:color="auto"/>
      </w:divBdr>
    </w:div>
    <w:div w:id="769857442">
      <w:bodyDiv w:val="1"/>
      <w:marLeft w:val="0"/>
      <w:marRight w:val="0"/>
      <w:marTop w:val="0"/>
      <w:marBottom w:val="0"/>
      <w:divBdr>
        <w:top w:val="none" w:sz="0" w:space="0" w:color="auto"/>
        <w:left w:val="none" w:sz="0" w:space="0" w:color="auto"/>
        <w:bottom w:val="none" w:sz="0" w:space="0" w:color="auto"/>
        <w:right w:val="none" w:sz="0" w:space="0" w:color="auto"/>
      </w:divBdr>
    </w:div>
    <w:div w:id="962540446">
      <w:bodyDiv w:val="1"/>
      <w:marLeft w:val="0"/>
      <w:marRight w:val="0"/>
      <w:marTop w:val="0"/>
      <w:marBottom w:val="0"/>
      <w:divBdr>
        <w:top w:val="none" w:sz="0" w:space="0" w:color="auto"/>
        <w:left w:val="none" w:sz="0" w:space="0" w:color="auto"/>
        <w:bottom w:val="none" w:sz="0" w:space="0" w:color="auto"/>
        <w:right w:val="none" w:sz="0" w:space="0" w:color="auto"/>
      </w:divBdr>
    </w:div>
    <w:div w:id="973367754">
      <w:bodyDiv w:val="1"/>
      <w:marLeft w:val="0"/>
      <w:marRight w:val="0"/>
      <w:marTop w:val="0"/>
      <w:marBottom w:val="0"/>
      <w:divBdr>
        <w:top w:val="none" w:sz="0" w:space="0" w:color="auto"/>
        <w:left w:val="none" w:sz="0" w:space="0" w:color="auto"/>
        <w:bottom w:val="none" w:sz="0" w:space="0" w:color="auto"/>
        <w:right w:val="none" w:sz="0" w:space="0" w:color="auto"/>
      </w:divBdr>
    </w:div>
    <w:div w:id="995576473">
      <w:bodyDiv w:val="1"/>
      <w:marLeft w:val="0"/>
      <w:marRight w:val="0"/>
      <w:marTop w:val="0"/>
      <w:marBottom w:val="0"/>
      <w:divBdr>
        <w:top w:val="none" w:sz="0" w:space="0" w:color="auto"/>
        <w:left w:val="none" w:sz="0" w:space="0" w:color="auto"/>
        <w:bottom w:val="none" w:sz="0" w:space="0" w:color="auto"/>
        <w:right w:val="none" w:sz="0" w:space="0" w:color="auto"/>
      </w:divBdr>
    </w:div>
    <w:div w:id="1014960473">
      <w:bodyDiv w:val="1"/>
      <w:marLeft w:val="0"/>
      <w:marRight w:val="0"/>
      <w:marTop w:val="0"/>
      <w:marBottom w:val="0"/>
      <w:divBdr>
        <w:top w:val="none" w:sz="0" w:space="0" w:color="auto"/>
        <w:left w:val="none" w:sz="0" w:space="0" w:color="auto"/>
        <w:bottom w:val="none" w:sz="0" w:space="0" w:color="auto"/>
        <w:right w:val="none" w:sz="0" w:space="0" w:color="auto"/>
      </w:divBdr>
    </w:div>
    <w:div w:id="1055858538">
      <w:bodyDiv w:val="1"/>
      <w:marLeft w:val="0"/>
      <w:marRight w:val="0"/>
      <w:marTop w:val="0"/>
      <w:marBottom w:val="0"/>
      <w:divBdr>
        <w:top w:val="none" w:sz="0" w:space="0" w:color="auto"/>
        <w:left w:val="none" w:sz="0" w:space="0" w:color="auto"/>
        <w:bottom w:val="none" w:sz="0" w:space="0" w:color="auto"/>
        <w:right w:val="none" w:sz="0" w:space="0" w:color="auto"/>
      </w:divBdr>
    </w:div>
    <w:div w:id="1101681231">
      <w:bodyDiv w:val="1"/>
      <w:marLeft w:val="0"/>
      <w:marRight w:val="0"/>
      <w:marTop w:val="0"/>
      <w:marBottom w:val="0"/>
      <w:divBdr>
        <w:top w:val="none" w:sz="0" w:space="0" w:color="auto"/>
        <w:left w:val="none" w:sz="0" w:space="0" w:color="auto"/>
        <w:bottom w:val="none" w:sz="0" w:space="0" w:color="auto"/>
        <w:right w:val="none" w:sz="0" w:space="0" w:color="auto"/>
      </w:divBdr>
    </w:div>
    <w:div w:id="1173103362">
      <w:bodyDiv w:val="1"/>
      <w:marLeft w:val="0"/>
      <w:marRight w:val="0"/>
      <w:marTop w:val="0"/>
      <w:marBottom w:val="0"/>
      <w:divBdr>
        <w:top w:val="none" w:sz="0" w:space="0" w:color="auto"/>
        <w:left w:val="none" w:sz="0" w:space="0" w:color="auto"/>
        <w:bottom w:val="none" w:sz="0" w:space="0" w:color="auto"/>
        <w:right w:val="none" w:sz="0" w:space="0" w:color="auto"/>
      </w:divBdr>
    </w:div>
    <w:div w:id="1205677251">
      <w:bodyDiv w:val="1"/>
      <w:marLeft w:val="0"/>
      <w:marRight w:val="0"/>
      <w:marTop w:val="0"/>
      <w:marBottom w:val="0"/>
      <w:divBdr>
        <w:top w:val="none" w:sz="0" w:space="0" w:color="auto"/>
        <w:left w:val="none" w:sz="0" w:space="0" w:color="auto"/>
        <w:bottom w:val="none" w:sz="0" w:space="0" w:color="auto"/>
        <w:right w:val="none" w:sz="0" w:space="0" w:color="auto"/>
      </w:divBdr>
    </w:div>
    <w:div w:id="1218276358">
      <w:bodyDiv w:val="1"/>
      <w:marLeft w:val="0"/>
      <w:marRight w:val="0"/>
      <w:marTop w:val="0"/>
      <w:marBottom w:val="0"/>
      <w:divBdr>
        <w:top w:val="none" w:sz="0" w:space="0" w:color="auto"/>
        <w:left w:val="none" w:sz="0" w:space="0" w:color="auto"/>
        <w:bottom w:val="none" w:sz="0" w:space="0" w:color="auto"/>
        <w:right w:val="none" w:sz="0" w:space="0" w:color="auto"/>
      </w:divBdr>
    </w:div>
    <w:div w:id="1244874612">
      <w:bodyDiv w:val="1"/>
      <w:marLeft w:val="0"/>
      <w:marRight w:val="0"/>
      <w:marTop w:val="0"/>
      <w:marBottom w:val="0"/>
      <w:divBdr>
        <w:top w:val="none" w:sz="0" w:space="0" w:color="auto"/>
        <w:left w:val="none" w:sz="0" w:space="0" w:color="auto"/>
        <w:bottom w:val="none" w:sz="0" w:space="0" w:color="auto"/>
        <w:right w:val="none" w:sz="0" w:space="0" w:color="auto"/>
      </w:divBdr>
    </w:div>
    <w:div w:id="1280916577">
      <w:bodyDiv w:val="1"/>
      <w:marLeft w:val="0"/>
      <w:marRight w:val="0"/>
      <w:marTop w:val="0"/>
      <w:marBottom w:val="0"/>
      <w:divBdr>
        <w:top w:val="none" w:sz="0" w:space="0" w:color="auto"/>
        <w:left w:val="none" w:sz="0" w:space="0" w:color="auto"/>
        <w:bottom w:val="none" w:sz="0" w:space="0" w:color="auto"/>
        <w:right w:val="none" w:sz="0" w:space="0" w:color="auto"/>
      </w:divBdr>
    </w:div>
    <w:div w:id="1354305422">
      <w:bodyDiv w:val="1"/>
      <w:marLeft w:val="0"/>
      <w:marRight w:val="0"/>
      <w:marTop w:val="0"/>
      <w:marBottom w:val="0"/>
      <w:divBdr>
        <w:top w:val="none" w:sz="0" w:space="0" w:color="auto"/>
        <w:left w:val="none" w:sz="0" w:space="0" w:color="auto"/>
        <w:bottom w:val="none" w:sz="0" w:space="0" w:color="auto"/>
        <w:right w:val="none" w:sz="0" w:space="0" w:color="auto"/>
      </w:divBdr>
    </w:div>
    <w:div w:id="1355375457">
      <w:bodyDiv w:val="1"/>
      <w:marLeft w:val="0"/>
      <w:marRight w:val="0"/>
      <w:marTop w:val="0"/>
      <w:marBottom w:val="0"/>
      <w:divBdr>
        <w:top w:val="none" w:sz="0" w:space="0" w:color="auto"/>
        <w:left w:val="none" w:sz="0" w:space="0" w:color="auto"/>
        <w:bottom w:val="none" w:sz="0" w:space="0" w:color="auto"/>
        <w:right w:val="none" w:sz="0" w:space="0" w:color="auto"/>
      </w:divBdr>
    </w:div>
    <w:div w:id="1403067605">
      <w:bodyDiv w:val="1"/>
      <w:marLeft w:val="0"/>
      <w:marRight w:val="0"/>
      <w:marTop w:val="0"/>
      <w:marBottom w:val="0"/>
      <w:divBdr>
        <w:top w:val="none" w:sz="0" w:space="0" w:color="auto"/>
        <w:left w:val="none" w:sz="0" w:space="0" w:color="auto"/>
        <w:bottom w:val="none" w:sz="0" w:space="0" w:color="auto"/>
        <w:right w:val="none" w:sz="0" w:space="0" w:color="auto"/>
      </w:divBdr>
    </w:div>
    <w:div w:id="1462189823">
      <w:bodyDiv w:val="1"/>
      <w:marLeft w:val="0"/>
      <w:marRight w:val="0"/>
      <w:marTop w:val="0"/>
      <w:marBottom w:val="0"/>
      <w:divBdr>
        <w:top w:val="none" w:sz="0" w:space="0" w:color="auto"/>
        <w:left w:val="none" w:sz="0" w:space="0" w:color="auto"/>
        <w:bottom w:val="none" w:sz="0" w:space="0" w:color="auto"/>
        <w:right w:val="none" w:sz="0" w:space="0" w:color="auto"/>
      </w:divBdr>
    </w:div>
    <w:div w:id="1536772158">
      <w:bodyDiv w:val="1"/>
      <w:marLeft w:val="0"/>
      <w:marRight w:val="0"/>
      <w:marTop w:val="0"/>
      <w:marBottom w:val="0"/>
      <w:divBdr>
        <w:top w:val="none" w:sz="0" w:space="0" w:color="auto"/>
        <w:left w:val="none" w:sz="0" w:space="0" w:color="auto"/>
        <w:bottom w:val="none" w:sz="0" w:space="0" w:color="auto"/>
        <w:right w:val="none" w:sz="0" w:space="0" w:color="auto"/>
      </w:divBdr>
    </w:div>
    <w:div w:id="1588223181">
      <w:bodyDiv w:val="1"/>
      <w:marLeft w:val="0"/>
      <w:marRight w:val="0"/>
      <w:marTop w:val="0"/>
      <w:marBottom w:val="0"/>
      <w:divBdr>
        <w:top w:val="none" w:sz="0" w:space="0" w:color="auto"/>
        <w:left w:val="none" w:sz="0" w:space="0" w:color="auto"/>
        <w:bottom w:val="none" w:sz="0" w:space="0" w:color="auto"/>
        <w:right w:val="none" w:sz="0" w:space="0" w:color="auto"/>
      </w:divBdr>
    </w:div>
    <w:div w:id="1608344954">
      <w:bodyDiv w:val="1"/>
      <w:marLeft w:val="0"/>
      <w:marRight w:val="0"/>
      <w:marTop w:val="0"/>
      <w:marBottom w:val="0"/>
      <w:divBdr>
        <w:top w:val="none" w:sz="0" w:space="0" w:color="auto"/>
        <w:left w:val="none" w:sz="0" w:space="0" w:color="auto"/>
        <w:bottom w:val="none" w:sz="0" w:space="0" w:color="auto"/>
        <w:right w:val="none" w:sz="0" w:space="0" w:color="auto"/>
      </w:divBdr>
    </w:div>
    <w:div w:id="1615017915">
      <w:bodyDiv w:val="1"/>
      <w:marLeft w:val="0"/>
      <w:marRight w:val="0"/>
      <w:marTop w:val="0"/>
      <w:marBottom w:val="0"/>
      <w:divBdr>
        <w:top w:val="none" w:sz="0" w:space="0" w:color="auto"/>
        <w:left w:val="none" w:sz="0" w:space="0" w:color="auto"/>
        <w:bottom w:val="none" w:sz="0" w:space="0" w:color="auto"/>
        <w:right w:val="none" w:sz="0" w:space="0" w:color="auto"/>
      </w:divBdr>
    </w:div>
    <w:div w:id="1650666791">
      <w:bodyDiv w:val="1"/>
      <w:marLeft w:val="0"/>
      <w:marRight w:val="0"/>
      <w:marTop w:val="0"/>
      <w:marBottom w:val="0"/>
      <w:divBdr>
        <w:top w:val="none" w:sz="0" w:space="0" w:color="auto"/>
        <w:left w:val="none" w:sz="0" w:space="0" w:color="auto"/>
        <w:bottom w:val="none" w:sz="0" w:space="0" w:color="auto"/>
        <w:right w:val="none" w:sz="0" w:space="0" w:color="auto"/>
      </w:divBdr>
    </w:div>
    <w:div w:id="1699312035">
      <w:bodyDiv w:val="1"/>
      <w:marLeft w:val="0"/>
      <w:marRight w:val="0"/>
      <w:marTop w:val="0"/>
      <w:marBottom w:val="0"/>
      <w:divBdr>
        <w:top w:val="none" w:sz="0" w:space="0" w:color="auto"/>
        <w:left w:val="none" w:sz="0" w:space="0" w:color="auto"/>
        <w:bottom w:val="none" w:sz="0" w:space="0" w:color="auto"/>
        <w:right w:val="none" w:sz="0" w:space="0" w:color="auto"/>
      </w:divBdr>
    </w:div>
    <w:div w:id="1705136532">
      <w:bodyDiv w:val="1"/>
      <w:marLeft w:val="0"/>
      <w:marRight w:val="0"/>
      <w:marTop w:val="0"/>
      <w:marBottom w:val="0"/>
      <w:divBdr>
        <w:top w:val="none" w:sz="0" w:space="0" w:color="auto"/>
        <w:left w:val="none" w:sz="0" w:space="0" w:color="auto"/>
        <w:bottom w:val="none" w:sz="0" w:space="0" w:color="auto"/>
        <w:right w:val="none" w:sz="0" w:space="0" w:color="auto"/>
      </w:divBdr>
    </w:div>
    <w:div w:id="1773352420">
      <w:bodyDiv w:val="1"/>
      <w:marLeft w:val="0"/>
      <w:marRight w:val="0"/>
      <w:marTop w:val="0"/>
      <w:marBottom w:val="0"/>
      <w:divBdr>
        <w:top w:val="none" w:sz="0" w:space="0" w:color="auto"/>
        <w:left w:val="none" w:sz="0" w:space="0" w:color="auto"/>
        <w:bottom w:val="none" w:sz="0" w:space="0" w:color="auto"/>
        <w:right w:val="none" w:sz="0" w:space="0" w:color="auto"/>
      </w:divBdr>
    </w:div>
    <w:div w:id="1790466215">
      <w:bodyDiv w:val="1"/>
      <w:marLeft w:val="0"/>
      <w:marRight w:val="0"/>
      <w:marTop w:val="0"/>
      <w:marBottom w:val="0"/>
      <w:divBdr>
        <w:top w:val="none" w:sz="0" w:space="0" w:color="auto"/>
        <w:left w:val="none" w:sz="0" w:space="0" w:color="auto"/>
        <w:bottom w:val="none" w:sz="0" w:space="0" w:color="auto"/>
        <w:right w:val="none" w:sz="0" w:space="0" w:color="auto"/>
      </w:divBdr>
    </w:div>
    <w:div w:id="1868255659">
      <w:bodyDiv w:val="1"/>
      <w:marLeft w:val="0"/>
      <w:marRight w:val="0"/>
      <w:marTop w:val="0"/>
      <w:marBottom w:val="0"/>
      <w:divBdr>
        <w:top w:val="none" w:sz="0" w:space="0" w:color="auto"/>
        <w:left w:val="none" w:sz="0" w:space="0" w:color="auto"/>
        <w:bottom w:val="none" w:sz="0" w:space="0" w:color="auto"/>
        <w:right w:val="none" w:sz="0" w:space="0" w:color="auto"/>
      </w:divBdr>
    </w:div>
    <w:div w:id="1968849469">
      <w:bodyDiv w:val="1"/>
      <w:marLeft w:val="0"/>
      <w:marRight w:val="0"/>
      <w:marTop w:val="0"/>
      <w:marBottom w:val="0"/>
      <w:divBdr>
        <w:top w:val="none" w:sz="0" w:space="0" w:color="auto"/>
        <w:left w:val="none" w:sz="0" w:space="0" w:color="auto"/>
        <w:bottom w:val="none" w:sz="0" w:space="0" w:color="auto"/>
        <w:right w:val="none" w:sz="0" w:space="0" w:color="auto"/>
      </w:divBdr>
    </w:div>
    <w:div w:id="2061242675">
      <w:bodyDiv w:val="1"/>
      <w:marLeft w:val="0"/>
      <w:marRight w:val="0"/>
      <w:marTop w:val="0"/>
      <w:marBottom w:val="0"/>
      <w:divBdr>
        <w:top w:val="none" w:sz="0" w:space="0" w:color="auto"/>
        <w:left w:val="none" w:sz="0" w:space="0" w:color="auto"/>
        <w:bottom w:val="none" w:sz="0" w:space="0" w:color="auto"/>
        <w:right w:val="none" w:sz="0" w:space="0" w:color="auto"/>
      </w:divBdr>
    </w:div>
    <w:div w:id="211104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0C1ED362714547ABF7072F3F78CF94"/>
        <w:category>
          <w:name w:val="General"/>
          <w:gallery w:val="placeholder"/>
        </w:category>
        <w:types>
          <w:type w:val="bbPlcHdr"/>
        </w:types>
        <w:behaviors>
          <w:behavior w:val="content"/>
        </w:behaviors>
        <w:guid w:val="{FBEA50B9-A3E6-4743-B2D1-E43F519B0A4B}"/>
      </w:docPartPr>
      <w:docPartBody>
        <w:p w:rsidR="009C5364" w:rsidRDefault="00212F00" w:rsidP="00212F00">
          <w:pPr>
            <w:pStyle w:val="A00C1ED362714547ABF7072F3F78CF94"/>
          </w:pPr>
          <w:r>
            <w:rPr>
              <w:rFonts w:asciiTheme="majorHAnsi" w:eastAsiaTheme="majorEastAsia" w:hAnsiTheme="majorHAnsi" w:cstheme="majorBidi"/>
              <w:caps/>
              <w:color w:val="4472C4" w:themeColor="accent1"/>
              <w:sz w:val="80"/>
              <w:szCs w:val="80"/>
            </w:rPr>
            <w:t>[Document title]</w:t>
          </w:r>
        </w:p>
      </w:docPartBody>
    </w:docPart>
    <w:docPart>
      <w:docPartPr>
        <w:name w:val="2D60AC0BAA37426287E809B8DBAC9D40"/>
        <w:category>
          <w:name w:val="General"/>
          <w:gallery w:val="placeholder"/>
        </w:category>
        <w:types>
          <w:type w:val="bbPlcHdr"/>
        </w:types>
        <w:behaviors>
          <w:behavior w:val="content"/>
        </w:behaviors>
        <w:guid w:val="{81DD2035-2F21-4710-87CB-0E27473564E5}"/>
      </w:docPartPr>
      <w:docPartBody>
        <w:p w:rsidR="009C5364" w:rsidRDefault="00212F00" w:rsidP="00212F00">
          <w:pPr>
            <w:pStyle w:val="2D60AC0BAA37426287E809B8DBAC9D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00"/>
    <w:rsid w:val="00212F00"/>
    <w:rsid w:val="005720B4"/>
    <w:rsid w:val="009C5364"/>
    <w:rsid w:val="00B85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0C1ED362714547ABF7072F3F78CF94">
    <w:name w:val="A00C1ED362714547ABF7072F3F78CF94"/>
    <w:rsid w:val="00212F00"/>
  </w:style>
  <w:style w:type="paragraph" w:customStyle="1" w:styleId="2D60AC0BAA37426287E809B8DBAC9D40">
    <w:name w:val="2D60AC0BAA37426287E809B8DBAC9D40"/>
    <w:rsid w:val="00212F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Lav91</b:Tag>
    <b:SourceType>Book</b:SourceType>
    <b:Guid>{6D32FF5A-E877-4DB3-8A82-FC776B11E7E1}</b:Guid>
    <b:Title>Situated learning: legitimate peripheral participation</b:Title>
    <b:Year>1991</b:Year>
    <b:Author>
      <b:Author>
        <b:NameList>
          <b:Person>
            <b:Last>Lave</b:Last>
            <b:First>Jean</b:First>
          </b:Person>
          <b:Person>
            <b:Last>Wenger</b:Last>
            <b:First>Etienne</b:First>
          </b:Person>
        </b:NameList>
      </b:Author>
    </b:Author>
    <b:City>Cambridge </b:City>
    <b:Publisher>Cambridge University Press</b:Publisher>
    <b:CountryRegion>UK</b:CountryRegion>
    <b:RefOrder>6</b:RefOrder>
  </b:Source>
  <b:Source>
    <b:Tag>Wen00</b:Tag>
    <b:SourceType>JournalArticle</b:SourceType>
    <b:Guid>{FC2581A3-7B2E-430F-BC02-74B3EEEFD40F}</b:Guid>
    <b:Title>Communities of practice and social learning systems</b:Title>
    <b:JournalName>Organization</b:JournalName>
    <b:Year>2000</b:Year>
    <b:Pages>225-246</b:Pages>
    <b:Author>
      <b:Author>
        <b:NameList>
          <b:Person>
            <b:Last>Wenger</b:Last>
            <b:First>Etienne</b:First>
          </b:Person>
        </b:NameList>
      </b:Author>
    </b:Author>
    <b:Volume>7</b:Volume>
    <b:Issue>2</b:Issue>
    <b:RefOrder>4</b:RefOrder>
  </b:Source>
  <b:Source>
    <b:Tag>Ful05</b:Tag>
    <b:SourceType>JournalArticle</b:SourceType>
    <b:Guid>{542C7B8C-0716-4333-8E90-0758620048E5}</b:Guid>
    <b:Title>Learning as a peripheral participation in communities of practice: a reassessment of key concepts in workplace learning</b:Title>
    <b:JournalName>British Educational Research Journal</b:JournalName>
    <b:Year>2005</b:Year>
    <b:Pages>49-68</b:Pages>
    <b:Volume>31</b:Volume>
    <b:Issue>1</b:Issue>
    <b:Author>
      <b:Author>
        <b:NameList>
          <b:Person>
            <b:Last>Fuller</b:Last>
            <b:First>Alison</b:First>
          </b:Person>
          <b:Person>
            <b:Last>Hodkinson</b:Last>
            <b:First>Heather</b:First>
          </b:Person>
          <b:Person>
            <b:Last>Hodkinson</b:Last>
            <b:First>Phil</b:First>
          </b:Person>
          <b:Person>
            <b:Last>Unwin</b:Last>
            <b:First>Lorna</b:First>
          </b:Person>
        </b:NameList>
      </b:Author>
    </b:Author>
    <b:RefOrder>2</b:RefOrder>
  </b:Source>
  <b:Source>
    <b:Tag>Han06</b:Tag>
    <b:SourceType>JournalArticle</b:SourceType>
    <b:Guid>{124BD7E0-DFBA-4951-99F0-C1B62A184720}</b:Guid>
    <b:Title>Within and beyond communities of practice: Making sense of learning through participation, identiy and practice</b:Title>
    <b:Year>2006</b:Year>
    <b:JournalName>Journal of Management Studies</b:JournalName>
    <b:Pages>641-653</b:Pages>
    <b:Volume>43</b:Volume>
    <b:Issue>3</b:Issue>
    <b:Author>
      <b:Author>
        <b:NameList>
          <b:Person>
            <b:Last>Handley</b:Last>
            <b:First>Karen</b:First>
          </b:Person>
          <b:Person>
            <b:Last>Sturdy</b:Last>
            <b:First>Andrew</b:First>
          </b:Person>
          <b:Person>
            <b:Last>Fincham</b:Last>
            <b:First>Robin</b:First>
          </b:Person>
          <b:Person>
            <b:Last>Clark</b:Last>
            <b:Middle>Adrian, Robert</b:Middle>
            <b:First>Timothy</b:First>
          </b:Person>
        </b:NameList>
      </b:Author>
    </b:Author>
    <b:RefOrder>5</b:RefOrder>
  </b:Source>
  <b:Source>
    <b:Tag>Roc19</b:Tag>
    <b:SourceType>JournalArticle</b:SourceType>
    <b:Guid>{0155AE02-6F2B-4A5E-9075-084FB4E66CB2}</b:Guid>
    <b:Title>What do we talk about when we talk about participation? Sense fo community and social representations of participation</b:Title>
    <b:JournalName>Europe's Journal of Psychology</b:JournalName>
    <b:Year>2019</b:Year>
    <b:Pages>312-328</b:Pages>
    <b:Volume>15</b:Volume>
    <b:Issue>2</b:Issue>
    <b:Author>
      <b:Author>
        <b:NameList>
          <b:Person>
            <b:Last>Rochira</b:Last>
            <b:First>Alessia</b:First>
          </b:Person>
          <b:Person>
            <b:Last>De Simone</b:Last>
            <b:First>Evelyn</b:First>
          </b:Person>
          <b:Person>
            <b:Last>Mannarini</b:Last>
            <b:First>Terri</b:First>
          </b:Person>
          <b:Person>
            <b:Last>Salvatore</b:Last>
            <b:First>Sergio</b:First>
          </b:Person>
        </b:NameList>
      </b:Author>
    </b:Author>
    <b:RefOrder>7</b:RefOrder>
  </b:Source>
  <b:Source>
    <b:Tag>Mal06</b:Tag>
    <b:SourceType>JournalArticle</b:SourceType>
    <b:Guid>{405175D0-E365-4313-AE24-5B4D653617C8}</b:Guid>
    <b:Title>Developing the public health workforce: a 'communities of practice' perspective</b:Title>
    <b:Year>2006</b:Year>
    <b:JournalName>Policy and Politics</b:JournalName>
    <b:Pages>265-285</b:Pages>
    <b:Author>
      <b:Author>
        <b:NameList>
          <b:Person>
            <b:Last>Mallinson</b:Last>
            <b:First>Sara</b:First>
          </b:Person>
          <b:Person>
            <b:Last>Popay</b:Last>
            <b:First>Jennie</b:First>
          </b:Person>
          <b:Person>
            <b:Last>Kowarzik</b:Last>
            <b:First>Ute</b:First>
          </b:Person>
          <b:Person>
            <b:Last>Mackian</b:Last>
            <b:First>Sara</b:First>
          </b:Person>
        </b:NameList>
      </b:Author>
    </b:Author>
    <b:Volume>34</b:Volume>
    <b:Issue>2</b:Issue>
    <b:RefOrder>3</b:RefOrder>
  </b:Source>
  <b:Source>
    <b:Tag>Osh04</b:Tag>
    <b:SourceType>JournalArticle</b:SourceType>
    <b:Guid>{ACB2255B-652C-4029-BED2-D69C9E0A75DE}</b:Guid>
    <b:Title>Differences in leadership styles and behaviour across hierarchical levels in UK organisations</b:Title>
    <b:Year>2004</b:Year>
    <b:Pages>93-106</b:Pages>
    <b:JournalName>Leadership &amp; Organization Development Journal</b:JournalName>
    <b:Author>
      <b:Author>
        <b:NameList>
          <b:Person>
            <b:Last>Oshagbemi</b:Last>
            <b:First>Titus</b:First>
          </b:Person>
          <b:Person>
            <b:Last>Gill</b:Last>
            <b:First>Roger</b:First>
          </b:Person>
        </b:NameList>
      </b:Author>
    </b:Author>
    <b:Volume>25</b:Volume>
    <b:Issue>1</b:Issue>
    <b:RefOrder>9</b:RefOrder>
  </b:Source>
  <b:Source>
    <b:Tag>Hoa12</b:Tag>
    <b:SourceType>BookSection</b:SourceType>
    <b:Guid>{1CB0C7E9-9D86-469D-ABF4-37E1F3068BA0}</b:Guid>
    <b:Title>What is community of practice and how can we support it</b:Title>
    <b:Year>2012</b:Year>
    <b:BookTitle>Theoretical foundations of learing environments</b:BookTitle>
    <b:City>New York</b:City>
    <b:Publisher>Routledge</b:Publisher>
    <b:StateProvince>NY</b:StateProvince>
    <b:ChapterNumber>12</b:ChapterNumber>
    <b:Edition>2nd</b:Edition>
    <b:Author>
      <b:Author>
        <b:NameList>
          <b:Person>
            <b:Last>Hoadley</b:Last>
            <b:First>Christopher</b:First>
          </b:Person>
        </b:NameList>
      </b:Author>
      <b:Editor>
        <b:NameList>
          <b:Person>
            <b:Last>Land</b:Last>
            <b:First>Susan</b:First>
          </b:Person>
          <b:Person>
            <b:Last>Jonassen</b:Last>
            <b:First>David</b:First>
          </b:Person>
        </b:NameList>
      </b:Editor>
    </b:Author>
    <b:RefOrder>1</b:RefOrder>
  </b:Source>
  <b:Source>
    <b:Tag>Doo97</b:Tag>
    <b:SourceType>JournalArticle</b:SourceType>
    <b:Guid>{73B77DFF-8FBF-42C0-A215-AF40EEB2E8CD}</b:Guid>
    <b:Title>Vygotsky's zone of proximal development as a theoretical foundation for cooperative learning</b:Title>
    <b:Year>1997</b:Year>
    <b:Pages>83-103</b:Pages>
    <b:Author>
      <b:Author>
        <b:NameList>
          <b:Person>
            <b:Last>Doolittle</b:Last>
            <b:Middle>E</b:Middle>
            <b:First>Peter</b:First>
          </b:Person>
        </b:NameList>
      </b:Author>
    </b:Author>
    <b:Volume>8</b:Volume>
    <b:Issue>1</b:Issue>
    <b:RefOrder>8</b:RefOrder>
  </b:Source>
  <b:Source>
    <b:Tag>Dog01</b:Tag>
    <b:SourceType>JournalArticle</b:SourceType>
    <b:Guid>{C9F0F5CD-DFC2-42DE-8406-339AC7CA936B}</b:Guid>
    <b:Title>Managing envy and jealousy in the workplace</b:Title>
    <b:JournalName>Compensation &amp; Benefits Review</b:JournalName>
    <b:Year>2001</b:Year>
    <b:Pages>57-64</b:Pages>
    <b:Volume>33</b:Volume>
    <b:Issue>2</b:Issue>
    <b:Author>
      <b:Author>
        <b:NameList>
          <b:Person>
            <b:Last>Dogan</b:Last>
            <b:First>Kim</b:First>
          </b:Person>
          <b:Person>
            <b:Last>Vecchio</b:Last>
            <b:Middle>P</b:Middle>
            <b:First>Robert</b:First>
          </b:Person>
        </b:NameList>
      </b:Author>
    </b:Author>
    <b:RefOrder>11</b:RefOrder>
  </b:Source>
  <b:Source>
    <b:Tag>DeV13</b:Tag>
    <b:SourceType>JournalArticle</b:SourceType>
    <b:Guid>{474FF514-5125-4235-9FF8-249F8FACA9F4}</b:Guid>
    <b:Title>Communicating with older people with dementia</b:Title>
    <b:JournalName>Nursing Older People</b:JournalName>
    <b:Year>2013</b:Year>
    <b:Pages>30-39</b:Pages>
    <b:Author>
      <b:Author>
        <b:NameList>
          <b:Person>
            <b:Last>De Vries</b:Last>
            <b:First>Kay</b:First>
          </b:Person>
        </b:NameList>
      </b:Author>
    </b:Author>
    <b:Volume>25</b:Volume>
    <b:Issue>4</b:Issue>
    <b:RefOrder>12</b:RefOrder>
  </b:Source>
  <b:Source>
    <b:Tag>Ami00</b:Tag>
    <b:SourceType>JournalArticle</b:SourceType>
    <b:Guid>{6E753C03-D87D-4F7D-9234-0EB616EC7BB1}</b:Guid>
    <b:Title>Organisational learning and governance through embedded practices.</b:Title>
    <b:JournalName>Journal of Management &amp; Governance</b:JournalName>
    <b:Year>2000</b:Year>
    <b:Pages>93-117</b:Pages>
    <b:Volume>4</b:Volume>
    <b:Issue>1/2</b:Issue>
    <b:Author>
      <b:Author>
        <b:NameList>
          <b:Person>
            <b:Last>Amin</b:Last>
            <b:First>Ash</b:First>
          </b:Person>
          <b:Person>
            <b:Last>Cohendet</b:Last>
            <b:First>Patrick</b:First>
          </b:Person>
        </b:NameList>
      </b:Author>
    </b:Author>
    <b:RefOrder>10</b:RefOrder>
  </b:Source>
  <b:Source>
    <b:Tag>Rob06</b:Tag>
    <b:SourceType>JournalArticle</b:SourceType>
    <b:Guid>{FE5581E6-2712-45BA-BCAC-63BA5E097404}</b:Guid>
    <b:Title>Limits to communities of practice</b:Title>
    <b:JournalName>Journal of Management Studies</b:JournalName>
    <b:Year>2006</b:Year>
    <b:Pages>623-639</b:Pages>
    <b:Volume>43</b:Volume>
    <b:Issue>3</b:Issue>
    <b:Author>
      <b:Author>
        <b:NameList>
          <b:Person>
            <b:Last>Robers</b:Last>
            <b:First>Joanne</b:First>
          </b:Person>
        </b:NameList>
      </b:Author>
    </b:Autho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3AB687-6914-4539-91A1-C26D994DC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Social Knowledge and Identity</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Knowledge and Identity</dc:title>
  <dc:subject>Communities of practice reflective assignment</dc:subject>
  <dc:creator>Sean Morgan (0851699)</dc:creator>
  <cp:keywords/>
  <dc:description/>
  <cp:lastModifiedBy>Sean Morgan (0851699)</cp:lastModifiedBy>
  <cp:revision>4</cp:revision>
  <dcterms:created xsi:type="dcterms:W3CDTF">2020-05-04T11:49:00Z</dcterms:created>
  <dcterms:modified xsi:type="dcterms:W3CDTF">2020-05-05T17:55:00Z</dcterms:modified>
</cp:coreProperties>
</file>