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0F126" w14:textId="74376B4C" w:rsidR="004E1A16" w:rsidRDefault="004E1A16" w:rsidP="00977F6A">
      <w:pPr>
        <w:jc w:val="center"/>
        <w:rPr>
          <w:b/>
          <w:bCs/>
          <w:noProof/>
          <w:sz w:val="32"/>
          <w:szCs w:val="32"/>
          <w:lang w:val="en-GB"/>
        </w:rPr>
      </w:pPr>
    </w:p>
    <w:p w14:paraId="113EABAC" w14:textId="5CBD9C9D" w:rsidR="008B5035" w:rsidRDefault="008B5035" w:rsidP="00977F6A">
      <w:pPr>
        <w:jc w:val="center"/>
        <w:rPr>
          <w:b/>
          <w:bCs/>
          <w:sz w:val="32"/>
          <w:szCs w:val="32"/>
          <w:lang w:val="en-GB"/>
        </w:rPr>
      </w:pPr>
      <w:r>
        <w:rPr>
          <w:noProof/>
        </w:rPr>
        <w:drawing>
          <wp:inline distT="0" distB="0" distL="0" distR="0" wp14:anchorId="1035D9E5" wp14:editId="3E22F7C1">
            <wp:extent cx="2954704" cy="978010"/>
            <wp:effectExtent l="0" t="0" r="0" b="0"/>
            <wp:docPr id="876977566"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8019" cy="989037"/>
                    </a:xfrm>
                    <a:prstGeom prst="rect">
                      <a:avLst/>
                    </a:prstGeom>
                    <a:noFill/>
                    <a:ln>
                      <a:noFill/>
                    </a:ln>
                  </pic:spPr>
                </pic:pic>
              </a:graphicData>
            </a:graphic>
          </wp:inline>
        </w:drawing>
      </w:r>
    </w:p>
    <w:p w14:paraId="6D40237B" w14:textId="77777777" w:rsidR="008B5035" w:rsidRPr="00977F6A" w:rsidRDefault="008B5035" w:rsidP="00977F6A">
      <w:pPr>
        <w:jc w:val="center"/>
        <w:rPr>
          <w:b/>
          <w:bCs/>
          <w:sz w:val="32"/>
          <w:szCs w:val="32"/>
          <w:lang w:val="en-GB"/>
        </w:rPr>
      </w:pPr>
    </w:p>
    <w:p w14:paraId="36401007" w14:textId="77777777" w:rsidR="004E1A16" w:rsidRPr="00691B86" w:rsidRDefault="004E757B">
      <w:pPr>
        <w:jc w:val="center"/>
        <w:rPr>
          <w:rFonts w:ascii="Arial" w:hAnsi="Arial" w:cs="Arial"/>
          <w:b/>
          <w:bCs/>
          <w:sz w:val="32"/>
          <w:szCs w:val="32"/>
          <w:lang w:val="en-GB"/>
        </w:rPr>
      </w:pPr>
      <w:r w:rsidRPr="00691B86">
        <w:rPr>
          <w:rFonts w:ascii="Arial" w:hAnsi="Arial" w:cs="Arial"/>
          <w:b/>
          <w:bCs/>
          <w:sz w:val="32"/>
          <w:szCs w:val="32"/>
          <w:lang w:val="en-GB"/>
        </w:rPr>
        <w:t>Programme: Master of Business Administration</w:t>
      </w:r>
    </w:p>
    <w:p w14:paraId="52B3B27C" w14:textId="77777777" w:rsidR="004E1A16" w:rsidRPr="00691B86" w:rsidRDefault="004E757B">
      <w:pPr>
        <w:jc w:val="center"/>
        <w:rPr>
          <w:rFonts w:ascii="Arial" w:hAnsi="Arial" w:cs="Arial"/>
          <w:b/>
          <w:bCs/>
          <w:sz w:val="32"/>
          <w:szCs w:val="32"/>
          <w:lang w:val="en-GB"/>
        </w:rPr>
      </w:pPr>
      <w:r w:rsidRPr="00691B86">
        <w:rPr>
          <w:rFonts w:ascii="Arial" w:hAnsi="Arial" w:cs="Arial"/>
          <w:b/>
          <w:bCs/>
          <w:sz w:val="32"/>
          <w:szCs w:val="32"/>
          <w:lang w:val="en-GB"/>
        </w:rPr>
        <w:t>Module: Marketing Management</w:t>
      </w:r>
    </w:p>
    <w:p w14:paraId="52D325FF" w14:textId="77777777" w:rsidR="004E1A16" w:rsidRPr="00691B86" w:rsidRDefault="004E757B">
      <w:pPr>
        <w:jc w:val="center"/>
        <w:rPr>
          <w:rFonts w:ascii="Arial" w:hAnsi="Arial" w:cs="Arial"/>
          <w:b/>
          <w:bCs/>
          <w:sz w:val="32"/>
          <w:szCs w:val="32"/>
          <w:lang w:val="en-GB"/>
        </w:rPr>
      </w:pPr>
      <w:r w:rsidRPr="00691B86">
        <w:rPr>
          <w:rFonts w:ascii="Arial" w:hAnsi="Arial" w:cs="Arial"/>
          <w:b/>
          <w:bCs/>
          <w:sz w:val="32"/>
          <w:szCs w:val="32"/>
          <w:lang w:val="en-GB"/>
        </w:rPr>
        <w:t>Module code: LCMB7024</w:t>
      </w:r>
    </w:p>
    <w:p w14:paraId="4801E385" w14:textId="77777777" w:rsidR="004E1A16" w:rsidRPr="00691B86" w:rsidRDefault="004E1A16" w:rsidP="00977F6A">
      <w:pPr>
        <w:rPr>
          <w:rFonts w:ascii="Arial" w:hAnsi="Arial" w:cs="Arial"/>
          <w:b/>
          <w:bCs/>
          <w:sz w:val="32"/>
          <w:szCs w:val="32"/>
          <w:lang w:val="en-GB"/>
        </w:rPr>
      </w:pPr>
    </w:p>
    <w:p w14:paraId="3BC74172" w14:textId="6DE4FF92" w:rsidR="004E1A16" w:rsidRPr="00691B86" w:rsidRDefault="004E757B" w:rsidP="00977F6A">
      <w:pPr>
        <w:jc w:val="center"/>
        <w:rPr>
          <w:rFonts w:ascii="Arial" w:hAnsi="Arial" w:cs="Arial"/>
          <w:b/>
          <w:bCs/>
          <w:sz w:val="32"/>
          <w:szCs w:val="32"/>
          <w:lang w:val="en-GB"/>
        </w:rPr>
      </w:pPr>
      <w:r w:rsidRPr="00691B86">
        <w:rPr>
          <w:rFonts w:ascii="Arial" w:hAnsi="Arial" w:cs="Arial"/>
          <w:b/>
          <w:bCs/>
          <w:sz w:val="32"/>
          <w:szCs w:val="32"/>
          <w:lang w:val="en-GB"/>
        </w:rPr>
        <w:t>Assignment Title: Assessment Component 1: Marketing Environment Analysis</w:t>
      </w:r>
    </w:p>
    <w:p w14:paraId="66267A91" w14:textId="77777777" w:rsidR="004E1A16" w:rsidRPr="00691B86" w:rsidRDefault="004E1A16">
      <w:pPr>
        <w:jc w:val="center"/>
        <w:rPr>
          <w:rFonts w:ascii="Arial" w:hAnsi="Arial" w:cs="Arial"/>
          <w:b/>
          <w:bCs/>
          <w:sz w:val="32"/>
          <w:szCs w:val="32"/>
          <w:lang w:val="en-GB"/>
        </w:rPr>
      </w:pPr>
    </w:p>
    <w:p w14:paraId="6D3909CE" w14:textId="2776E5F3" w:rsidR="004E1A16" w:rsidRPr="00691B86" w:rsidRDefault="004E757B">
      <w:pPr>
        <w:jc w:val="center"/>
        <w:rPr>
          <w:rFonts w:ascii="Arial" w:hAnsi="Arial" w:cs="Arial"/>
          <w:b/>
          <w:bCs/>
          <w:lang w:val="en-GB"/>
        </w:rPr>
      </w:pPr>
      <w:r w:rsidRPr="00691B86">
        <w:rPr>
          <w:rFonts w:ascii="Arial" w:hAnsi="Arial" w:cs="Arial"/>
          <w:b/>
          <w:bCs/>
          <w:lang w:val="en-GB"/>
        </w:rPr>
        <w:t>Student Name:</w:t>
      </w:r>
      <w:r w:rsidR="00AB0E11" w:rsidRPr="00691B86">
        <w:rPr>
          <w:rFonts w:ascii="Arial" w:hAnsi="Arial" w:cs="Arial"/>
          <w:b/>
          <w:bCs/>
          <w:lang w:val="en-GB"/>
        </w:rPr>
        <w:t xml:space="preserve"> Dhruv Jitubhai Mangukiya</w:t>
      </w:r>
    </w:p>
    <w:p w14:paraId="403A0AB6" w14:textId="76062F90" w:rsidR="004E1A16" w:rsidRPr="00691B86" w:rsidRDefault="004E757B">
      <w:pPr>
        <w:jc w:val="center"/>
        <w:rPr>
          <w:rFonts w:ascii="Arial" w:hAnsi="Arial" w:cs="Arial"/>
          <w:b/>
          <w:bCs/>
          <w:lang w:val="en-GB"/>
        </w:rPr>
      </w:pPr>
      <w:r w:rsidRPr="00691B86">
        <w:rPr>
          <w:rFonts w:ascii="Arial" w:hAnsi="Arial" w:cs="Arial"/>
          <w:b/>
          <w:bCs/>
          <w:lang w:val="en-GB"/>
        </w:rPr>
        <w:t xml:space="preserve">Student Number: </w:t>
      </w:r>
      <w:r w:rsidR="00D4331B" w:rsidRPr="00691B86">
        <w:rPr>
          <w:rFonts w:ascii="Arial" w:hAnsi="Arial" w:cs="Arial"/>
          <w:b/>
          <w:bCs/>
          <w:lang w:val="en-GB"/>
        </w:rPr>
        <w:t>2611141</w:t>
      </w:r>
    </w:p>
    <w:p w14:paraId="0DB9D118" w14:textId="317E5716" w:rsidR="004E1A16" w:rsidRPr="00691B86" w:rsidRDefault="004E757B">
      <w:pPr>
        <w:jc w:val="center"/>
        <w:rPr>
          <w:rFonts w:ascii="Arial" w:hAnsi="Arial" w:cs="Arial"/>
          <w:b/>
          <w:bCs/>
          <w:lang w:val="en-GB"/>
        </w:rPr>
      </w:pPr>
      <w:r w:rsidRPr="00691B86">
        <w:rPr>
          <w:rFonts w:ascii="Arial" w:hAnsi="Arial" w:cs="Arial"/>
          <w:b/>
          <w:bCs/>
          <w:lang w:val="en-GB"/>
        </w:rPr>
        <w:t>Word Count:</w:t>
      </w:r>
      <w:r w:rsidR="00980AD9" w:rsidRPr="00691B86">
        <w:rPr>
          <w:rFonts w:ascii="Arial" w:hAnsi="Arial" w:cs="Arial"/>
          <w:b/>
          <w:bCs/>
          <w:lang w:val="en-GB"/>
        </w:rPr>
        <w:t xml:space="preserve"> </w:t>
      </w:r>
      <w:r w:rsidR="007C1357" w:rsidRPr="00691B86">
        <w:rPr>
          <w:rFonts w:ascii="Arial" w:hAnsi="Arial" w:cs="Arial"/>
          <w:b/>
          <w:bCs/>
          <w:lang w:val="en-GB"/>
        </w:rPr>
        <w:t>2601</w:t>
      </w:r>
    </w:p>
    <w:p w14:paraId="2D7BB658" w14:textId="7618C79C" w:rsidR="004E1A16" w:rsidRPr="00691B86" w:rsidRDefault="004E757B" w:rsidP="008B5035">
      <w:pPr>
        <w:jc w:val="center"/>
        <w:rPr>
          <w:rFonts w:ascii="Arial" w:hAnsi="Arial" w:cs="Arial"/>
          <w:b/>
          <w:bCs/>
          <w:lang w:val="en-GB"/>
        </w:rPr>
      </w:pPr>
      <w:r w:rsidRPr="00691B86">
        <w:rPr>
          <w:rFonts w:ascii="Arial" w:hAnsi="Arial" w:cs="Arial"/>
          <w:b/>
          <w:bCs/>
          <w:lang w:val="en-GB"/>
        </w:rPr>
        <w:t>Submission Date:</w:t>
      </w:r>
      <w:r w:rsidR="00D4331B" w:rsidRPr="00691B86">
        <w:rPr>
          <w:rFonts w:ascii="Arial" w:hAnsi="Arial" w:cs="Arial"/>
          <w:b/>
          <w:bCs/>
          <w:lang w:val="en-GB"/>
        </w:rPr>
        <w:t>22/10/2026</w:t>
      </w:r>
    </w:p>
    <w:p w14:paraId="7E0F2B40" w14:textId="77777777" w:rsidR="004E1A16" w:rsidRPr="00691B86" w:rsidRDefault="004E757B">
      <w:pPr>
        <w:jc w:val="center"/>
        <w:rPr>
          <w:rFonts w:ascii="Arial" w:hAnsi="Arial" w:cs="Arial"/>
          <w:b/>
          <w:bCs/>
          <w:lang w:val="en-GB"/>
        </w:rPr>
      </w:pPr>
      <w:r w:rsidRPr="00691B86">
        <w:rPr>
          <w:rFonts w:ascii="Arial" w:hAnsi="Arial" w:cs="Arial"/>
          <w:lang w:val="en-GB"/>
        </w:rPr>
        <w:br w:type="page"/>
      </w:r>
    </w:p>
    <w:p w14:paraId="26FB3BED" w14:textId="77777777" w:rsidR="004E1A16" w:rsidRPr="00691B86" w:rsidRDefault="004E757B">
      <w:pPr>
        <w:jc w:val="center"/>
        <w:rPr>
          <w:rFonts w:ascii="Arial" w:hAnsi="Arial" w:cs="Arial"/>
          <w:b/>
          <w:bCs/>
          <w:sz w:val="28"/>
          <w:szCs w:val="28"/>
          <w:lang w:val="en-GB"/>
        </w:rPr>
      </w:pPr>
      <w:r w:rsidRPr="00691B86">
        <w:rPr>
          <w:rFonts w:ascii="Arial" w:hAnsi="Arial" w:cs="Arial"/>
          <w:b/>
          <w:bCs/>
          <w:sz w:val="28"/>
          <w:szCs w:val="28"/>
          <w:lang w:val="en-GB"/>
        </w:rPr>
        <w:lastRenderedPageBreak/>
        <w:t>Table of Contents</w:t>
      </w:r>
    </w:p>
    <w:sdt>
      <w:sdtPr>
        <w:rPr>
          <w:rFonts w:ascii="Arial" w:hAnsi="Arial" w:cs="Arial"/>
          <w:lang w:val="en-GB"/>
        </w:rPr>
        <w:id w:val="1167491747"/>
        <w:docPartObj>
          <w:docPartGallery w:val="Table of Contents"/>
          <w:docPartUnique/>
        </w:docPartObj>
      </w:sdtPr>
      <w:sdtContent>
        <w:p w14:paraId="0F36A860" w14:textId="77777777" w:rsidR="004E1A16" w:rsidRPr="00691B86" w:rsidRDefault="004E1A16">
          <w:pPr>
            <w:widowControl w:val="0"/>
            <w:tabs>
              <w:tab w:val="right" w:leader="dot" w:pos="9360"/>
            </w:tabs>
            <w:spacing w:before="60"/>
            <w:rPr>
              <w:rFonts w:ascii="Arial" w:hAnsi="Arial" w:cs="Arial"/>
              <w:b/>
              <w:bCs/>
              <w:color w:val="000000"/>
              <w:lang w:val="en-GB"/>
            </w:rPr>
          </w:pPr>
          <w:r w:rsidRPr="00691B86">
            <w:rPr>
              <w:rFonts w:ascii="Arial" w:hAnsi="Arial" w:cs="Arial"/>
              <w:lang w:val="en-GB"/>
            </w:rPr>
            <w:fldChar w:fldCharType="begin"/>
          </w:r>
          <w:r w:rsidRPr="00691B86">
            <w:rPr>
              <w:rFonts w:ascii="Arial" w:hAnsi="Arial" w:cs="Arial"/>
              <w:lang w:val="en-GB"/>
            </w:rPr>
            <w:instrText xml:space="preserve"> TOC \h \u \z \t "Heading 1,1,Heading 2,2,Heading 3,3,Heading 4,4,Heading 5,5,Heading 6,6,"</w:instrText>
          </w:r>
          <w:r w:rsidRPr="00691B86">
            <w:rPr>
              <w:rFonts w:ascii="Arial" w:hAnsi="Arial" w:cs="Arial"/>
              <w:lang w:val="en-GB"/>
            </w:rPr>
            <w:fldChar w:fldCharType="separate"/>
          </w:r>
          <w:hyperlink w:anchor="_t4fjxnnw8ym4">
            <w:r w:rsidRPr="00691B86">
              <w:rPr>
                <w:rFonts w:ascii="Arial" w:hAnsi="Arial" w:cs="Arial"/>
                <w:b/>
                <w:bCs/>
                <w:color w:val="000000"/>
                <w:lang w:val="en-GB"/>
              </w:rPr>
              <w:t>Introduction</w:t>
            </w:r>
            <w:r w:rsidRPr="00691B86">
              <w:rPr>
                <w:rFonts w:ascii="Arial" w:hAnsi="Arial" w:cs="Arial"/>
                <w:b/>
                <w:bCs/>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_t4fjxnnw8ym4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b/>
              <w:bCs/>
              <w:lang w:val="en-GB"/>
            </w:rPr>
            <w:t>3</w:t>
          </w:r>
          <w:r w:rsidRPr="00691B86">
            <w:rPr>
              <w:rFonts w:ascii="Arial" w:hAnsi="Arial" w:cs="Arial"/>
              <w:lang w:val="en-GB"/>
            </w:rPr>
            <w:fldChar w:fldCharType="end"/>
          </w:r>
        </w:p>
        <w:p w14:paraId="3EE623F9" w14:textId="77777777" w:rsidR="004E1A16" w:rsidRPr="00691B86" w:rsidRDefault="004E1A16">
          <w:pPr>
            <w:widowControl w:val="0"/>
            <w:tabs>
              <w:tab w:val="right" w:leader="dot" w:pos="9360"/>
            </w:tabs>
            <w:spacing w:before="60"/>
            <w:rPr>
              <w:rFonts w:ascii="Arial" w:hAnsi="Arial" w:cs="Arial"/>
              <w:b/>
              <w:bCs/>
              <w:color w:val="000000"/>
              <w:lang w:val="en-GB"/>
            </w:rPr>
          </w:pPr>
          <w:hyperlink w:anchor="_hekvx151ovht">
            <w:r w:rsidRPr="00691B86">
              <w:rPr>
                <w:rFonts w:ascii="Arial" w:hAnsi="Arial" w:cs="Arial"/>
                <w:b/>
                <w:bCs/>
                <w:color w:val="000000"/>
                <w:lang w:val="en-GB"/>
              </w:rPr>
              <w:t>Task 1: Marketing Environment Analysis</w:t>
            </w:r>
            <w:r w:rsidRPr="00691B86">
              <w:rPr>
                <w:rFonts w:ascii="Arial" w:hAnsi="Arial" w:cs="Arial"/>
                <w:b/>
                <w:bCs/>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_hekvx151ovht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b/>
              <w:bCs/>
              <w:lang w:val="en-GB"/>
            </w:rPr>
            <w:t>3</w:t>
          </w:r>
          <w:r w:rsidRPr="00691B86">
            <w:rPr>
              <w:rFonts w:ascii="Arial" w:hAnsi="Arial" w:cs="Arial"/>
              <w:lang w:val="en-GB"/>
            </w:rPr>
            <w:fldChar w:fldCharType="end"/>
          </w:r>
        </w:p>
        <w:p w14:paraId="1DFECAAC" w14:textId="77777777" w:rsidR="004E1A16" w:rsidRPr="00691B86" w:rsidRDefault="004E1A16">
          <w:pPr>
            <w:widowControl w:val="0"/>
            <w:tabs>
              <w:tab w:val="right" w:leader="dot" w:pos="9360"/>
            </w:tabs>
            <w:spacing w:before="60"/>
            <w:ind w:left="360"/>
            <w:rPr>
              <w:rFonts w:ascii="Arial" w:hAnsi="Arial" w:cs="Arial"/>
              <w:color w:val="000000"/>
              <w:lang w:val="en-GB"/>
            </w:rPr>
          </w:pPr>
          <w:hyperlink w:anchor="_4k0mmoemakku">
            <w:r w:rsidRPr="00691B86">
              <w:rPr>
                <w:rFonts w:ascii="Arial" w:hAnsi="Arial" w:cs="Arial"/>
                <w:color w:val="000000"/>
                <w:lang w:val="en-GB"/>
              </w:rPr>
              <w:t>1.1 Selection of one major metals or mining company</w:t>
            </w:r>
            <w:r w:rsidRPr="00691B86">
              <w:rPr>
                <w:rFonts w:ascii="Arial" w:hAnsi="Arial" w:cs="Arial"/>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_4k0mmoemakku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lang w:val="en-GB"/>
            </w:rPr>
            <w:t>3</w:t>
          </w:r>
          <w:r w:rsidRPr="00691B86">
            <w:rPr>
              <w:rFonts w:ascii="Arial" w:hAnsi="Arial" w:cs="Arial"/>
              <w:lang w:val="en-GB"/>
            </w:rPr>
            <w:fldChar w:fldCharType="end"/>
          </w:r>
        </w:p>
        <w:p w14:paraId="52B1D956" w14:textId="77777777" w:rsidR="004E1A16" w:rsidRPr="00691B86" w:rsidRDefault="004E1A16">
          <w:pPr>
            <w:widowControl w:val="0"/>
            <w:tabs>
              <w:tab w:val="right" w:leader="dot" w:pos="9360"/>
            </w:tabs>
            <w:spacing w:before="60"/>
            <w:ind w:left="360"/>
            <w:rPr>
              <w:rFonts w:ascii="Arial" w:hAnsi="Arial" w:cs="Arial"/>
              <w:color w:val="000000"/>
              <w:lang w:val="en-GB"/>
            </w:rPr>
          </w:pPr>
          <w:hyperlink w:anchor="_iiy9i8lcwx3z">
            <w:r w:rsidRPr="00691B86">
              <w:rPr>
                <w:rFonts w:ascii="Arial" w:hAnsi="Arial" w:cs="Arial"/>
                <w:color w:val="000000"/>
                <w:lang w:val="en-GB"/>
              </w:rPr>
              <w:t>1.2 Critical analysis of three major external Actors</w:t>
            </w:r>
            <w:r w:rsidRPr="00691B86">
              <w:rPr>
                <w:rFonts w:ascii="Arial" w:hAnsi="Arial" w:cs="Arial"/>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_iiy9i8lcwx3z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lang w:val="en-GB"/>
            </w:rPr>
            <w:t>4</w:t>
          </w:r>
          <w:r w:rsidRPr="00691B86">
            <w:rPr>
              <w:rFonts w:ascii="Arial" w:hAnsi="Arial" w:cs="Arial"/>
              <w:lang w:val="en-GB"/>
            </w:rPr>
            <w:fldChar w:fldCharType="end"/>
          </w:r>
        </w:p>
        <w:p w14:paraId="0BEBA292" w14:textId="77777777" w:rsidR="004E1A16" w:rsidRPr="00691B86" w:rsidRDefault="004E1A16">
          <w:pPr>
            <w:widowControl w:val="0"/>
            <w:tabs>
              <w:tab w:val="right" w:leader="dot" w:pos="9360"/>
            </w:tabs>
            <w:spacing w:before="60"/>
            <w:rPr>
              <w:rFonts w:ascii="Arial" w:hAnsi="Arial" w:cs="Arial"/>
              <w:b/>
              <w:bCs/>
              <w:color w:val="000000"/>
              <w:lang w:val="en-GB"/>
            </w:rPr>
          </w:pPr>
          <w:hyperlink w:anchor="_i3wiqk8gyjjq">
            <w:r w:rsidRPr="00691B86">
              <w:rPr>
                <w:rFonts w:ascii="Arial" w:hAnsi="Arial" w:cs="Arial"/>
                <w:b/>
                <w:bCs/>
                <w:color w:val="000000"/>
                <w:lang w:val="en-GB"/>
              </w:rPr>
              <w:t>Task 2: Strategic Growth and Competitive Positioning</w:t>
            </w:r>
            <w:r w:rsidRPr="00691B86">
              <w:rPr>
                <w:rFonts w:ascii="Arial" w:hAnsi="Arial" w:cs="Arial"/>
                <w:b/>
                <w:bCs/>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_i3wiqk8gyjjq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b/>
              <w:bCs/>
              <w:lang w:val="en-GB"/>
            </w:rPr>
            <w:t>8</w:t>
          </w:r>
          <w:r w:rsidRPr="00691B86">
            <w:rPr>
              <w:rFonts w:ascii="Arial" w:hAnsi="Arial" w:cs="Arial"/>
              <w:lang w:val="en-GB"/>
            </w:rPr>
            <w:fldChar w:fldCharType="end"/>
          </w:r>
        </w:p>
        <w:p w14:paraId="69C864D9" w14:textId="77777777" w:rsidR="004E1A16" w:rsidRPr="00691B86" w:rsidRDefault="004E1A16">
          <w:pPr>
            <w:widowControl w:val="0"/>
            <w:tabs>
              <w:tab w:val="right" w:leader="dot" w:pos="9360"/>
            </w:tabs>
            <w:spacing w:before="60"/>
            <w:ind w:left="360"/>
            <w:rPr>
              <w:rFonts w:ascii="Arial" w:hAnsi="Arial" w:cs="Arial"/>
              <w:color w:val="000000"/>
              <w:lang w:val="en-GB"/>
            </w:rPr>
          </w:pPr>
          <w:hyperlink w:anchor="_aoi12c4xupb5">
            <w:r w:rsidRPr="00691B86">
              <w:rPr>
                <w:rFonts w:ascii="Arial" w:hAnsi="Arial" w:cs="Arial"/>
                <w:color w:val="000000"/>
                <w:lang w:val="en-GB"/>
              </w:rPr>
              <w:t>2.1 Evaluation of strategic growth approach using Ansoff Matrix</w:t>
            </w:r>
            <w:r w:rsidRPr="00691B86">
              <w:rPr>
                <w:rFonts w:ascii="Arial" w:hAnsi="Arial" w:cs="Arial"/>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_aoi12c4xupb5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lang w:val="en-GB"/>
            </w:rPr>
            <w:t>8</w:t>
          </w:r>
          <w:r w:rsidRPr="00691B86">
            <w:rPr>
              <w:rFonts w:ascii="Arial" w:hAnsi="Arial" w:cs="Arial"/>
              <w:lang w:val="en-GB"/>
            </w:rPr>
            <w:fldChar w:fldCharType="end"/>
          </w:r>
        </w:p>
        <w:p w14:paraId="47D1C04F" w14:textId="77777777" w:rsidR="004E1A16" w:rsidRPr="00691B86" w:rsidRDefault="004E1A16">
          <w:pPr>
            <w:widowControl w:val="0"/>
            <w:tabs>
              <w:tab w:val="right" w:leader="dot" w:pos="9360"/>
            </w:tabs>
            <w:spacing w:before="60"/>
            <w:ind w:left="360"/>
            <w:rPr>
              <w:rFonts w:ascii="Arial" w:hAnsi="Arial" w:cs="Arial"/>
              <w:color w:val="000000"/>
              <w:lang w:val="en-GB"/>
            </w:rPr>
          </w:pPr>
          <w:hyperlink w:anchor="_w84twmxryi50">
            <w:r w:rsidRPr="00691B86">
              <w:rPr>
                <w:rFonts w:ascii="Arial" w:hAnsi="Arial" w:cs="Arial"/>
                <w:color w:val="000000"/>
                <w:lang w:val="en-GB"/>
              </w:rPr>
              <w:t>2.2 Competitive Advantage using the TBL model</w:t>
            </w:r>
            <w:r w:rsidRPr="00691B86">
              <w:rPr>
                <w:rFonts w:ascii="Arial" w:hAnsi="Arial" w:cs="Arial"/>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_w84twmxryi50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lang w:val="en-GB"/>
            </w:rPr>
            <w:t>10</w:t>
          </w:r>
          <w:r w:rsidRPr="00691B86">
            <w:rPr>
              <w:rFonts w:ascii="Arial" w:hAnsi="Arial" w:cs="Arial"/>
              <w:lang w:val="en-GB"/>
            </w:rPr>
            <w:fldChar w:fldCharType="end"/>
          </w:r>
        </w:p>
        <w:p w14:paraId="54CB6A9E" w14:textId="77777777" w:rsidR="004E1A16" w:rsidRPr="00691B86" w:rsidRDefault="004E1A16">
          <w:pPr>
            <w:widowControl w:val="0"/>
            <w:tabs>
              <w:tab w:val="right" w:leader="dot" w:pos="9360"/>
            </w:tabs>
            <w:spacing w:before="60"/>
            <w:rPr>
              <w:rFonts w:ascii="Arial" w:hAnsi="Arial" w:cs="Arial"/>
              <w:b/>
              <w:bCs/>
              <w:color w:val="000000"/>
              <w:lang w:val="en-GB"/>
            </w:rPr>
          </w:pPr>
          <w:hyperlink w:anchor="_lrlm22ipizkb">
            <w:r w:rsidRPr="00691B86">
              <w:rPr>
                <w:rFonts w:ascii="Arial" w:hAnsi="Arial" w:cs="Arial"/>
                <w:b/>
                <w:bCs/>
                <w:color w:val="000000"/>
                <w:lang w:val="en-GB"/>
              </w:rPr>
              <w:t>Task 3: Managerial and Professional Reflection</w:t>
            </w:r>
            <w:r w:rsidRPr="00691B86">
              <w:rPr>
                <w:rFonts w:ascii="Arial" w:hAnsi="Arial" w:cs="Arial"/>
                <w:b/>
                <w:bCs/>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_lrlm22ipizkb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b/>
              <w:bCs/>
              <w:lang w:val="en-GB"/>
            </w:rPr>
            <w:t>12</w:t>
          </w:r>
          <w:r w:rsidRPr="00691B86">
            <w:rPr>
              <w:rFonts w:ascii="Arial" w:hAnsi="Arial" w:cs="Arial"/>
              <w:lang w:val="en-GB"/>
            </w:rPr>
            <w:fldChar w:fldCharType="end"/>
          </w:r>
        </w:p>
        <w:p w14:paraId="1AC61A06" w14:textId="77777777" w:rsidR="004E1A16" w:rsidRPr="00691B86" w:rsidRDefault="004E1A16">
          <w:pPr>
            <w:widowControl w:val="0"/>
            <w:tabs>
              <w:tab w:val="right" w:leader="dot" w:pos="9360"/>
            </w:tabs>
            <w:spacing w:before="60"/>
            <w:ind w:left="360"/>
            <w:rPr>
              <w:rFonts w:ascii="Arial" w:hAnsi="Arial" w:cs="Arial"/>
              <w:color w:val="000000"/>
              <w:lang w:val="en-GB"/>
            </w:rPr>
          </w:pPr>
          <w:hyperlink w:anchor="_l93lvf4vdddn">
            <w:r w:rsidRPr="00691B86">
              <w:rPr>
                <w:rFonts w:ascii="Arial" w:hAnsi="Arial" w:cs="Arial"/>
                <w:color w:val="000000"/>
                <w:lang w:val="en-GB"/>
              </w:rPr>
              <w:t>3.1 Reflection on the key decisions made throughout the report</w:t>
            </w:r>
            <w:r w:rsidRPr="00691B86">
              <w:rPr>
                <w:rFonts w:ascii="Arial" w:hAnsi="Arial" w:cs="Arial"/>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_l93lvf4vdddn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lang w:val="en-GB"/>
            </w:rPr>
            <w:t>12</w:t>
          </w:r>
          <w:r w:rsidRPr="00691B86">
            <w:rPr>
              <w:rFonts w:ascii="Arial" w:hAnsi="Arial" w:cs="Arial"/>
              <w:lang w:val="en-GB"/>
            </w:rPr>
            <w:fldChar w:fldCharType="end"/>
          </w:r>
        </w:p>
        <w:p w14:paraId="3CE11DDD" w14:textId="77777777" w:rsidR="004E1A16" w:rsidRPr="00691B86" w:rsidRDefault="004E1A16">
          <w:pPr>
            <w:widowControl w:val="0"/>
            <w:tabs>
              <w:tab w:val="right" w:leader="dot" w:pos="9360"/>
            </w:tabs>
            <w:spacing w:before="60"/>
            <w:ind w:left="360"/>
            <w:rPr>
              <w:rFonts w:ascii="Arial" w:hAnsi="Arial" w:cs="Arial"/>
              <w:color w:val="000000"/>
              <w:lang w:val="en-GB"/>
            </w:rPr>
          </w:pPr>
          <w:hyperlink w:anchor="_8yuucr9xv4l">
            <w:r w:rsidRPr="00691B86">
              <w:rPr>
                <w:rFonts w:ascii="Arial" w:hAnsi="Arial" w:cs="Arial"/>
                <w:color w:val="000000"/>
                <w:lang w:val="en-GB"/>
              </w:rPr>
              <w:t>3.2 Reflection on the limitations of analysis</w:t>
            </w:r>
            <w:r w:rsidRPr="00691B86">
              <w:rPr>
                <w:rFonts w:ascii="Arial" w:hAnsi="Arial" w:cs="Arial"/>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_8yuucr9xv4l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lang w:val="en-GB"/>
            </w:rPr>
            <w:t>13</w:t>
          </w:r>
          <w:r w:rsidRPr="00691B86">
            <w:rPr>
              <w:rFonts w:ascii="Arial" w:hAnsi="Arial" w:cs="Arial"/>
              <w:lang w:val="en-GB"/>
            </w:rPr>
            <w:fldChar w:fldCharType="end"/>
          </w:r>
        </w:p>
        <w:p w14:paraId="23437E47" w14:textId="77777777" w:rsidR="004E1A16" w:rsidRPr="00691B86" w:rsidRDefault="004E1A16">
          <w:pPr>
            <w:widowControl w:val="0"/>
            <w:tabs>
              <w:tab w:val="right" w:leader="dot" w:pos="9360"/>
            </w:tabs>
            <w:spacing w:before="60"/>
            <w:rPr>
              <w:rFonts w:ascii="Arial" w:hAnsi="Arial" w:cs="Arial"/>
              <w:b/>
              <w:bCs/>
              <w:color w:val="000000"/>
              <w:lang w:val="en-GB"/>
            </w:rPr>
          </w:pPr>
          <w:hyperlink w:anchor="_94jme0k0uhnr">
            <w:r w:rsidRPr="00691B86">
              <w:rPr>
                <w:rFonts w:ascii="Arial" w:hAnsi="Arial" w:cs="Arial"/>
                <w:b/>
                <w:bCs/>
                <w:color w:val="000000"/>
                <w:lang w:val="en-GB"/>
              </w:rPr>
              <w:t>Conclusion</w:t>
            </w:r>
            <w:r w:rsidRPr="00691B86">
              <w:rPr>
                <w:rFonts w:ascii="Arial" w:hAnsi="Arial" w:cs="Arial"/>
                <w:b/>
                <w:bCs/>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_94jme0k0uhnr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b/>
              <w:bCs/>
              <w:lang w:val="en-GB"/>
            </w:rPr>
            <w:t>13</w:t>
          </w:r>
          <w:r w:rsidRPr="00691B86">
            <w:rPr>
              <w:rFonts w:ascii="Arial" w:hAnsi="Arial" w:cs="Arial"/>
              <w:lang w:val="en-GB"/>
            </w:rPr>
            <w:fldChar w:fldCharType="end"/>
          </w:r>
        </w:p>
        <w:p w14:paraId="6F503F35" w14:textId="77777777" w:rsidR="004E1A16" w:rsidRPr="00691B86" w:rsidRDefault="004E1A16">
          <w:pPr>
            <w:widowControl w:val="0"/>
            <w:tabs>
              <w:tab w:val="right" w:leader="dot" w:pos="9360"/>
            </w:tabs>
            <w:spacing w:before="60"/>
            <w:rPr>
              <w:rFonts w:ascii="Arial" w:hAnsi="Arial" w:cs="Arial"/>
              <w:b/>
              <w:bCs/>
              <w:color w:val="000000"/>
              <w:lang w:val="en-GB"/>
            </w:rPr>
          </w:pPr>
          <w:hyperlink w:anchor="_tkpoqpkcvzhc">
            <w:r w:rsidRPr="00691B86">
              <w:rPr>
                <w:rFonts w:ascii="Arial" w:hAnsi="Arial" w:cs="Arial"/>
                <w:b/>
                <w:bCs/>
                <w:color w:val="000000"/>
                <w:lang w:val="en-GB"/>
              </w:rPr>
              <w:t>Reference List</w:t>
            </w:r>
            <w:r w:rsidRPr="00691B86">
              <w:rPr>
                <w:rFonts w:ascii="Arial" w:hAnsi="Arial" w:cs="Arial"/>
                <w:b/>
                <w:bCs/>
                <w:color w:val="000000"/>
                <w:lang w:val="en-GB"/>
              </w:rPr>
              <w:tab/>
            </w:r>
          </w:hyperlink>
          <w:r w:rsidRPr="00691B86">
            <w:rPr>
              <w:rFonts w:ascii="Arial" w:hAnsi="Arial" w:cs="Arial"/>
              <w:lang w:val="en-GB"/>
            </w:rPr>
            <w:fldChar w:fldCharType="begin"/>
          </w:r>
          <w:r w:rsidRPr="00691B86">
            <w:rPr>
              <w:rFonts w:ascii="Arial" w:hAnsi="Arial" w:cs="Arial"/>
              <w:lang w:val="en-GB"/>
            </w:rPr>
            <w:instrText xml:space="preserve"> PAGEREF _tkpoqpkcvzhc \h </w:instrText>
          </w:r>
          <w:r w:rsidRPr="00691B86">
            <w:rPr>
              <w:rFonts w:ascii="Arial" w:hAnsi="Arial" w:cs="Arial"/>
              <w:lang w:val="en-GB"/>
            </w:rPr>
          </w:r>
          <w:r w:rsidRPr="00691B86">
            <w:rPr>
              <w:rFonts w:ascii="Arial" w:hAnsi="Arial" w:cs="Arial"/>
              <w:lang w:val="en-GB"/>
            </w:rPr>
            <w:fldChar w:fldCharType="separate"/>
          </w:r>
          <w:r w:rsidRPr="00691B86">
            <w:rPr>
              <w:rFonts w:ascii="Arial" w:hAnsi="Arial" w:cs="Arial"/>
              <w:b/>
              <w:bCs/>
              <w:lang w:val="en-GB"/>
            </w:rPr>
            <w:t>14</w:t>
          </w:r>
          <w:r w:rsidRPr="00691B86">
            <w:rPr>
              <w:rFonts w:ascii="Arial" w:hAnsi="Arial" w:cs="Arial"/>
              <w:lang w:val="en-GB"/>
            </w:rPr>
            <w:fldChar w:fldCharType="end"/>
          </w:r>
          <w:r w:rsidRPr="00691B86">
            <w:rPr>
              <w:rFonts w:ascii="Arial" w:hAnsi="Arial" w:cs="Arial"/>
              <w:lang w:val="en-GB"/>
            </w:rPr>
            <w:fldChar w:fldCharType="end"/>
          </w:r>
        </w:p>
      </w:sdtContent>
    </w:sdt>
    <w:p w14:paraId="7495D727" w14:textId="0809ACA3" w:rsidR="004E1A16" w:rsidRPr="00691B86" w:rsidRDefault="004E757B">
      <w:pPr>
        <w:jc w:val="center"/>
        <w:rPr>
          <w:rFonts w:ascii="Arial" w:hAnsi="Arial" w:cs="Arial"/>
          <w:b/>
          <w:bCs/>
          <w:sz w:val="28"/>
          <w:szCs w:val="28"/>
          <w:lang w:val="en-GB"/>
        </w:rPr>
      </w:pPr>
      <w:r w:rsidRPr="00691B86">
        <w:rPr>
          <w:rFonts w:ascii="Arial" w:hAnsi="Arial" w:cs="Arial"/>
          <w:lang w:val="en-GB"/>
        </w:rPr>
        <w:br w:type="page"/>
      </w:r>
      <w:r w:rsidR="00133578" w:rsidRPr="00691B86">
        <w:rPr>
          <w:rFonts w:ascii="Arial" w:hAnsi="Arial" w:cs="Arial"/>
          <w:b/>
          <w:bCs/>
          <w:sz w:val="28"/>
          <w:szCs w:val="28"/>
          <w:lang w:val="en-GB"/>
        </w:rPr>
        <w:lastRenderedPageBreak/>
        <w:t>List of Figures</w:t>
      </w:r>
    </w:p>
    <w:p w14:paraId="33A58D6F" w14:textId="2688A8EC" w:rsidR="00AE2421" w:rsidRPr="00691B86" w:rsidRDefault="00133578">
      <w:pPr>
        <w:pStyle w:val="TableofFigures"/>
        <w:tabs>
          <w:tab w:val="right" w:leader="dot" w:pos="9350"/>
        </w:tabs>
        <w:rPr>
          <w:rFonts w:ascii="Arial" w:eastAsiaTheme="minorEastAsia" w:hAnsi="Arial" w:cs="Arial"/>
          <w:noProof/>
          <w:kern w:val="2"/>
          <w:lang w:val="en-IN"/>
          <w14:ligatures w14:val="standardContextual"/>
        </w:rPr>
      </w:pPr>
      <w:r w:rsidRPr="00691B86">
        <w:rPr>
          <w:rFonts w:ascii="Arial" w:hAnsi="Arial" w:cs="Arial"/>
          <w:b/>
          <w:bCs/>
          <w:sz w:val="28"/>
          <w:szCs w:val="28"/>
          <w:lang w:val="en-GB"/>
        </w:rPr>
        <w:fldChar w:fldCharType="begin"/>
      </w:r>
      <w:r w:rsidRPr="00691B86">
        <w:rPr>
          <w:rFonts w:ascii="Arial" w:hAnsi="Arial" w:cs="Arial"/>
          <w:b/>
          <w:bCs/>
          <w:sz w:val="28"/>
          <w:szCs w:val="28"/>
          <w:lang w:val="en-GB"/>
        </w:rPr>
        <w:instrText xml:space="preserve"> TOC \h \z \t "Heading 4" \c </w:instrText>
      </w:r>
      <w:r w:rsidRPr="00691B86">
        <w:rPr>
          <w:rFonts w:ascii="Arial" w:hAnsi="Arial" w:cs="Arial"/>
          <w:b/>
          <w:bCs/>
          <w:sz w:val="28"/>
          <w:szCs w:val="28"/>
          <w:lang w:val="en-GB"/>
        </w:rPr>
        <w:fldChar w:fldCharType="separate"/>
      </w:r>
      <w:hyperlink w:anchor="_Toc243058829" w:history="1">
        <w:r w:rsidR="00AE2421" w:rsidRPr="00691B86">
          <w:rPr>
            <w:rStyle w:val="Hyperlink"/>
            <w:rFonts w:ascii="Arial" w:hAnsi="Arial" w:cs="Arial"/>
            <w:noProof/>
            <w:lang w:val="en-GB"/>
          </w:rPr>
          <w:t>Figure 1: Recent company performance by BHP</w:t>
        </w:r>
        <w:r w:rsidR="00AE2421" w:rsidRPr="00691B86">
          <w:rPr>
            <w:rFonts w:ascii="Arial" w:hAnsi="Arial" w:cs="Arial"/>
            <w:noProof/>
            <w:webHidden/>
          </w:rPr>
          <w:tab/>
        </w:r>
        <w:r w:rsidR="00AE2421" w:rsidRPr="00691B86">
          <w:rPr>
            <w:rFonts w:ascii="Arial" w:hAnsi="Arial" w:cs="Arial"/>
            <w:noProof/>
            <w:webHidden/>
          </w:rPr>
          <w:fldChar w:fldCharType="begin"/>
        </w:r>
        <w:r w:rsidR="00AE2421" w:rsidRPr="00691B86">
          <w:rPr>
            <w:rFonts w:ascii="Arial" w:hAnsi="Arial" w:cs="Arial"/>
            <w:noProof/>
            <w:webHidden/>
          </w:rPr>
          <w:instrText xml:space="preserve"> PAGEREF _Toc243058829 \h </w:instrText>
        </w:r>
        <w:r w:rsidR="00AE2421" w:rsidRPr="00691B86">
          <w:rPr>
            <w:rFonts w:ascii="Arial" w:hAnsi="Arial" w:cs="Arial"/>
            <w:noProof/>
            <w:webHidden/>
          </w:rPr>
        </w:r>
        <w:r w:rsidR="00AE2421" w:rsidRPr="00691B86">
          <w:rPr>
            <w:rFonts w:ascii="Arial" w:hAnsi="Arial" w:cs="Arial"/>
            <w:noProof/>
            <w:webHidden/>
          </w:rPr>
          <w:fldChar w:fldCharType="separate"/>
        </w:r>
        <w:r w:rsidR="00AE2421" w:rsidRPr="00691B86">
          <w:rPr>
            <w:rFonts w:ascii="Arial" w:hAnsi="Arial" w:cs="Arial"/>
            <w:noProof/>
            <w:webHidden/>
          </w:rPr>
          <w:t>5</w:t>
        </w:r>
        <w:r w:rsidR="00AE2421" w:rsidRPr="00691B86">
          <w:rPr>
            <w:rFonts w:ascii="Arial" w:hAnsi="Arial" w:cs="Arial"/>
            <w:noProof/>
            <w:webHidden/>
          </w:rPr>
          <w:fldChar w:fldCharType="end"/>
        </w:r>
      </w:hyperlink>
    </w:p>
    <w:p w14:paraId="712FA49A" w14:textId="1EE01633" w:rsidR="00AE2421" w:rsidRPr="00691B86" w:rsidRDefault="00AE2421">
      <w:pPr>
        <w:pStyle w:val="TableofFigures"/>
        <w:tabs>
          <w:tab w:val="right" w:leader="dot" w:pos="9350"/>
        </w:tabs>
        <w:rPr>
          <w:rFonts w:ascii="Arial" w:eastAsiaTheme="minorEastAsia" w:hAnsi="Arial" w:cs="Arial"/>
          <w:noProof/>
          <w:kern w:val="2"/>
          <w:lang w:val="en-IN"/>
          <w14:ligatures w14:val="standardContextual"/>
        </w:rPr>
      </w:pPr>
      <w:hyperlink w:anchor="_Toc243058830" w:history="1">
        <w:r w:rsidRPr="00691B86">
          <w:rPr>
            <w:rStyle w:val="Hyperlink"/>
            <w:rFonts w:ascii="Arial" w:hAnsi="Arial" w:cs="Arial"/>
            <w:noProof/>
            <w:lang w:val="en-GB"/>
          </w:rPr>
          <w:t>Figure 2: PESTLE analysis for Australia</w:t>
        </w:r>
        <w:r w:rsidRPr="00691B86">
          <w:rPr>
            <w:rFonts w:ascii="Arial" w:hAnsi="Arial" w:cs="Arial"/>
            <w:noProof/>
            <w:webHidden/>
          </w:rPr>
          <w:tab/>
        </w:r>
        <w:r w:rsidRPr="00691B86">
          <w:rPr>
            <w:rFonts w:ascii="Arial" w:hAnsi="Arial" w:cs="Arial"/>
            <w:noProof/>
            <w:webHidden/>
          </w:rPr>
          <w:fldChar w:fldCharType="begin"/>
        </w:r>
        <w:r w:rsidRPr="00691B86">
          <w:rPr>
            <w:rFonts w:ascii="Arial" w:hAnsi="Arial" w:cs="Arial"/>
            <w:noProof/>
            <w:webHidden/>
          </w:rPr>
          <w:instrText xml:space="preserve"> PAGEREF _Toc243058830 \h </w:instrText>
        </w:r>
        <w:r w:rsidRPr="00691B86">
          <w:rPr>
            <w:rFonts w:ascii="Arial" w:hAnsi="Arial" w:cs="Arial"/>
            <w:noProof/>
            <w:webHidden/>
          </w:rPr>
        </w:r>
        <w:r w:rsidRPr="00691B86">
          <w:rPr>
            <w:rFonts w:ascii="Arial" w:hAnsi="Arial" w:cs="Arial"/>
            <w:noProof/>
            <w:webHidden/>
          </w:rPr>
          <w:fldChar w:fldCharType="separate"/>
        </w:r>
        <w:r w:rsidRPr="00691B86">
          <w:rPr>
            <w:rFonts w:ascii="Arial" w:hAnsi="Arial" w:cs="Arial"/>
            <w:noProof/>
            <w:webHidden/>
          </w:rPr>
          <w:t>6</w:t>
        </w:r>
        <w:r w:rsidRPr="00691B86">
          <w:rPr>
            <w:rFonts w:ascii="Arial" w:hAnsi="Arial" w:cs="Arial"/>
            <w:noProof/>
            <w:webHidden/>
          </w:rPr>
          <w:fldChar w:fldCharType="end"/>
        </w:r>
      </w:hyperlink>
    </w:p>
    <w:p w14:paraId="4BCA9A83" w14:textId="12A40884" w:rsidR="00AE2421" w:rsidRPr="00691B86" w:rsidRDefault="00AE2421">
      <w:pPr>
        <w:pStyle w:val="TableofFigures"/>
        <w:tabs>
          <w:tab w:val="right" w:leader="dot" w:pos="9350"/>
        </w:tabs>
        <w:rPr>
          <w:rFonts w:ascii="Arial" w:eastAsiaTheme="minorEastAsia" w:hAnsi="Arial" w:cs="Arial"/>
          <w:noProof/>
          <w:kern w:val="2"/>
          <w:lang w:val="en-IN"/>
          <w14:ligatures w14:val="standardContextual"/>
        </w:rPr>
      </w:pPr>
      <w:hyperlink w:anchor="_Toc243058831" w:history="1">
        <w:r w:rsidRPr="00691B86">
          <w:rPr>
            <w:rStyle w:val="Hyperlink"/>
            <w:rFonts w:ascii="Arial" w:hAnsi="Arial" w:cs="Arial"/>
            <w:noProof/>
            <w:lang w:val="en-GB"/>
          </w:rPr>
          <w:t>Figure 3: National GHG emission rate of Australia in the past decade</w:t>
        </w:r>
        <w:r w:rsidRPr="00691B86">
          <w:rPr>
            <w:rFonts w:ascii="Arial" w:hAnsi="Arial" w:cs="Arial"/>
            <w:noProof/>
            <w:webHidden/>
          </w:rPr>
          <w:tab/>
        </w:r>
        <w:r w:rsidRPr="00691B86">
          <w:rPr>
            <w:rFonts w:ascii="Arial" w:hAnsi="Arial" w:cs="Arial"/>
            <w:noProof/>
            <w:webHidden/>
          </w:rPr>
          <w:fldChar w:fldCharType="begin"/>
        </w:r>
        <w:r w:rsidRPr="00691B86">
          <w:rPr>
            <w:rFonts w:ascii="Arial" w:hAnsi="Arial" w:cs="Arial"/>
            <w:noProof/>
            <w:webHidden/>
          </w:rPr>
          <w:instrText xml:space="preserve"> PAGEREF _Toc243058831 \h </w:instrText>
        </w:r>
        <w:r w:rsidRPr="00691B86">
          <w:rPr>
            <w:rFonts w:ascii="Arial" w:hAnsi="Arial" w:cs="Arial"/>
            <w:noProof/>
            <w:webHidden/>
          </w:rPr>
        </w:r>
        <w:r w:rsidRPr="00691B86">
          <w:rPr>
            <w:rFonts w:ascii="Arial" w:hAnsi="Arial" w:cs="Arial"/>
            <w:noProof/>
            <w:webHidden/>
          </w:rPr>
          <w:fldChar w:fldCharType="separate"/>
        </w:r>
        <w:r w:rsidRPr="00691B86">
          <w:rPr>
            <w:rFonts w:ascii="Arial" w:hAnsi="Arial" w:cs="Arial"/>
            <w:noProof/>
            <w:webHidden/>
          </w:rPr>
          <w:t>7</w:t>
        </w:r>
        <w:r w:rsidRPr="00691B86">
          <w:rPr>
            <w:rFonts w:ascii="Arial" w:hAnsi="Arial" w:cs="Arial"/>
            <w:noProof/>
            <w:webHidden/>
          </w:rPr>
          <w:fldChar w:fldCharType="end"/>
        </w:r>
      </w:hyperlink>
    </w:p>
    <w:p w14:paraId="36966317" w14:textId="7DE0F8FD" w:rsidR="00AE2421" w:rsidRPr="00691B86" w:rsidRDefault="00AE2421">
      <w:pPr>
        <w:pStyle w:val="TableofFigures"/>
        <w:tabs>
          <w:tab w:val="right" w:leader="dot" w:pos="9350"/>
        </w:tabs>
        <w:rPr>
          <w:rFonts w:ascii="Arial" w:eastAsiaTheme="minorEastAsia" w:hAnsi="Arial" w:cs="Arial"/>
          <w:noProof/>
          <w:kern w:val="2"/>
          <w:lang w:val="en-IN"/>
          <w14:ligatures w14:val="standardContextual"/>
        </w:rPr>
      </w:pPr>
      <w:hyperlink w:anchor="_Toc243058832" w:history="1">
        <w:r w:rsidRPr="00691B86">
          <w:rPr>
            <w:rStyle w:val="Hyperlink"/>
            <w:rFonts w:ascii="Arial" w:hAnsi="Arial" w:cs="Arial"/>
            <w:noProof/>
            <w:lang w:val="en-GB"/>
          </w:rPr>
          <w:t>Figure 4: Mining operations across different parts of Australia</w:t>
        </w:r>
        <w:r w:rsidRPr="00691B86">
          <w:rPr>
            <w:rFonts w:ascii="Arial" w:hAnsi="Arial" w:cs="Arial"/>
            <w:noProof/>
            <w:webHidden/>
          </w:rPr>
          <w:tab/>
        </w:r>
        <w:r w:rsidRPr="00691B86">
          <w:rPr>
            <w:rFonts w:ascii="Arial" w:hAnsi="Arial" w:cs="Arial"/>
            <w:noProof/>
            <w:webHidden/>
          </w:rPr>
          <w:fldChar w:fldCharType="begin"/>
        </w:r>
        <w:r w:rsidRPr="00691B86">
          <w:rPr>
            <w:rFonts w:ascii="Arial" w:hAnsi="Arial" w:cs="Arial"/>
            <w:noProof/>
            <w:webHidden/>
          </w:rPr>
          <w:instrText xml:space="preserve"> PAGEREF _Toc243058832 \h </w:instrText>
        </w:r>
        <w:r w:rsidRPr="00691B86">
          <w:rPr>
            <w:rFonts w:ascii="Arial" w:hAnsi="Arial" w:cs="Arial"/>
            <w:noProof/>
            <w:webHidden/>
          </w:rPr>
        </w:r>
        <w:r w:rsidRPr="00691B86">
          <w:rPr>
            <w:rFonts w:ascii="Arial" w:hAnsi="Arial" w:cs="Arial"/>
            <w:noProof/>
            <w:webHidden/>
          </w:rPr>
          <w:fldChar w:fldCharType="separate"/>
        </w:r>
        <w:r w:rsidRPr="00691B86">
          <w:rPr>
            <w:rFonts w:ascii="Arial" w:hAnsi="Arial" w:cs="Arial"/>
            <w:noProof/>
            <w:webHidden/>
          </w:rPr>
          <w:t>8</w:t>
        </w:r>
        <w:r w:rsidRPr="00691B86">
          <w:rPr>
            <w:rFonts w:ascii="Arial" w:hAnsi="Arial" w:cs="Arial"/>
            <w:noProof/>
            <w:webHidden/>
          </w:rPr>
          <w:fldChar w:fldCharType="end"/>
        </w:r>
      </w:hyperlink>
    </w:p>
    <w:p w14:paraId="4264387B" w14:textId="01DE4F14" w:rsidR="00AE2421" w:rsidRPr="00691B86" w:rsidRDefault="00AE2421">
      <w:pPr>
        <w:pStyle w:val="TableofFigures"/>
        <w:tabs>
          <w:tab w:val="right" w:leader="dot" w:pos="9350"/>
        </w:tabs>
        <w:rPr>
          <w:rFonts w:ascii="Arial" w:eastAsiaTheme="minorEastAsia" w:hAnsi="Arial" w:cs="Arial"/>
          <w:noProof/>
          <w:kern w:val="2"/>
          <w:lang w:val="en-IN"/>
          <w14:ligatures w14:val="standardContextual"/>
        </w:rPr>
      </w:pPr>
      <w:hyperlink w:anchor="_Toc243058833" w:history="1">
        <w:r w:rsidRPr="00691B86">
          <w:rPr>
            <w:rStyle w:val="Hyperlink"/>
            <w:rFonts w:ascii="Arial" w:hAnsi="Arial" w:cs="Arial"/>
            <w:noProof/>
            <w:lang w:val="en-GB"/>
          </w:rPr>
          <w:t>Figure 5: Sustainable tech adoption in Australian marketplace</w:t>
        </w:r>
        <w:r w:rsidRPr="00691B86">
          <w:rPr>
            <w:rFonts w:ascii="Arial" w:hAnsi="Arial" w:cs="Arial"/>
            <w:noProof/>
            <w:webHidden/>
          </w:rPr>
          <w:tab/>
        </w:r>
        <w:r w:rsidRPr="00691B86">
          <w:rPr>
            <w:rFonts w:ascii="Arial" w:hAnsi="Arial" w:cs="Arial"/>
            <w:noProof/>
            <w:webHidden/>
          </w:rPr>
          <w:fldChar w:fldCharType="begin"/>
        </w:r>
        <w:r w:rsidRPr="00691B86">
          <w:rPr>
            <w:rFonts w:ascii="Arial" w:hAnsi="Arial" w:cs="Arial"/>
            <w:noProof/>
            <w:webHidden/>
          </w:rPr>
          <w:instrText xml:space="preserve"> PAGEREF _Toc243058833 \h </w:instrText>
        </w:r>
        <w:r w:rsidRPr="00691B86">
          <w:rPr>
            <w:rFonts w:ascii="Arial" w:hAnsi="Arial" w:cs="Arial"/>
            <w:noProof/>
            <w:webHidden/>
          </w:rPr>
        </w:r>
        <w:r w:rsidRPr="00691B86">
          <w:rPr>
            <w:rFonts w:ascii="Arial" w:hAnsi="Arial" w:cs="Arial"/>
            <w:noProof/>
            <w:webHidden/>
          </w:rPr>
          <w:fldChar w:fldCharType="separate"/>
        </w:r>
        <w:r w:rsidRPr="00691B86">
          <w:rPr>
            <w:rFonts w:ascii="Arial" w:hAnsi="Arial" w:cs="Arial"/>
            <w:noProof/>
            <w:webHidden/>
          </w:rPr>
          <w:t>10</w:t>
        </w:r>
        <w:r w:rsidRPr="00691B86">
          <w:rPr>
            <w:rFonts w:ascii="Arial" w:hAnsi="Arial" w:cs="Arial"/>
            <w:noProof/>
            <w:webHidden/>
          </w:rPr>
          <w:fldChar w:fldCharType="end"/>
        </w:r>
      </w:hyperlink>
    </w:p>
    <w:p w14:paraId="19D79955" w14:textId="7252EFC4" w:rsidR="00AE2421" w:rsidRPr="00691B86" w:rsidRDefault="00AE2421">
      <w:pPr>
        <w:pStyle w:val="TableofFigures"/>
        <w:tabs>
          <w:tab w:val="right" w:leader="dot" w:pos="9350"/>
        </w:tabs>
        <w:rPr>
          <w:rFonts w:ascii="Arial" w:eastAsiaTheme="minorEastAsia" w:hAnsi="Arial" w:cs="Arial"/>
          <w:noProof/>
          <w:kern w:val="2"/>
          <w:lang w:val="en-IN"/>
          <w14:ligatures w14:val="standardContextual"/>
        </w:rPr>
      </w:pPr>
      <w:hyperlink w:anchor="_Toc243058834" w:history="1">
        <w:r w:rsidRPr="00691B86">
          <w:rPr>
            <w:rStyle w:val="Hyperlink"/>
            <w:rFonts w:ascii="Arial" w:hAnsi="Arial" w:cs="Arial"/>
            <w:noProof/>
            <w:lang w:val="en-GB"/>
          </w:rPr>
          <w:t>Figure 6: Application of Porter’s Generic strategy for BHP</w:t>
        </w:r>
        <w:r w:rsidRPr="00691B86">
          <w:rPr>
            <w:rFonts w:ascii="Arial" w:hAnsi="Arial" w:cs="Arial"/>
            <w:noProof/>
            <w:webHidden/>
          </w:rPr>
          <w:tab/>
        </w:r>
        <w:r w:rsidRPr="00691B86">
          <w:rPr>
            <w:rFonts w:ascii="Arial" w:hAnsi="Arial" w:cs="Arial"/>
            <w:noProof/>
            <w:webHidden/>
          </w:rPr>
          <w:fldChar w:fldCharType="begin"/>
        </w:r>
        <w:r w:rsidRPr="00691B86">
          <w:rPr>
            <w:rFonts w:ascii="Arial" w:hAnsi="Arial" w:cs="Arial"/>
            <w:noProof/>
            <w:webHidden/>
          </w:rPr>
          <w:instrText xml:space="preserve"> PAGEREF _Toc243058834 \h </w:instrText>
        </w:r>
        <w:r w:rsidRPr="00691B86">
          <w:rPr>
            <w:rFonts w:ascii="Arial" w:hAnsi="Arial" w:cs="Arial"/>
            <w:noProof/>
            <w:webHidden/>
          </w:rPr>
        </w:r>
        <w:r w:rsidRPr="00691B86">
          <w:rPr>
            <w:rFonts w:ascii="Arial" w:hAnsi="Arial" w:cs="Arial"/>
            <w:noProof/>
            <w:webHidden/>
          </w:rPr>
          <w:fldChar w:fldCharType="separate"/>
        </w:r>
        <w:r w:rsidRPr="00691B86">
          <w:rPr>
            <w:rFonts w:ascii="Arial" w:hAnsi="Arial" w:cs="Arial"/>
            <w:noProof/>
            <w:webHidden/>
          </w:rPr>
          <w:t>13</w:t>
        </w:r>
        <w:r w:rsidRPr="00691B86">
          <w:rPr>
            <w:rFonts w:ascii="Arial" w:hAnsi="Arial" w:cs="Arial"/>
            <w:noProof/>
            <w:webHidden/>
          </w:rPr>
          <w:fldChar w:fldCharType="end"/>
        </w:r>
      </w:hyperlink>
    </w:p>
    <w:p w14:paraId="7F2212C3" w14:textId="4430622D" w:rsidR="00AE2421" w:rsidRPr="00691B86" w:rsidRDefault="00AE2421">
      <w:pPr>
        <w:pStyle w:val="TableofFigures"/>
        <w:tabs>
          <w:tab w:val="right" w:leader="dot" w:pos="9350"/>
        </w:tabs>
        <w:rPr>
          <w:rFonts w:ascii="Arial" w:eastAsiaTheme="minorEastAsia" w:hAnsi="Arial" w:cs="Arial"/>
          <w:noProof/>
          <w:kern w:val="2"/>
          <w:lang w:val="en-IN"/>
          <w14:ligatures w14:val="standardContextual"/>
        </w:rPr>
      </w:pPr>
      <w:hyperlink w:anchor="_Toc243058835" w:history="1">
        <w:r w:rsidRPr="00691B86">
          <w:rPr>
            <w:rStyle w:val="Hyperlink"/>
            <w:rFonts w:ascii="Arial" w:hAnsi="Arial" w:cs="Arial"/>
            <w:noProof/>
            <w:lang w:val="en-GB"/>
          </w:rPr>
          <w:t>Figure 7: GHG emissions level of BHP in recent times</w:t>
        </w:r>
        <w:r w:rsidRPr="00691B86">
          <w:rPr>
            <w:rFonts w:ascii="Arial" w:hAnsi="Arial" w:cs="Arial"/>
            <w:noProof/>
            <w:webHidden/>
          </w:rPr>
          <w:tab/>
        </w:r>
        <w:r w:rsidRPr="00691B86">
          <w:rPr>
            <w:rFonts w:ascii="Arial" w:hAnsi="Arial" w:cs="Arial"/>
            <w:noProof/>
            <w:webHidden/>
          </w:rPr>
          <w:fldChar w:fldCharType="begin"/>
        </w:r>
        <w:r w:rsidRPr="00691B86">
          <w:rPr>
            <w:rFonts w:ascii="Arial" w:hAnsi="Arial" w:cs="Arial"/>
            <w:noProof/>
            <w:webHidden/>
          </w:rPr>
          <w:instrText xml:space="preserve"> PAGEREF _Toc243058835 \h </w:instrText>
        </w:r>
        <w:r w:rsidRPr="00691B86">
          <w:rPr>
            <w:rFonts w:ascii="Arial" w:hAnsi="Arial" w:cs="Arial"/>
            <w:noProof/>
            <w:webHidden/>
          </w:rPr>
        </w:r>
        <w:r w:rsidRPr="00691B86">
          <w:rPr>
            <w:rFonts w:ascii="Arial" w:hAnsi="Arial" w:cs="Arial"/>
            <w:noProof/>
            <w:webHidden/>
          </w:rPr>
          <w:fldChar w:fldCharType="separate"/>
        </w:r>
        <w:r w:rsidRPr="00691B86">
          <w:rPr>
            <w:rFonts w:ascii="Arial" w:hAnsi="Arial" w:cs="Arial"/>
            <w:noProof/>
            <w:webHidden/>
          </w:rPr>
          <w:t>15</w:t>
        </w:r>
        <w:r w:rsidRPr="00691B86">
          <w:rPr>
            <w:rFonts w:ascii="Arial" w:hAnsi="Arial" w:cs="Arial"/>
            <w:noProof/>
            <w:webHidden/>
          </w:rPr>
          <w:fldChar w:fldCharType="end"/>
        </w:r>
      </w:hyperlink>
    </w:p>
    <w:p w14:paraId="436AD34A" w14:textId="5936CE94" w:rsidR="00133578" w:rsidRPr="00691B86" w:rsidRDefault="00133578">
      <w:pPr>
        <w:jc w:val="center"/>
        <w:rPr>
          <w:rFonts w:ascii="Arial" w:hAnsi="Arial" w:cs="Arial"/>
          <w:b/>
          <w:bCs/>
          <w:sz w:val="28"/>
          <w:szCs w:val="28"/>
          <w:lang w:val="en-GB"/>
        </w:rPr>
      </w:pPr>
      <w:r w:rsidRPr="00691B86">
        <w:rPr>
          <w:rFonts w:ascii="Arial" w:hAnsi="Arial" w:cs="Arial"/>
          <w:b/>
          <w:bCs/>
          <w:sz w:val="28"/>
          <w:szCs w:val="28"/>
          <w:lang w:val="en-GB"/>
        </w:rPr>
        <w:fldChar w:fldCharType="end"/>
      </w:r>
    </w:p>
    <w:p w14:paraId="44B7224A" w14:textId="77777777" w:rsidR="00133578" w:rsidRPr="00691B86" w:rsidRDefault="00133578">
      <w:pPr>
        <w:spacing w:before="0" w:after="0"/>
        <w:rPr>
          <w:rFonts w:ascii="Arial" w:hAnsi="Arial" w:cs="Arial"/>
          <w:b/>
          <w:bCs/>
          <w:sz w:val="28"/>
          <w:szCs w:val="28"/>
          <w:lang w:val="en-GB"/>
        </w:rPr>
      </w:pPr>
      <w:r w:rsidRPr="00691B86">
        <w:rPr>
          <w:rFonts w:ascii="Arial" w:hAnsi="Arial" w:cs="Arial"/>
          <w:b/>
          <w:bCs/>
          <w:sz w:val="28"/>
          <w:szCs w:val="28"/>
          <w:lang w:val="en-GB"/>
        </w:rPr>
        <w:br w:type="page"/>
      </w:r>
    </w:p>
    <w:p w14:paraId="35E05974" w14:textId="37F9630C" w:rsidR="00133578" w:rsidRPr="00691B86" w:rsidRDefault="00133578">
      <w:pPr>
        <w:jc w:val="center"/>
        <w:rPr>
          <w:rFonts w:ascii="Arial" w:hAnsi="Arial" w:cs="Arial"/>
          <w:b/>
          <w:bCs/>
          <w:sz w:val="28"/>
          <w:szCs w:val="28"/>
          <w:lang w:val="en-GB"/>
        </w:rPr>
      </w:pPr>
      <w:r w:rsidRPr="00691B86">
        <w:rPr>
          <w:rFonts w:ascii="Arial" w:hAnsi="Arial" w:cs="Arial"/>
          <w:b/>
          <w:bCs/>
          <w:sz w:val="28"/>
          <w:szCs w:val="28"/>
          <w:lang w:val="en-GB"/>
        </w:rPr>
        <w:lastRenderedPageBreak/>
        <w:t>List of Tables</w:t>
      </w:r>
    </w:p>
    <w:p w14:paraId="08FF41A7" w14:textId="3EE141FA" w:rsidR="00133578" w:rsidRPr="00691B86" w:rsidRDefault="00133578">
      <w:pPr>
        <w:pStyle w:val="TableofFigures"/>
        <w:tabs>
          <w:tab w:val="right" w:leader="dot" w:pos="9350"/>
        </w:tabs>
        <w:rPr>
          <w:rFonts w:ascii="Arial" w:eastAsiaTheme="minorEastAsia" w:hAnsi="Arial" w:cs="Arial"/>
          <w:noProof/>
          <w:kern w:val="2"/>
          <w:lang w:val="en-IN"/>
          <w14:ligatures w14:val="standardContextual"/>
        </w:rPr>
      </w:pPr>
      <w:r w:rsidRPr="00691B86">
        <w:rPr>
          <w:rFonts w:ascii="Arial" w:hAnsi="Arial" w:cs="Arial"/>
          <w:b/>
          <w:bCs/>
          <w:sz w:val="28"/>
          <w:szCs w:val="28"/>
          <w:lang w:val="en-GB"/>
        </w:rPr>
        <w:fldChar w:fldCharType="begin"/>
      </w:r>
      <w:r w:rsidRPr="00691B86">
        <w:rPr>
          <w:rFonts w:ascii="Arial" w:hAnsi="Arial" w:cs="Arial"/>
          <w:b/>
          <w:bCs/>
          <w:sz w:val="28"/>
          <w:szCs w:val="28"/>
          <w:lang w:val="en-GB"/>
        </w:rPr>
        <w:instrText xml:space="preserve"> TOC \h \z \t "Heading 5" \c </w:instrText>
      </w:r>
      <w:r w:rsidRPr="00691B86">
        <w:rPr>
          <w:rFonts w:ascii="Arial" w:hAnsi="Arial" w:cs="Arial"/>
          <w:b/>
          <w:bCs/>
          <w:sz w:val="28"/>
          <w:szCs w:val="28"/>
          <w:lang w:val="en-GB"/>
        </w:rPr>
        <w:fldChar w:fldCharType="separate"/>
      </w:r>
      <w:hyperlink w:anchor="_Toc242457355" w:history="1">
        <w:r w:rsidRPr="00691B86">
          <w:rPr>
            <w:rStyle w:val="Hyperlink"/>
            <w:rFonts w:ascii="Arial" w:hAnsi="Arial" w:cs="Arial"/>
            <w:noProof/>
            <w:lang w:val="en-GB"/>
          </w:rPr>
          <w:t>Table 1: The potential implications of Ansoff Matrix implications</w:t>
        </w:r>
        <w:r w:rsidRPr="00691B86">
          <w:rPr>
            <w:rFonts w:ascii="Arial" w:hAnsi="Arial" w:cs="Arial"/>
            <w:noProof/>
            <w:webHidden/>
          </w:rPr>
          <w:tab/>
        </w:r>
        <w:r w:rsidRPr="00691B86">
          <w:rPr>
            <w:rFonts w:ascii="Arial" w:hAnsi="Arial" w:cs="Arial"/>
            <w:noProof/>
            <w:webHidden/>
          </w:rPr>
          <w:fldChar w:fldCharType="begin"/>
        </w:r>
        <w:r w:rsidRPr="00691B86">
          <w:rPr>
            <w:rFonts w:ascii="Arial" w:hAnsi="Arial" w:cs="Arial"/>
            <w:noProof/>
            <w:webHidden/>
          </w:rPr>
          <w:instrText xml:space="preserve"> PAGEREF _Toc242457355 \h </w:instrText>
        </w:r>
        <w:r w:rsidRPr="00691B86">
          <w:rPr>
            <w:rFonts w:ascii="Arial" w:hAnsi="Arial" w:cs="Arial"/>
            <w:noProof/>
            <w:webHidden/>
          </w:rPr>
        </w:r>
        <w:r w:rsidRPr="00691B86">
          <w:rPr>
            <w:rFonts w:ascii="Arial" w:hAnsi="Arial" w:cs="Arial"/>
            <w:noProof/>
            <w:webHidden/>
          </w:rPr>
          <w:fldChar w:fldCharType="separate"/>
        </w:r>
        <w:r w:rsidRPr="00691B86">
          <w:rPr>
            <w:rFonts w:ascii="Arial" w:hAnsi="Arial" w:cs="Arial"/>
            <w:noProof/>
            <w:webHidden/>
          </w:rPr>
          <w:t>11</w:t>
        </w:r>
        <w:r w:rsidRPr="00691B86">
          <w:rPr>
            <w:rFonts w:ascii="Arial" w:hAnsi="Arial" w:cs="Arial"/>
            <w:noProof/>
            <w:webHidden/>
          </w:rPr>
          <w:fldChar w:fldCharType="end"/>
        </w:r>
      </w:hyperlink>
    </w:p>
    <w:p w14:paraId="4386478F" w14:textId="21624455" w:rsidR="00133578" w:rsidRPr="00691B86" w:rsidRDefault="00133578">
      <w:pPr>
        <w:pStyle w:val="TableofFigures"/>
        <w:tabs>
          <w:tab w:val="right" w:leader="dot" w:pos="9350"/>
        </w:tabs>
        <w:rPr>
          <w:rFonts w:ascii="Arial" w:eastAsiaTheme="minorEastAsia" w:hAnsi="Arial" w:cs="Arial"/>
          <w:noProof/>
          <w:kern w:val="2"/>
          <w:lang w:val="en-IN"/>
          <w14:ligatures w14:val="standardContextual"/>
        </w:rPr>
      </w:pPr>
      <w:hyperlink w:anchor="_Toc242457356" w:history="1">
        <w:r w:rsidRPr="00691B86">
          <w:rPr>
            <w:rStyle w:val="Hyperlink"/>
            <w:rFonts w:ascii="Arial" w:hAnsi="Arial" w:cs="Arial"/>
            <w:noProof/>
            <w:lang w:val="en-GB"/>
          </w:rPr>
          <w:t>Table 2: Different aspects of TBL approach</w:t>
        </w:r>
        <w:r w:rsidRPr="00691B86">
          <w:rPr>
            <w:rFonts w:ascii="Arial" w:hAnsi="Arial" w:cs="Arial"/>
            <w:noProof/>
            <w:webHidden/>
          </w:rPr>
          <w:tab/>
        </w:r>
        <w:r w:rsidRPr="00691B86">
          <w:rPr>
            <w:rFonts w:ascii="Arial" w:hAnsi="Arial" w:cs="Arial"/>
            <w:noProof/>
            <w:webHidden/>
          </w:rPr>
          <w:fldChar w:fldCharType="begin"/>
        </w:r>
        <w:r w:rsidRPr="00691B86">
          <w:rPr>
            <w:rFonts w:ascii="Arial" w:hAnsi="Arial" w:cs="Arial"/>
            <w:noProof/>
            <w:webHidden/>
          </w:rPr>
          <w:instrText xml:space="preserve"> PAGEREF _Toc242457356 \h </w:instrText>
        </w:r>
        <w:r w:rsidRPr="00691B86">
          <w:rPr>
            <w:rFonts w:ascii="Arial" w:hAnsi="Arial" w:cs="Arial"/>
            <w:noProof/>
            <w:webHidden/>
          </w:rPr>
        </w:r>
        <w:r w:rsidRPr="00691B86">
          <w:rPr>
            <w:rFonts w:ascii="Arial" w:hAnsi="Arial" w:cs="Arial"/>
            <w:noProof/>
            <w:webHidden/>
          </w:rPr>
          <w:fldChar w:fldCharType="separate"/>
        </w:r>
        <w:r w:rsidRPr="00691B86">
          <w:rPr>
            <w:rFonts w:ascii="Arial" w:hAnsi="Arial" w:cs="Arial"/>
            <w:noProof/>
            <w:webHidden/>
          </w:rPr>
          <w:t>13</w:t>
        </w:r>
        <w:r w:rsidRPr="00691B86">
          <w:rPr>
            <w:rFonts w:ascii="Arial" w:hAnsi="Arial" w:cs="Arial"/>
            <w:noProof/>
            <w:webHidden/>
          </w:rPr>
          <w:fldChar w:fldCharType="end"/>
        </w:r>
      </w:hyperlink>
    </w:p>
    <w:p w14:paraId="45ABE3C0" w14:textId="11741304" w:rsidR="00133578" w:rsidRPr="00691B86" w:rsidRDefault="00133578">
      <w:pPr>
        <w:jc w:val="center"/>
        <w:rPr>
          <w:rFonts w:ascii="Arial" w:hAnsi="Arial" w:cs="Arial"/>
          <w:b/>
          <w:bCs/>
          <w:sz w:val="28"/>
          <w:szCs w:val="28"/>
          <w:lang w:val="en-GB"/>
        </w:rPr>
      </w:pPr>
      <w:r w:rsidRPr="00691B86">
        <w:rPr>
          <w:rFonts w:ascii="Arial" w:hAnsi="Arial" w:cs="Arial"/>
          <w:b/>
          <w:bCs/>
          <w:sz w:val="28"/>
          <w:szCs w:val="28"/>
          <w:lang w:val="en-GB"/>
        </w:rPr>
        <w:fldChar w:fldCharType="end"/>
      </w:r>
    </w:p>
    <w:p w14:paraId="01872093" w14:textId="078F2616" w:rsidR="00133578" w:rsidRPr="00691B86" w:rsidRDefault="00133578" w:rsidP="00133578">
      <w:pPr>
        <w:spacing w:before="0" w:after="0"/>
        <w:rPr>
          <w:rFonts w:ascii="Arial" w:hAnsi="Arial" w:cs="Arial"/>
          <w:b/>
          <w:bCs/>
          <w:sz w:val="28"/>
          <w:szCs w:val="28"/>
          <w:lang w:val="en-GB"/>
        </w:rPr>
      </w:pPr>
      <w:r w:rsidRPr="00691B86">
        <w:rPr>
          <w:rFonts w:ascii="Arial" w:hAnsi="Arial" w:cs="Arial"/>
          <w:b/>
          <w:bCs/>
          <w:sz w:val="28"/>
          <w:szCs w:val="28"/>
          <w:lang w:val="en-GB"/>
        </w:rPr>
        <w:br w:type="page"/>
      </w:r>
    </w:p>
    <w:p w14:paraId="336BD999" w14:textId="77777777" w:rsidR="004E1A16" w:rsidRPr="00691B86" w:rsidRDefault="004E757B">
      <w:pPr>
        <w:pStyle w:val="Heading1"/>
        <w:rPr>
          <w:rFonts w:ascii="Arial" w:hAnsi="Arial" w:cs="Arial"/>
          <w:lang w:val="en-GB"/>
        </w:rPr>
      </w:pPr>
      <w:bookmarkStart w:id="0" w:name="_t4fjxnnw8ym4" w:colFirst="0" w:colLast="0"/>
      <w:bookmarkEnd w:id="0"/>
      <w:r w:rsidRPr="00691B86">
        <w:rPr>
          <w:rFonts w:ascii="Arial" w:hAnsi="Arial" w:cs="Arial"/>
          <w:lang w:val="en-GB"/>
        </w:rPr>
        <w:lastRenderedPageBreak/>
        <w:t>Introduction</w:t>
      </w:r>
    </w:p>
    <w:p w14:paraId="4B8781BF" w14:textId="77777777" w:rsidR="004E1A16" w:rsidRPr="00691B86" w:rsidRDefault="004E757B">
      <w:pPr>
        <w:rPr>
          <w:rFonts w:ascii="Arial" w:hAnsi="Arial" w:cs="Arial"/>
          <w:lang w:val="en-GB"/>
        </w:rPr>
      </w:pPr>
      <w:r w:rsidRPr="00691B86">
        <w:rPr>
          <w:rFonts w:ascii="Arial" w:hAnsi="Arial" w:cs="Arial"/>
          <w:lang w:val="en-GB"/>
        </w:rPr>
        <w:t xml:space="preserve">The term marketing environment is regarded as the combination of internal and external elements used by 21st-century corporate professionals for developing positive business relationships with target customers (Kotler </w:t>
      </w:r>
      <w:r w:rsidRPr="00691B86">
        <w:rPr>
          <w:rFonts w:ascii="Arial" w:hAnsi="Arial" w:cs="Arial"/>
          <w:i/>
          <w:iCs/>
          <w:lang w:val="en-GB"/>
        </w:rPr>
        <w:t xml:space="preserve">et al., </w:t>
      </w:r>
      <w:r w:rsidRPr="00691B86">
        <w:rPr>
          <w:rFonts w:ascii="Arial" w:hAnsi="Arial" w:cs="Arial"/>
          <w:lang w:val="en-GB"/>
        </w:rPr>
        <w:t xml:space="preserve">2024). The report is about the current challenges faced by the Australia-based business enterprise called Broken Hill Proprietary (BHP) towards developing carbon-neutral mining conditions in the local industry to achieve sustainable future growth opportunities. The Ansoff Matrix is going to be employed here to suggest a suitable strategic growth approach for BHP towards ensuring eco-friendly mining operations in Australia. </w:t>
      </w:r>
    </w:p>
    <w:p w14:paraId="28895AF3" w14:textId="77777777" w:rsidR="004E1A16" w:rsidRPr="00691B86" w:rsidRDefault="004E757B" w:rsidP="00977F6A">
      <w:pPr>
        <w:pStyle w:val="Heading1"/>
        <w:rPr>
          <w:rFonts w:ascii="Arial" w:hAnsi="Arial" w:cs="Arial"/>
          <w:lang w:val="en-GB"/>
        </w:rPr>
      </w:pPr>
      <w:bookmarkStart w:id="1" w:name="_hekvx151ovht" w:colFirst="0" w:colLast="0"/>
      <w:bookmarkEnd w:id="1"/>
      <w:r w:rsidRPr="00691B86">
        <w:rPr>
          <w:rFonts w:ascii="Arial" w:hAnsi="Arial" w:cs="Arial"/>
          <w:lang w:val="en-GB"/>
        </w:rPr>
        <w:t>Task 1: Marketing Environment Analysis</w:t>
      </w:r>
    </w:p>
    <w:p w14:paraId="3872D898" w14:textId="77777777" w:rsidR="004E1A16" w:rsidRPr="00691B86" w:rsidRDefault="004E757B">
      <w:pPr>
        <w:pStyle w:val="Heading2"/>
        <w:rPr>
          <w:rFonts w:ascii="Arial" w:hAnsi="Arial" w:cs="Arial"/>
          <w:lang w:val="en-GB"/>
        </w:rPr>
      </w:pPr>
      <w:bookmarkStart w:id="2" w:name="_4k0mmoemakku" w:colFirst="0" w:colLast="0"/>
      <w:bookmarkEnd w:id="2"/>
      <w:r w:rsidRPr="00691B86">
        <w:rPr>
          <w:rFonts w:ascii="Arial" w:hAnsi="Arial" w:cs="Arial"/>
          <w:lang w:val="en-GB"/>
        </w:rPr>
        <w:t>1.1 Selection of one major metals or mining company</w:t>
      </w:r>
    </w:p>
    <w:p w14:paraId="0ED7D833" w14:textId="77777777" w:rsidR="0056144A" w:rsidRPr="00691B86" w:rsidRDefault="004E757B">
      <w:pPr>
        <w:rPr>
          <w:rFonts w:ascii="Arial" w:hAnsi="Arial" w:cs="Arial"/>
          <w:lang w:val="en-GB"/>
        </w:rPr>
      </w:pPr>
      <w:r w:rsidRPr="00691B86">
        <w:rPr>
          <w:rFonts w:ascii="Arial" w:hAnsi="Arial" w:cs="Arial"/>
          <w:lang w:val="en-GB"/>
        </w:rPr>
        <w:t xml:space="preserve">Broken Hill Proprietary, also known as BHP, is considered one of the largest mining corporations in Australia, which was established in the year 1885 for extracting industrial ores and minerals. In current times, over 80,000 employees and third-party contractors operate for BHP around the world, enabling the mining brand to generate sizable profitability from mineral extraction (BHP, 2026). </w:t>
      </w:r>
    </w:p>
    <w:p w14:paraId="736B22C5" w14:textId="77777777" w:rsidR="0056144A" w:rsidRPr="00691B86" w:rsidRDefault="0056144A" w:rsidP="0056144A">
      <w:pPr>
        <w:jc w:val="center"/>
        <w:rPr>
          <w:rFonts w:ascii="Arial" w:hAnsi="Arial" w:cs="Arial"/>
          <w:lang w:val="en-GB"/>
        </w:rPr>
      </w:pPr>
      <w:r w:rsidRPr="00691B86">
        <w:rPr>
          <w:rFonts w:ascii="Arial" w:hAnsi="Arial" w:cs="Arial"/>
          <w:noProof/>
          <w:lang w:val="en-GB"/>
        </w:rPr>
        <w:drawing>
          <wp:inline distT="114300" distB="114300" distL="114300" distR="114300" wp14:anchorId="66D252FE" wp14:editId="0133064C">
            <wp:extent cx="4905955" cy="225022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920388" cy="2256840"/>
                    </a:xfrm>
                    <a:prstGeom prst="rect">
                      <a:avLst/>
                    </a:prstGeom>
                    <a:ln/>
                  </pic:spPr>
                </pic:pic>
              </a:graphicData>
            </a:graphic>
          </wp:inline>
        </w:drawing>
      </w:r>
    </w:p>
    <w:p w14:paraId="7021DD5E" w14:textId="77777777" w:rsidR="0056144A" w:rsidRPr="00691B86" w:rsidRDefault="0056144A" w:rsidP="0056144A">
      <w:pPr>
        <w:pStyle w:val="Heading4"/>
        <w:rPr>
          <w:rFonts w:ascii="Arial" w:hAnsi="Arial" w:cs="Arial"/>
          <w:lang w:val="en-GB"/>
        </w:rPr>
      </w:pPr>
      <w:bookmarkStart w:id="3" w:name="_Toc243058829"/>
      <w:r w:rsidRPr="00691B86">
        <w:rPr>
          <w:rFonts w:ascii="Arial" w:hAnsi="Arial" w:cs="Arial"/>
          <w:lang w:val="en-GB"/>
        </w:rPr>
        <w:lastRenderedPageBreak/>
        <w:t>Figure 1: Recent company performance by BHP</w:t>
      </w:r>
      <w:bookmarkEnd w:id="3"/>
    </w:p>
    <w:p w14:paraId="21DE979D" w14:textId="3D9C0FD1" w:rsidR="0056144A" w:rsidRPr="00691B86" w:rsidRDefault="0056144A" w:rsidP="0056144A">
      <w:pPr>
        <w:jc w:val="center"/>
        <w:rPr>
          <w:rFonts w:ascii="Arial" w:hAnsi="Arial" w:cs="Arial"/>
          <w:lang w:val="en-GB"/>
        </w:rPr>
      </w:pPr>
      <w:r w:rsidRPr="00691B86">
        <w:rPr>
          <w:rFonts w:ascii="Arial" w:hAnsi="Arial" w:cs="Arial"/>
          <w:lang w:val="en-GB"/>
        </w:rPr>
        <w:t>(Source: BHP, 2026)</w:t>
      </w:r>
    </w:p>
    <w:p w14:paraId="6669D7CE" w14:textId="098DD986" w:rsidR="004E1A16" w:rsidRPr="00691B86" w:rsidRDefault="004E757B">
      <w:pPr>
        <w:rPr>
          <w:rFonts w:ascii="Arial" w:hAnsi="Arial" w:cs="Arial"/>
          <w:lang w:val="en-GB"/>
        </w:rPr>
      </w:pPr>
      <w:r w:rsidRPr="00691B86">
        <w:rPr>
          <w:rFonts w:ascii="Arial" w:hAnsi="Arial" w:cs="Arial"/>
          <w:lang w:val="en-GB"/>
        </w:rPr>
        <w:t xml:space="preserve">On the other hand, BHP officials have also reported total economic contribution in the fiscal year 2026 to be around 50.8 billion US dollars through performing mining operations around the world (BHP, 2026). Since 2020, the administration body of BHP has also been working towards implementing scope 1 and scope 2 emission plans to successfully lower GHG production by nearly 33% in key functions (BHP, 2026). As a result, the sustainable mining policies and healthy economic contributions generated by BHP have allowed the Australian enterprise to become a viable selection in terms of carbon-free operations. </w:t>
      </w:r>
    </w:p>
    <w:p w14:paraId="0588DDB8" w14:textId="77777777" w:rsidR="004E1A16" w:rsidRPr="00691B86" w:rsidRDefault="004E757B">
      <w:pPr>
        <w:pStyle w:val="Heading2"/>
        <w:rPr>
          <w:rFonts w:ascii="Arial" w:hAnsi="Arial" w:cs="Arial"/>
          <w:lang w:val="en-GB"/>
        </w:rPr>
      </w:pPr>
      <w:bookmarkStart w:id="4" w:name="_iiy9i8lcwx3z" w:colFirst="0" w:colLast="0"/>
      <w:bookmarkEnd w:id="4"/>
      <w:r w:rsidRPr="00691B86">
        <w:rPr>
          <w:rFonts w:ascii="Arial" w:hAnsi="Arial" w:cs="Arial"/>
          <w:lang w:val="en-GB"/>
        </w:rPr>
        <w:t>1.2 Critical analysis of three major external Actors</w:t>
      </w:r>
    </w:p>
    <w:p w14:paraId="6EAE9430" w14:textId="77777777" w:rsidR="004E1A16" w:rsidRPr="00691B86" w:rsidRDefault="004E757B">
      <w:pPr>
        <w:jc w:val="center"/>
        <w:rPr>
          <w:rFonts w:ascii="Arial" w:hAnsi="Arial" w:cs="Arial"/>
          <w:lang w:val="en-GB"/>
        </w:rPr>
      </w:pPr>
      <w:r w:rsidRPr="00691B86">
        <w:rPr>
          <w:rFonts w:ascii="Arial" w:hAnsi="Arial" w:cs="Arial"/>
          <w:noProof/>
          <w:lang w:val="en-GB"/>
        </w:rPr>
        <w:drawing>
          <wp:inline distT="114300" distB="114300" distL="114300" distR="114300" wp14:anchorId="68B40B5C" wp14:editId="47C81A27">
            <wp:extent cx="5422790" cy="4031311"/>
            <wp:effectExtent l="0" t="0" r="6985" b="762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428258" cy="4035376"/>
                    </a:xfrm>
                    <a:prstGeom prst="rect">
                      <a:avLst/>
                    </a:prstGeom>
                    <a:ln/>
                  </pic:spPr>
                </pic:pic>
              </a:graphicData>
            </a:graphic>
          </wp:inline>
        </w:drawing>
      </w:r>
    </w:p>
    <w:p w14:paraId="3A77E60E" w14:textId="77777777" w:rsidR="004E1A16" w:rsidRPr="00691B86" w:rsidRDefault="004E757B" w:rsidP="00977F6A">
      <w:pPr>
        <w:pStyle w:val="Heading4"/>
        <w:rPr>
          <w:rFonts w:ascii="Arial" w:hAnsi="Arial" w:cs="Arial"/>
          <w:lang w:val="en-GB"/>
        </w:rPr>
      </w:pPr>
      <w:bookmarkStart w:id="5" w:name="_Toc243058830"/>
      <w:r w:rsidRPr="00691B86">
        <w:rPr>
          <w:rFonts w:ascii="Arial" w:hAnsi="Arial" w:cs="Arial"/>
          <w:lang w:val="en-GB"/>
        </w:rPr>
        <w:t>Figure 2: PESTLE analysis for Australia</w:t>
      </w:r>
      <w:bookmarkEnd w:id="5"/>
    </w:p>
    <w:p w14:paraId="24C1813A" w14:textId="77777777" w:rsidR="004E1A16" w:rsidRPr="00691B86" w:rsidRDefault="004E757B">
      <w:pPr>
        <w:jc w:val="center"/>
        <w:rPr>
          <w:rFonts w:ascii="Arial" w:hAnsi="Arial" w:cs="Arial"/>
          <w:lang w:val="en-GB"/>
        </w:rPr>
      </w:pPr>
      <w:r w:rsidRPr="00691B86">
        <w:rPr>
          <w:rFonts w:ascii="Arial" w:hAnsi="Arial" w:cs="Arial"/>
          <w:lang w:val="en-GB"/>
        </w:rPr>
        <w:t>(Source: Self-developed)</w:t>
      </w:r>
    </w:p>
    <w:p w14:paraId="2E875541" w14:textId="77777777" w:rsidR="004E1A16" w:rsidRPr="00691B86" w:rsidRDefault="004E757B">
      <w:pPr>
        <w:rPr>
          <w:rFonts w:ascii="Arial" w:hAnsi="Arial" w:cs="Arial"/>
          <w:b/>
          <w:bCs/>
          <w:i/>
          <w:iCs/>
          <w:lang w:val="en-GB"/>
        </w:rPr>
      </w:pPr>
      <w:r w:rsidRPr="00691B86">
        <w:rPr>
          <w:rFonts w:ascii="Arial" w:hAnsi="Arial" w:cs="Arial"/>
          <w:b/>
          <w:bCs/>
          <w:i/>
          <w:iCs/>
          <w:lang w:val="en-GB"/>
        </w:rPr>
        <w:lastRenderedPageBreak/>
        <w:t>Environmental Actor</w:t>
      </w:r>
    </w:p>
    <w:p w14:paraId="18DE6785" w14:textId="77777777" w:rsidR="004E1A16" w:rsidRPr="00691B86" w:rsidRDefault="004E757B">
      <w:pPr>
        <w:rPr>
          <w:rFonts w:ascii="Arial" w:hAnsi="Arial" w:cs="Arial"/>
          <w:lang w:val="en-GB"/>
        </w:rPr>
      </w:pPr>
      <w:r w:rsidRPr="00691B86">
        <w:rPr>
          <w:rFonts w:ascii="Arial" w:hAnsi="Arial" w:cs="Arial"/>
          <w:lang w:val="en-GB"/>
        </w:rPr>
        <w:t xml:space="preserve">Based on the above PESTLE analysis, the environmental actors have played a critical role for BHP that directly influences the mining operations for the Australian brand to introduce sustainable and low-carbon practices. For instance, in terms of Greenhouse gas emission levels, the Australian business industry and residential areas have been responsible for generating almost 524.11 million tonnes of GHG compounds in the financial year 2017 (Statista, 2025). Apart from that, in 2024, the national carbon emission levels of Australia have been recorded to be around 435.74 million metric tonnes, which showcases a slight reduction from the previous decade (Statista, 2025). It can be mentioned that the positive measures taken by the Australian government and adjacent industry have been effective towards lowering carbon production and improving environmental elements. Hence, the current leadership of BHP ought to learn from the current GHG reduction pattern in Australia towards increasing investment towards sustainable mining practices to transition toward lower-carbon production processes. </w:t>
      </w:r>
    </w:p>
    <w:p w14:paraId="2736290B" w14:textId="77777777" w:rsidR="004E1A16" w:rsidRPr="00691B86" w:rsidRDefault="004E757B">
      <w:pPr>
        <w:jc w:val="center"/>
        <w:rPr>
          <w:rFonts w:ascii="Arial" w:hAnsi="Arial" w:cs="Arial"/>
          <w:lang w:val="en-GB"/>
        </w:rPr>
      </w:pPr>
      <w:r w:rsidRPr="00691B86">
        <w:rPr>
          <w:rFonts w:ascii="Arial" w:hAnsi="Arial" w:cs="Arial"/>
          <w:noProof/>
          <w:lang w:val="en-GB"/>
        </w:rPr>
        <w:drawing>
          <wp:inline distT="114300" distB="114300" distL="114300" distR="114300" wp14:anchorId="3FD1BF34" wp14:editId="19FBAB8C">
            <wp:extent cx="5208104" cy="3212327"/>
            <wp:effectExtent l="0" t="0" r="0" b="762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218245" cy="3218582"/>
                    </a:xfrm>
                    <a:prstGeom prst="rect">
                      <a:avLst/>
                    </a:prstGeom>
                    <a:ln/>
                  </pic:spPr>
                </pic:pic>
              </a:graphicData>
            </a:graphic>
          </wp:inline>
        </w:drawing>
      </w:r>
    </w:p>
    <w:p w14:paraId="63D148A9" w14:textId="77777777" w:rsidR="004E1A16" w:rsidRPr="00691B86" w:rsidRDefault="004E757B" w:rsidP="00977F6A">
      <w:pPr>
        <w:pStyle w:val="Heading4"/>
        <w:rPr>
          <w:rFonts w:ascii="Arial" w:hAnsi="Arial" w:cs="Arial"/>
          <w:lang w:val="en-GB"/>
        </w:rPr>
      </w:pPr>
      <w:bookmarkStart w:id="6" w:name="_Toc243058831"/>
      <w:r w:rsidRPr="00691B86">
        <w:rPr>
          <w:rFonts w:ascii="Arial" w:hAnsi="Arial" w:cs="Arial"/>
          <w:lang w:val="en-GB"/>
        </w:rPr>
        <w:t>Figure 3: National GHG emission rate of Australia in the past decade</w:t>
      </w:r>
      <w:bookmarkEnd w:id="6"/>
    </w:p>
    <w:p w14:paraId="6EDD680A" w14:textId="77777777" w:rsidR="004E1A16" w:rsidRPr="00691B86" w:rsidRDefault="004E757B">
      <w:pPr>
        <w:jc w:val="center"/>
        <w:rPr>
          <w:rFonts w:ascii="Arial" w:hAnsi="Arial" w:cs="Arial"/>
          <w:lang w:val="en-GB"/>
        </w:rPr>
      </w:pPr>
      <w:r w:rsidRPr="00691B86">
        <w:rPr>
          <w:rFonts w:ascii="Arial" w:hAnsi="Arial" w:cs="Arial"/>
          <w:lang w:val="en-GB"/>
        </w:rPr>
        <w:t>(Source: Statista, 2025)</w:t>
      </w:r>
    </w:p>
    <w:p w14:paraId="3EED3002" w14:textId="77777777" w:rsidR="004E1A16" w:rsidRPr="00691B86" w:rsidRDefault="004E757B">
      <w:pPr>
        <w:rPr>
          <w:rFonts w:ascii="Arial" w:hAnsi="Arial" w:cs="Arial"/>
          <w:lang w:val="en-GB"/>
        </w:rPr>
      </w:pPr>
      <w:r w:rsidRPr="00691B86">
        <w:rPr>
          <w:rFonts w:ascii="Arial" w:hAnsi="Arial" w:cs="Arial"/>
          <w:lang w:val="en-GB"/>
        </w:rPr>
        <w:lastRenderedPageBreak/>
        <w:t>The 21st-century mining operations in Australia have also instigated a public health emergency and health loss among regular citizens due to an increase in pollution and the GHG emission index. For example, in 2023, almost 719 active mining operations have been registered in Australia, responsible for extracting heavy minerals and natural ores across the Western Australian regions (</w:t>
      </w:r>
      <w:r w:rsidRPr="00691B86">
        <w:rPr>
          <w:rFonts w:ascii="Arial" w:hAnsi="Arial" w:cs="Arial"/>
          <w:color w:val="222222"/>
          <w:lang w:val="en-GB"/>
        </w:rPr>
        <w:t>Cortes</w:t>
      </w:r>
      <w:r w:rsidRPr="00691B86">
        <w:rPr>
          <w:rFonts w:ascii="Cambria Math" w:hAnsi="Cambria Math" w:cs="Cambria Math"/>
          <w:color w:val="222222"/>
          <w:lang w:val="en-GB"/>
        </w:rPr>
        <w:t>‐</w:t>
      </w:r>
      <w:r w:rsidRPr="00691B86">
        <w:rPr>
          <w:rFonts w:ascii="Arial" w:hAnsi="Arial" w:cs="Arial"/>
          <w:color w:val="222222"/>
          <w:lang w:val="en-GB"/>
        </w:rPr>
        <w:t xml:space="preserve">Ramirez </w:t>
      </w:r>
      <w:r w:rsidRPr="00691B86">
        <w:rPr>
          <w:rFonts w:ascii="Arial" w:hAnsi="Arial" w:cs="Arial"/>
          <w:i/>
          <w:iCs/>
          <w:color w:val="222222"/>
          <w:lang w:val="en-GB"/>
        </w:rPr>
        <w:t xml:space="preserve">et al. </w:t>
      </w:r>
      <w:r w:rsidRPr="00691B86">
        <w:rPr>
          <w:rFonts w:ascii="Arial" w:hAnsi="Arial" w:cs="Arial"/>
          <w:color w:val="222222"/>
          <w:lang w:val="en-GB"/>
        </w:rPr>
        <w:t>2025)</w:t>
      </w:r>
      <w:r w:rsidRPr="00691B86">
        <w:rPr>
          <w:rFonts w:ascii="Arial" w:hAnsi="Arial" w:cs="Arial"/>
          <w:lang w:val="en-GB"/>
        </w:rPr>
        <w:t>. On the other hand, the conventional extraction techniques employed by mining corporations similar to BHP have also been responsible for emitting toxic chemicals into the air, water and land during mining operations. Nearly 58% of Australian residents living near mining corporations have reported major healthcare-related issues because of increased exposure towards mining operations and their GHG-based by-products (</w:t>
      </w:r>
      <w:r w:rsidRPr="00691B86">
        <w:rPr>
          <w:rFonts w:ascii="Arial" w:hAnsi="Arial" w:cs="Arial"/>
          <w:color w:val="222222"/>
          <w:lang w:val="en-GB"/>
        </w:rPr>
        <w:t>Cortes</w:t>
      </w:r>
      <w:r w:rsidRPr="00691B86">
        <w:rPr>
          <w:rFonts w:ascii="Cambria Math" w:hAnsi="Cambria Math" w:cs="Cambria Math"/>
          <w:color w:val="222222"/>
          <w:lang w:val="en-GB"/>
        </w:rPr>
        <w:t>‐</w:t>
      </w:r>
      <w:r w:rsidRPr="00691B86">
        <w:rPr>
          <w:rFonts w:ascii="Arial" w:hAnsi="Arial" w:cs="Arial"/>
          <w:color w:val="222222"/>
          <w:lang w:val="en-GB"/>
        </w:rPr>
        <w:t xml:space="preserve">Ramirez </w:t>
      </w:r>
      <w:r w:rsidRPr="00691B86">
        <w:rPr>
          <w:rFonts w:ascii="Arial" w:hAnsi="Arial" w:cs="Arial"/>
          <w:i/>
          <w:iCs/>
          <w:color w:val="222222"/>
          <w:lang w:val="en-GB"/>
        </w:rPr>
        <w:t xml:space="preserve">et al. </w:t>
      </w:r>
      <w:r w:rsidRPr="00691B86">
        <w:rPr>
          <w:rFonts w:ascii="Arial" w:hAnsi="Arial" w:cs="Arial"/>
          <w:color w:val="222222"/>
          <w:lang w:val="en-GB"/>
        </w:rPr>
        <w:t>2025)</w:t>
      </w:r>
      <w:r w:rsidRPr="00691B86">
        <w:rPr>
          <w:rFonts w:ascii="Arial" w:hAnsi="Arial" w:cs="Arial"/>
          <w:lang w:val="en-GB"/>
        </w:rPr>
        <w:t xml:space="preserve">. As a result, global mining enterprises like BHP are to focus on reducing GHG production across their ore extraction and other mining operations to lower pollution levels in residential areas of Australia. </w:t>
      </w:r>
    </w:p>
    <w:p w14:paraId="2C57979E" w14:textId="77777777" w:rsidR="004E1A16" w:rsidRPr="00691B86" w:rsidRDefault="004E757B">
      <w:pPr>
        <w:jc w:val="center"/>
        <w:rPr>
          <w:rFonts w:ascii="Arial" w:hAnsi="Arial" w:cs="Arial"/>
          <w:lang w:val="en-GB"/>
        </w:rPr>
      </w:pPr>
      <w:r w:rsidRPr="00691B86">
        <w:rPr>
          <w:rFonts w:ascii="Arial" w:hAnsi="Arial" w:cs="Arial"/>
          <w:noProof/>
          <w:lang w:val="en-GB"/>
        </w:rPr>
        <w:drawing>
          <wp:inline distT="114300" distB="114300" distL="114300" distR="114300" wp14:anchorId="79985842" wp14:editId="5C93128E">
            <wp:extent cx="4905955" cy="3204375"/>
            <wp:effectExtent l="0" t="0" r="9525"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926365" cy="3217706"/>
                    </a:xfrm>
                    <a:prstGeom prst="rect">
                      <a:avLst/>
                    </a:prstGeom>
                    <a:ln/>
                  </pic:spPr>
                </pic:pic>
              </a:graphicData>
            </a:graphic>
          </wp:inline>
        </w:drawing>
      </w:r>
    </w:p>
    <w:p w14:paraId="3760488A" w14:textId="77777777" w:rsidR="004E1A16" w:rsidRPr="00691B86" w:rsidRDefault="004E757B" w:rsidP="00977F6A">
      <w:pPr>
        <w:pStyle w:val="Heading4"/>
        <w:rPr>
          <w:rFonts w:ascii="Arial" w:hAnsi="Arial" w:cs="Arial"/>
          <w:lang w:val="en-GB"/>
        </w:rPr>
      </w:pPr>
      <w:bookmarkStart w:id="7" w:name="_Toc243058832"/>
      <w:r w:rsidRPr="00691B86">
        <w:rPr>
          <w:rFonts w:ascii="Arial" w:hAnsi="Arial" w:cs="Arial"/>
          <w:lang w:val="en-GB"/>
        </w:rPr>
        <w:t>Figure 4: Mining operations across different parts of Australia</w:t>
      </w:r>
      <w:bookmarkEnd w:id="7"/>
    </w:p>
    <w:p w14:paraId="03CB9C32" w14:textId="77777777" w:rsidR="004E1A16" w:rsidRPr="00691B86" w:rsidRDefault="004E757B">
      <w:pPr>
        <w:jc w:val="center"/>
        <w:rPr>
          <w:rFonts w:ascii="Arial" w:hAnsi="Arial" w:cs="Arial"/>
          <w:lang w:val="en-GB"/>
        </w:rPr>
      </w:pPr>
      <w:r w:rsidRPr="00691B86">
        <w:rPr>
          <w:rFonts w:ascii="Arial" w:hAnsi="Arial" w:cs="Arial"/>
          <w:lang w:val="en-GB"/>
        </w:rPr>
        <w:t xml:space="preserve">(Source: </w:t>
      </w:r>
      <w:r w:rsidRPr="00691B86">
        <w:rPr>
          <w:rFonts w:ascii="Arial" w:hAnsi="Arial" w:cs="Arial"/>
          <w:color w:val="222222"/>
          <w:lang w:val="en-GB"/>
        </w:rPr>
        <w:t>Cortes</w:t>
      </w:r>
      <w:r w:rsidRPr="00691B86">
        <w:rPr>
          <w:rFonts w:ascii="Cambria Math" w:hAnsi="Cambria Math" w:cs="Cambria Math"/>
          <w:color w:val="222222"/>
          <w:lang w:val="en-GB"/>
        </w:rPr>
        <w:t>‐</w:t>
      </w:r>
      <w:r w:rsidRPr="00691B86">
        <w:rPr>
          <w:rFonts w:ascii="Arial" w:hAnsi="Arial" w:cs="Arial"/>
          <w:color w:val="222222"/>
          <w:lang w:val="en-GB"/>
        </w:rPr>
        <w:t xml:space="preserve">Ramirez </w:t>
      </w:r>
      <w:r w:rsidRPr="00691B86">
        <w:rPr>
          <w:rFonts w:ascii="Arial" w:hAnsi="Arial" w:cs="Arial"/>
          <w:i/>
          <w:iCs/>
          <w:color w:val="222222"/>
          <w:lang w:val="en-GB"/>
        </w:rPr>
        <w:t xml:space="preserve">et al. </w:t>
      </w:r>
      <w:r w:rsidRPr="00691B86">
        <w:rPr>
          <w:rFonts w:ascii="Arial" w:hAnsi="Arial" w:cs="Arial"/>
          <w:color w:val="222222"/>
          <w:lang w:val="en-GB"/>
        </w:rPr>
        <w:t>2025</w:t>
      </w:r>
      <w:r w:rsidRPr="00691B86">
        <w:rPr>
          <w:rFonts w:ascii="Arial" w:hAnsi="Arial" w:cs="Arial"/>
          <w:lang w:val="en-GB"/>
        </w:rPr>
        <w:t>)</w:t>
      </w:r>
    </w:p>
    <w:p w14:paraId="3533D746" w14:textId="7A889B7C" w:rsidR="004E1A16" w:rsidRPr="00691B86" w:rsidRDefault="004E757B">
      <w:pPr>
        <w:rPr>
          <w:rFonts w:ascii="Arial" w:hAnsi="Arial" w:cs="Arial"/>
          <w:lang w:val="en-GB"/>
        </w:rPr>
      </w:pPr>
      <w:r w:rsidRPr="00691B86">
        <w:rPr>
          <w:rFonts w:ascii="Arial" w:hAnsi="Arial" w:cs="Arial"/>
          <w:lang w:val="en-GB"/>
        </w:rPr>
        <w:lastRenderedPageBreak/>
        <w:t xml:space="preserve">The procurement of Australian government aid has been prominent in the national mining industry for encouraging local actors to introduce eco-friendly operations and sustainable practices on a daily basis. For example, almost 23 billion Australian </w:t>
      </w:r>
      <w:r w:rsidR="008B25E3" w:rsidRPr="00691B86">
        <w:rPr>
          <w:rFonts w:ascii="Arial" w:hAnsi="Arial" w:cs="Arial"/>
          <w:lang w:val="en-GB"/>
        </w:rPr>
        <w:t>dollars’ worth</w:t>
      </w:r>
      <w:r w:rsidRPr="00691B86">
        <w:rPr>
          <w:rFonts w:ascii="Arial" w:hAnsi="Arial" w:cs="Arial"/>
          <w:lang w:val="en-GB"/>
        </w:rPr>
        <w:t xml:space="preserve"> of government packages have been announced by the local authorities in recent times to motivate mining corporations to invest in renewable energy sources (</w:t>
      </w:r>
      <w:proofErr w:type="spellStart"/>
      <w:r w:rsidRPr="00691B86">
        <w:rPr>
          <w:rFonts w:ascii="Arial" w:hAnsi="Arial" w:cs="Arial"/>
          <w:lang w:val="en-GB"/>
        </w:rPr>
        <w:t>Muschter</w:t>
      </w:r>
      <w:proofErr w:type="spellEnd"/>
      <w:r w:rsidRPr="00691B86">
        <w:rPr>
          <w:rFonts w:ascii="Arial" w:hAnsi="Arial" w:cs="Arial"/>
          <w:lang w:val="en-GB"/>
        </w:rPr>
        <w:t>, 2025). Apart from that, in 2024, the coal mining market value in Australia has also experienced a drastic reduction to almost 106 billion US dollars, indicating a reduction in local corporate interest towards conventional mining (</w:t>
      </w:r>
      <w:proofErr w:type="spellStart"/>
      <w:r w:rsidRPr="00691B86">
        <w:rPr>
          <w:rFonts w:ascii="Arial" w:hAnsi="Arial" w:cs="Arial"/>
          <w:lang w:val="en-GB"/>
        </w:rPr>
        <w:t>Muschter</w:t>
      </w:r>
      <w:proofErr w:type="spellEnd"/>
      <w:r w:rsidRPr="00691B86">
        <w:rPr>
          <w:rFonts w:ascii="Arial" w:hAnsi="Arial" w:cs="Arial"/>
          <w:lang w:val="en-GB"/>
        </w:rPr>
        <w:t>, 2025). It can be mentioned that the decline in coal mining and the governmental aid provided by the Australian government have been critical towards inspiring BHP officials to move towards sustainable mining functions. Therefore, the declining environmental factors, increased emission rates and health problems have been prevalent in the Australian marketplace, which can motivate mining corporations such as BHP to revise current eco-friendly policies</w:t>
      </w:r>
    </w:p>
    <w:p w14:paraId="20D6593F" w14:textId="77777777" w:rsidR="004E1A16" w:rsidRPr="00691B86" w:rsidRDefault="004E757B">
      <w:pPr>
        <w:rPr>
          <w:rFonts w:ascii="Arial" w:hAnsi="Arial" w:cs="Arial"/>
          <w:b/>
          <w:bCs/>
          <w:i/>
          <w:iCs/>
          <w:lang w:val="en-GB"/>
        </w:rPr>
      </w:pPr>
      <w:r w:rsidRPr="00691B86">
        <w:rPr>
          <w:rFonts w:ascii="Arial" w:hAnsi="Arial" w:cs="Arial"/>
          <w:b/>
          <w:bCs/>
          <w:i/>
          <w:iCs/>
          <w:lang w:val="en-GB"/>
        </w:rPr>
        <w:t>Legal Actor</w:t>
      </w:r>
    </w:p>
    <w:p w14:paraId="5A2A7DEF" w14:textId="596FA7A8" w:rsidR="004E1A16" w:rsidRPr="00691B86" w:rsidRDefault="004E757B">
      <w:pPr>
        <w:rPr>
          <w:rFonts w:ascii="Arial" w:hAnsi="Arial" w:cs="Arial"/>
          <w:lang w:val="en-GB"/>
        </w:rPr>
      </w:pPr>
      <w:r w:rsidRPr="00691B86">
        <w:rPr>
          <w:rFonts w:ascii="Arial" w:hAnsi="Arial" w:cs="Arial"/>
          <w:lang w:val="en-GB"/>
        </w:rPr>
        <w:t xml:space="preserve">Depending on the PESTLE evaluation from Figure 2, the Australian government and legislative body have introduced multiple environment-friendly policies such as the Environment Protection and Biodiversity Conservation (EPBC) Act from 1999 (DCCEEW, 2026). It has also empowered the legislative body of Australia to undertake swift legal actions against individuals and local corporations to undertake eco-friendly practices for lowering carbon emission levels. Apart from that, </w:t>
      </w:r>
      <w:r w:rsidR="008B25E3" w:rsidRPr="00691B86">
        <w:rPr>
          <w:rFonts w:ascii="Arial" w:hAnsi="Arial" w:cs="Arial"/>
          <w:lang w:val="en-GB"/>
        </w:rPr>
        <w:t>the Climate</w:t>
      </w:r>
      <w:r w:rsidRPr="00691B86">
        <w:rPr>
          <w:rFonts w:ascii="Arial" w:hAnsi="Arial" w:cs="Arial"/>
          <w:lang w:val="en-GB"/>
        </w:rPr>
        <w:t xml:space="preserve"> Change Act implemented by the Australian government has also introduced a scope 1 target of a 43% carbon reduction plan within the fiscal year of 2030 (GOV AU, 2024). In scope 2, the Australian administration has also introduced a net-zero plan to be achieved within 2050 for gradually diminishing national GHG emissions and creating a carbon-neutral environment (GOV AU, 2024). Therefore, the current Australian climate legislation and the EPBC Act can prove to be major external legal elements that can motivate the BHP administration towards enhancing eco-friendly policies in future mining operations. </w:t>
      </w:r>
    </w:p>
    <w:p w14:paraId="2B2E0E92" w14:textId="77777777" w:rsidR="004E1A16" w:rsidRPr="00691B86" w:rsidRDefault="004E757B">
      <w:pPr>
        <w:rPr>
          <w:rFonts w:ascii="Arial" w:hAnsi="Arial" w:cs="Arial"/>
          <w:b/>
          <w:bCs/>
          <w:i/>
          <w:iCs/>
          <w:lang w:val="en-GB"/>
        </w:rPr>
      </w:pPr>
      <w:r w:rsidRPr="00691B86">
        <w:rPr>
          <w:rFonts w:ascii="Arial" w:hAnsi="Arial" w:cs="Arial"/>
          <w:b/>
          <w:bCs/>
          <w:i/>
          <w:iCs/>
          <w:lang w:val="en-GB"/>
        </w:rPr>
        <w:t>Technological Actor</w:t>
      </w:r>
    </w:p>
    <w:p w14:paraId="20F1BB3A" w14:textId="5B496C65" w:rsidR="004E1A16" w:rsidRPr="00691B86" w:rsidRDefault="0056144A">
      <w:pPr>
        <w:jc w:val="center"/>
        <w:rPr>
          <w:rFonts w:ascii="Arial" w:hAnsi="Arial" w:cs="Arial"/>
          <w:b/>
          <w:bCs/>
          <w:i/>
          <w:iCs/>
          <w:lang w:val="en-GB"/>
        </w:rPr>
      </w:pPr>
      <w:r w:rsidRPr="00691B86">
        <w:rPr>
          <w:rFonts w:ascii="Arial" w:hAnsi="Arial" w:cs="Arial"/>
          <w:b/>
          <w:bCs/>
          <w:i/>
          <w:iCs/>
          <w:noProof/>
          <w:lang w:val="en-GB"/>
        </w:rPr>
        <w:lastRenderedPageBreak/>
        <w:drawing>
          <wp:inline distT="0" distB="0" distL="0" distR="0" wp14:anchorId="2AD039BB" wp14:editId="66CB7FBD">
            <wp:extent cx="5462546" cy="2824066"/>
            <wp:effectExtent l="0" t="0" r="5080" b="0"/>
            <wp:docPr id="1587603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603296" name=""/>
                    <pic:cNvPicPr/>
                  </pic:nvPicPr>
                  <pic:blipFill rotWithShape="1">
                    <a:blip r:embed="rId13"/>
                    <a:srcRect t="10724"/>
                    <a:stretch>
                      <a:fillRect/>
                    </a:stretch>
                  </pic:blipFill>
                  <pic:spPr>
                    <a:xfrm>
                      <a:off x="0" y="0"/>
                      <a:ext cx="5474687" cy="2830342"/>
                    </a:xfrm>
                    <a:prstGeom prst="rect">
                      <a:avLst/>
                    </a:prstGeom>
                  </pic:spPr>
                </pic:pic>
              </a:graphicData>
            </a:graphic>
          </wp:inline>
        </w:drawing>
      </w:r>
    </w:p>
    <w:p w14:paraId="74A85EC8" w14:textId="5937AE77" w:rsidR="004E1A16" w:rsidRPr="00691B86" w:rsidRDefault="004E757B" w:rsidP="00977F6A">
      <w:pPr>
        <w:pStyle w:val="Heading4"/>
        <w:rPr>
          <w:rFonts w:ascii="Arial" w:hAnsi="Arial" w:cs="Arial"/>
          <w:lang w:val="en-GB"/>
        </w:rPr>
      </w:pPr>
      <w:bookmarkStart w:id="8" w:name="_Toc243058833"/>
      <w:r w:rsidRPr="00691B86">
        <w:rPr>
          <w:rFonts w:ascii="Arial" w:hAnsi="Arial" w:cs="Arial"/>
          <w:lang w:val="en-GB"/>
        </w:rPr>
        <w:t xml:space="preserve">Figure 5: Sustainable tech </w:t>
      </w:r>
      <w:r w:rsidR="0056144A" w:rsidRPr="00691B86">
        <w:rPr>
          <w:rFonts w:ascii="Arial" w:hAnsi="Arial" w:cs="Arial"/>
          <w:lang w:val="en-GB"/>
        </w:rPr>
        <w:t>adoption</w:t>
      </w:r>
      <w:r w:rsidRPr="00691B86">
        <w:rPr>
          <w:rFonts w:ascii="Arial" w:hAnsi="Arial" w:cs="Arial"/>
          <w:lang w:val="en-GB"/>
        </w:rPr>
        <w:t xml:space="preserve"> in Australian marketplace</w:t>
      </w:r>
      <w:bookmarkEnd w:id="8"/>
    </w:p>
    <w:p w14:paraId="7A492021" w14:textId="3F8F2D6A" w:rsidR="004E1A16" w:rsidRPr="00691B86" w:rsidRDefault="004E757B">
      <w:pPr>
        <w:jc w:val="center"/>
        <w:rPr>
          <w:rFonts w:ascii="Arial" w:hAnsi="Arial" w:cs="Arial"/>
          <w:lang w:val="en-GB"/>
        </w:rPr>
      </w:pPr>
      <w:r w:rsidRPr="00691B86">
        <w:rPr>
          <w:rFonts w:ascii="Arial" w:hAnsi="Arial" w:cs="Arial"/>
          <w:lang w:val="en-GB"/>
        </w:rPr>
        <w:t xml:space="preserve">(Source: </w:t>
      </w:r>
      <w:r w:rsidR="0056144A" w:rsidRPr="00691B86">
        <w:rPr>
          <w:rFonts w:ascii="Arial" w:hAnsi="Arial" w:cs="Arial"/>
          <w:lang w:val="en-US"/>
        </w:rPr>
        <w:t>Sharma, 2025</w:t>
      </w:r>
      <w:r w:rsidRPr="00691B86">
        <w:rPr>
          <w:rFonts w:ascii="Arial" w:hAnsi="Arial" w:cs="Arial"/>
          <w:lang w:val="en-GB"/>
        </w:rPr>
        <w:t>)</w:t>
      </w:r>
    </w:p>
    <w:p w14:paraId="62628D65" w14:textId="2F49D4CD" w:rsidR="004E1A16" w:rsidRPr="00691B86" w:rsidRDefault="004E757B">
      <w:pPr>
        <w:rPr>
          <w:rFonts w:ascii="Arial" w:hAnsi="Arial" w:cs="Arial"/>
          <w:lang w:val="en-GB"/>
        </w:rPr>
      </w:pPr>
      <w:r w:rsidRPr="00691B86">
        <w:rPr>
          <w:rFonts w:ascii="Arial" w:hAnsi="Arial" w:cs="Arial"/>
          <w:lang w:val="en-GB"/>
        </w:rPr>
        <w:t>The PESTLE analysis also showcases the positive implications of eco-friendly technologies used by modern enterprises to lower negative climate impacts and create a carbon-neutral environment</w:t>
      </w:r>
      <w:r w:rsidR="009A7241" w:rsidRPr="00691B86">
        <w:rPr>
          <w:rFonts w:ascii="Arial" w:hAnsi="Arial" w:cs="Arial"/>
          <w:lang w:val="en-GB"/>
        </w:rPr>
        <w:t xml:space="preserve"> (Kotler </w:t>
      </w:r>
      <w:r w:rsidR="009A7241" w:rsidRPr="00691B86">
        <w:rPr>
          <w:rFonts w:ascii="Arial" w:hAnsi="Arial" w:cs="Arial"/>
          <w:i/>
          <w:iCs/>
          <w:lang w:val="en-GB"/>
        </w:rPr>
        <w:t xml:space="preserve">et al., </w:t>
      </w:r>
      <w:r w:rsidR="009A7241" w:rsidRPr="00691B86">
        <w:rPr>
          <w:rFonts w:ascii="Arial" w:hAnsi="Arial" w:cs="Arial"/>
          <w:lang w:val="en-GB"/>
        </w:rPr>
        <w:t>2024)</w:t>
      </w:r>
      <w:r w:rsidRPr="00691B86">
        <w:rPr>
          <w:rFonts w:ascii="Arial" w:hAnsi="Arial" w:cs="Arial"/>
          <w:lang w:val="en-GB"/>
        </w:rPr>
        <w:t xml:space="preserve">. For example, the use of liquid cooling and smart airflow management technology has been prevalent in the Australian corporate industry for gradually lowering electricity consumption by 43% in daily business operations (Experion AU, 2026). In the case of BHP and its industrial mining operations, the Australian enterprise can employ smart airflow management and liquid cooling systems to lower electricity usage across corporate offices and mitigate its GHG footprint. On the other hand, sustainable tech initiatives undertaken by the Australian corporate entities have been highly impactful towards generating 500,000 tonnes of e-waste products in annual business operations (Experion AU, 2026). It can be highlighted that the BHP officials need to focus on implementing relevant recycling technology in daily mining operations to gradually mitigate the creation of harmful waste compounds. Therefore, the use of smart airflow management and recycling technologies has been promoted in the Australian business industry, which can become relevant for BHP administration to create a carbon-neutral ecosystem. </w:t>
      </w:r>
    </w:p>
    <w:p w14:paraId="79D73BD2" w14:textId="77777777" w:rsidR="004E1A16" w:rsidRPr="00691B86" w:rsidRDefault="004E757B">
      <w:pPr>
        <w:pStyle w:val="Heading1"/>
        <w:rPr>
          <w:rFonts w:ascii="Arial" w:hAnsi="Arial" w:cs="Arial"/>
          <w:lang w:val="en-GB"/>
        </w:rPr>
      </w:pPr>
      <w:bookmarkStart w:id="9" w:name="_i3wiqk8gyjjq" w:colFirst="0" w:colLast="0"/>
      <w:bookmarkEnd w:id="9"/>
      <w:r w:rsidRPr="00691B86">
        <w:rPr>
          <w:rFonts w:ascii="Arial" w:hAnsi="Arial" w:cs="Arial"/>
          <w:lang w:val="en-GB"/>
        </w:rPr>
        <w:lastRenderedPageBreak/>
        <w:t>Task 2: Strategic Growth and Competitive Positioning</w:t>
      </w:r>
    </w:p>
    <w:p w14:paraId="511EE937" w14:textId="77777777" w:rsidR="004E1A16" w:rsidRPr="00691B86" w:rsidRDefault="004E757B">
      <w:pPr>
        <w:pStyle w:val="Heading2"/>
        <w:rPr>
          <w:rFonts w:ascii="Arial" w:hAnsi="Arial" w:cs="Arial"/>
          <w:lang w:val="en-GB"/>
        </w:rPr>
      </w:pPr>
      <w:bookmarkStart w:id="10" w:name="_aoi12c4xupb5" w:colFirst="0" w:colLast="0"/>
      <w:bookmarkEnd w:id="10"/>
      <w:r w:rsidRPr="00691B86">
        <w:rPr>
          <w:rFonts w:ascii="Arial" w:hAnsi="Arial" w:cs="Arial"/>
          <w:lang w:val="en-GB"/>
        </w:rPr>
        <w:t>2.1 Evaluation of strategic growth approach using Ansoff Matrix</w:t>
      </w:r>
    </w:p>
    <w:p w14:paraId="29E5BB9F" w14:textId="0C2B07E3" w:rsidR="004E1A16" w:rsidRPr="00691B86" w:rsidRDefault="004E757B">
      <w:pPr>
        <w:rPr>
          <w:rFonts w:ascii="Arial" w:hAnsi="Arial" w:cs="Arial"/>
          <w:lang w:val="en-GB"/>
        </w:rPr>
      </w:pPr>
      <w:r w:rsidRPr="00691B86">
        <w:rPr>
          <w:rFonts w:ascii="Arial" w:hAnsi="Arial" w:cs="Arial"/>
          <w:lang w:val="en-GB"/>
        </w:rPr>
        <w:t xml:space="preserve">The BHP administration can employ the Ansoff matrix towards developing sustainable growth policies based on the environmental, legal and technological </w:t>
      </w:r>
      <w:r w:rsidR="00005B03" w:rsidRPr="00691B86">
        <w:rPr>
          <w:rFonts w:ascii="Arial" w:hAnsi="Arial" w:cs="Arial"/>
          <w:lang w:val="en-GB"/>
        </w:rPr>
        <w:t>factors</w:t>
      </w:r>
      <w:r w:rsidRPr="00691B86">
        <w:rPr>
          <w:rFonts w:ascii="Arial" w:hAnsi="Arial" w:cs="Arial"/>
          <w:lang w:val="en-GB"/>
        </w:rPr>
        <w:t xml:space="preserve"> discussed in the previous section</w:t>
      </w:r>
      <w:r w:rsidR="009A7241" w:rsidRPr="00691B86">
        <w:rPr>
          <w:rFonts w:ascii="Arial" w:hAnsi="Arial" w:cs="Arial"/>
          <w:lang w:val="en-GB"/>
        </w:rPr>
        <w:t xml:space="preserve"> (Kotler </w:t>
      </w:r>
      <w:r w:rsidR="009A7241" w:rsidRPr="00691B86">
        <w:rPr>
          <w:rFonts w:ascii="Arial" w:hAnsi="Arial" w:cs="Arial"/>
          <w:i/>
          <w:iCs/>
          <w:lang w:val="en-GB"/>
        </w:rPr>
        <w:t xml:space="preserve">et al., </w:t>
      </w:r>
      <w:r w:rsidR="009A7241" w:rsidRPr="00691B86">
        <w:rPr>
          <w:rFonts w:ascii="Arial" w:hAnsi="Arial" w:cs="Arial"/>
          <w:lang w:val="en-GB"/>
        </w:rPr>
        <w:t>2024)</w:t>
      </w:r>
      <w:r w:rsidRPr="00691B86">
        <w:rPr>
          <w:rFonts w:ascii="Arial" w:hAnsi="Arial" w:cs="Arial"/>
          <w:lang w:val="en-GB"/>
        </w:rPr>
        <w:t>.</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10"/>
        <w:gridCol w:w="6750"/>
      </w:tblGrid>
      <w:tr w:rsidR="004E1A16" w:rsidRPr="00691B86" w14:paraId="677EF888" w14:textId="77777777">
        <w:tc>
          <w:tcPr>
            <w:tcW w:w="2610" w:type="dxa"/>
            <w:tcMar>
              <w:top w:w="100" w:type="dxa"/>
              <w:left w:w="100" w:type="dxa"/>
              <w:bottom w:w="100" w:type="dxa"/>
              <w:right w:w="100" w:type="dxa"/>
            </w:tcMar>
          </w:tcPr>
          <w:p w14:paraId="6D5B9807" w14:textId="77777777" w:rsidR="004E1A16" w:rsidRPr="00691B86" w:rsidRDefault="004E757B" w:rsidP="00C31458">
            <w:pPr>
              <w:widowControl w:val="0"/>
              <w:pBdr>
                <w:top w:val="nil"/>
                <w:left w:val="nil"/>
                <w:bottom w:val="nil"/>
                <w:right w:val="nil"/>
                <w:between w:val="nil"/>
              </w:pBdr>
              <w:spacing w:before="0" w:after="0"/>
              <w:jc w:val="center"/>
              <w:rPr>
                <w:rFonts w:ascii="Arial" w:hAnsi="Arial" w:cs="Arial"/>
                <w:b/>
                <w:bCs/>
                <w:i/>
                <w:iCs/>
                <w:lang w:val="en-GB"/>
              </w:rPr>
            </w:pPr>
            <w:r w:rsidRPr="00691B86">
              <w:rPr>
                <w:rFonts w:ascii="Arial" w:hAnsi="Arial" w:cs="Arial"/>
                <w:b/>
                <w:bCs/>
                <w:i/>
                <w:iCs/>
                <w:lang w:val="en-GB"/>
              </w:rPr>
              <w:t>Ansoff Matrix elements</w:t>
            </w:r>
          </w:p>
        </w:tc>
        <w:tc>
          <w:tcPr>
            <w:tcW w:w="6750" w:type="dxa"/>
            <w:tcMar>
              <w:top w:w="100" w:type="dxa"/>
              <w:left w:w="100" w:type="dxa"/>
              <w:bottom w:w="100" w:type="dxa"/>
              <w:right w:w="100" w:type="dxa"/>
            </w:tcMar>
          </w:tcPr>
          <w:p w14:paraId="6DE43981" w14:textId="77777777" w:rsidR="004E1A16" w:rsidRPr="00691B86" w:rsidRDefault="004E757B" w:rsidP="00C31458">
            <w:pPr>
              <w:widowControl w:val="0"/>
              <w:pBdr>
                <w:top w:val="nil"/>
                <w:left w:val="nil"/>
                <w:bottom w:val="nil"/>
                <w:right w:val="nil"/>
                <w:between w:val="nil"/>
              </w:pBdr>
              <w:spacing w:before="0" w:after="0"/>
              <w:jc w:val="center"/>
              <w:rPr>
                <w:rFonts w:ascii="Arial" w:hAnsi="Arial" w:cs="Arial"/>
                <w:b/>
                <w:bCs/>
                <w:i/>
                <w:iCs/>
                <w:lang w:val="en-GB"/>
              </w:rPr>
            </w:pPr>
            <w:r w:rsidRPr="00691B86">
              <w:rPr>
                <w:rFonts w:ascii="Arial" w:hAnsi="Arial" w:cs="Arial"/>
                <w:b/>
                <w:bCs/>
                <w:i/>
                <w:iCs/>
                <w:lang w:val="en-GB"/>
              </w:rPr>
              <w:t xml:space="preserve">Highlights </w:t>
            </w:r>
          </w:p>
        </w:tc>
      </w:tr>
      <w:tr w:rsidR="004E1A16" w:rsidRPr="00691B86" w14:paraId="12FFD183" w14:textId="77777777">
        <w:tc>
          <w:tcPr>
            <w:tcW w:w="2610" w:type="dxa"/>
            <w:tcMar>
              <w:top w:w="100" w:type="dxa"/>
              <w:left w:w="100" w:type="dxa"/>
              <w:bottom w:w="100" w:type="dxa"/>
              <w:right w:w="100" w:type="dxa"/>
            </w:tcMar>
          </w:tcPr>
          <w:p w14:paraId="0D115E30" w14:textId="77777777" w:rsidR="004E1A16" w:rsidRPr="00691B86" w:rsidRDefault="004E757B" w:rsidP="00C31458">
            <w:pPr>
              <w:spacing w:before="0" w:after="0"/>
              <w:rPr>
                <w:rFonts w:ascii="Arial" w:hAnsi="Arial" w:cs="Arial"/>
                <w:lang w:val="en-GB"/>
              </w:rPr>
            </w:pPr>
            <w:r w:rsidRPr="00691B86">
              <w:rPr>
                <w:rFonts w:ascii="Arial" w:hAnsi="Arial" w:cs="Arial"/>
                <w:b/>
                <w:bCs/>
                <w:i/>
                <w:iCs/>
                <w:lang w:val="en-GB"/>
              </w:rPr>
              <w:t>Market Penetration</w:t>
            </w:r>
          </w:p>
        </w:tc>
        <w:tc>
          <w:tcPr>
            <w:tcW w:w="6750" w:type="dxa"/>
            <w:tcMar>
              <w:top w:w="100" w:type="dxa"/>
              <w:left w:w="100" w:type="dxa"/>
              <w:bottom w:w="100" w:type="dxa"/>
              <w:right w:w="100" w:type="dxa"/>
            </w:tcMar>
          </w:tcPr>
          <w:p w14:paraId="6E5716AD" w14:textId="77777777" w:rsidR="004E1A16" w:rsidRPr="00691B86" w:rsidRDefault="004E757B" w:rsidP="00C31458">
            <w:pPr>
              <w:widowControl w:val="0"/>
              <w:numPr>
                <w:ilvl w:val="0"/>
                <w:numId w:val="3"/>
              </w:numPr>
              <w:pBdr>
                <w:top w:val="nil"/>
                <w:left w:val="nil"/>
                <w:bottom w:val="nil"/>
                <w:right w:val="nil"/>
                <w:between w:val="nil"/>
              </w:pBdr>
              <w:spacing w:before="0" w:after="0"/>
              <w:rPr>
                <w:rFonts w:ascii="Arial" w:hAnsi="Arial" w:cs="Arial"/>
                <w:lang w:val="en-GB"/>
              </w:rPr>
            </w:pPr>
            <w:r w:rsidRPr="00691B86">
              <w:rPr>
                <w:rFonts w:ascii="Arial" w:hAnsi="Arial" w:cs="Arial"/>
                <w:lang w:val="en-GB"/>
              </w:rPr>
              <w:t>Highest market capitalisation for BHP in 2024 (</w:t>
            </w:r>
            <w:proofErr w:type="spellStart"/>
            <w:r w:rsidRPr="00691B86">
              <w:rPr>
                <w:rFonts w:ascii="Arial" w:hAnsi="Arial" w:cs="Arial"/>
                <w:lang w:val="en-GB"/>
              </w:rPr>
              <w:t>Muschter</w:t>
            </w:r>
            <w:proofErr w:type="spellEnd"/>
            <w:r w:rsidRPr="00691B86">
              <w:rPr>
                <w:rFonts w:ascii="Arial" w:hAnsi="Arial" w:cs="Arial"/>
                <w:lang w:val="en-GB"/>
              </w:rPr>
              <w:t>, 2025b).</w:t>
            </w:r>
          </w:p>
          <w:p w14:paraId="1E0DD061" w14:textId="77777777" w:rsidR="004E1A16" w:rsidRPr="00691B86" w:rsidRDefault="004E757B" w:rsidP="00C31458">
            <w:pPr>
              <w:widowControl w:val="0"/>
              <w:numPr>
                <w:ilvl w:val="0"/>
                <w:numId w:val="3"/>
              </w:numPr>
              <w:pBdr>
                <w:top w:val="nil"/>
                <w:left w:val="nil"/>
                <w:bottom w:val="nil"/>
                <w:right w:val="nil"/>
                <w:between w:val="nil"/>
              </w:pBdr>
              <w:spacing w:before="0" w:after="0"/>
              <w:rPr>
                <w:rFonts w:ascii="Arial" w:hAnsi="Arial" w:cs="Arial"/>
                <w:lang w:val="en-GB"/>
              </w:rPr>
            </w:pPr>
            <w:r w:rsidRPr="00691B86">
              <w:rPr>
                <w:rFonts w:ascii="Arial" w:hAnsi="Arial" w:cs="Arial"/>
                <w:lang w:val="en-GB"/>
              </w:rPr>
              <w:t>BHP market revenue is around 55.6 billion U.S. dollars (</w:t>
            </w:r>
            <w:proofErr w:type="spellStart"/>
            <w:r w:rsidRPr="00691B86">
              <w:rPr>
                <w:rFonts w:ascii="Arial" w:hAnsi="Arial" w:cs="Arial"/>
                <w:lang w:val="en-GB"/>
              </w:rPr>
              <w:t>Muschter</w:t>
            </w:r>
            <w:proofErr w:type="spellEnd"/>
            <w:r w:rsidRPr="00691B86">
              <w:rPr>
                <w:rFonts w:ascii="Arial" w:hAnsi="Arial" w:cs="Arial"/>
                <w:lang w:val="en-GB"/>
              </w:rPr>
              <w:t>, 2025b).</w:t>
            </w:r>
          </w:p>
        </w:tc>
      </w:tr>
      <w:tr w:rsidR="004E1A16" w:rsidRPr="00691B86" w14:paraId="5120C8A9" w14:textId="77777777">
        <w:tc>
          <w:tcPr>
            <w:tcW w:w="2610" w:type="dxa"/>
            <w:tcMar>
              <w:top w:w="100" w:type="dxa"/>
              <w:left w:w="100" w:type="dxa"/>
              <w:bottom w:w="100" w:type="dxa"/>
              <w:right w:w="100" w:type="dxa"/>
            </w:tcMar>
          </w:tcPr>
          <w:p w14:paraId="7B1551DF" w14:textId="77777777" w:rsidR="004E1A16" w:rsidRPr="00691B86" w:rsidRDefault="004E757B" w:rsidP="00C31458">
            <w:pPr>
              <w:spacing w:before="0" w:after="0"/>
              <w:rPr>
                <w:rFonts w:ascii="Arial" w:hAnsi="Arial" w:cs="Arial"/>
                <w:lang w:val="en-GB"/>
              </w:rPr>
            </w:pPr>
            <w:r w:rsidRPr="00691B86">
              <w:rPr>
                <w:rFonts w:ascii="Arial" w:hAnsi="Arial" w:cs="Arial"/>
                <w:b/>
                <w:bCs/>
                <w:i/>
                <w:iCs/>
                <w:lang w:val="en-GB"/>
              </w:rPr>
              <w:t>Market Development</w:t>
            </w:r>
          </w:p>
        </w:tc>
        <w:tc>
          <w:tcPr>
            <w:tcW w:w="6750" w:type="dxa"/>
            <w:tcMar>
              <w:top w:w="100" w:type="dxa"/>
              <w:left w:w="100" w:type="dxa"/>
              <w:bottom w:w="100" w:type="dxa"/>
              <w:right w:w="100" w:type="dxa"/>
            </w:tcMar>
          </w:tcPr>
          <w:p w14:paraId="7BF2DC8E" w14:textId="77777777" w:rsidR="004E1A16" w:rsidRPr="00691B86" w:rsidRDefault="004E757B" w:rsidP="00C31458">
            <w:pPr>
              <w:numPr>
                <w:ilvl w:val="0"/>
                <w:numId w:val="6"/>
              </w:numPr>
              <w:spacing w:before="0" w:after="0"/>
              <w:rPr>
                <w:rFonts w:ascii="Arial" w:hAnsi="Arial" w:cs="Arial"/>
                <w:lang w:val="en-GB"/>
              </w:rPr>
            </w:pPr>
            <w:r w:rsidRPr="00691B86">
              <w:rPr>
                <w:rFonts w:ascii="Arial" w:hAnsi="Arial" w:cs="Arial"/>
                <w:lang w:val="en-GB"/>
              </w:rPr>
              <w:t>Expansion of mining operations for BHP in Europe.</w:t>
            </w:r>
          </w:p>
          <w:p w14:paraId="2F04403A" w14:textId="77777777" w:rsidR="004E1A16" w:rsidRPr="00691B86" w:rsidRDefault="004E757B" w:rsidP="00C31458">
            <w:pPr>
              <w:numPr>
                <w:ilvl w:val="0"/>
                <w:numId w:val="6"/>
              </w:numPr>
              <w:spacing w:before="0" w:after="0"/>
              <w:rPr>
                <w:rFonts w:ascii="Arial" w:hAnsi="Arial" w:cs="Arial"/>
                <w:lang w:val="en-GB"/>
              </w:rPr>
            </w:pPr>
            <w:r w:rsidRPr="00691B86">
              <w:rPr>
                <w:rFonts w:ascii="Arial" w:hAnsi="Arial" w:cs="Arial"/>
                <w:lang w:val="en-GB"/>
              </w:rPr>
              <w:t>EU plan for lowering GHG emission levels by almost 55% within 2030 (Europa, 2026).</w:t>
            </w:r>
          </w:p>
        </w:tc>
      </w:tr>
      <w:tr w:rsidR="004E1A16" w:rsidRPr="00691B86" w14:paraId="708758B8" w14:textId="77777777">
        <w:tc>
          <w:tcPr>
            <w:tcW w:w="2610" w:type="dxa"/>
            <w:tcMar>
              <w:top w:w="100" w:type="dxa"/>
              <w:left w:w="100" w:type="dxa"/>
              <w:bottom w:w="100" w:type="dxa"/>
              <w:right w:w="100" w:type="dxa"/>
            </w:tcMar>
          </w:tcPr>
          <w:p w14:paraId="71BEE232" w14:textId="77777777" w:rsidR="004E1A16" w:rsidRPr="00691B86" w:rsidRDefault="004E757B" w:rsidP="00C31458">
            <w:pPr>
              <w:spacing w:before="0" w:after="0"/>
              <w:rPr>
                <w:rFonts w:ascii="Arial" w:hAnsi="Arial" w:cs="Arial"/>
                <w:lang w:val="en-GB"/>
              </w:rPr>
            </w:pPr>
            <w:r w:rsidRPr="00691B86">
              <w:rPr>
                <w:rFonts w:ascii="Arial" w:hAnsi="Arial" w:cs="Arial"/>
                <w:b/>
                <w:bCs/>
                <w:i/>
                <w:iCs/>
                <w:lang w:val="en-GB"/>
              </w:rPr>
              <w:t>Product Development</w:t>
            </w:r>
          </w:p>
        </w:tc>
        <w:tc>
          <w:tcPr>
            <w:tcW w:w="6750" w:type="dxa"/>
            <w:tcMar>
              <w:top w:w="100" w:type="dxa"/>
              <w:left w:w="100" w:type="dxa"/>
              <w:bottom w:w="100" w:type="dxa"/>
              <w:right w:w="100" w:type="dxa"/>
            </w:tcMar>
          </w:tcPr>
          <w:p w14:paraId="42F87A18" w14:textId="77777777" w:rsidR="004E1A16" w:rsidRPr="00691B86" w:rsidRDefault="004E757B" w:rsidP="00C31458">
            <w:pPr>
              <w:widowControl w:val="0"/>
              <w:numPr>
                <w:ilvl w:val="0"/>
                <w:numId w:val="5"/>
              </w:numPr>
              <w:spacing w:before="0" w:after="0"/>
              <w:rPr>
                <w:rFonts w:ascii="Arial" w:hAnsi="Arial" w:cs="Arial"/>
                <w:lang w:val="en-GB"/>
              </w:rPr>
            </w:pPr>
            <w:r w:rsidRPr="00691B86">
              <w:rPr>
                <w:rFonts w:ascii="Arial" w:hAnsi="Arial" w:cs="Arial"/>
                <w:lang w:val="en-GB"/>
              </w:rPr>
              <w:t>Site waste management plan (SWMP) for reducing waste handling processes by around 50% (</w:t>
            </w:r>
            <w:proofErr w:type="spellStart"/>
            <w:r w:rsidRPr="00691B86">
              <w:rPr>
                <w:rFonts w:ascii="Arial" w:hAnsi="Arial" w:cs="Arial"/>
                <w:color w:val="222222"/>
                <w:lang w:val="en-GB"/>
              </w:rPr>
              <w:t>Kolaventi</w:t>
            </w:r>
            <w:proofErr w:type="spellEnd"/>
            <w:r w:rsidRPr="00691B86">
              <w:rPr>
                <w:rFonts w:ascii="Arial" w:hAnsi="Arial" w:cs="Arial"/>
                <w:color w:val="222222"/>
                <w:lang w:val="en-GB"/>
              </w:rPr>
              <w:t xml:space="preserve"> </w:t>
            </w:r>
            <w:r w:rsidRPr="00691B86">
              <w:rPr>
                <w:rFonts w:ascii="Arial" w:hAnsi="Arial" w:cs="Arial"/>
                <w:i/>
                <w:iCs/>
                <w:color w:val="222222"/>
                <w:lang w:val="en-GB"/>
              </w:rPr>
              <w:t>et al.</w:t>
            </w:r>
            <w:r w:rsidRPr="00691B86">
              <w:rPr>
                <w:rFonts w:ascii="Arial" w:hAnsi="Arial" w:cs="Arial"/>
                <w:i/>
                <w:iCs/>
                <w:lang w:val="en-GB"/>
              </w:rPr>
              <w:t xml:space="preserve">, </w:t>
            </w:r>
            <w:r w:rsidRPr="00691B86">
              <w:rPr>
                <w:rFonts w:ascii="Arial" w:hAnsi="Arial" w:cs="Arial"/>
                <w:lang w:val="en-GB"/>
              </w:rPr>
              <w:t>2022).</w:t>
            </w:r>
          </w:p>
          <w:p w14:paraId="5170D424" w14:textId="77777777" w:rsidR="004E1A16" w:rsidRPr="00691B86" w:rsidRDefault="004E757B" w:rsidP="00C31458">
            <w:pPr>
              <w:widowControl w:val="0"/>
              <w:numPr>
                <w:ilvl w:val="0"/>
                <w:numId w:val="5"/>
              </w:numPr>
              <w:spacing w:before="0" w:after="0"/>
              <w:rPr>
                <w:rFonts w:ascii="Arial" w:hAnsi="Arial" w:cs="Arial"/>
                <w:lang w:val="en-GB"/>
              </w:rPr>
            </w:pPr>
            <w:r w:rsidRPr="00691B86">
              <w:rPr>
                <w:rFonts w:ascii="Arial" w:hAnsi="Arial" w:cs="Arial"/>
                <w:lang w:val="en-GB"/>
              </w:rPr>
              <w:t>Introduction of a waste management programme and recycling technology.</w:t>
            </w:r>
          </w:p>
        </w:tc>
      </w:tr>
      <w:tr w:rsidR="004E1A16" w:rsidRPr="00691B86" w14:paraId="3CA9B7D2" w14:textId="77777777">
        <w:tc>
          <w:tcPr>
            <w:tcW w:w="2610" w:type="dxa"/>
            <w:tcMar>
              <w:top w:w="100" w:type="dxa"/>
              <w:left w:w="100" w:type="dxa"/>
              <w:bottom w:w="100" w:type="dxa"/>
              <w:right w:w="100" w:type="dxa"/>
            </w:tcMar>
          </w:tcPr>
          <w:p w14:paraId="13637D6A" w14:textId="77777777" w:rsidR="004E1A16" w:rsidRPr="00691B86" w:rsidRDefault="004E757B" w:rsidP="00C31458">
            <w:pPr>
              <w:spacing w:before="0" w:after="0"/>
              <w:rPr>
                <w:rFonts w:ascii="Arial" w:hAnsi="Arial" w:cs="Arial"/>
                <w:lang w:val="en-GB"/>
              </w:rPr>
            </w:pPr>
            <w:r w:rsidRPr="00691B86">
              <w:rPr>
                <w:rFonts w:ascii="Arial" w:hAnsi="Arial" w:cs="Arial"/>
                <w:b/>
                <w:bCs/>
                <w:i/>
                <w:iCs/>
                <w:lang w:val="en-GB"/>
              </w:rPr>
              <w:t>Diversification</w:t>
            </w:r>
          </w:p>
        </w:tc>
        <w:tc>
          <w:tcPr>
            <w:tcW w:w="6750" w:type="dxa"/>
            <w:tcMar>
              <w:top w:w="100" w:type="dxa"/>
              <w:left w:w="100" w:type="dxa"/>
              <w:bottom w:w="100" w:type="dxa"/>
              <w:right w:w="100" w:type="dxa"/>
            </w:tcMar>
          </w:tcPr>
          <w:p w14:paraId="6ACEF4A4" w14:textId="77777777" w:rsidR="004E1A16" w:rsidRPr="00691B86" w:rsidRDefault="004E757B" w:rsidP="00C31458">
            <w:pPr>
              <w:numPr>
                <w:ilvl w:val="0"/>
                <w:numId w:val="2"/>
              </w:numPr>
              <w:spacing w:before="0" w:after="0"/>
              <w:rPr>
                <w:rFonts w:ascii="Arial" w:hAnsi="Arial" w:cs="Arial"/>
                <w:lang w:val="en-GB"/>
              </w:rPr>
            </w:pPr>
            <w:r w:rsidRPr="00691B86">
              <w:rPr>
                <w:rFonts w:ascii="Arial" w:hAnsi="Arial" w:cs="Arial"/>
                <w:lang w:val="en-GB"/>
              </w:rPr>
              <w:t>Reduce waste diversion towards landfills by almost 42% (</w:t>
            </w:r>
            <w:proofErr w:type="spellStart"/>
            <w:r w:rsidRPr="00691B86">
              <w:rPr>
                <w:rFonts w:ascii="Arial" w:hAnsi="Arial" w:cs="Arial"/>
                <w:color w:val="222222"/>
                <w:lang w:val="en-GB"/>
              </w:rPr>
              <w:t>Kolaventi</w:t>
            </w:r>
            <w:proofErr w:type="spellEnd"/>
            <w:r w:rsidRPr="00691B86">
              <w:rPr>
                <w:rFonts w:ascii="Arial" w:hAnsi="Arial" w:cs="Arial"/>
                <w:color w:val="222222"/>
                <w:lang w:val="en-GB"/>
              </w:rPr>
              <w:t xml:space="preserve"> </w:t>
            </w:r>
            <w:r w:rsidRPr="00691B86">
              <w:rPr>
                <w:rFonts w:ascii="Arial" w:hAnsi="Arial" w:cs="Arial"/>
                <w:i/>
                <w:iCs/>
                <w:color w:val="222222"/>
                <w:lang w:val="en-GB"/>
              </w:rPr>
              <w:t>et al.</w:t>
            </w:r>
            <w:r w:rsidRPr="00691B86">
              <w:rPr>
                <w:rFonts w:ascii="Arial" w:hAnsi="Arial" w:cs="Arial"/>
                <w:i/>
                <w:iCs/>
                <w:lang w:val="en-GB"/>
              </w:rPr>
              <w:t xml:space="preserve">, </w:t>
            </w:r>
            <w:r w:rsidRPr="00691B86">
              <w:rPr>
                <w:rFonts w:ascii="Arial" w:hAnsi="Arial" w:cs="Arial"/>
                <w:lang w:val="en-GB"/>
              </w:rPr>
              <w:t>2022).</w:t>
            </w:r>
          </w:p>
          <w:p w14:paraId="208C2D11" w14:textId="77777777" w:rsidR="004E1A16" w:rsidRPr="00691B86" w:rsidRDefault="004E757B" w:rsidP="00C31458">
            <w:pPr>
              <w:numPr>
                <w:ilvl w:val="0"/>
                <w:numId w:val="2"/>
              </w:numPr>
              <w:spacing w:before="0" w:after="0"/>
              <w:rPr>
                <w:rFonts w:ascii="Arial" w:hAnsi="Arial" w:cs="Arial"/>
                <w:lang w:val="en-GB"/>
              </w:rPr>
            </w:pPr>
            <w:r w:rsidRPr="00691B86">
              <w:rPr>
                <w:rFonts w:ascii="Arial" w:hAnsi="Arial" w:cs="Arial"/>
                <w:lang w:val="en-GB"/>
              </w:rPr>
              <w:t>Introduction of BHP's new waste management processes.</w:t>
            </w:r>
          </w:p>
        </w:tc>
      </w:tr>
    </w:tbl>
    <w:p w14:paraId="55FDDA8A" w14:textId="70218089" w:rsidR="004E1A16" w:rsidRPr="00691B86" w:rsidRDefault="004E757B" w:rsidP="00977F6A">
      <w:pPr>
        <w:pStyle w:val="Heading5"/>
        <w:rPr>
          <w:rFonts w:ascii="Arial" w:hAnsi="Arial" w:cs="Arial"/>
          <w:highlight w:val="yellow"/>
          <w:lang w:val="en-GB"/>
        </w:rPr>
      </w:pPr>
      <w:bookmarkStart w:id="11" w:name="_Toc242457355"/>
      <w:r w:rsidRPr="00691B86">
        <w:rPr>
          <w:rFonts w:ascii="Arial" w:hAnsi="Arial" w:cs="Arial"/>
          <w:highlight w:val="yellow"/>
          <w:lang w:val="en-GB"/>
        </w:rPr>
        <w:t xml:space="preserve">Table 1: </w:t>
      </w:r>
      <w:r w:rsidR="00095232" w:rsidRPr="00691B86">
        <w:rPr>
          <w:rFonts w:ascii="Arial" w:hAnsi="Arial" w:cs="Arial"/>
          <w:highlight w:val="yellow"/>
          <w:lang w:val="en-GB"/>
        </w:rPr>
        <w:t>P</w:t>
      </w:r>
      <w:r w:rsidRPr="00691B86">
        <w:rPr>
          <w:rFonts w:ascii="Arial" w:hAnsi="Arial" w:cs="Arial"/>
          <w:highlight w:val="yellow"/>
          <w:lang w:val="en-GB"/>
        </w:rPr>
        <w:t>otential implications of Ansoff Matrix implications</w:t>
      </w:r>
      <w:bookmarkEnd w:id="11"/>
    </w:p>
    <w:p w14:paraId="06B5C584" w14:textId="77777777" w:rsidR="004E1A16" w:rsidRPr="00691B86" w:rsidRDefault="004E757B">
      <w:pPr>
        <w:jc w:val="center"/>
        <w:rPr>
          <w:rFonts w:ascii="Arial" w:hAnsi="Arial" w:cs="Arial"/>
          <w:b/>
          <w:bCs/>
          <w:lang w:val="en-GB"/>
        </w:rPr>
      </w:pPr>
      <w:r w:rsidRPr="00691B86">
        <w:rPr>
          <w:rFonts w:ascii="Arial" w:hAnsi="Arial" w:cs="Arial"/>
          <w:highlight w:val="yellow"/>
          <w:lang w:val="en-GB"/>
        </w:rPr>
        <w:t>(Source: Self-developed)</w:t>
      </w:r>
    </w:p>
    <w:p w14:paraId="06670337" w14:textId="77777777" w:rsidR="004E1A16" w:rsidRPr="00691B86" w:rsidRDefault="004E757B">
      <w:pPr>
        <w:rPr>
          <w:rFonts w:ascii="Arial" w:hAnsi="Arial" w:cs="Arial"/>
          <w:b/>
          <w:bCs/>
          <w:i/>
          <w:iCs/>
          <w:lang w:val="en-GB"/>
        </w:rPr>
      </w:pPr>
      <w:r w:rsidRPr="00691B86">
        <w:rPr>
          <w:rFonts w:ascii="Arial" w:hAnsi="Arial" w:cs="Arial"/>
          <w:b/>
          <w:bCs/>
          <w:i/>
          <w:iCs/>
          <w:lang w:val="en-GB"/>
        </w:rPr>
        <w:lastRenderedPageBreak/>
        <w:t>Market Penetration</w:t>
      </w:r>
    </w:p>
    <w:p w14:paraId="38F3198A" w14:textId="77777777" w:rsidR="004E1A16" w:rsidRPr="00691B86" w:rsidRDefault="004E757B">
      <w:pPr>
        <w:rPr>
          <w:rFonts w:ascii="Arial" w:hAnsi="Arial" w:cs="Arial"/>
          <w:lang w:val="en-GB"/>
        </w:rPr>
      </w:pPr>
      <w:r w:rsidRPr="00691B86">
        <w:rPr>
          <w:rFonts w:ascii="Arial" w:hAnsi="Arial" w:cs="Arial"/>
          <w:lang w:val="en-GB"/>
        </w:rPr>
        <w:t>In the global mining industry, BHP has achieved the highest market capitalisation, which showcases the effectiveness of organisational ore extraction and transportation operations in countries like Australia. For example, in 2024, the market capitalisation value for BHP and its industrial operations was registered at around 160 billion US dollars, which further showcases organisational market penetration levels (</w:t>
      </w:r>
      <w:proofErr w:type="spellStart"/>
      <w:r w:rsidRPr="00691B86">
        <w:rPr>
          <w:rFonts w:ascii="Arial" w:hAnsi="Arial" w:cs="Arial"/>
          <w:lang w:val="en-GB"/>
        </w:rPr>
        <w:t>Muschter</w:t>
      </w:r>
      <w:proofErr w:type="spellEnd"/>
      <w:r w:rsidRPr="00691B86">
        <w:rPr>
          <w:rFonts w:ascii="Arial" w:hAnsi="Arial" w:cs="Arial"/>
          <w:lang w:val="en-GB"/>
        </w:rPr>
        <w:t xml:space="preserve">, 2025b). Hence, despite the GHG emission levels from mining operations, the BHP officials have achieved a healthy market penetration level from existing extraction and transportation practices. </w:t>
      </w:r>
    </w:p>
    <w:p w14:paraId="6127A4B0" w14:textId="77777777" w:rsidR="004E1A16" w:rsidRPr="00691B86" w:rsidRDefault="004E757B">
      <w:pPr>
        <w:rPr>
          <w:rFonts w:ascii="Arial" w:hAnsi="Arial" w:cs="Arial"/>
          <w:b/>
          <w:bCs/>
          <w:i/>
          <w:iCs/>
          <w:lang w:val="en-GB"/>
        </w:rPr>
      </w:pPr>
      <w:r w:rsidRPr="00691B86">
        <w:rPr>
          <w:rFonts w:ascii="Arial" w:hAnsi="Arial" w:cs="Arial"/>
          <w:b/>
          <w:bCs/>
          <w:i/>
          <w:iCs/>
          <w:lang w:val="en-GB"/>
        </w:rPr>
        <w:t>Market Development</w:t>
      </w:r>
    </w:p>
    <w:p w14:paraId="48E5E0CF" w14:textId="77777777" w:rsidR="004E1A16" w:rsidRPr="00691B86" w:rsidRDefault="004E757B">
      <w:pPr>
        <w:rPr>
          <w:rFonts w:ascii="Arial" w:hAnsi="Arial" w:cs="Arial"/>
          <w:lang w:val="en-GB"/>
        </w:rPr>
      </w:pPr>
      <w:r w:rsidRPr="00691B86">
        <w:rPr>
          <w:rFonts w:ascii="Arial" w:hAnsi="Arial" w:cs="Arial"/>
          <w:lang w:val="en-GB"/>
        </w:rPr>
        <w:t xml:space="preserve">The expansion of mining operations for BHP can help the Australian mining brand to enhance organisational marketing policies based on local environmental norms and achieve a sustainable strategic growth approach. For instance, the European Union and subsequent nations such as Austria have introduced the 8th Environment Action Programme to lower GHG emission levels by almost 55% within the economic year of 2030 (Europa, 2026). As part of GHP’s market development operations in EU nations like Austria, the organisation needs to abide by the local Environment Action Programme to strengthen current mining operations by lowering carbon production. </w:t>
      </w:r>
    </w:p>
    <w:p w14:paraId="35EE3C1E" w14:textId="77777777" w:rsidR="004E1A16" w:rsidRPr="00691B86" w:rsidRDefault="004E757B">
      <w:pPr>
        <w:rPr>
          <w:rFonts w:ascii="Arial" w:hAnsi="Arial" w:cs="Arial"/>
          <w:b/>
          <w:bCs/>
          <w:i/>
          <w:iCs/>
          <w:lang w:val="en-GB"/>
        </w:rPr>
      </w:pPr>
      <w:r w:rsidRPr="00691B86">
        <w:rPr>
          <w:rFonts w:ascii="Arial" w:hAnsi="Arial" w:cs="Arial"/>
          <w:b/>
          <w:bCs/>
          <w:i/>
          <w:iCs/>
          <w:lang w:val="en-GB"/>
        </w:rPr>
        <w:t>Product Development</w:t>
      </w:r>
    </w:p>
    <w:p w14:paraId="0F85195A" w14:textId="77777777" w:rsidR="004E1A16" w:rsidRPr="00691B86" w:rsidRDefault="004E757B">
      <w:pPr>
        <w:rPr>
          <w:rFonts w:ascii="Arial" w:hAnsi="Arial" w:cs="Arial"/>
          <w:lang w:val="en-GB"/>
        </w:rPr>
      </w:pPr>
      <w:r w:rsidRPr="00691B86">
        <w:rPr>
          <w:rFonts w:ascii="Arial" w:hAnsi="Arial" w:cs="Arial"/>
          <w:lang w:val="en-GB"/>
        </w:rPr>
        <w:t>The introduction of recycling technology and a waste management programme can prove to be a major product development approach for BHP towards lowering GHG emissions in existing markets in Australia. For example, the use of a site waste management plan (SWMP) has been effective for modern business enterprises in reducing waste handling processes by around 50%, positively influencing the local environmental elements (</w:t>
      </w:r>
      <w:proofErr w:type="spellStart"/>
      <w:r w:rsidRPr="00691B86">
        <w:rPr>
          <w:rFonts w:ascii="Arial" w:hAnsi="Arial" w:cs="Arial"/>
          <w:color w:val="222222"/>
          <w:lang w:val="en-GB"/>
        </w:rPr>
        <w:t>Kolaventi</w:t>
      </w:r>
      <w:proofErr w:type="spellEnd"/>
      <w:r w:rsidRPr="00691B86">
        <w:rPr>
          <w:rFonts w:ascii="Arial" w:hAnsi="Arial" w:cs="Arial"/>
          <w:color w:val="222222"/>
          <w:lang w:val="en-GB"/>
        </w:rPr>
        <w:t xml:space="preserve"> </w:t>
      </w:r>
      <w:r w:rsidRPr="00691B86">
        <w:rPr>
          <w:rFonts w:ascii="Arial" w:hAnsi="Arial" w:cs="Arial"/>
          <w:i/>
          <w:iCs/>
          <w:color w:val="222222"/>
          <w:lang w:val="en-GB"/>
        </w:rPr>
        <w:t>et al.</w:t>
      </w:r>
      <w:r w:rsidRPr="00691B86">
        <w:rPr>
          <w:rFonts w:ascii="Arial" w:hAnsi="Arial" w:cs="Arial"/>
          <w:i/>
          <w:iCs/>
          <w:lang w:val="en-GB"/>
        </w:rPr>
        <w:t xml:space="preserve">, </w:t>
      </w:r>
      <w:r w:rsidRPr="00691B86">
        <w:rPr>
          <w:rFonts w:ascii="Arial" w:hAnsi="Arial" w:cs="Arial"/>
          <w:lang w:val="en-GB"/>
        </w:rPr>
        <w:t xml:space="preserve">2022). Therefore, the administrative body of BHP can employ the SWMP plan to gradually lower waste creation from ore extraction and transportation across different mining sites in Australia and achieve sustainable business growth in the future. </w:t>
      </w:r>
    </w:p>
    <w:p w14:paraId="002A4BFE" w14:textId="77777777" w:rsidR="004E1A16" w:rsidRPr="00691B86" w:rsidRDefault="004E757B">
      <w:pPr>
        <w:rPr>
          <w:rFonts w:ascii="Arial" w:hAnsi="Arial" w:cs="Arial"/>
          <w:b/>
          <w:bCs/>
          <w:i/>
          <w:iCs/>
          <w:lang w:val="en-GB"/>
        </w:rPr>
      </w:pPr>
      <w:r w:rsidRPr="00691B86">
        <w:rPr>
          <w:rFonts w:ascii="Arial" w:hAnsi="Arial" w:cs="Arial"/>
          <w:b/>
          <w:bCs/>
          <w:i/>
          <w:iCs/>
          <w:lang w:val="en-GB"/>
        </w:rPr>
        <w:lastRenderedPageBreak/>
        <w:t>Diversification</w:t>
      </w:r>
    </w:p>
    <w:p w14:paraId="71B20EE3" w14:textId="77777777" w:rsidR="004E1A16" w:rsidRPr="00691B86" w:rsidRDefault="004E757B">
      <w:pPr>
        <w:rPr>
          <w:rFonts w:ascii="Arial" w:hAnsi="Arial" w:cs="Arial"/>
          <w:lang w:val="en-GB"/>
        </w:rPr>
      </w:pPr>
      <w:r w:rsidRPr="00691B86">
        <w:rPr>
          <w:rFonts w:ascii="Arial" w:hAnsi="Arial" w:cs="Arial"/>
          <w:lang w:val="en-GB"/>
        </w:rPr>
        <w:t>The introduction of BHP's new waste management processes and recycling techniques in the EU markets of Australia can become an effective diversification policy for elevating strategic footprint in the global industry. For instance, the introduction of SWMP technology also helps reduce waste diversion towards landfills by almost 42%, which can lower the pollution level in the immediate neighbourhood (</w:t>
      </w:r>
      <w:proofErr w:type="spellStart"/>
      <w:r w:rsidRPr="00691B86">
        <w:rPr>
          <w:rFonts w:ascii="Arial" w:hAnsi="Arial" w:cs="Arial"/>
          <w:lang w:val="en-GB"/>
        </w:rPr>
        <w:t>Kolaventi</w:t>
      </w:r>
      <w:proofErr w:type="spellEnd"/>
      <w:r w:rsidRPr="00691B86">
        <w:rPr>
          <w:rFonts w:ascii="Arial" w:hAnsi="Arial" w:cs="Arial"/>
          <w:lang w:val="en-GB"/>
        </w:rPr>
        <w:t xml:space="preserve"> et al., 2022). Hence, the BHP administration can also create a positive brand value in the EU mining industry by introducing new and innovative waste reduction plans among the local officials of the EU market. </w:t>
      </w:r>
    </w:p>
    <w:p w14:paraId="5F05C68C" w14:textId="2729C26D" w:rsidR="00F03597" w:rsidRPr="00691B86" w:rsidRDefault="00F03597">
      <w:pPr>
        <w:rPr>
          <w:rFonts w:ascii="Arial" w:hAnsi="Arial" w:cs="Arial"/>
          <w:b/>
          <w:bCs/>
          <w:i/>
          <w:iCs/>
          <w:u w:val="single"/>
          <w:lang w:val="en-GB"/>
        </w:rPr>
      </w:pPr>
      <w:r w:rsidRPr="00691B86">
        <w:rPr>
          <w:rFonts w:ascii="Arial" w:hAnsi="Arial" w:cs="Arial"/>
          <w:b/>
          <w:bCs/>
          <w:i/>
          <w:iCs/>
          <w:u w:val="single"/>
          <w:lang w:val="en-GB"/>
        </w:rPr>
        <w:t xml:space="preserve">Porter’s Generic </w:t>
      </w:r>
      <w:r w:rsidR="00005B03" w:rsidRPr="00691B86">
        <w:rPr>
          <w:rFonts w:ascii="Arial" w:hAnsi="Arial" w:cs="Arial"/>
          <w:b/>
          <w:bCs/>
          <w:i/>
          <w:iCs/>
          <w:u w:val="single"/>
          <w:lang w:val="en-GB"/>
        </w:rPr>
        <w:t>Strategy</w:t>
      </w:r>
    </w:p>
    <w:p w14:paraId="7786A460" w14:textId="5B5A7A3E" w:rsidR="00F03597" w:rsidRPr="00691B86" w:rsidRDefault="00F03597" w:rsidP="00F03597">
      <w:pPr>
        <w:pStyle w:val="Heading4"/>
        <w:rPr>
          <w:rFonts w:ascii="Arial" w:hAnsi="Arial" w:cs="Arial"/>
          <w:highlight w:val="yellow"/>
          <w:lang w:val="en-GB"/>
        </w:rPr>
      </w:pPr>
      <w:bookmarkStart w:id="12" w:name="_Toc243058834"/>
      <w:r w:rsidRPr="00691B86">
        <w:rPr>
          <w:rFonts w:ascii="Arial" w:hAnsi="Arial" w:cs="Arial"/>
          <w:noProof/>
          <w:lang w:val="en-GB"/>
        </w:rPr>
        <w:drawing>
          <wp:inline distT="0" distB="0" distL="0" distR="0" wp14:anchorId="6A62B7B9" wp14:editId="6E6909BC">
            <wp:extent cx="5981700" cy="4091940"/>
            <wp:effectExtent l="0" t="0" r="0" b="3810"/>
            <wp:docPr id="693896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896179" name=""/>
                    <pic:cNvPicPr/>
                  </pic:nvPicPr>
                  <pic:blipFill>
                    <a:blip r:embed="rId14"/>
                    <a:stretch>
                      <a:fillRect/>
                    </a:stretch>
                  </pic:blipFill>
                  <pic:spPr>
                    <a:xfrm>
                      <a:off x="0" y="0"/>
                      <a:ext cx="5982219" cy="4092295"/>
                    </a:xfrm>
                    <a:prstGeom prst="rect">
                      <a:avLst/>
                    </a:prstGeom>
                  </pic:spPr>
                </pic:pic>
              </a:graphicData>
            </a:graphic>
          </wp:inline>
        </w:drawing>
      </w:r>
      <w:r w:rsidRPr="00691B86">
        <w:rPr>
          <w:rFonts w:ascii="Arial" w:hAnsi="Arial" w:cs="Arial"/>
          <w:highlight w:val="yellow"/>
          <w:lang w:val="en-GB"/>
        </w:rPr>
        <w:t>Figure 6: Application of Porter’s Generic strategy for BHP</w:t>
      </w:r>
      <w:bookmarkEnd w:id="12"/>
    </w:p>
    <w:p w14:paraId="035CE9E5" w14:textId="40233654" w:rsidR="00F03597" w:rsidRPr="00691B86" w:rsidRDefault="00F03597" w:rsidP="00F03597">
      <w:pPr>
        <w:jc w:val="center"/>
        <w:rPr>
          <w:rFonts w:ascii="Arial" w:hAnsi="Arial" w:cs="Arial"/>
          <w:highlight w:val="yellow"/>
          <w:lang w:val="en-GB"/>
        </w:rPr>
      </w:pPr>
      <w:r w:rsidRPr="00691B86">
        <w:rPr>
          <w:rFonts w:ascii="Arial" w:hAnsi="Arial" w:cs="Arial"/>
          <w:highlight w:val="yellow"/>
          <w:lang w:val="en-GB"/>
        </w:rPr>
        <w:t>(Source: Self-Created)</w:t>
      </w:r>
    </w:p>
    <w:p w14:paraId="4A3F41B8" w14:textId="437A232B" w:rsidR="00F03597" w:rsidRPr="00691B86" w:rsidRDefault="00F03597" w:rsidP="00F03597">
      <w:pPr>
        <w:rPr>
          <w:rFonts w:ascii="Arial" w:hAnsi="Arial" w:cs="Arial"/>
          <w:lang w:val="en-IN"/>
        </w:rPr>
      </w:pPr>
      <w:r w:rsidRPr="00691B86">
        <w:rPr>
          <w:rFonts w:ascii="Arial" w:hAnsi="Arial" w:cs="Arial"/>
          <w:highlight w:val="yellow"/>
          <w:lang w:val="en-IN"/>
        </w:rPr>
        <w:lastRenderedPageBreak/>
        <w:t xml:space="preserve">According to Figure 6, BHP's differentiation strategy through being a sustainable miner, recycler, and low-carbon producer can protect its competitive advantage. This will enhance its reputation, comply with laws and </w:t>
      </w:r>
      <w:r w:rsidR="004C3A70" w:rsidRPr="00691B86">
        <w:rPr>
          <w:rFonts w:ascii="Arial" w:hAnsi="Arial" w:cs="Arial"/>
          <w:highlight w:val="yellow"/>
          <w:lang w:val="en-IN"/>
        </w:rPr>
        <w:t>regulations,</w:t>
      </w:r>
      <w:r w:rsidRPr="00691B86">
        <w:rPr>
          <w:rFonts w:ascii="Arial" w:hAnsi="Arial" w:cs="Arial"/>
          <w:highlight w:val="yellow"/>
          <w:lang w:val="en-IN"/>
        </w:rPr>
        <w:t xml:space="preserve"> and bring long-term benefits and sustainable growth.</w:t>
      </w:r>
    </w:p>
    <w:p w14:paraId="56F1FC79" w14:textId="77777777" w:rsidR="004E1A16" w:rsidRPr="00691B86" w:rsidRDefault="004E757B">
      <w:pPr>
        <w:pStyle w:val="Heading2"/>
        <w:rPr>
          <w:rFonts w:ascii="Arial" w:hAnsi="Arial" w:cs="Arial"/>
          <w:lang w:val="en-GB"/>
        </w:rPr>
      </w:pPr>
      <w:bookmarkStart w:id="13" w:name="_w84twmxryi50" w:colFirst="0" w:colLast="0"/>
      <w:bookmarkEnd w:id="13"/>
      <w:r w:rsidRPr="00691B86">
        <w:rPr>
          <w:rFonts w:ascii="Arial" w:hAnsi="Arial" w:cs="Arial"/>
          <w:lang w:val="en-GB"/>
        </w:rPr>
        <w:t>2.2 Competitive Advantage using the TBL model</w:t>
      </w:r>
    </w:p>
    <w:p w14:paraId="1C6F864D" w14:textId="77777777" w:rsidR="004E1A16" w:rsidRPr="00691B86" w:rsidRDefault="004E757B">
      <w:pPr>
        <w:rPr>
          <w:rFonts w:ascii="Arial" w:hAnsi="Arial" w:cs="Arial"/>
          <w:lang w:val="en-GB"/>
        </w:rPr>
      </w:pPr>
      <w:r w:rsidRPr="00691B86">
        <w:rPr>
          <w:rFonts w:ascii="Arial" w:hAnsi="Arial" w:cs="Arial"/>
          <w:lang w:val="en-GB"/>
        </w:rPr>
        <w:t xml:space="preserve">The deployment of the TBL model can help BHP officials introduce ethical and environmentally friendly operations in 21st-century mining operations to gain a sustainable competitive edge. </w:t>
      </w:r>
    </w:p>
    <w:tbl>
      <w:tblPr>
        <w:tblStyle w:val="a0"/>
        <w:tblW w:w="5000" w:type="pct"/>
        <w:tblInd w:w="0" w:type="dxa"/>
        <w:tblBorders>
          <w:top w:val="nil"/>
          <w:left w:val="nil"/>
          <w:bottom w:val="nil"/>
          <w:right w:val="nil"/>
          <w:insideH w:val="nil"/>
          <w:insideV w:val="nil"/>
        </w:tblBorders>
        <w:tblLook w:val="0600" w:firstRow="0" w:lastRow="0" w:firstColumn="0" w:lastColumn="0" w:noHBand="1" w:noVBand="1"/>
      </w:tblPr>
      <w:tblGrid>
        <w:gridCol w:w="1845"/>
        <w:gridCol w:w="7503"/>
      </w:tblGrid>
      <w:tr w:rsidR="004E1A16" w:rsidRPr="00691B86" w14:paraId="419FFE9B" w14:textId="77777777" w:rsidTr="00C67E1B">
        <w:trPr>
          <w:trHeight w:val="735"/>
        </w:trPr>
        <w:tc>
          <w:tcPr>
            <w:tcW w:w="987"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D7FF15D" w14:textId="77777777" w:rsidR="004E1A16" w:rsidRPr="00691B86" w:rsidRDefault="004E757B" w:rsidP="00005B03">
            <w:pPr>
              <w:spacing w:before="0" w:after="0" w:line="240" w:lineRule="auto"/>
              <w:jc w:val="center"/>
              <w:rPr>
                <w:rFonts w:ascii="Arial" w:hAnsi="Arial" w:cs="Arial"/>
                <w:b/>
                <w:bCs/>
                <w:lang w:val="en-GB"/>
              </w:rPr>
            </w:pPr>
            <w:r w:rsidRPr="00691B86">
              <w:rPr>
                <w:rFonts w:ascii="Arial" w:hAnsi="Arial" w:cs="Arial"/>
                <w:b/>
                <w:bCs/>
                <w:lang w:val="en-GB"/>
              </w:rPr>
              <w:t>TBL Factors</w:t>
            </w:r>
          </w:p>
        </w:tc>
        <w:tc>
          <w:tcPr>
            <w:tcW w:w="401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05B823C" w14:textId="77777777" w:rsidR="004E1A16" w:rsidRPr="00691B86" w:rsidRDefault="004E757B" w:rsidP="00005B03">
            <w:pPr>
              <w:spacing w:before="0" w:after="0" w:line="240" w:lineRule="auto"/>
              <w:jc w:val="center"/>
              <w:rPr>
                <w:rFonts w:ascii="Arial" w:hAnsi="Arial" w:cs="Arial"/>
                <w:b/>
                <w:bCs/>
                <w:lang w:val="en-GB"/>
              </w:rPr>
            </w:pPr>
            <w:r w:rsidRPr="00691B86">
              <w:rPr>
                <w:rFonts w:ascii="Arial" w:hAnsi="Arial" w:cs="Arial"/>
                <w:b/>
                <w:bCs/>
                <w:lang w:val="en-GB"/>
              </w:rPr>
              <w:t>Implications</w:t>
            </w:r>
          </w:p>
        </w:tc>
      </w:tr>
      <w:tr w:rsidR="004E1A16" w:rsidRPr="00691B86" w14:paraId="55659A32" w14:textId="77777777" w:rsidTr="00C67E1B">
        <w:trPr>
          <w:trHeight w:val="1110"/>
        </w:trPr>
        <w:tc>
          <w:tcPr>
            <w:tcW w:w="987"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1F74CBD" w14:textId="77777777" w:rsidR="004E1A16" w:rsidRPr="00691B86" w:rsidRDefault="004E757B" w:rsidP="00005B03">
            <w:pPr>
              <w:spacing w:before="0" w:after="0" w:line="240" w:lineRule="auto"/>
              <w:rPr>
                <w:rFonts w:ascii="Arial" w:hAnsi="Arial" w:cs="Arial"/>
                <w:b/>
                <w:bCs/>
                <w:lang w:val="en-GB"/>
              </w:rPr>
            </w:pPr>
            <w:r w:rsidRPr="00691B86">
              <w:rPr>
                <w:rFonts w:ascii="Arial" w:hAnsi="Arial" w:cs="Arial"/>
                <w:b/>
                <w:bCs/>
                <w:lang w:val="en-GB"/>
              </w:rPr>
              <w:t>Planet</w:t>
            </w:r>
          </w:p>
        </w:tc>
        <w:tc>
          <w:tcPr>
            <w:tcW w:w="4013" w:type="pct"/>
            <w:tcBorders>
              <w:top w:val="nil"/>
              <w:left w:val="nil"/>
              <w:bottom w:val="single" w:sz="5" w:space="0" w:color="000000"/>
              <w:right w:val="single" w:sz="5" w:space="0" w:color="000000"/>
            </w:tcBorders>
            <w:tcMar>
              <w:top w:w="0" w:type="dxa"/>
              <w:left w:w="100" w:type="dxa"/>
              <w:bottom w:w="0" w:type="dxa"/>
              <w:right w:w="100" w:type="dxa"/>
            </w:tcMar>
          </w:tcPr>
          <w:p w14:paraId="7747AC9F" w14:textId="77777777" w:rsidR="004E1A16" w:rsidRPr="00691B86" w:rsidRDefault="004E757B" w:rsidP="00005B03">
            <w:pPr>
              <w:numPr>
                <w:ilvl w:val="0"/>
                <w:numId w:val="7"/>
              </w:numPr>
              <w:spacing w:before="0" w:after="0" w:line="240" w:lineRule="auto"/>
              <w:rPr>
                <w:rFonts w:ascii="Arial" w:hAnsi="Arial" w:cs="Arial"/>
                <w:lang w:val="en-GB"/>
              </w:rPr>
            </w:pPr>
            <w:r w:rsidRPr="00691B86">
              <w:rPr>
                <w:rFonts w:ascii="Arial" w:hAnsi="Arial" w:cs="Arial"/>
                <w:lang w:val="en-GB"/>
              </w:rPr>
              <w:t>Sustainable mining operations for BHP to lower emission levels.</w:t>
            </w:r>
          </w:p>
          <w:p w14:paraId="13B65849" w14:textId="77777777" w:rsidR="004E1A16" w:rsidRPr="00691B86" w:rsidRDefault="004E757B" w:rsidP="00005B03">
            <w:pPr>
              <w:numPr>
                <w:ilvl w:val="0"/>
                <w:numId w:val="7"/>
              </w:numPr>
              <w:spacing w:before="0" w:after="0" w:line="240" w:lineRule="auto"/>
              <w:rPr>
                <w:rFonts w:ascii="Arial" w:hAnsi="Arial" w:cs="Arial"/>
                <w:lang w:val="en-GB"/>
              </w:rPr>
            </w:pPr>
            <w:r w:rsidRPr="00691B86">
              <w:rPr>
                <w:rFonts w:ascii="Arial" w:hAnsi="Arial" w:cs="Arial"/>
                <w:lang w:val="en-GB"/>
              </w:rPr>
              <w:t>The CO2 emission level of BHP was recorded at around 9.1 million tonnes (Statista, 2024).</w:t>
            </w:r>
          </w:p>
        </w:tc>
      </w:tr>
      <w:tr w:rsidR="004E1A16" w:rsidRPr="00691B86" w14:paraId="02581208" w14:textId="77777777" w:rsidTr="00C67E1B">
        <w:trPr>
          <w:trHeight w:val="1125"/>
        </w:trPr>
        <w:tc>
          <w:tcPr>
            <w:tcW w:w="987"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5D95A6A" w14:textId="77777777" w:rsidR="004E1A16" w:rsidRPr="00691B86" w:rsidRDefault="004E757B" w:rsidP="00005B03">
            <w:pPr>
              <w:spacing w:before="0" w:after="0" w:line="240" w:lineRule="auto"/>
              <w:rPr>
                <w:rFonts w:ascii="Arial" w:hAnsi="Arial" w:cs="Arial"/>
                <w:b/>
                <w:bCs/>
                <w:lang w:val="en-GB"/>
              </w:rPr>
            </w:pPr>
            <w:r w:rsidRPr="00691B86">
              <w:rPr>
                <w:rFonts w:ascii="Arial" w:hAnsi="Arial" w:cs="Arial"/>
                <w:b/>
                <w:bCs/>
                <w:lang w:val="en-GB"/>
              </w:rPr>
              <w:t>People</w:t>
            </w:r>
          </w:p>
        </w:tc>
        <w:tc>
          <w:tcPr>
            <w:tcW w:w="4013" w:type="pct"/>
            <w:tcBorders>
              <w:top w:val="nil"/>
              <w:left w:val="nil"/>
              <w:bottom w:val="single" w:sz="5" w:space="0" w:color="000000"/>
              <w:right w:val="single" w:sz="5" w:space="0" w:color="000000"/>
            </w:tcBorders>
            <w:tcMar>
              <w:top w:w="0" w:type="dxa"/>
              <w:left w:w="100" w:type="dxa"/>
              <w:bottom w:w="0" w:type="dxa"/>
              <w:right w:w="100" w:type="dxa"/>
            </w:tcMar>
          </w:tcPr>
          <w:p w14:paraId="6E6E5DB6" w14:textId="77777777" w:rsidR="004E1A16" w:rsidRPr="00691B86" w:rsidRDefault="004E757B" w:rsidP="00005B03">
            <w:pPr>
              <w:numPr>
                <w:ilvl w:val="0"/>
                <w:numId w:val="4"/>
              </w:numPr>
              <w:spacing w:before="0" w:after="0" w:line="240" w:lineRule="auto"/>
              <w:rPr>
                <w:rFonts w:ascii="Arial" w:hAnsi="Arial" w:cs="Arial"/>
                <w:lang w:val="en-GB"/>
              </w:rPr>
            </w:pPr>
            <w:r w:rsidRPr="00691B86">
              <w:rPr>
                <w:rFonts w:ascii="Arial" w:hAnsi="Arial" w:cs="Arial"/>
                <w:lang w:val="en-GB"/>
              </w:rPr>
              <w:t>Implementation of team-based learning for BHP.</w:t>
            </w:r>
          </w:p>
          <w:p w14:paraId="1B0DFAB7" w14:textId="77777777" w:rsidR="004E1A16" w:rsidRPr="00691B86" w:rsidRDefault="004E757B" w:rsidP="00005B03">
            <w:pPr>
              <w:numPr>
                <w:ilvl w:val="0"/>
                <w:numId w:val="4"/>
              </w:numPr>
              <w:spacing w:before="0" w:after="0" w:line="240" w:lineRule="auto"/>
              <w:rPr>
                <w:rFonts w:ascii="Arial" w:hAnsi="Arial" w:cs="Arial"/>
                <w:lang w:val="en-GB"/>
              </w:rPr>
            </w:pPr>
            <w:r w:rsidRPr="00691B86">
              <w:rPr>
                <w:rFonts w:ascii="Arial" w:hAnsi="Arial" w:cs="Arial"/>
                <w:lang w:val="en-GB"/>
              </w:rPr>
              <w:t>In 2026, almost 41.5% of the gender balance was reported by BHP (BHP, 2026).</w:t>
            </w:r>
          </w:p>
        </w:tc>
      </w:tr>
      <w:tr w:rsidR="004E1A16" w:rsidRPr="00691B86" w14:paraId="35F498EF" w14:textId="77777777" w:rsidTr="00EF468B">
        <w:trPr>
          <w:trHeight w:val="1257"/>
        </w:trPr>
        <w:tc>
          <w:tcPr>
            <w:tcW w:w="987"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B85E54" w14:textId="77777777" w:rsidR="004E1A16" w:rsidRPr="00691B86" w:rsidRDefault="004E757B" w:rsidP="00005B03">
            <w:pPr>
              <w:spacing w:before="0" w:after="0" w:line="240" w:lineRule="auto"/>
              <w:rPr>
                <w:rFonts w:ascii="Arial" w:hAnsi="Arial" w:cs="Arial"/>
                <w:b/>
                <w:bCs/>
                <w:lang w:val="en-GB"/>
              </w:rPr>
            </w:pPr>
            <w:r w:rsidRPr="00691B86">
              <w:rPr>
                <w:rFonts w:ascii="Arial" w:hAnsi="Arial" w:cs="Arial"/>
                <w:b/>
                <w:bCs/>
                <w:lang w:val="en-GB"/>
              </w:rPr>
              <w:t>Profit</w:t>
            </w:r>
          </w:p>
        </w:tc>
        <w:tc>
          <w:tcPr>
            <w:tcW w:w="4013" w:type="pct"/>
            <w:tcBorders>
              <w:top w:val="nil"/>
              <w:left w:val="nil"/>
              <w:bottom w:val="single" w:sz="5" w:space="0" w:color="000000"/>
              <w:right w:val="single" w:sz="5" w:space="0" w:color="000000"/>
            </w:tcBorders>
            <w:tcMar>
              <w:top w:w="0" w:type="dxa"/>
              <w:left w:w="100" w:type="dxa"/>
              <w:bottom w:w="0" w:type="dxa"/>
              <w:right w:w="100" w:type="dxa"/>
            </w:tcMar>
          </w:tcPr>
          <w:p w14:paraId="47077071" w14:textId="77777777" w:rsidR="004E1A16" w:rsidRPr="00691B86" w:rsidRDefault="004E757B" w:rsidP="00005B03">
            <w:pPr>
              <w:numPr>
                <w:ilvl w:val="0"/>
                <w:numId w:val="1"/>
              </w:numPr>
              <w:spacing w:before="0" w:after="0" w:line="240" w:lineRule="auto"/>
              <w:rPr>
                <w:rFonts w:ascii="Arial" w:hAnsi="Arial" w:cs="Arial"/>
                <w:lang w:val="en-GB"/>
              </w:rPr>
            </w:pPr>
            <w:r w:rsidRPr="00691B86">
              <w:rPr>
                <w:rFonts w:ascii="Arial" w:hAnsi="Arial" w:cs="Arial"/>
                <w:lang w:val="en-GB"/>
              </w:rPr>
              <w:t>Introduction of sustainable mining operations for maximising profitability.</w:t>
            </w:r>
          </w:p>
          <w:p w14:paraId="03718B2B" w14:textId="77777777" w:rsidR="004E1A16" w:rsidRPr="00691B86" w:rsidRDefault="004E757B" w:rsidP="00005B03">
            <w:pPr>
              <w:numPr>
                <w:ilvl w:val="0"/>
                <w:numId w:val="1"/>
              </w:numPr>
              <w:spacing w:before="0" w:after="0" w:line="240" w:lineRule="auto"/>
              <w:rPr>
                <w:rFonts w:ascii="Arial" w:hAnsi="Arial" w:cs="Arial"/>
                <w:lang w:val="en-GB"/>
              </w:rPr>
            </w:pPr>
            <w:r w:rsidRPr="00691B86">
              <w:rPr>
                <w:rFonts w:ascii="Arial" w:hAnsi="Arial" w:cs="Arial"/>
                <w:lang w:val="en-GB"/>
              </w:rPr>
              <w:t xml:space="preserve">Enhancement in profitability margin from 20% to 85% for publicly listed firms (Cerciello </w:t>
            </w:r>
            <w:r w:rsidRPr="00691B86">
              <w:rPr>
                <w:rFonts w:ascii="Arial" w:hAnsi="Arial" w:cs="Arial"/>
                <w:i/>
                <w:iCs/>
                <w:lang w:val="en-GB"/>
              </w:rPr>
              <w:t xml:space="preserve">et al., </w:t>
            </w:r>
            <w:r w:rsidRPr="00691B86">
              <w:rPr>
                <w:rFonts w:ascii="Arial" w:hAnsi="Arial" w:cs="Arial"/>
                <w:lang w:val="en-GB"/>
              </w:rPr>
              <w:t xml:space="preserve">2023). </w:t>
            </w:r>
          </w:p>
        </w:tc>
      </w:tr>
    </w:tbl>
    <w:p w14:paraId="039BD807" w14:textId="77777777" w:rsidR="004E1A16" w:rsidRPr="00691B86" w:rsidRDefault="004E757B" w:rsidP="00977F6A">
      <w:pPr>
        <w:pStyle w:val="Heading5"/>
        <w:rPr>
          <w:rFonts w:ascii="Arial" w:hAnsi="Arial" w:cs="Arial"/>
          <w:lang w:val="en-GB"/>
        </w:rPr>
      </w:pPr>
      <w:bookmarkStart w:id="14" w:name="_Toc242457356"/>
      <w:r w:rsidRPr="00691B86">
        <w:rPr>
          <w:rFonts w:ascii="Arial" w:hAnsi="Arial" w:cs="Arial"/>
          <w:lang w:val="en-GB"/>
        </w:rPr>
        <w:t>Table 2: Different aspects of TBL approach</w:t>
      </w:r>
      <w:bookmarkEnd w:id="14"/>
    </w:p>
    <w:p w14:paraId="0CBB37CC" w14:textId="77777777" w:rsidR="004E1A16" w:rsidRPr="00691B86" w:rsidRDefault="004E757B">
      <w:pPr>
        <w:jc w:val="center"/>
        <w:rPr>
          <w:rFonts w:ascii="Arial" w:hAnsi="Arial" w:cs="Arial"/>
          <w:lang w:val="en-GB"/>
        </w:rPr>
      </w:pPr>
      <w:r w:rsidRPr="00691B86">
        <w:rPr>
          <w:rFonts w:ascii="Arial" w:hAnsi="Arial" w:cs="Arial"/>
          <w:lang w:val="en-GB"/>
        </w:rPr>
        <w:t>(Source: Self-developed)</w:t>
      </w:r>
    </w:p>
    <w:p w14:paraId="055849E1" w14:textId="77777777" w:rsidR="004E1A16" w:rsidRPr="00691B86" w:rsidRDefault="004E757B">
      <w:pPr>
        <w:rPr>
          <w:rFonts w:ascii="Arial" w:hAnsi="Arial" w:cs="Arial"/>
          <w:b/>
          <w:bCs/>
          <w:i/>
          <w:iCs/>
          <w:lang w:val="en-GB"/>
        </w:rPr>
      </w:pPr>
      <w:r w:rsidRPr="00691B86">
        <w:rPr>
          <w:rFonts w:ascii="Arial" w:hAnsi="Arial" w:cs="Arial"/>
          <w:b/>
          <w:bCs/>
          <w:i/>
          <w:iCs/>
          <w:lang w:val="en-GB"/>
        </w:rPr>
        <w:t>Planet</w:t>
      </w:r>
    </w:p>
    <w:p w14:paraId="2716FC21" w14:textId="77777777" w:rsidR="004E1A16" w:rsidRPr="00691B86" w:rsidRDefault="004E757B">
      <w:pPr>
        <w:rPr>
          <w:rFonts w:ascii="Arial" w:hAnsi="Arial" w:cs="Arial"/>
          <w:lang w:val="en-GB"/>
        </w:rPr>
      </w:pPr>
      <w:r w:rsidRPr="00691B86">
        <w:rPr>
          <w:rFonts w:ascii="Arial" w:hAnsi="Arial" w:cs="Arial"/>
          <w:lang w:val="en-GB"/>
        </w:rPr>
        <w:t xml:space="preserve">The introduction of sustainable mining operations for BHP can prove to be highly effective towards lowering organisational GHG emissions in the coming years and gaining a competitive edge over rival corporations through safeguarding the environment. In 2024, the CO2 emission level of BHP was recorded at around 9.1 million tonnes, which has </w:t>
      </w:r>
      <w:r w:rsidRPr="00691B86">
        <w:rPr>
          <w:rFonts w:ascii="Arial" w:hAnsi="Arial" w:cs="Arial"/>
          <w:lang w:val="en-GB"/>
        </w:rPr>
        <w:lastRenderedPageBreak/>
        <w:t>seen a significant decline from the previous year's value of nearly 10.2 million tonnes (Statista, 2024).</w:t>
      </w:r>
    </w:p>
    <w:p w14:paraId="37D34B17" w14:textId="77777777" w:rsidR="004E1A16" w:rsidRPr="00691B86" w:rsidRDefault="004E757B">
      <w:pPr>
        <w:jc w:val="center"/>
        <w:rPr>
          <w:rFonts w:ascii="Arial" w:hAnsi="Arial" w:cs="Arial"/>
          <w:lang w:val="en-GB"/>
        </w:rPr>
      </w:pPr>
      <w:r w:rsidRPr="00691B86">
        <w:rPr>
          <w:rFonts w:ascii="Arial" w:hAnsi="Arial" w:cs="Arial"/>
          <w:noProof/>
          <w:lang w:val="en-GB"/>
        </w:rPr>
        <w:drawing>
          <wp:inline distT="114300" distB="114300" distL="114300" distR="114300" wp14:anchorId="010B6417" wp14:editId="2859801F">
            <wp:extent cx="5136543" cy="3108960"/>
            <wp:effectExtent l="0" t="0" r="6985"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149740" cy="3116948"/>
                    </a:xfrm>
                    <a:prstGeom prst="rect">
                      <a:avLst/>
                    </a:prstGeom>
                    <a:ln/>
                  </pic:spPr>
                </pic:pic>
              </a:graphicData>
            </a:graphic>
          </wp:inline>
        </w:drawing>
      </w:r>
    </w:p>
    <w:p w14:paraId="3FF487AC" w14:textId="6C51AA54" w:rsidR="004E1A16" w:rsidRPr="00691B86" w:rsidRDefault="004E757B" w:rsidP="00977F6A">
      <w:pPr>
        <w:pStyle w:val="Heading4"/>
        <w:rPr>
          <w:rFonts w:ascii="Arial" w:hAnsi="Arial" w:cs="Arial"/>
          <w:lang w:val="en-GB"/>
        </w:rPr>
      </w:pPr>
      <w:bookmarkStart w:id="15" w:name="_Toc243058835"/>
      <w:r w:rsidRPr="00691B86">
        <w:rPr>
          <w:rFonts w:ascii="Arial" w:hAnsi="Arial" w:cs="Arial"/>
          <w:lang w:val="en-GB"/>
        </w:rPr>
        <w:t xml:space="preserve">Figure </w:t>
      </w:r>
      <w:r w:rsidR="00F03597" w:rsidRPr="00691B86">
        <w:rPr>
          <w:rFonts w:ascii="Arial" w:hAnsi="Arial" w:cs="Arial"/>
          <w:lang w:val="en-GB"/>
        </w:rPr>
        <w:t>7</w:t>
      </w:r>
      <w:r w:rsidRPr="00691B86">
        <w:rPr>
          <w:rFonts w:ascii="Arial" w:hAnsi="Arial" w:cs="Arial"/>
          <w:lang w:val="en-GB"/>
        </w:rPr>
        <w:t>: GHG emissions level of BHP in recent times</w:t>
      </w:r>
      <w:bookmarkEnd w:id="15"/>
    </w:p>
    <w:p w14:paraId="2305B4EB" w14:textId="77777777" w:rsidR="004E1A16" w:rsidRPr="00691B86" w:rsidRDefault="004E757B">
      <w:pPr>
        <w:jc w:val="center"/>
        <w:rPr>
          <w:rFonts w:ascii="Arial" w:hAnsi="Arial" w:cs="Arial"/>
          <w:lang w:val="en-GB"/>
        </w:rPr>
      </w:pPr>
      <w:r w:rsidRPr="00691B86">
        <w:rPr>
          <w:rFonts w:ascii="Arial" w:hAnsi="Arial" w:cs="Arial"/>
          <w:lang w:val="en-GB"/>
        </w:rPr>
        <w:t>(Source: Statista, 2024)</w:t>
      </w:r>
    </w:p>
    <w:p w14:paraId="2CFA5046" w14:textId="77777777" w:rsidR="004E1A16" w:rsidRPr="00691B86" w:rsidRDefault="004E757B">
      <w:pPr>
        <w:rPr>
          <w:rFonts w:ascii="Arial" w:hAnsi="Arial" w:cs="Arial"/>
          <w:b/>
          <w:bCs/>
          <w:i/>
          <w:iCs/>
          <w:lang w:val="en-GB"/>
        </w:rPr>
      </w:pPr>
      <w:r w:rsidRPr="00691B86">
        <w:rPr>
          <w:rFonts w:ascii="Arial" w:hAnsi="Arial" w:cs="Arial"/>
          <w:b/>
          <w:bCs/>
          <w:i/>
          <w:iCs/>
          <w:lang w:val="en-GB"/>
        </w:rPr>
        <w:t>People</w:t>
      </w:r>
    </w:p>
    <w:p w14:paraId="19E64A0D" w14:textId="77777777" w:rsidR="004E1A16" w:rsidRPr="00691B86" w:rsidRDefault="004E757B">
      <w:pPr>
        <w:rPr>
          <w:rFonts w:ascii="Arial" w:hAnsi="Arial" w:cs="Arial"/>
          <w:lang w:val="en-GB"/>
        </w:rPr>
      </w:pPr>
      <w:r w:rsidRPr="00691B86">
        <w:rPr>
          <w:rFonts w:ascii="Arial" w:hAnsi="Arial" w:cs="Arial"/>
          <w:lang w:val="en-GB"/>
        </w:rPr>
        <w:t xml:space="preserve">The implementation of team-based learning can also help BHP administration to better accustom the organisational workforce towards new recycling and waste management functions in key systems. For example, in 2026, almost 41.5% of gender balance has been achieved by the BHP administration, which can help introduce new and innovative recycling ideas for the mining firm to achieve sustainable competitive advantage (BHP, 2026). </w:t>
      </w:r>
    </w:p>
    <w:p w14:paraId="32B3862D" w14:textId="77777777" w:rsidR="004E1A16" w:rsidRPr="00691B86" w:rsidRDefault="004E757B">
      <w:pPr>
        <w:rPr>
          <w:rFonts w:ascii="Arial" w:hAnsi="Arial" w:cs="Arial"/>
          <w:b/>
          <w:bCs/>
          <w:i/>
          <w:iCs/>
          <w:lang w:val="en-GB"/>
        </w:rPr>
      </w:pPr>
      <w:r w:rsidRPr="00691B86">
        <w:rPr>
          <w:rFonts w:ascii="Arial" w:hAnsi="Arial" w:cs="Arial"/>
          <w:b/>
          <w:bCs/>
          <w:i/>
          <w:iCs/>
          <w:lang w:val="en-GB"/>
        </w:rPr>
        <w:t>Profit</w:t>
      </w:r>
    </w:p>
    <w:p w14:paraId="2C2F41B1" w14:textId="77777777" w:rsidR="004E1A16" w:rsidRPr="00691B86" w:rsidRDefault="004E757B">
      <w:pPr>
        <w:rPr>
          <w:rFonts w:ascii="Arial" w:hAnsi="Arial" w:cs="Arial"/>
          <w:lang w:val="en-GB"/>
        </w:rPr>
      </w:pPr>
      <w:r w:rsidRPr="00691B86">
        <w:rPr>
          <w:rFonts w:ascii="Arial" w:hAnsi="Arial" w:cs="Arial"/>
          <w:lang w:val="en-GB"/>
        </w:rPr>
        <w:t xml:space="preserve">The introduction of sustainable mining operations can prove to be useful for BHP towards maximising future organisational profitability without compromising global market competition. For instance, in 2017, publicly listed business corporations published ESG </w:t>
      </w:r>
      <w:r w:rsidRPr="00691B86">
        <w:rPr>
          <w:rFonts w:ascii="Arial" w:hAnsi="Arial" w:cs="Arial"/>
          <w:lang w:val="en-GB"/>
        </w:rPr>
        <w:lastRenderedPageBreak/>
        <w:t xml:space="preserve">reports, which showed an increase in profitability margin from 20% to 85% within a span of 6 fiscal years (Cerciello </w:t>
      </w:r>
      <w:r w:rsidRPr="00691B86">
        <w:rPr>
          <w:rFonts w:ascii="Arial" w:hAnsi="Arial" w:cs="Arial"/>
          <w:i/>
          <w:iCs/>
          <w:lang w:val="en-GB"/>
        </w:rPr>
        <w:t xml:space="preserve">et al., </w:t>
      </w:r>
      <w:r w:rsidRPr="00691B86">
        <w:rPr>
          <w:rFonts w:ascii="Arial" w:hAnsi="Arial" w:cs="Arial"/>
          <w:lang w:val="en-GB"/>
        </w:rPr>
        <w:t xml:space="preserve">2023). </w:t>
      </w:r>
    </w:p>
    <w:p w14:paraId="2BF7F8DF" w14:textId="77777777" w:rsidR="004E1A16" w:rsidRPr="00691B86" w:rsidRDefault="004E757B">
      <w:pPr>
        <w:pStyle w:val="Heading1"/>
        <w:rPr>
          <w:rFonts w:ascii="Arial" w:hAnsi="Arial" w:cs="Arial"/>
          <w:lang w:val="en-GB"/>
        </w:rPr>
      </w:pPr>
      <w:bookmarkStart w:id="16" w:name="_lrlm22ipizkb" w:colFirst="0" w:colLast="0"/>
      <w:bookmarkEnd w:id="16"/>
      <w:r w:rsidRPr="00691B86">
        <w:rPr>
          <w:rFonts w:ascii="Arial" w:hAnsi="Arial" w:cs="Arial"/>
          <w:lang w:val="en-GB"/>
        </w:rPr>
        <w:t>Task 3: Managerial and Professional Reflection</w:t>
      </w:r>
    </w:p>
    <w:p w14:paraId="6313471F" w14:textId="77777777" w:rsidR="004E1A16" w:rsidRPr="00691B86" w:rsidRDefault="004E757B">
      <w:pPr>
        <w:pStyle w:val="Heading2"/>
        <w:rPr>
          <w:rFonts w:ascii="Arial" w:hAnsi="Arial" w:cs="Arial"/>
          <w:lang w:val="en-GB"/>
        </w:rPr>
      </w:pPr>
      <w:bookmarkStart w:id="17" w:name="_l93lvf4vdddn" w:colFirst="0" w:colLast="0"/>
      <w:bookmarkEnd w:id="17"/>
      <w:r w:rsidRPr="00691B86">
        <w:rPr>
          <w:rFonts w:ascii="Arial" w:hAnsi="Arial" w:cs="Arial"/>
          <w:lang w:val="en-GB"/>
        </w:rPr>
        <w:t>3.1 Reflection on the key decisions made throughout the report</w:t>
      </w:r>
    </w:p>
    <w:p w14:paraId="759C4E5E" w14:textId="77777777" w:rsidR="004E1A16" w:rsidRPr="00691B86" w:rsidRDefault="004E757B">
      <w:pPr>
        <w:rPr>
          <w:rFonts w:ascii="Arial" w:hAnsi="Arial" w:cs="Arial"/>
          <w:b/>
          <w:bCs/>
          <w:i/>
          <w:iCs/>
          <w:lang w:val="en-GB"/>
        </w:rPr>
      </w:pPr>
      <w:r w:rsidRPr="00691B86">
        <w:rPr>
          <w:rFonts w:ascii="Arial" w:hAnsi="Arial" w:cs="Arial"/>
          <w:b/>
          <w:bCs/>
          <w:i/>
          <w:iCs/>
          <w:lang w:val="en-GB"/>
        </w:rPr>
        <w:t>Reasons behind company selection</w:t>
      </w:r>
    </w:p>
    <w:p w14:paraId="087771C0" w14:textId="77777777" w:rsidR="004E1A16" w:rsidRPr="00691B86" w:rsidRDefault="004E757B">
      <w:pPr>
        <w:rPr>
          <w:rFonts w:ascii="Arial" w:hAnsi="Arial" w:cs="Arial"/>
          <w:lang w:val="en-GB"/>
        </w:rPr>
      </w:pPr>
      <w:r w:rsidRPr="00691B86">
        <w:rPr>
          <w:rFonts w:ascii="Arial" w:hAnsi="Arial" w:cs="Arial"/>
          <w:lang w:val="en-GB"/>
        </w:rPr>
        <w:t>The mining Organisation I have chosen to study for this report is BHP, as it is Australia's largest mining company, which is striving to reduce greenhouse gas emissions. I thought BHP would be a good study subject because the mining industry has a very obvious dilemma on how an organisation can be profitable without harming the environment. Studying BHP has made me realise that to be truly successful in business, organisations must respond well to environmental issues and changing stakeholder expectations.</w:t>
      </w:r>
    </w:p>
    <w:p w14:paraId="69538121" w14:textId="77777777" w:rsidR="004E1A16" w:rsidRPr="00691B86" w:rsidRDefault="004E757B">
      <w:pPr>
        <w:rPr>
          <w:rFonts w:ascii="Arial" w:hAnsi="Arial" w:cs="Arial"/>
          <w:b/>
          <w:bCs/>
          <w:i/>
          <w:iCs/>
          <w:lang w:val="en-GB"/>
        </w:rPr>
      </w:pPr>
      <w:r w:rsidRPr="00691B86">
        <w:rPr>
          <w:rFonts w:ascii="Arial" w:hAnsi="Arial" w:cs="Arial"/>
          <w:b/>
          <w:bCs/>
          <w:i/>
          <w:iCs/>
          <w:lang w:val="en-GB"/>
        </w:rPr>
        <w:t>Choice of environmental actors</w:t>
      </w:r>
    </w:p>
    <w:p w14:paraId="438DB989" w14:textId="77777777" w:rsidR="004E1A16" w:rsidRPr="00691B86" w:rsidRDefault="004E757B">
      <w:pPr>
        <w:rPr>
          <w:rFonts w:ascii="Arial" w:hAnsi="Arial" w:cs="Arial"/>
          <w:b/>
          <w:bCs/>
          <w:i/>
          <w:iCs/>
          <w:lang w:val="en-GB"/>
        </w:rPr>
      </w:pPr>
      <w:r w:rsidRPr="00691B86">
        <w:rPr>
          <w:rFonts w:ascii="Arial" w:hAnsi="Arial" w:cs="Arial"/>
          <w:lang w:val="en-GB"/>
        </w:rPr>
        <w:t>I selected legal, environmental and technological factors to incorporate within the PESTLE as I believe they have the greatest impact on BHP's decision to move towards sustainable mining. It was the environmental aspect that made me aware of the need to cut down on emissions, pollution and waste. The legal aspect informed me of Australian climate targets, and the legal pressures of the environment can affect business choices. The technological aspect of recycling systems, renewable energy and innovative mining technologies has assisted in the areas of more sustainable business practices (</w:t>
      </w:r>
      <w:proofErr w:type="spellStart"/>
      <w:r w:rsidRPr="00691B86">
        <w:rPr>
          <w:rFonts w:ascii="Arial" w:hAnsi="Arial" w:cs="Arial"/>
          <w:color w:val="222222"/>
          <w:lang w:val="en-GB"/>
        </w:rPr>
        <w:t>Pouresmaieli</w:t>
      </w:r>
      <w:proofErr w:type="spellEnd"/>
      <w:r w:rsidRPr="00691B86">
        <w:rPr>
          <w:rFonts w:ascii="Arial" w:hAnsi="Arial" w:cs="Arial"/>
          <w:color w:val="222222"/>
          <w:lang w:val="en-GB"/>
        </w:rPr>
        <w:t xml:space="preserve"> </w:t>
      </w:r>
      <w:r w:rsidRPr="00691B86">
        <w:rPr>
          <w:rFonts w:ascii="Arial" w:hAnsi="Arial" w:cs="Arial"/>
          <w:i/>
          <w:iCs/>
          <w:color w:val="222222"/>
          <w:lang w:val="en-GB"/>
        </w:rPr>
        <w:t xml:space="preserve">et al., </w:t>
      </w:r>
      <w:r w:rsidRPr="00691B86">
        <w:rPr>
          <w:rFonts w:ascii="Arial" w:hAnsi="Arial" w:cs="Arial"/>
          <w:color w:val="222222"/>
          <w:lang w:val="en-GB"/>
        </w:rPr>
        <w:t>2023)</w:t>
      </w:r>
      <w:r w:rsidRPr="00691B86">
        <w:rPr>
          <w:rFonts w:ascii="Arial" w:hAnsi="Arial" w:cs="Arial"/>
          <w:lang w:val="en-GB"/>
        </w:rPr>
        <w:t>.</w:t>
      </w:r>
    </w:p>
    <w:p w14:paraId="2F13A1D9" w14:textId="77777777" w:rsidR="004E1A16" w:rsidRPr="00691B86" w:rsidRDefault="004E757B">
      <w:pPr>
        <w:rPr>
          <w:rFonts w:ascii="Arial" w:hAnsi="Arial" w:cs="Arial"/>
          <w:b/>
          <w:bCs/>
          <w:i/>
          <w:iCs/>
          <w:lang w:val="en-GB"/>
        </w:rPr>
      </w:pPr>
      <w:r w:rsidRPr="00691B86">
        <w:rPr>
          <w:rFonts w:ascii="Arial" w:hAnsi="Arial" w:cs="Arial"/>
          <w:b/>
          <w:bCs/>
          <w:i/>
          <w:iCs/>
          <w:lang w:val="en-GB"/>
        </w:rPr>
        <w:t>Choice of growth strategies</w:t>
      </w:r>
    </w:p>
    <w:p w14:paraId="1F34DCF2" w14:textId="77777777" w:rsidR="004E1A16" w:rsidRPr="00691B86" w:rsidRDefault="004E757B">
      <w:pPr>
        <w:rPr>
          <w:rFonts w:ascii="Arial" w:hAnsi="Arial" w:cs="Arial"/>
          <w:lang w:val="en-GB"/>
        </w:rPr>
      </w:pPr>
      <w:r w:rsidRPr="00691B86">
        <w:rPr>
          <w:rFonts w:ascii="Arial" w:hAnsi="Arial" w:cs="Arial"/>
          <w:lang w:val="en-GB"/>
        </w:rPr>
        <w:t xml:space="preserve">During the formulation of the growth strategy, I chose the Ansoff Matrix as a comparison of the options open to BHP. I saw product development in the form of recycling technology and waste management as a feasible prospect. The implementation of recycling technology adds to the corporation's resources and helps mitigate the environmental impact of mining operations (Gairola </w:t>
      </w:r>
      <w:r w:rsidRPr="00691B86">
        <w:rPr>
          <w:rFonts w:ascii="Arial" w:hAnsi="Arial" w:cs="Arial"/>
          <w:i/>
          <w:iCs/>
          <w:lang w:val="en-GB"/>
        </w:rPr>
        <w:t xml:space="preserve">et al., </w:t>
      </w:r>
      <w:r w:rsidRPr="00691B86">
        <w:rPr>
          <w:rFonts w:ascii="Arial" w:hAnsi="Arial" w:cs="Arial"/>
          <w:lang w:val="en-GB"/>
        </w:rPr>
        <w:t xml:space="preserve">2025). My suggestion of market development </w:t>
      </w:r>
      <w:r w:rsidRPr="00691B86">
        <w:rPr>
          <w:rFonts w:ascii="Arial" w:hAnsi="Arial" w:cs="Arial"/>
          <w:lang w:val="en-GB"/>
        </w:rPr>
        <w:lastRenderedPageBreak/>
        <w:t>as a route for international expansion and the use of Triple Bottom Line enabled me to recognise the need to balance benefits for the people, planet and profit.</w:t>
      </w:r>
    </w:p>
    <w:p w14:paraId="4A0D04F5" w14:textId="77777777" w:rsidR="004E1A16" w:rsidRPr="00691B86" w:rsidRDefault="004E757B">
      <w:pPr>
        <w:pStyle w:val="Heading2"/>
        <w:rPr>
          <w:rFonts w:ascii="Arial" w:hAnsi="Arial" w:cs="Arial"/>
          <w:lang w:val="en-GB"/>
        </w:rPr>
      </w:pPr>
      <w:bookmarkStart w:id="18" w:name="_8yuucr9xv4l" w:colFirst="0" w:colLast="0"/>
      <w:bookmarkEnd w:id="18"/>
      <w:r w:rsidRPr="00691B86">
        <w:rPr>
          <w:rFonts w:ascii="Arial" w:hAnsi="Arial" w:cs="Arial"/>
          <w:lang w:val="en-GB"/>
        </w:rPr>
        <w:t>3.2 Reflection on the limitations of analysis</w:t>
      </w:r>
    </w:p>
    <w:p w14:paraId="70840B0F" w14:textId="68A34955" w:rsidR="004E1A16" w:rsidRPr="00691B86" w:rsidRDefault="004E757B">
      <w:pPr>
        <w:rPr>
          <w:rFonts w:ascii="Arial" w:hAnsi="Arial" w:cs="Arial"/>
          <w:b/>
          <w:bCs/>
          <w:i/>
          <w:iCs/>
          <w:lang w:val="en-GB"/>
        </w:rPr>
      </w:pPr>
      <w:r w:rsidRPr="00691B86">
        <w:rPr>
          <w:rFonts w:ascii="Arial" w:hAnsi="Arial" w:cs="Arial"/>
          <w:b/>
          <w:bCs/>
          <w:i/>
          <w:iCs/>
          <w:lang w:val="en-GB"/>
        </w:rPr>
        <w:t xml:space="preserve">Gaps </w:t>
      </w:r>
      <w:r w:rsidR="00977F6A" w:rsidRPr="00691B86">
        <w:rPr>
          <w:rFonts w:ascii="Arial" w:hAnsi="Arial" w:cs="Arial"/>
          <w:b/>
          <w:bCs/>
          <w:i/>
          <w:iCs/>
          <w:lang w:val="en-GB"/>
        </w:rPr>
        <w:t>exist</w:t>
      </w:r>
    </w:p>
    <w:p w14:paraId="14A93969" w14:textId="2BE04EA9" w:rsidR="004E1A16" w:rsidRPr="00691B86" w:rsidRDefault="004E757B">
      <w:pPr>
        <w:rPr>
          <w:rFonts w:ascii="Arial" w:hAnsi="Arial" w:cs="Arial"/>
          <w:lang w:val="en-GB"/>
        </w:rPr>
      </w:pPr>
      <w:r w:rsidRPr="00691B86">
        <w:rPr>
          <w:rFonts w:ascii="Arial" w:hAnsi="Arial" w:cs="Arial"/>
          <w:lang w:val="en-GB"/>
        </w:rPr>
        <w:t xml:space="preserve">During the course of writing this report, I became aware of some limitations of my analysis. In particular, the experience of relying on secondary sources, including company reports, published research and industry data, became clear. It was not always possible to check the validity of the given figures </w:t>
      </w:r>
      <w:r w:rsidR="00977F6A" w:rsidRPr="00691B86">
        <w:rPr>
          <w:rFonts w:ascii="Arial" w:hAnsi="Arial" w:cs="Arial"/>
          <w:lang w:val="en-GB"/>
        </w:rPr>
        <w:t>and</w:t>
      </w:r>
      <w:r w:rsidRPr="00691B86">
        <w:rPr>
          <w:rFonts w:ascii="Arial" w:hAnsi="Arial" w:cs="Arial"/>
          <w:lang w:val="en-GB"/>
        </w:rPr>
        <w:t xml:space="preserve"> compare them with other reports over time. I became aware that the report didn't necessarily fully differentiate between BHP's direct emissions and those from its supply chain.</w:t>
      </w:r>
    </w:p>
    <w:p w14:paraId="3B0C2778" w14:textId="77777777" w:rsidR="004E1A16" w:rsidRPr="00691B86" w:rsidRDefault="004E757B">
      <w:pPr>
        <w:rPr>
          <w:rFonts w:ascii="Arial" w:hAnsi="Arial" w:cs="Arial"/>
          <w:lang w:val="en-GB"/>
        </w:rPr>
      </w:pPr>
      <w:r w:rsidRPr="00691B86">
        <w:rPr>
          <w:rFonts w:ascii="Arial" w:hAnsi="Arial" w:cs="Arial"/>
          <w:b/>
          <w:bCs/>
          <w:i/>
          <w:iCs/>
          <w:lang w:val="en-GB"/>
        </w:rPr>
        <w:t>Additional information required</w:t>
      </w:r>
    </w:p>
    <w:p w14:paraId="5C52F485" w14:textId="77777777" w:rsidR="004E1A16" w:rsidRPr="00691B86" w:rsidRDefault="004E757B">
      <w:pPr>
        <w:rPr>
          <w:rFonts w:ascii="Arial" w:hAnsi="Arial" w:cs="Arial"/>
          <w:b/>
          <w:bCs/>
          <w:i/>
          <w:iCs/>
          <w:lang w:val="en-GB"/>
        </w:rPr>
      </w:pPr>
      <w:r w:rsidRPr="00691B86">
        <w:rPr>
          <w:rFonts w:ascii="Arial" w:hAnsi="Arial" w:cs="Arial"/>
          <w:lang w:val="en-GB"/>
        </w:rPr>
        <w:t>In future reports, I would collect more recent information in regard to emissions, more accurate investment estimates, viability of particular technologies, and employee/local community input. The positive aspects of recycling technologies are critical for 21st-century businesses for lowering waste creation and mitigating carbon footprint in global markets (</w:t>
      </w:r>
      <w:r w:rsidRPr="00691B86">
        <w:rPr>
          <w:rFonts w:ascii="Arial" w:hAnsi="Arial" w:cs="Arial"/>
          <w:color w:val="222222"/>
          <w:lang w:val="en-GB"/>
        </w:rPr>
        <w:t xml:space="preserve">Wilson </w:t>
      </w:r>
      <w:r w:rsidRPr="00691B86">
        <w:rPr>
          <w:rFonts w:ascii="Arial" w:hAnsi="Arial" w:cs="Arial"/>
          <w:i/>
          <w:iCs/>
          <w:color w:val="222222"/>
          <w:lang w:val="en-GB"/>
        </w:rPr>
        <w:t xml:space="preserve">et al., </w:t>
      </w:r>
      <w:r w:rsidRPr="00691B86">
        <w:rPr>
          <w:rFonts w:ascii="Arial" w:hAnsi="Arial" w:cs="Arial"/>
          <w:color w:val="222222"/>
          <w:lang w:val="en-GB"/>
        </w:rPr>
        <w:t>2024)</w:t>
      </w:r>
      <w:r w:rsidRPr="00691B86">
        <w:rPr>
          <w:rFonts w:ascii="Arial" w:hAnsi="Arial" w:cs="Arial"/>
          <w:lang w:val="en-GB"/>
        </w:rPr>
        <w:t>. I would also compare BHP's environmental performance with that of rival mining companies. Overall, this assignment increased my perception of how managerial recommendations should be based on evidence. I also learnt that a well-grounded proposal needs sound information, critical analysis and balancing of environmental factors with commercial factors.</w:t>
      </w:r>
    </w:p>
    <w:p w14:paraId="757B688E" w14:textId="77777777" w:rsidR="004E1A16" w:rsidRPr="00691B86" w:rsidRDefault="004E757B">
      <w:pPr>
        <w:pStyle w:val="Heading1"/>
        <w:rPr>
          <w:rFonts w:ascii="Arial" w:hAnsi="Arial" w:cs="Arial"/>
          <w:lang w:val="en-GB"/>
        </w:rPr>
      </w:pPr>
      <w:bookmarkStart w:id="19" w:name="_94jme0k0uhnr" w:colFirst="0" w:colLast="0"/>
      <w:bookmarkEnd w:id="19"/>
      <w:r w:rsidRPr="00691B86">
        <w:rPr>
          <w:rFonts w:ascii="Arial" w:hAnsi="Arial" w:cs="Arial"/>
          <w:lang w:val="en-GB"/>
        </w:rPr>
        <w:t>Conclusion</w:t>
      </w:r>
    </w:p>
    <w:p w14:paraId="74C44E63" w14:textId="3D5A5EF6" w:rsidR="004E1A16" w:rsidRPr="00691B86" w:rsidRDefault="004E757B">
      <w:pPr>
        <w:rPr>
          <w:rFonts w:ascii="Arial" w:hAnsi="Arial" w:cs="Arial"/>
          <w:lang w:val="en-GB"/>
        </w:rPr>
      </w:pPr>
      <w:r w:rsidRPr="00691B86">
        <w:rPr>
          <w:rFonts w:ascii="Arial" w:hAnsi="Arial" w:cs="Arial"/>
          <w:lang w:val="en-GB"/>
        </w:rPr>
        <w:t>Based on the above findings, it can be concluded that BHP and its global mining operations have contributed significantly to GHG emissions and elevated surrounding pollution levels. The report has employed the PESTLE analysis for evaluating 3 major external market actors such as environmental, legal and technological solutions for continuous carbon-free operations.</w:t>
      </w:r>
    </w:p>
    <w:p w14:paraId="6931FA40" w14:textId="77777777" w:rsidR="00005B03" w:rsidRPr="00691B86" w:rsidRDefault="00005B03">
      <w:pPr>
        <w:spacing w:before="0" w:after="0"/>
        <w:rPr>
          <w:rFonts w:ascii="Arial" w:hAnsi="Arial" w:cs="Arial"/>
          <w:b/>
          <w:bCs/>
          <w:sz w:val="28"/>
          <w:szCs w:val="28"/>
          <w:lang w:val="en-GB"/>
        </w:rPr>
      </w:pPr>
      <w:bookmarkStart w:id="20" w:name="_tkpoqpkcvzhc" w:colFirst="0" w:colLast="0"/>
      <w:bookmarkEnd w:id="20"/>
      <w:r w:rsidRPr="00691B86">
        <w:rPr>
          <w:rFonts w:ascii="Arial" w:hAnsi="Arial" w:cs="Arial"/>
          <w:lang w:val="en-GB"/>
        </w:rPr>
        <w:lastRenderedPageBreak/>
        <w:br w:type="page"/>
      </w:r>
    </w:p>
    <w:p w14:paraId="2A002593" w14:textId="6F995A81" w:rsidR="004E1A16" w:rsidRPr="00691B86" w:rsidRDefault="004E757B">
      <w:pPr>
        <w:pStyle w:val="Heading1"/>
        <w:rPr>
          <w:rFonts w:ascii="Arial" w:hAnsi="Arial" w:cs="Arial"/>
          <w:lang w:val="en-GB"/>
        </w:rPr>
      </w:pPr>
      <w:r w:rsidRPr="00691B86">
        <w:rPr>
          <w:rFonts w:ascii="Arial" w:hAnsi="Arial" w:cs="Arial"/>
          <w:lang w:val="en-GB"/>
        </w:rPr>
        <w:lastRenderedPageBreak/>
        <w:t>Reference List</w:t>
      </w:r>
    </w:p>
    <w:p w14:paraId="62AE4ABF" w14:textId="77777777" w:rsidR="004E1A16" w:rsidRPr="00691B86" w:rsidRDefault="004E757B">
      <w:pPr>
        <w:rPr>
          <w:rFonts w:ascii="Arial" w:hAnsi="Arial" w:cs="Arial"/>
          <w:b/>
          <w:bCs/>
          <w:i/>
          <w:iCs/>
          <w:u w:val="single"/>
          <w:lang w:val="en-GB"/>
        </w:rPr>
      </w:pPr>
      <w:r w:rsidRPr="00691B86">
        <w:rPr>
          <w:rFonts w:ascii="Arial" w:hAnsi="Arial" w:cs="Arial"/>
          <w:b/>
          <w:bCs/>
          <w:i/>
          <w:iCs/>
          <w:u w:val="single"/>
          <w:lang w:val="en-GB"/>
        </w:rPr>
        <w:t>Core Text</w:t>
      </w:r>
    </w:p>
    <w:p w14:paraId="53767321" w14:textId="77777777" w:rsidR="004E1A16" w:rsidRPr="00691B86" w:rsidRDefault="004E757B">
      <w:pPr>
        <w:spacing w:after="100"/>
        <w:rPr>
          <w:rFonts w:ascii="Arial" w:hAnsi="Arial" w:cs="Arial"/>
          <w:lang w:val="en-GB"/>
        </w:rPr>
      </w:pPr>
      <w:r w:rsidRPr="00691B86">
        <w:rPr>
          <w:rFonts w:ascii="Arial" w:hAnsi="Arial" w:cs="Arial"/>
          <w:lang w:val="en-GB"/>
        </w:rPr>
        <w:t xml:space="preserve">Kotler, P., Armstrong, G., Harris, L.C. and He, H. (2024) </w:t>
      </w:r>
      <w:r w:rsidRPr="00691B86">
        <w:rPr>
          <w:rFonts w:ascii="Arial" w:hAnsi="Arial" w:cs="Arial"/>
          <w:i/>
          <w:iCs/>
          <w:lang w:val="en-GB"/>
        </w:rPr>
        <w:t>Principles of marketing</w:t>
      </w:r>
      <w:r w:rsidRPr="00691B86">
        <w:rPr>
          <w:rFonts w:ascii="Arial" w:hAnsi="Arial" w:cs="Arial"/>
          <w:lang w:val="en-GB"/>
        </w:rPr>
        <w:t xml:space="preserve">. 19th </w:t>
      </w:r>
      <w:proofErr w:type="spellStart"/>
      <w:r w:rsidRPr="00691B86">
        <w:rPr>
          <w:rFonts w:ascii="Arial" w:hAnsi="Arial" w:cs="Arial"/>
          <w:lang w:val="en-GB"/>
        </w:rPr>
        <w:t>edn</w:t>
      </w:r>
      <w:proofErr w:type="spellEnd"/>
      <w:r w:rsidRPr="00691B86">
        <w:rPr>
          <w:rFonts w:ascii="Arial" w:hAnsi="Arial" w:cs="Arial"/>
          <w:lang w:val="en-GB"/>
        </w:rPr>
        <w:t xml:space="preserve">. Harlow: Pearson. </w:t>
      </w:r>
    </w:p>
    <w:p w14:paraId="675EEDA9" w14:textId="77777777" w:rsidR="00CA4810" w:rsidRPr="00691B86" w:rsidRDefault="00CA4810" w:rsidP="00CA4810">
      <w:pPr>
        <w:spacing w:after="100"/>
        <w:rPr>
          <w:rFonts w:ascii="Arial" w:hAnsi="Arial" w:cs="Arial"/>
          <w:b/>
          <w:bCs/>
          <w:i/>
          <w:iCs/>
          <w:u w:val="single"/>
          <w:lang w:val="en-GB"/>
        </w:rPr>
      </w:pPr>
      <w:r w:rsidRPr="00691B86">
        <w:rPr>
          <w:rFonts w:ascii="Arial" w:hAnsi="Arial" w:cs="Arial"/>
          <w:b/>
          <w:bCs/>
          <w:i/>
          <w:iCs/>
          <w:u w:val="single"/>
          <w:lang w:val="en-GB"/>
        </w:rPr>
        <w:t>Academic Articles</w:t>
      </w:r>
    </w:p>
    <w:p w14:paraId="3FD05525" w14:textId="77777777" w:rsidR="00CA4810" w:rsidRPr="00691B86" w:rsidRDefault="00CA4810" w:rsidP="00CA4810">
      <w:pPr>
        <w:spacing w:after="100"/>
        <w:rPr>
          <w:rFonts w:ascii="Arial" w:hAnsi="Arial" w:cs="Arial"/>
          <w:lang w:val="en-GB"/>
        </w:rPr>
      </w:pPr>
      <w:r w:rsidRPr="00691B86">
        <w:rPr>
          <w:rFonts w:ascii="Arial" w:hAnsi="Arial" w:cs="Arial"/>
          <w:color w:val="222222"/>
          <w:lang w:val="en-GB"/>
        </w:rPr>
        <w:t xml:space="preserve">Cerciello, M., Busato, F. and Taddeo, S., (2023). The effect of sustainable business practices on profitability. Accounting for strategic disclosure. </w:t>
      </w:r>
      <w:r w:rsidRPr="00691B86">
        <w:rPr>
          <w:rFonts w:ascii="Arial" w:hAnsi="Arial" w:cs="Arial"/>
          <w:i/>
          <w:iCs/>
          <w:color w:val="222222"/>
          <w:lang w:val="en-GB"/>
        </w:rPr>
        <w:t>Corporate social responsibility and environmental management</w:t>
      </w:r>
      <w:r w:rsidRPr="00691B86">
        <w:rPr>
          <w:rFonts w:ascii="Arial" w:hAnsi="Arial" w:cs="Arial"/>
          <w:color w:val="222222"/>
          <w:lang w:val="en-GB"/>
        </w:rPr>
        <w:t xml:space="preserve">, </w:t>
      </w:r>
      <w:r w:rsidRPr="00691B86">
        <w:rPr>
          <w:rFonts w:ascii="Arial" w:hAnsi="Arial" w:cs="Arial"/>
          <w:i/>
          <w:iCs/>
          <w:color w:val="222222"/>
          <w:lang w:val="en-GB"/>
        </w:rPr>
        <w:t>30</w:t>
      </w:r>
      <w:r w:rsidRPr="00691B86">
        <w:rPr>
          <w:rFonts w:ascii="Arial" w:hAnsi="Arial" w:cs="Arial"/>
          <w:color w:val="222222"/>
          <w:lang w:val="en-GB"/>
        </w:rPr>
        <w:t>(2), pp.802-819.</w:t>
      </w:r>
      <w:r w:rsidRPr="00691B86">
        <w:rPr>
          <w:rFonts w:ascii="Arial" w:hAnsi="Arial" w:cs="Arial"/>
          <w:lang w:val="en-GB"/>
        </w:rPr>
        <w:t xml:space="preserve"> </w:t>
      </w:r>
      <w:hyperlink r:id="rId16">
        <w:r w:rsidRPr="00691B86">
          <w:rPr>
            <w:rFonts w:ascii="Arial" w:hAnsi="Arial" w:cs="Arial"/>
            <w:color w:val="1155CC"/>
            <w:u w:val="single"/>
            <w:lang w:val="en-GB"/>
          </w:rPr>
          <w:t>https://onlinelibrary.wiley.com/doi/pdfdirect/10.1002/csr.2389</w:t>
        </w:r>
      </w:hyperlink>
      <w:r w:rsidRPr="00691B86">
        <w:rPr>
          <w:rFonts w:ascii="Arial" w:hAnsi="Arial" w:cs="Arial"/>
          <w:lang w:val="en-GB"/>
        </w:rPr>
        <w:t xml:space="preserve"> </w:t>
      </w:r>
    </w:p>
    <w:p w14:paraId="365F43BC" w14:textId="77777777" w:rsidR="00CA4810" w:rsidRPr="00691B86" w:rsidRDefault="00CA4810" w:rsidP="00CA4810">
      <w:pPr>
        <w:spacing w:after="100"/>
        <w:rPr>
          <w:rFonts w:ascii="Arial" w:hAnsi="Arial" w:cs="Arial"/>
          <w:lang w:val="en-GB"/>
        </w:rPr>
      </w:pPr>
      <w:r w:rsidRPr="00691B86">
        <w:rPr>
          <w:rFonts w:ascii="Arial" w:hAnsi="Arial" w:cs="Arial"/>
          <w:color w:val="222222"/>
          <w:lang w:val="en-GB"/>
        </w:rPr>
        <w:t>Cortes</w:t>
      </w:r>
      <w:r w:rsidRPr="00691B86">
        <w:rPr>
          <w:rFonts w:ascii="Cambria Math" w:hAnsi="Cambria Math" w:cs="Cambria Math"/>
          <w:color w:val="222222"/>
          <w:lang w:val="en-GB"/>
        </w:rPr>
        <w:t>‐</w:t>
      </w:r>
      <w:r w:rsidRPr="00691B86">
        <w:rPr>
          <w:rFonts w:ascii="Arial" w:hAnsi="Arial" w:cs="Arial"/>
          <w:color w:val="222222"/>
          <w:lang w:val="en-GB"/>
        </w:rPr>
        <w:t xml:space="preserve">Ramirez, J., Michael, R.N., Toms, L.M. and Haswell, M., (2025). The public health impacts of mining in Australia. </w:t>
      </w:r>
      <w:r w:rsidRPr="00691B86">
        <w:rPr>
          <w:rFonts w:ascii="Arial" w:hAnsi="Arial" w:cs="Arial"/>
          <w:i/>
          <w:iCs/>
          <w:color w:val="222222"/>
          <w:lang w:val="en-GB"/>
        </w:rPr>
        <w:t>Medical Journal of Australia</w:t>
      </w:r>
      <w:r w:rsidRPr="00691B86">
        <w:rPr>
          <w:rFonts w:ascii="Arial" w:hAnsi="Arial" w:cs="Arial"/>
          <w:color w:val="222222"/>
          <w:lang w:val="en-GB"/>
        </w:rPr>
        <w:t xml:space="preserve">, </w:t>
      </w:r>
      <w:r w:rsidRPr="00691B86">
        <w:rPr>
          <w:rFonts w:ascii="Arial" w:hAnsi="Arial" w:cs="Arial"/>
          <w:i/>
          <w:iCs/>
          <w:color w:val="222222"/>
          <w:lang w:val="en-GB"/>
        </w:rPr>
        <w:t>223</w:t>
      </w:r>
      <w:r w:rsidRPr="00691B86">
        <w:rPr>
          <w:rFonts w:ascii="Arial" w:hAnsi="Arial" w:cs="Arial"/>
          <w:color w:val="222222"/>
          <w:lang w:val="en-GB"/>
        </w:rPr>
        <w:t>(10), pp.541-549.</w:t>
      </w:r>
      <w:r w:rsidRPr="00691B86">
        <w:rPr>
          <w:rFonts w:ascii="Arial" w:hAnsi="Arial" w:cs="Arial"/>
          <w:lang w:val="en-GB"/>
        </w:rPr>
        <w:t xml:space="preserve"> </w:t>
      </w:r>
      <w:hyperlink r:id="rId17">
        <w:r w:rsidRPr="00691B86">
          <w:rPr>
            <w:rFonts w:ascii="Arial" w:hAnsi="Arial" w:cs="Arial"/>
            <w:color w:val="1155CC"/>
            <w:u w:val="single"/>
            <w:lang w:val="en-GB"/>
          </w:rPr>
          <w:t>https://onlinelibrary.wiley.com/doi/pdf/10.5694/mja2.70005</w:t>
        </w:r>
      </w:hyperlink>
      <w:r w:rsidRPr="00691B86">
        <w:rPr>
          <w:rFonts w:ascii="Arial" w:hAnsi="Arial" w:cs="Arial"/>
          <w:lang w:val="en-GB"/>
        </w:rPr>
        <w:t xml:space="preserve"> </w:t>
      </w:r>
    </w:p>
    <w:p w14:paraId="7FB64E39" w14:textId="77777777" w:rsidR="00CA4810" w:rsidRPr="00691B86" w:rsidRDefault="00CA4810" w:rsidP="00CA4810">
      <w:pPr>
        <w:spacing w:after="100"/>
        <w:rPr>
          <w:rFonts w:ascii="Arial" w:hAnsi="Arial" w:cs="Arial"/>
          <w:lang w:val="en-GB"/>
        </w:rPr>
      </w:pPr>
      <w:r w:rsidRPr="00691B86">
        <w:rPr>
          <w:rFonts w:ascii="Arial" w:hAnsi="Arial" w:cs="Arial"/>
          <w:color w:val="222222"/>
          <w:lang w:val="en-GB"/>
        </w:rPr>
        <w:t xml:space="preserve">Gairola, S.U., Khanduri, A.K. and Bhuvaneswari, V., (2025). Sustainable mining: reducing waste and enhancing resource efficiency. </w:t>
      </w:r>
      <w:r w:rsidRPr="00691B86">
        <w:rPr>
          <w:rFonts w:ascii="Arial" w:hAnsi="Arial" w:cs="Arial"/>
          <w:i/>
          <w:iCs/>
          <w:color w:val="222222"/>
          <w:lang w:val="en-GB"/>
        </w:rPr>
        <w:t>Discover Civil Engineering</w:t>
      </w:r>
      <w:r w:rsidRPr="00691B86">
        <w:rPr>
          <w:rFonts w:ascii="Arial" w:hAnsi="Arial" w:cs="Arial"/>
          <w:color w:val="222222"/>
          <w:lang w:val="en-GB"/>
        </w:rPr>
        <w:t xml:space="preserve">, </w:t>
      </w:r>
      <w:r w:rsidRPr="00691B86">
        <w:rPr>
          <w:rFonts w:ascii="Arial" w:hAnsi="Arial" w:cs="Arial"/>
          <w:i/>
          <w:iCs/>
          <w:color w:val="222222"/>
          <w:lang w:val="en-GB"/>
        </w:rPr>
        <w:t>2</w:t>
      </w:r>
      <w:r w:rsidRPr="00691B86">
        <w:rPr>
          <w:rFonts w:ascii="Arial" w:hAnsi="Arial" w:cs="Arial"/>
          <w:color w:val="222222"/>
          <w:lang w:val="en-GB"/>
        </w:rPr>
        <w:t>(1), p.75.</w:t>
      </w:r>
      <w:r w:rsidRPr="00691B86">
        <w:rPr>
          <w:rFonts w:ascii="Arial" w:hAnsi="Arial" w:cs="Arial"/>
          <w:lang w:val="en-GB"/>
        </w:rPr>
        <w:t xml:space="preserve"> </w:t>
      </w:r>
      <w:hyperlink r:id="rId18">
        <w:r w:rsidRPr="00691B86">
          <w:rPr>
            <w:rFonts w:ascii="Arial" w:hAnsi="Arial" w:cs="Arial"/>
            <w:color w:val="1155CC"/>
            <w:u w:val="single"/>
            <w:lang w:val="en-GB"/>
          </w:rPr>
          <w:t>https://link.springer.com/content/pdf/10.1007/s44290-025-00233-9.pdf</w:t>
        </w:r>
      </w:hyperlink>
      <w:r w:rsidRPr="00691B86">
        <w:rPr>
          <w:rFonts w:ascii="Arial" w:hAnsi="Arial" w:cs="Arial"/>
          <w:lang w:val="en-GB"/>
        </w:rPr>
        <w:t xml:space="preserve"> </w:t>
      </w:r>
    </w:p>
    <w:p w14:paraId="0FE3D320" w14:textId="77777777" w:rsidR="00CA4810" w:rsidRPr="00691B86" w:rsidRDefault="00CA4810" w:rsidP="00CA4810">
      <w:pPr>
        <w:spacing w:after="100"/>
        <w:rPr>
          <w:rFonts w:ascii="Arial" w:hAnsi="Arial" w:cs="Arial"/>
          <w:lang w:val="en-GB"/>
        </w:rPr>
      </w:pPr>
      <w:proofErr w:type="spellStart"/>
      <w:r w:rsidRPr="00691B86">
        <w:rPr>
          <w:rFonts w:ascii="Arial" w:hAnsi="Arial" w:cs="Arial"/>
          <w:color w:val="222222"/>
          <w:lang w:val="en-GB"/>
        </w:rPr>
        <w:t>Kolaventi</w:t>
      </w:r>
      <w:proofErr w:type="spellEnd"/>
      <w:r w:rsidRPr="00691B86">
        <w:rPr>
          <w:rFonts w:ascii="Arial" w:hAnsi="Arial" w:cs="Arial"/>
          <w:color w:val="222222"/>
          <w:lang w:val="en-GB"/>
        </w:rPr>
        <w:t xml:space="preserve">, S.S., Momand, H., </w:t>
      </w:r>
      <w:proofErr w:type="spellStart"/>
      <w:r w:rsidRPr="00691B86">
        <w:rPr>
          <w:rFonts w:ascii="Arial" w:hAnsi="Arial" w:cs="Arial"/>
          <w:color w:val="222222"/>
          <w:lang w:val="en-GB"/>
        </w:rPr>
        <w:t>Tezeswi</w:t>
      </w:r>
      <w:proofErr w:type="spellEnd"/>
      <w:r w:rsidRPr="00691B86">
        <w:rPr>
          <w:rFonts w:ascii="Arial" w:hAnsi="Arial" w:cs="Arial"/>
          <w:color w:val="222222"/>
          <w:lang w:val="en-GB"/>
        </w:rPr>
        <w:t xml:space="preserve">, T.P. and Kumar, M.S., (2022). Implementing site waste-management plans, recycling in India: barriers, benefits, measures. In </w:t>
      </w:r>
      <w:r w:rsidRPr="00691B86">
        <w:rPr>
          <w:rFonts w:ascii="Arial" w:hAnsi="Arial" w:cs="Arial"/>
          <w:i/>
          <w:iCs/>
          <w:color w:val="222222"/>
          <w:lang w:val="en-GB"/>
        </w:rPr>
        <w:t>Proceedings of the Institution of Civil Engineers-Engineering Sustainability</w:t>
      </w:r>
      <w:r w:rsidRPr="00691B86">
        <w:rPr>
          <w:rFonts w:ascii="Arial" w:hAnsi="Arial" w:cs="Arial"/>
          <w:color w:val="222222"/>
          <w:lang w:val="en-GB"/>
        </w:rPr>
        <w:t xml:space="preserve"> (Vol. 175, No. 1, pp. 30-51). Thomas Telford Ltd.</w:t>
      </w:r>
      <w:r w:rsidRPr="00691B86">
        <w:rPr>
          <w:rFonts w:ascii="Arial" w:hAnsi="Arial" w:cs="Arial"/>
          <w:lang w:val="en-GB"/>
        </w:rPr>
        <w:t xml:space="preserve"> </w:t>
      </w:r>
      <w:hyperlink r:id="rId19">
        <w:r w:rsidRPr="00691B86">
          <w:rPr>
            <w:rFonts w:ascii="Arial" w:hAnsi="Arial" w:cs="Arial"/>
            <w:color w:val="1155CC"/>
            <w:u w:val="single"/>
            <w:lang w:val="en-GB"/>
          </w:rPr>
          <w:t>https://www.academia.edu/download/80236594/jensu.21.pdf</w:t>
        </w:r>
      </w:hyperlink>
      <w:r w:rsidRPr="00691B86">
        <w:rPr>
          <w:rFonts w:ascii="Arial" w:hAnsi="Arial" w:cs="Arial"/>
          <w:lang w:val="en-GB"/>
        </w:rPr>
        <w:t xml:space="preserve"> </w:t>
      </w:r>
    </w:p>
    <w:p w14:paraId="32273430" w14:textId="77777777" w:rsidR="00CA4810" w:rsidRPr="00691B86" w:rsidRDefault="00CA4810" w:rsidP="00CA4810">
      <w:pPr>
        <w:spacing w:after="100"/>
        <w:rPr>
          <w:rFonts w:ascii="Arial" w:hAnsi="Arial" w:cs="Arial"/>
          <w:lang w:val="en-GB"/>
        </w:rPr>
      </w:pPr>
      <w:proofErr w:type="spellStart"/>
      <w:r w:rsidRPr="00691B86">
        <w:rPr>
          <w:rFonts w:ascii="Arial" w:hAnsi="Arial" w:cs="Arial"/>
          <w:color w:val="222222"/>
          <w:lang w:val="en-GB"/>
        </w:rPr>
        <w:t>Pouresmaieli</w:t>
      </w:r>
      <w:proofErr w:type="spellEnd"/>
      <w:r w:rsidRPr="00691B86">
        <w:rPr>
          <w:rFonts w:ascii="Arial" w:hAnsi="Arial" w:cs="Arial"/>
          <w:color w:val="222222"/>
          <w:lang w:val="en-GB"/>
        </w:rPr>
        <w:t xml:space="preserve">, M., Ataei, M., </w:t>
      </w:r>
      <w:proofErr w:type="spellStart"/>
      <w:r w:rsidRPr="00691B86">
        <w:rPr>
          <w:rFonts w:ascii="Arial" w:hAnsi="Arial" w:cs="Arial"/>
          <w:color w:val="222222"/>
          <w:lang w:val="en-GB"/>
        </w:rPr>
        <w:t>Qarahasanlou</w:t>
      </w:r>
      <w:proofErr w:type="spellEnd"/>
      <w:r w:rsidRPr="00691B86">
        <w:rPr>
          <w:rFonts w:ascii="Arial" w:hAnsi="Arial" w:cs="Arial"/>
          <w:color w:val="222222"/>
          <w:lang w:val="en-GB"/>
        </w:rPr>
        <w:t xml:space="preserve">, A.N. and </w:t>
      </w:r>
      <w:proofErr w:type="spellStart"/>
      <w:r w:rsidRPr="00691B86">
        <w:rPr>
          <w:rFonts w:ascii="Arial" w:hAnsi="Arial" w:cs="Arial"/>
          <w:color w:val="222222"/>
          <w:lang w:val="en-GB"/>
        </w:rPr>
        <w:t>Barabadi</w:t>
      </w:r>
      <w:proofErr w:type="spellEnd"/>
      <w:r w:rsidRPr="00691B86">
        <w:rPr>
          <w:rFonts w:ascii="Arial" w:hAnsi="Arial" w:cs="Arial"/>
          <w:color w:val="222222"/>
          <w:lang w:val="en-GB"/>
        </w:rPr>
        <w:t xml:space="preserve">, A., (2023). Integration of renewable energy and sustainable development with strategic planning in the mining industry. </w:t>
      </w:r>
      <w:r w:rsidRPr="00691B86">
        <w:rPr>
          <w:rFonts w:ascii="Arial" w:hAnsi="Arial" w:cs="Arial"/>
          <w:i/>
          <w:iCs/>
          <w:color w:val="222222"/>
          <w:lang w:val="en-GB"/>
        </w:rPr>
        <w:t>Results in Engineering</w:t>
      </w:r>
      <w:r w:rsidRPr="00691B86">
        <w:rPr>
          <w:rFonts w:ascii="Arial" w:hAnsi="Arial" w:cs="Arial"/>
          <w:color w:val="222222"/>
          <w:lang w:val="en-GB"/>
        </w:rPr>
        <w:t xml:space="preserve">, </w:t>
      </w:r>
      <w:r w:rsidRPr="00691B86">
        <w:rPr>
          <w:rFonts w:ascii="Arial" w:hAnsi="Arial" w:cs="Arial"/>
          <w:i/>
          <w:iCs/>
          <w:color w:val="222222"/>
          <w:lang w:val="en-GB"/>
        </w:rPr>
        <w:t>20</w:t>
      </w:r>
      <w:r w:rsidRPr="00691B86">
        <w:rPr>
          <w:rFonts w:ascii="Arial" w:hAnsi="Arial" w:cs="Arial"/>
          <w:color w:val="222222"/>
          <w:lang w:val="en-GB"/>
        </w:rPr>
        <w:t>, p.101412.</w:t>
      </w:r>
      <w:r w:rsidRPr="00691B86">
        <w:rPr>
          <w:rFonts w:ascii="Arial" w:hAnsi="Arial" w:cs="Arial"/>
          <w:lang w:val="en-GB"/>
        </w:rPr>
        <w:t xml:space="preserve"> </w:t>
      </w:r>
      <w:hyperlink r:id="rId20">
        <w:r w:rsidRPr="00691B86">
          <w:rPr>
            <w:rFonts w:ascii="Arial" w:hAnsi="Arial" w:cs="Arial"/>
            <w:color w:val="1155CC"/>
            <w:u w:val="single"/>
            <w:lang w:val="en-GB"/>
          </w:rPr>
          <w:t>https://www.sciencedirect.com/science/article/pii/S259012302300539X</w:t>
        </w:r>
      </w:hyperlink>
      <w:r w:rsidRPr="00691B86">
        <w:rPr>
          <w:rFonts w:ascii="Arial" w:hAnsi="Arial" w:cs="Arial"/>
          <w:lang w:val="en-GB"/>
        </w:rPr>
        <w:t xml:space="preserve"> </w:t>
      </w:r>
    </w:p>
    <w:p w14:paraId="35B12180" w14:textId="08CE6CBC" w:rsidR="00CA4810" w:rsidRPr="00691B86" w:rsidRDefault="00CA4810">
      <w:pPr>
        <w:spacing w:after="100"/>
        <w:rPr>
          <w:rFonts w:ascii="Arial" w:hAnsi="Arial" w:cs="Arial"/>
          <w:lang w:val="en-GB"/>
        </w:rPr>
      </w:pPr>
      <w:r w:rsidRPr="00691B86">
        <w:rPr>
          <w:rFonts w:ascii="Arial" w:hAnsi="Arial" w:cs="Arial"/>
          <w:color w:val="222222"/>
          <w:lang w:val="en-GB"/>
        </w:rPr>
        <w:lastRenderedPageBreak/>
        <w:t xml:space="preserve">Wilson, D.C., Paul, J., Ramola, A. and Filho, C.S., (2024). Unlocking the significant worldwide potential of better waste and resource management for climate mitigation: with particular focus on the Global South. </w:t>
      </w:r>
      <w:r w:rsidRPr="00691B86">
        <w:rPr>
          <w:rFonts w:ascii="Arial" w:hAnsi="Arial" w:cs="Arial"/>
          <w:i/>
          <w:iCs/>
          <w:color w:val="222222"/>
          <w:lang w:val="en-GB"/>
        </w:rPr>
        <w:t>Waste Management &amp; Research</w:t>
      </w:r>
      <w:r w:rsidRPr="00691B86">
        <w:rPr>
          <w:rFonts w:ascii="Arial" w:hAnsi="Arial" w:cs="Arial"/>
          <w:color w:val="222222"/>
          <w:lang w:val="en-GB"/>
        </w:rPr>
        <w:t xml:space="preserve">, </w:t>
      </w:r>
      <w:r w:rsidRPr="00691B86">
        <w:rPr>
          <w:rFonts w:ascii="Arial" w:hAnsi="Arial" w:cs="Arial"/>
          <w:i/>
          <w:iCs/>
          <w:color w:val="222222"/>
          <w:lang w:val="en-GB"/>
        </w:rPr>
        <w:t>42</w:t>
      </w:r>
      <w:r w:rsidRPr="00691B86">
        <w:rPr>
          <w:rFonts w:ascii="Arial" w:hAnsi="Arial" w:cs="Arial"/>
          <w:color w:val="222222"/>
          <w:lang w:val="en-GB"/>
        </w:rPr>
        <w:t>(10), pp.860-872.</w:t>
      </w:r>
      <w:r w:rsidRPr="00691B86">
        <w:rPr>
          <w:rFonts w:ascii="Arial" w:hAnsi="Arial" w:cs="Arial"/>
          <w:lang w:val="en-GB"/>
        </w:rPr>
        <w:t xml:space="preserve"> </w:t>
      </w:r>
      <w:hyperlink r:id="rId21">
        <w:r w:rsidRPr="00691B86">
          <w:rPr>
            <w:rFonts w:ascii="Arial" w:hAnsi="Arial" w:cs="Arial"/>
            <w:color w:val="1155CC"/>
            <w:u w:val="single"/>
            <w:lang w:val="en-GB"/>
          </w:rPr>
          <w:t>https://journals.sagepub.com/doi/pdf/10.1177/0734242X241262717</w:t>
        </w:r>
      </w:hyperlink>
      <w:r w:rsidRPr="00691B86">
        <w:rPr>
          <w:rFonts w:ascii="Arial" w:hAnsi="Arial" w:cs="Arial"/>
          <w:lang w:val="en-GB"/>
        </w:rPr>
        <w:t xml:space="preserve"> </w:t>
      </w:r>
    </w:p>
    <w:p w14:paraId="022B887E" w14:textId="02A4D2DC" w:rsidR="004E1A16" w:rsidRPr="00691B86" w:rsidRDefault="004E757B">
      <w:pPr>
        <w:spacing w:after="100"/>
        <w:rPr>
          <w:rFonts w:ascii="Arial" w:hAnsi="Arial" w:cs="Arial"/>
          <w:b/>
          <w:bCs/>
          <w:i/>
          <w:iCs/>
          <w:u w:val="single"/>
          <w:lang w:val="en-GB"/>
        </w:rPr>
      </w:pPr>
      <w:r w:rsidRPr="00691B86">
        <w:rPr>
          <w:rFonts w:ascii="Arial" w:hAnsi="Arial" w:cs="Arial"/>
          <w:b/>
          <w:bCs/>
          <w:i/>
          <w:iCs/>
          <w:u w:val="single"/>
          <w:lang w:val="en-GB"/>
        </w:rPr>
        <w:t>Web</w:t>
      </w:r>
      <w:r w:rsidR="00CA4810" w:rsidRPr="00691B86">
        <w:rPr>
          <w:rFonts w:ascii="Arial" w:hAnsi="Arial" w:cs="Arial"/>
          <w:b/>
          <w:bCs/>
          <w:i/>
          <w:iCs/>
          <w:u w:val="single"/>
          <w:lang w:val="en-GB"/>
        </w:rPr>
        <w:t>site</w:t>
      </w:r>
      <w:r w:rsidRPr="00691B86">
        <w:rPr>
          <w:rFonts w:ascii="Arial" w:hAnsi="Arial" w:cs="Arial"/>
          <w:b/>
          <w:bCs/>
          <w:i/>
          <w:iCs/>
          <w:u w:val="single"/>
          <w:lang w:val="en-GB"/>
        </w:rPr>
        <w:t xml:space="preserve"> </w:t>
      </w:r>
      <w:r w:rsidR="00CA4810" w:rsidRPr="00691B86">
        <w:rPr>
          <w:rFonts w:ascii="Arial" w:hAnsi="Arial" w:cs="Arial"/>
          <w:b/>
          <w:bCs/>
          <w:i/>
          <w:iCs/>
          <w:u w:val="single"/>
          <w:lang w:val="en-GB"/>
        </w:rPr>
        <w:t>Sources</w:t>
      </w:r>
    </w:p>
    <w:p w14:paraId="10097FBE" w14:textId="77777777" w:rsidR="00C67E1B" w:rsidRPr="00691B86" w:rsidRDefault="00C67E1B">
      <w:pPr>
        <w:spacing w:after="100"/>
        <w:rPr>
          <w:rFonts w:ascii="Arial" w:hAnsi="Arial" w:cs="Arial"/>
          <w:lang w:val="en-GB"/>
        </w:rPr>
      </w:pPr>
      <w:r w:rsidRPr="00691B86">
        <w:rPr>
          <w:rFonts w:ascii="Arial" w:hAnsi="Arial" w:cs="Arial"/>
          <w:lang w:val="en-GB"/>
        </w:rPr>
        <w:t xml:space="preserve">BHP (2026). </w:t>
      </w:r>
      <w:r w:rsidRPr="00691B86">
        <w:rPr>
          <w:rFonts w:ascii="Arial" w:hAnsi="Arial" w:cs="Arial"/>
          <w:i/>
          <w:iCs/>
          <w:lang w:val="en-GB"/>
        </w:rPr>
        <w:t>About us</w:t>
      </w:r>
      <w:r w:rsidRPr="00691B86">
        <w:rPr>
          <w:rFonts w:ascii="Arial" w:hAnsi="Arial" w:cs="Arial"/>
          <w:lang w:val="en-GB"/>
        </w:rPr>
        <w:t xml:space="preserve">, Available at: </w:t>
      </w:r>
      <w:hyperlink r:id="rId22">
        <w:r w:rsidRPr="00691B86">
          <w:rPr>
            <w:rFonts w:ascii="Arial" w:hAnsi="Arial" w:cs="Arial"/>
            <w:color w:val="1155CC"/>
            <w:u w:val="single"/>
            <w:lang w:val="en-GB"/>
          </w:rPr>
          <w:t>https://www.bhp.com/about</w:t>
        </w:r>
      </w:hyperlink>
      <w:r w:rsidRPr="00691B86">
        <w:rPr>
          <w:rFonts w:ascii="Arial" w:hAnsi="Arial" w:cs="Arial"/>
          <w:lang w:val="en-GB"/>
        </w:rPr>
        <w:t xml:space="preserve"> [Accessed: 9th Oct 2026]</w:t>
      </w:r>
    </w:p>
    <w:p w14:paraId="57764C20" w14:textId="77777777" w:rsidR="00C67E1B" w:rsidRPr="00691B86" w:rsidRDefault="00C67E1B">
      <w:pPr>
        <w:spacing w:after="100"/>
        <w:rPr>
          <w:rFonts w:ascii="Arial" w:hAnsi="Arial" w:cs="Arial"/>
          <w:lang w:val="en-GB"/>
        </w:rPr>
      </w:pPr>
      <w:r w:rsidRPr="00691B86">
        <w:rPr>
          <w:rFonts w:ascii="Arial" w:hAnsi="Arial" w:cs="Arial"/>
          <w:lang w:val="en-GB"/>
        </w:rPr>
        <w:t xml:space="preserve">DCCEEW (2026). </w:t>
      </w:r>
      <w:r w:rsidRPr="00691B86">
        <w:rPr>
          <w:rFonts w:ascii="Arial" w:hAnsi="Arial" w:cs="Arial"/>
          <w:i/>
          <w:iCs/>
          <w:lang w:val="en-GB"/>
        </w:rPr>
        <w:t>Environment Protection and Biodiversity Conservation Act 1999 (EPBC Act)</w:t>
      </w:r>
      <w:r w:rsidRPr="00691B86">
        <w:rPr>
          <w:rFonts w:ascii="Arial" w:hAnsi="Arial" w:cs="Arial"/>
          <w:lang w:val="en-GB"/>
        </w:rPr>
        <w:t xml:space="preserve">, Available at: </w:t>
      </w:r>
      <w:hyperlink r:id="rId23">
        <w:r w:rsidRPr="00691B86">
          <w:rPr>
            <w:rFonts w:ascii="Arial" w:hAnsi="Arial" w:cs="Arial"/>
            <w:color w:val="1155CC"/>
            <w:u w:val="single"/>
            <w:lang w:val="en-GB"/>
          </w:rPr>
          <w:t>https://www.dcceew.gov.au/environment/epbc</w:t>
        </w:r>
      </w:hyperlink>
      <w:r w:rsidRPr="00691B86">
        <w:rPr>
          <w:rFonts w:ascii="Arial" w:hAnsi="Arial" w:cs="Arial"/>
          <w:lang w:val="en-GB"/>
        </w:rPr>
        <w:t xml:space="preserve"> [Accessed: 8th Oct 2026]</w:t>
      </w:r>
    </w:p>
    <w:p w14:paraId="705358FD" w14:textId="77777777" w:rsidR="00C67E1B" w:rsidRPr="00691B86" w:rsidRDefault="00C67E1B">
      <w:pPr>
        <w:spacing w:after="100"/>
        <w:rPr>
          <w:rFonts w:ascii="Arial" w:hAnsi="Arial" w:cs="Arial"/>
          <w:lang w:val="en-GB"/>
        </w:rPr>
      </w:pPr>
      <w:r w:rsidRPr="00691B86">
        <w:rPr>
          <w:rFonts w:ascii="Arial" w:hAnsi="Arial" w:cs="Arial"/>
          <w:lang w:val="en-GB"/>
        </w:rPr>
        <w:t xml:space="preserve">Europa (2026). </w:t>
      </w:r>
      <w:r w:rsidRPr="00691B86">
        <w:rPr>
          <w:rFonts w:ascii="Arial" w:hAnsi="Arial" w:cs="Arial"/>
          <w:i/>
          <w:iCs/>
          <w:lang w:val="en-GB"/>
        </w:rPr>
        <w:t>Environmental policy: general principles and policy framework</w:t>
      </w:r>
      <w:r w:rsidRPr="00691B86">
        <w:rPr>
          <w:rFonts w:ascii="Arial" w:hAnsi="Arial" w:cs="Arial"/>
          <w:lang w:val="en-GB"/>
        </w:rPr>
        <w:t xml:space="preserve">, Available at: </w:t>
      </w:r>
      <w:hyperlink r:id="rId24">
        <w:r w:rsidRPr="00691B86">
          <w:rPr>
            <w:rFonts w:ascii="Arial" w:hAnsi="Arial" w:cs="Arial"/>
            <w:color w:val="1155CC"/>
            <w:u w:val="single"/>
            <w:lang w:val="en-GB"/>
          </w:rPr>
          <w:t>https://www.europarl.europa.eu/factsheets/en/sheet/71/environment-policy-general-principles-and-basic-framework</w:t>
        </w:r>
      </w:hyperlink>
      <w:r w:rsidRPr="00691B86">
        <w:rPr>
          <w:rFonts w:ascii="Arial" w:hAnsi="Arial" w:cs="Arial"/>
          <w:lang w:val="en-GB"/>
        </w:rPr>
        <w:t xml:space="preserve"> [Accessed: 8th Oct 2026]</w:t>
      </w:r>
    </w:p>
    <w:p w14:paraId="4889DB4B" w14:textId="77777777" w:rsidR="00C67E1B" w:rsidRPr="00691B86" w:rsidRDefault="00C67E1B">
      <w:pPr>
        <w:spacing w:after="100"/>
        <w:rPr>
          <w:rFonts w:ascii="Arial" w:hAnsi="Arial" w:cs="Arial"/>
          <w:lang w:val="en-GB"/>
        </w:rPr>
      </w:pPr>
      <w:r w:rsidRPr="00691B86">
        <w:rPr>
          <w:rFonts w:ascii="Arial" w:hAnsi="Arial" w:cs="Arial"/>
          <w:lang w:val="en-GB"/>
        </w:rPr>
        <w:t xml:space="preserve">Experion AU (2026). </w:t>
      </w:r>
      <w:r w:rsidRPr="00691B86">
        <w:rPr>
          <w:rFonts w:ascii="Arial" w:hAnsi="Arial" w:cs="Arial"/>
          <w:i/>
          <w:iCs/>
          <w:lang w:val="en-GB"/>
        </w:rPr>
        <w:t>Sustainable Tech</w:t>
      </w:r>
      <w:r w:rsidRPr="00691B86">
        <w:rPr>
          <w:rFonts w:ascii="Arial" w:hAnsi="Arial" w:cs="Arial"/>
          <w:lang w:val="en-GB"/>
        </w:rPr>
        <w:t xml:space="preserve">, Available at: </w:t>
      </w:r>
      <w:hyperlink r:id="rId25">
        <w:r w:rsidRPr="00691B86">
          <w:rPr>
            <w:rFonts w:ascii="Arial" w:hAnsi="Arial" w:cs="Arial"/>
            <w:color w:val="1155CC"/>
            <w:u w:val="single"/>
            <w:lang w:val="en-GB"/>
          </w:rPr>
          <w:t>https://experion.au/sustainable-tech/</w:t>
        </w:r>
      </w:hyperlink>
      <w:r w:rsidRPr="00691B86">
        <w:rPr>
          <w:rFonts w:ascii="Arial" w:hAnsi="Arial" w:cs="Arial"/>
          <w:lang w:val="en-GB"/>
        </w:rPr>
        <w:t xml:space="preserve"> [Accessed: 8th Oct 2026]</w:t>
      </w:r>
    </w:p>
    <w:p w14:paraId="6BAEAFF9" w14:textId="77777777" w:rsidR="00C67E1B" w:rsidRPr="00691B86" w:rsidRDefault="00C67E1B">
      <w:pPr>
        <w:spacing w:after="100"/>
        <w:rPr>
          <w:rFonts w:ascii="Arial" w:hAnsi="Arial" w:cs="Arial"/>
          <w:lang w:val="en-GB"/>
        </w:rPr>
      </w:pPr>
      <w:r w:rsidRPr="00691B86">
        <w:rPr>
          <w:rFonts w:ascii="Arial" w:hAnsi="Arial" w:cs="Arial"/>
          <w:lang w:val="en-GB"/>
        </w:rPr>
        <w:t xml:space="preserve">GOV AU (2024). </w:t>
      </w:r>
      <w:r w:rsidRPr="00691B86">
        <w:rPr>
          <w:rFonts w:ascii="Arial" w:hAnsi="Arial" w:cs="Arial"/>
          <w:i/>
          <w:iCs/>
          <w:lang w:val="en-GB"/>
        </w:rPr>
        <w:t>Australian Government Climate Change Commitments, Policies and Programs</w:t>
      </w:r>
      <w:r w:rsidRPr="00691B86">
        <w:rPr>
          <w:rFonts w:ascii="Arial" w:hAnsi="Arial" w:cs="Arial"/>
          <w:lang w:val="en-GB"/>
        </w:rPr>
        <w:t xml:space="preserve">, Available at: </w:t>
      </w:r>
      <w:hyperlink r:id="rId26">
        <w:r w:rsidRPr="00691B86">
          <w:rPr>
            <w:rFonts w:ascii="Arial" w:hAnsi="Arial" w:cs="Arial"/>
            <w:color w:val="1155CC"/>
            <w:u w:val="single"/>
            <w:lang w:val="en-GB"/>
          </w:rPr>
          <w:t>https://www.aofm.gov.au/sites/default/files/2024-02-02/Climate%20change%20slides%20updated%20February%202024.pdf</w:t>
        </w:r>
      </w:hyperlink>
      <w:r w:rsidRPr="00691B86">
        <w:rPr>
          <w:rFonts w:ascii="Arial" w:hAnsi="Arial" w:cs="Arial"/>
          <w:lang w:val="en-GB"/>
        </w:rPr>
        <w:t xml:space="preserve"> [Accessed: 8th Oct 2026]</w:t>
      </w:r>
    </w:p>
    <w:p w14:paraId="27A1DA98" w14:textId="77777777" w:rsidR="00C67E1B" w:rsidRPr="00691B86" w:rsidRDefault="00C67E1B">
      <w:pPr>
        <w:spacing w:after="100"/>
        <w:rPr>
          <w:rFonts w:ascii="Arial" w:hAnsi="Arial" w:cs="Arial"/>
          <w:lang w:val="en-GB"/>
        </w:rPr>
      </w:pPr>
      <w:proofErr w:type="spellStart"/>
      <w:r w:rsidRPr="00691B86">
        <w:rPr>
          <w:rFonts w:ascii="Arial" w:hAnsi="Arial" w:cs="Arial"/>
          <w:lang w:val="en-GB"/>
        </w:rPr>
        <w:t>Muschter</w:t>
      </w:r>
      <w:proofErr w:type="spellEnd"/>
      <w:r w:rsidRPr="00691B86">
        <w:rPr>
          <w:rFonts w:ascii="Arial" w:hAnsi="Arial" w:cs="Arial"/>
          <w:lang w:val="en-GB"/>
        </w:rPr>
        <w:t xml:space="preserve">, R. (2025a). </w:t>
      </w:r>
      <w:r w:rsidRPr="00691B86">
        <w:rPr>
          <w:rFonts w:ascii="Arial" w:hAnsi="Arial" w:cs="Arial"/>
          <w:i/>
          <w:iCs/>
          <w:lang w:val="en-GB"/>
        </w:rPr>
        <w:t>Mining industry in Australia - statistics &amp; facts</w:t>
      </w:r>
      <w:r w:rsidRPr="00691B86">
        <w:rPr>
          <w:rFonts w:ascii="Arial" w:hAnsi="Arial" w:cs="Arial"/>
          <w:lang w:val="en-GB"/>
        </w:rPr>
        <w:t xml:space="preserve">, Available at: </w:t>
      </w:r>
      <w:hyperlink r:id="rId27" w:anchor="topicOverview">
        <w:r w:rsidRPr="00691B86">
          <w:rPr>
            <w:rFonts w:ascii="Arial" w:hAnsi="Arial" w:cs="Arial"/>
            <w:color w:val="1155CC"/>
            <w:u w:val="single"/>
            <w:lang w:val="en-GB"/>
          </w:rPr>
          <w:t>https://www.statista.com/topics/4671/mining-industry-in-australia/?srsltid=AU7gw4UUHNBNwv8r9QjGRbXGCmlQQHGUX0fyDzcA2-_4vWIJJ3EtbHSb#topicOverview</w:t>
        </w:r>
      </w:hyperlink>
      <w:r w:rsidRPr="00691B86">
        <w:rPr>
          <w:rFonts w:ascii="Arial" w:hAnsi="Arial" w:cs="Arial"/>
          <w:lang w:val="en-GB"/>
        </w:rPr>
        <w:t xml:space="preserve"> [Accessed: 9th Oct 2026]</w:t>
      </w:r>
    </w:p>
    <w:p w14:paraId="074BCBDE" w14:textId="77777777" w:rsidR="00C67E1B" w:rsidRPr="00691B86" w:rsidRDefault="00C67E1B">
      <w:pPr>
        <w:spacing w:after="100"/>
        <w:rPr>
          <w:rFonts w:ascii="Arial" w:hAnsi="Arial" w:cs="Arial"/>
          <w:lang w:val="en-GB"/>
        </w:rPr>
      </w:pPr>
      <w:proofErr w:type="spellStart"/>
      <w:r w:rsidRPr="00691B86">
        <w:rPr>
          <w:rFonts w:ascii="Arial" w:hAnsi="Arial" w:cs="Arial"/>
          <w:lang w:val="en-GB"/>
        </w:rPr>
        <w:t>Muschter</w:t>
      </w:r>
      <w:proofErr w:type="spellEnd"/>
      <w:r w:rsidRPr="00691B86">
        <w:rPr>
          <w:rFonts w:ascii="Arial" w:hAnsi="Arial" w:cs="Arial"/>
          <w:lang w:val="en-GB"/>
        </w:rPr>
        <w:t xml:space="preserve">, R. (2025b). </w:t>
      </w:r>
      <w:r w:rsidRPr="00691B86">
        <w:rPr>
          <w:rFonts w:ascii="Arial" w:hAnsi="Arial" w:cs="Arial"/>
          <w:i/>
          <w:iCs/>
          <w:lang w:val="en-GB"/>
        </w:rPr>
        <w:t>Sustainable Tech</w:t>
      </w:r>
      <w:r w:rsidRPr="00691B86">
        <w:rPr>
          <w:rFonts w:ascii="Arial" w:hAnsi="Arial" w:cs="Arial"/>
          <w:lang w:val="en-GB"/>
        </w:rPr>
        <w:t xml:space="preserve">, Available at: </w:t>
      </w:r>
      <w:hyperlink r:id="rId28">
        <w:r w:rsidRPr="00691B86">
          <w:rPr>
            <w:rFonts w:ascii="Arial" w:hAnsi="Arial" w:cs="Arial"/>
            <w:color w:val="1155CC"/>
            <w:u w:val="single"/>
            <w:lang w:val="en-GB"/>
          </w:rPr>
          <w:t>https://www.statista.com/topics/3401/bhp-billiton/?srsltid=AU7gw4XaHTa_JwqYgPS_W1FLPcCpH2OoLEJxsC9Nzf3T_AT-P1KnU_aP</w:t>
        </w:r>
      </w:hyperlink>
      <w:r w:rsidRPr="00691B86">
        <w:rPr>
          <w:rFonts w:ascii="Arial" w:hAnsi="Arial" w:cs="Arial"/>
          <w:lang w:val="en-GB"/>
        </w:rPr>
        <w:t xml:space="preserve"> [Accessed: 8th Oct 2026]</w:t>
      </w:r>
    </w:p>
    <w:p w14:paraId="01D8C48A" w14:textId="77777777" w:rsidR="00C67E1B" w:rsidRPr="00691B86" w:rsidRDefault="00C67E1B">
      <w:pPr>
        <w:spacing w:after="100"/>
        <w:rPr>
          <w:rFonts w:ascii="Arial" w:hAnsi="Arial" w:cs="Arial"/>
          <w:lang w:val="en-GB"/>
        </w:rPr>
      </w:pPr>
      <w:r w:rsidRPr="00691B86">
        <w:rPr>
          <w:rFonts w:ascii="Arial" w:hAnsi="Arial" w:cs="Arial"/>
          <w:lang w:val="en-GB"/>
        </w:rPr>
        <w:lastRenderedPageBreak/>
        <w:t xml:space="preserve">Statista (2024). </w:t>
      </w:r>
      <w:r w:rsidRPr="00691B86">
        <w:rPr>
          <w:rFonts w:ascii="Arial" w:hAnsi="Arial" w:cs="Arial"/>
          <w:i/>
          <w:iCs/>
          <w:lang w:val="en-GB"/>
        </w:rPr>
        <w:t>BHP's operational greenhouse gas emissions from FY 2020 to FY 2024</w:t>
      </w:r>
      <w:r w:rsidRPr="00691B86">
        <w:rPr>
          <w:rFonts w:ascii="Arial" w:hAnsi="Arial" w:cs="Arial"/>
          <w:lang w:val="en-GB"/>
        </w:rPr>
        <w:t xml:space="preserve">, Available at: </w:t>
      </w:r>
      <w:hyperlink r:id="rId29">
        <w:r w:rsidRPr="00691B86">
          <w:rPr>
            <w:rFonts w:ascii="Arial" w:hAnsi="Arial" w:cs="Arial"/>
            <w:color w:val="1155CC"/>
            <w:u w:val="single"/>
            <w:lang w:val="en-GB"/>
          </w:rPr>
          <w:t>https://www.statista.com/statistics/1407581/bhp-operational-emissions-of-greenhouse-gases/?srsltid=AU7gw4U3HB0T27S6Npv3flqpqdixawhB9eYdP7sbXCJYaHtlz-UyUn1-</w:t>
        </w:r>
      </w:hyperlink>
      <w:r w:rsidRPr="00691B86">
        <w:rPr>
          <w:rFonts w:ascii="Arial" w:hAnsi="Arial" w:cs="Arial"/>
          <w:lang w:val="en-GB"/>
        </w:rPr>
        <w:t xml:space="preserve"> [Accessed: 8th Oct 2026]</w:t>
      </w:r>
    </w:p>
    <w:p w14:paraId="73F8A125" w14:textId="77777777" w:rsidR="00C67E1B" w:rsidRPr="00691B86" w:rsidRDefault="00C67E1B">
      <w:pPr>
        <w:spacing w:after="100"/>
        <w:rPr>
          <w:rFonts w:ascii="Arial" w:hAnsi="Arial" w:cs="Arial"/>
          <w:lang w:val="en-GB"/>
        </w:rPr>
      </w:pPr>
      <w:r w:rsidRPr="00691B86">
        <w:rPr>
          <w:rFonts w:ascii="Arial" w:hAnsi="Arial" w:cs="Arial"/>
          <w:lang w:val="en-GB"/>
        </w:rPr>
        <w:t xml:space="preserve">Statista (2025). </w:t>
      </w:r>
      <w:r w:rsidRPr="00691B86">
        <w:rPr>
          <w:rFonts w:ascii="Arial" w:hAnsi="Arial" w:cs="Arial"/>
          <w:i/>
          <w:iCs/>
          <w:lang w:val="en-GB"/>
        </w:rPr>
        <w:t>Annual volume of greenhouse gas emissions in Australia from 2015 to 2024</w:t>
      </w:r>
      <w:r w:rsidRPr="00691B86">
        <w:rPr>
          <w:rFonts w:ascii="Arial" w:hAnsi="Arial" w:cs="Arial"/>
          <w:lang w:val="en-GB"/>
        </w:rPr>
        <w:t xml:space="preserve">, Available at: </w:t>
      </w:r>
      <w:hyperlink r:id="rId30">
        <w:r w:rsidRPr="00691B86">
          <w:rPr>
            <w:rFonts w:ascii="Arial" w:hAnsi="Arial" w:cs="Arial"/>
            <w:color w:val="1155CC"/>
            <w:u w:val="single"/>
            <w:lang w:val="en-GB"/>
          </w:rPr>
          <w:t>https://www.statista.com/statistics/1014951/australia-yearly-greenhouse-gas-emissions/?srsltid=AU7gw4VW7xNRwLZLB21rrDNFgHAR1PpirIX6wILXySQdSIddvXKzEgdp</w:t>
        </w:r>
      </w:hyperlink>
      <w:r w:rsidRPr="00691B86">
        <w:rPr>
          <w:rFonts w:ascii="Arial" w:hAnsi="Arial" w:cs="Arial"/>
          <w:lang w:val="en-GB"/>
        </w:rPr>
        <w:t xml:space="preserve"> [Accessed: 9th Oct 2026]</w:t>
      </w:r>
    </w:p>
    <w:p w14:paraId="0CA7E76D" w14:textId="6667D8D7" w:rsidR="0056144A" w:rsidRPr="00691B86" w:rsidRDefault="0056144A">
      <w:pPr>
        <w:spacing w:after="100"/>
        <w:rPr>
          <w:rFonts w:ascii="Arial" w:hAnsi="Arial" w:cs="Arial"/>
          <w:lang w:val="en-US"/>
        </w:rPr>
      </w:pPr>
      <w:r w:rsidRPr="00691B86">
        <w:rPr>
          <w:rFonts w:ascii="Arial" w:hAnsi="Arial" w:cs="Arial"/>
          <w:lang w:val="en-US"/>
        </w:rPr>
        <w:t xml:space="preserve">Sharma, N. (2025). </w:t>
      </w:r>
      <w:r w:rsidRPr="00691B86">
        <w:rPr>
          <w:rFonts w:ascii="Arial" w:hAnsi="Arial" w:cs="Arial"/>
          <w:i/>
          <w:iCs/>
          <w:lang w:val="en-US"/>
        </w:rPr>
        <w:t>10 Ways Technology is shaping the renewable energy industry in Australia</w:t>
      </w:r>
      <w:r w:rsidRPr="00691B86">
        <w:rPr>
          <w:rFonts w:ascii="Arial" w:hAnsi="Arial" w:cs="Arial"/>
          <w:lang w:val="en-US"/>
        </w:rPr>
        <w:t xml:space="preserve">. [online] </w:t>
      </w:r>
      <w:proofErr w:type="spellStart"/>
      <w:r w:rsidRPr="00691B86">
        <w:rPr>
          <w:rFonts w:ascii="Arial" w:hAnsi="Arial" w:cs="Arial"/>
          <w:lang w:val="en-US"/>
        </w:rPr>
        <w:t>Appinventiv</w:t>
      </w:r>
      <w:proofErr w:type="spellEnd"/>
      <w:r w:rsidRPr="00691B86">
        <w:rPr>
          <w:rFonts w:ascii="Arial" w:hAnsi="Arial" w:cs="Arial"/>
          <w:lang w:val="en-US"/>
        </w:rPr>
        <w:t xml:space="preserve">. Available at: </w:t>
      </w:r>
      <w:hyperlink r:id="rId31" w:history="1">
        <w:r w:rsidRPr="00691B86">
          <w:rPr>
            <w:rStyle w:val="Hyperlink"/>
            <w:rFonts w:ascii="Arial" w:hAnsi="Arial" w:cs="Arial"/>
            <w:lang w:val="en-US"/>
          </w:rPr>
          <w:t>https://appinventiv.com/blog/technology-shaping-renewable-energy-in-australia/</w:t>
        </w:r>
      </w:hyperlink>
      <w:r w:rsidRPr="00691B86">
        <w:rPr>
          <w:rFonts w:ascii="Arial" w:hAnsi="Arial" w:cs="Arial"/>
          <w:lang w:val="en-US"/>
        </w:rPr>
        <w:t xml:space="preserve">  [Accessed: 10 Oct 2026].</w:t>
      </w:r>
    </w:p>
    <w:sectPr w:rsidR="0056144A" w:rsidRPr="00691B86" w:rsidSect="00977F6A">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209B3" w14:textId="77777777" w:rsidR="00AE753B" w:rsidRDefault="00AE753B">
      <w:pPr>
        <w:spacing w:before="0" w:after="0" w:line="240" w:lineRule="auto"/>
      </w:pPr>
      <w:r>
        <w:separator/>
      </w:r>
    </w:p>
  </w:endnote>
  <w:endnote w:type="continuationSeparator" w:id="0">
    <w:p w14:paraId="7A4979D2" w14:textId="77777777" w:rsidR="00AE753B" w:rsidRDefault="00AE75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E7471522-CEA5-4036-9ACD-F81DADE5CDD0}"/>
  </w:font>
  <w:font w:name="Calibri">
    <w:panose1 w:val="020F0502020204030204"/>
    <w:charset w:val="00"/>
    <w:family w:val="swiss"/>
    <w:pitch w:val="variable"/>
    <w:sig w:usb0="E4002EFF" w:usb1="C200ACFF" w:usb2="00000009" w:usb3="00000000" w:csb0="000001FF" w:csb1="00000000"/>
    <w:embedRegular r:id="rId2" w:fontKey="{02EDA980-6B24-426A-B9E1-2EA676B4F969}"/>
  </w:font>
  <w:font w:name="Cambria">
    <w:panose1 w:val="02040503050406030204"/>
    <w:charset w:val="00"/>
    <w:family w:val="roman"/>
    <w:pitch w:val="variable"/>
    <w:sig w:usb0="E00006FF" w:usb1="420024FF" w:usb2="02000000" w:usb3="00000000" w:csb0="0000019F" w:csb1="00000000"/>
    <w:embedRegular r:id="rId3" w:fontKey="{6A86CF65-9B97-47D9-A81E-71D3674176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32B7E" w14:textId="77777777" w:rsidR="004E1A16" w:rsidRDefault="004E757B">
    <w:pPr>
      <w:jc w:val="right"/>
      <w:rPr>
        <w:sz w:val="20"/>
        <w:szCs w:val="20"/>
      </w:rPr>
    </w:pPr>
    <w:r>
      <w:rPr>
        <w:sz w:val="20"/>
        <w:szCs w:val="20"/>
      </w:rPr>
      <w:fldChar w:fldCharType="begin"/>
    </w:r>
    <w:r>
      <w:rPr>
        <w:sz w:val="20"/>
        <w:szCs w:val="20"/>
      </w:rPr>
      <w:instrText>PAGE</w:instrText>
    </w:r>
    <w:r>
      <w:rPr>
        <w:sz w:val="20"/>
        <w:szCs w:val="20"/>
      </w:rPr>
      <w:fldChar w:fldCharType="separate"/>
    </w:r>
    <w:r w:rsidR="00026D58">
      <w:rPr>
        <w:noProof/>
        <w:sz w:val="20"/>
        <w:szCs w:val="20"/>
      </w:rPr>
      <w:t>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15D3F" w14:textId="77777777" w:rsidR="00AE753B" w:rsidRDefault="00AE753B">
      <w:pPr>
        <w:spacing w:before="0" w:after="0" w:line="240" w:lineRule="auto"/>
      </w:pPr>
      <w:r>
        <w:separator/>
      </w:r>
    </w:p>
  </w:footnote>
  <w:footnote w:type="continuationSeparator" w:id="0">
    <w:p w14:paraId="527D03F4" w14:textId="77777777" w:rsidR="00AE753B" w:rsidRDefault="00AE753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19A2"/>
    <w:multiLevelType w:val="multilevel"/>
    <w:tmpl w:val="2FD0C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B916F0"/>
    <w:multiLevelType w:val="multilevel"/>
    <w:tmpl w:val="7AAA2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184DD6"/>
    <w:multiLevelType w:val="multilevel"/>
    <w:tmpl w:val="8CD89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BC575F"/>
    <w:multiLevelType w:val="multilevel"/>
    <w:tmpl w:val="5A26E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7D5496"/>
    <w:multiLevelType w:val="multilevel"/>
    <w:tmpl w:val="90FEE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B8D6011"/>
    <w:multiLevelType w:val="multilevel"/>
    <w:tmpl w:val="5C824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EF162C2"/>
    <w:multiLevelType w:val="multilevel"/>
    <w:tmpl w:val="FEE07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8674335">
    <w:abstractNumId w:val="3"/>
  </w:num>
  <w:num w:numId="2" w16cid:durableId="1735085067">
    <w:abstractNumId w:val="1"/>
  </w:num>
  <w:num w:numId="3" w16cid:durableId="517693903">
    <w:abstractNumId w:val="4"/>
  </w:num>
  <w:num w:numId="4" w16cid:durableId="522134650">
    <w:abstractNumId w:val="2"/>
  </w:num>
  <w:num w:numId="5" w16cid:durableId="1438285628">
    <w:abstractNumId w:val="0"/>
  </w:num>
  <w:num w:numId="6" w16cid:durableId="278611771">
    <w:abstractNumId w:val="5"/>
  </w:num>
  <w:num w:numId="7" w16cid:durableId="10445272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A16"/>
    <w:rsid w:val="00005B03"/>
    <w:rsid w:val="00026D58"/>
    <w:rsid w:val="00072CF7"/>
    <w:rsid w:val="00095232"/>
    <w:rsid w:val="000A2FC2"/>
    <w:rsid w:val="00133578"/>
    <w:rsid w:val="0013650F"/>
    <w:rsid w:val="001A41F5"/>
    <w:rsid w:val="001A7790"/>
    <w:rsid w:val="001B3324"/>
    <w:rsid w:val="001F0348"/>
    <w:rsid w:val="002C2809"/>
    <w:rsid w:val="003903FA"/>
    <w:rsid w:val="00420100"/>
    <w:rsid w:val="004512EA"/>
    <w:rsid w:val="004C3A70"/>
    <w:rsid w:val="004E1A16"/>
    <w:rsid w:val="004E757B"/>
    <w:rsid w:val="0056144A"/>
    <w:rsid w:val="005F2F71"/>
    <w:rsid w:val="00646F95"/>
    <w:rsid w:val="00691B86"/>
    <w:rsid w:val="006C39BF"/>
    <w:rsid w:val="006F3433"/>
    <w:rsid w:val="007C1357"/>
    <w:rsid w:val="008070E6"/>
    <w:rsid w:val="008B25E3"/>
    <w:rsid w:val="008B5035"/>
    <w:rsid w:val="008E02EE"/>
    <w:rsid w:val="00977F6A"/>
    <w:rsid w:val="00980AD9"/>
    <w:rsid w:val="009A7241"/>
    <w:rsid w:val="00AB0E11"/>
    <w:rsid w:val="00AE2421"/>
    <w:rsid w:val="00AE753B"/>
    <w:rsid w:val="00B956F9"/>
    <w:rsid w:val="00C25BA8"/>
    <w:rsid w:val="00C31458"/>
    <w:rsid w:val="00C43618"/>
    <w:rsid w:val="00C67E1B"/>
    <w:rsid w:val="00CA4810"/>
    <w:rsid w:val="00D207A7"/>
    <w:rsid w:val="00D4331B"/>
    <w:rsid w:val="00DB7974"/>
    <w:rsid w:val="00E77B46"/>
    <w:rsid w:val="00EF468B"/>
    <w:rsid w:val="00F035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AD740"/>
  <w15:docId w15:val="{20CE02E5-98CF-48EA-A362-5E9D3BA62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58"/>
    <w:pPr>
      <w:spacing w:before="240" w:after="240"/>
    </w:p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rsid w:val="00977F6A"/>
    <w:pPr>
      <w:keepNext/>
      <w:keepLines/>
      <w:spacing w:before="280" w:after="80"/>
      <w:jc w:val="center"/>
      <w:outlineLvl w:val="3"/>
    </w:pPr>
    <w:rPr>
      <w:b/>
      <w:color w:val="000000" w:themeColor="text1"/>
    </w:rPr>
  </w:style>
  <w:style w:type="paragraph" w:styleId="Heading5">
    <w:name w:val="heading 5"/>
    <w:basedOn w:val="Normal"/>
    <w:next w:val="Normal"/>
    <w:uiPriority w:val="9"/>
    <w:unhideWhenUsed/>
    <w:qFormat/>
    <w:rsid w:val="00977F6A"/>
    <w:pPr>
      <w:keepNext/>
      <w:keepLines/>
      <w:spacing w:after="80"/>
      <w:jc w:val="center"/>
      <w:outlineLvl w:val="4"/>
    </w:pPr>
    <w:rPr>
      <w:b/>
      <w:color w:val="000000" w:themeColor="text1"/>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ableofFigures">
    <w:name w:val="table of figures"/>
    <w:basedOn w:val="Normal"/>
    <w:next w:val="Normal"/>
    <w:uiPriority w:val="99"/>
    <w:unhideWhenUsed/>
    <w:rsid w:val="00133578"/>
    <w:pPr>
      <w:spacing w:after="0"/>
    </w:pPr>
  </w:style>
  <w:style w:type="character" w:styleId="Hyperlink">
    <w:name w:val="Hyperlink"/>
    <w:basedOn w:val="DefaultParagraphFont"/>
    <w:uiPriority w:val="99"/>
    <w:unhideWhenUsed/>
    <w:rsid w:val="00133578"/>
    <w:rPr>
      <w:color w:val="0000FF" w:themeColor="hyperlink"/>
      <w:u w:val="single"/>
    </w:rPr>
  </w:style>
  <w:style w:type="character" w:styleId="UnresolvedMention">
    <w:name w:val="Unresolved Mention"/>
    <w:basedOn w:val="DefaultParagraphFont"/>
    <w:uiPriority w:val="99"/>
    <w:semiHidden/>
    <w:unhideWhenUsed/>
    <w:rsid w:val="00561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nk.springer.com/content/pdf/10.1007/s44290-025-00233-9.pdf" TargetMode="External"/><Relationship Id="rId26" Type="http://schemas.openxmlformats.org/officeDocument/2006/relationships/hyperlink" Target="https://www.aofm.gov.au/sites/default/files/2024-02-02/Climate%20change%20slides%20updated%20February%202024.pdf" TargetMode="External"/><Relationship Id="rId3" Type="http://schemas.openxmlformats.org/officeDocument/2006/relationships/styles" Target="styles.xml"/><Relationship Id="rId21" Type="http://schemas.openxmlformats.org/officeDocument/2006/relationships/hyperlink" Target="https://journals.sagepub.com/doi/pdf/10.1177/0734242X24126271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onlinelibrary.wiley.com/doi/pdf/10.5694/mja2.70005" TargetMode="External"/><Relationship Id="rId25" Type="http://schemas.openxmlformats.org/officeDocument/2006/relationships/hyperlink" Target="https://experion.au/sustainable-tech/"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nlinelibrary.wiley.com/doi/pdfdirect/10.1002/csr.2389" TargetMode="External"/><Relationship Id="rId20" Type="http://schemas.openxmlformats.org/officeDocument/2006/relationships/hyperlink" Target="https://www.sciencedirect.com/science/article/pii/S259012302300539X" TargetMode="External"/><Relationship Id="rId29" Type="http://schemas.openxmlformats.org/officeDocument/2006/relationships/hyperlink" Target="https://www.statista.com/statistics/1407581/bhp-operational-emissions-of-greenhouse-gases/?srsltid=AU7gw4U3HB0T27S6Npv3flqpqdixawhB9eYdP7sbXCJYaHtlz-UyUn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uroparl.europa.eu/factsheets/en/sheet/71/environment-policy-general-principles-and-basic-framewor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dcceew.gov.au/environment/epbc" TargetMode="External"/><Relationship Id="rId28" Type="http://schemas.openxmlformats.org/officeDocument/2006/relationships/hyperlink" Target="https://www.statista.com/topics/3401/bhp-billiton/?srsltid=AU7gw4XaHTa_JwqYgPS_W1FLPcCpH2OoLEJxsC9Nzf3T_AT-P1KnU_aP" TargetMode="External"/><Relationship Id="rId10" Type="http://schemas.openxmlformats.org/officeDocument/2006/relationships/image" Target="media/image3.png"/><Relationship Id="rId19" Type="http://schemas.openxmlformats.org/officeDocument/2006/relationships/hyperlink" Target="https://www.academia.edu/download/80236594/jensu.21.pdf" TargetMode="External"/><Relationship Id="rId31" Type="http://schemas.openxmlformats.org/officeDocument/2006/relationships/hyperlink" Target="https://appinventiv.com/blog/technology-shaping-renewable-energy-in-australi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hp.com/about" TargetMode="External"/><Relationship Id="rId27" Type="http://schemas.openxmlformats.org/officeDocument/2006/relationships/hyperlink" Target="https://www.statista.com/topics/4671/mining-industry-in-australia/?srsltid=AU7gw4UUHNBNwv8r9QjGRbXGCmlQQHGUX0fyDzcA2-_4vWIJJ3EtbHSb" TargetMode="External"/><Relationship Id="rId30" Type="http://schemas.openxmlformats.org/officeDocument/2006/relationships/hyperlink" Target="https://www.statista.com/statistics/1014951/australia-yearly-greenhouse-gas-emissions/?srsltid=AU7gw4VW7xNRwLZLB21rrDNFgHAR1PpirIX6wILXySQdSIddvXKzEgdp"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2526C-2A48-493F-B65A-2550581A9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3954</Words>
  <Characters>22540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Dhruv Mangukiya</dc:creator>
  <cp:lastModifiedBy>Dhruv Mangukiya</cp:lastModifiedBy>
  <cp:revision>3</cp:revision>
  <dcterms:created xsi:type="dcterms:W3CDTF">2026-10-21T14:11:00Z</dcterms:created>
  <dcterms:modified xsi:type="dcterms:W3CDTF">2026-10-21T14:14:00Z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dbd422cca942a8bc93573b94172430d2df1ffea7b84036c0e022ded134b17832</vt:lpwstr>
  </property>
</Properties>
</file>