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A5752" w14:textId="77777777" w:rsidR="00AD73E8" w:rsidRPr="00ED1049" w:rsidRDefault="00AD73E8" w:rsidP="00AD73E8">
      <w:pPr>
        <w:ind w:left="426"/>
        <w:rPr>
          <w:rFonts w:ascii="Arial" w:hAnsi="Arial" w:cs="Arial"/>
        </w:rPr>
      </w:pPr>
    </w:p>
    <w:p w14:paraId="6DF4A2D4" w14:textId="3F5AE2EB" w:rsidR="00AD73E8" w:rsidRPr="00074402" w:rsidRDefault="00AD73E8" w:rsidP="00AD73E8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F69081" wp14:editId="26CDC713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2106033115" name="Picture 3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178823" w14:textId="77777777" w:rsidR="00AD73E8" w:rsidRPr="00074402" w:rsidRDefault="00AD73E8" w:rsidP="00AD73E8">
      <w:pPr>
        <w:spacing w:line="360" w:lineRule="auto"/>
        <w:ind w:left="426"/>
        <w:rPr>
          <w:rFonts w:ascii="Arial" w:hAnsi="Arial" w:cs="Arial"/>
          <w:szCs w:val="24"/>
        </w:rPr>
      </w:pPr>
    </w:p>
    <w:p w14:paraId="6ACEA0EC" w14:textId="77777777" w:rsidR="00AD73E8" w:rsidRPr="00074402" w:rsidRDefault="00AD73E8" w:rsidP="00AD73E8">
      <w:pPr>
        <w:spacing w:line="360" w:lineRule="auto"/>
        <w:ind w:left="426"/>
        <w:rPr>
          <w:rFonts w:ascii="Arial" w:hAnsi="Arial" w:cs="Arial"/>
          <w:szCs w:val="24"/>
        </w:rPr>
      </w:pPr>
    </w:p>
    <w:p w14:paraId="14006164" w14:textId="77777777" w:rsidR="00AD73E8" w:rsidRPr="00074402" w:rsidRDefault="00AD73E8" w:rsidP="00AD73E8">
      <w:pPr>
        <w:spacing w:line="360" w:lineRule="auto"/>
        <w:ind w:left="426"/>
        <w:rPr>
          <w:rFonts w:ascii="Arial" w:hAnsi="Arial" w:cs="Arial"/>
          <w:szCs w:val="24"/>
        </w:rPr>
      </w:pPr>
    </w:p>
    <w:p w14:paraId="6DA50348" w14:textId="77777777" w:rsidR="00AD73E8" w:rsidRDefault="00AD73E8" w:rsidP="00AD73E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6E7BC5B5" w14:textId="77777777" w:rsidR="00AD73E8" w:rsidRPr="00814A9E" w:rsidRDefault="00AD73E8" w:rsidP="00AD73E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Abosede Dehinbo</w:t>
      </w:r>
    </w:p>
    <w:p w14:paraId="1D5CA7F8" w14:textId="77777777" w:rsidR="00AD73E8" w:rsidRPr="00814A9E" w:rsidRDefault="00AD73E8" w:rsidP="00AD73E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2313077</w:t>
      </w:r>
    </w:p>
    <w:p w14:paraId="06A48846" w14:textId="77777777" w:rsidR="00AD73E8" w:rsidRPr="00814A9E" w:rsidRDefault="00AD73E8" w:rsidP="00AD73E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710C9B3A" w14:textId="77777777" w:rsidR="00AD73E8" w:rsidRPr="00814A9E" w:rsidRDefault="00AD73E8" w:rsidP="00AD73E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>
        <w:rPr>
          <w:rFonts w:ascii="Arial" w:hAnsi="Arial" w:cs="Arial"/>
          <w:sz w:val="28"/>
          <w:szCs w:val="28"/>
          <w:lang w:val="nl-NL"/>
        </w:rPr>
        <w:t>Empowering the Older Person</w:t>
      </w:r>
    </w:p>
    <w:p w14:paraId="0BABE9F3" w14:textId="77777777" w:rsidR="00AD73E8" w:rsidRDefault="00AD73E8" w:rsidP="00AD73E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 BMHP6027_LON</w:t>
      </w:r>
    </w:p>
    <w:p w14:paraId="5D3AB5B7" w14:textId="77777777" w:rsidR="00AD73E8" w:rsidRDefault="00AD73E8" w:rsidP="00AD73E8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</w:t>
      </w:r>
      <w:r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>
        <w:rPr>
          <w:rFonts w:ascii="Arial" w:hAnsi="Arial" w:cs="Arial"/>
          <w:sz w:val="28"/>
          <w:szCs w:val="28"/>
        </w:rPr>
        <w:t>: Dr. Laila Surani</w:t>
      </w:r>
    </w:p>
    <w:p w14:paraId="305A0E4A" w14:textId="77777777" w:rsidR="00AD73E8" w:rsidRPr="00ED1049" w:rsidRDefault="00AD73E8" w:rsidP="00AD73E8">
      <w:pPr>
        <w:rPr>
          <w:rFonts w:ascii="Arial" w:hAnsi="Arial" w:cs="Arial"/>
        </w:rPr>
      </w:pPr>
    </w:p>
    <w:p w14:paraId="09E2FA70" w14:textId="77777777" w:rsidR="00AD73E8" w:rsidRPr="0046288B" w:rsidRDefault="00AD73E8" w:rsidP="00AD73E8">
      <w:pPr>
        <w:rPr>
          <w:sz w:val="36"/>
          <w:szCs w:val="36"/>
        </w:rPr>
      </w:pPr>
      <w:r w:rsidRPr="00CC0A8F">
        <w:br w:type="page"/>
      </w:r>
    </w:p>
    <w:p w14:paraId="63AE4E16" w14:textId="77777777" w:rsidR="00AD73E8" w:rsidRDefault="00AD73E8" w:rsidP="00AD73E8">
      <w:pPr>
        <w:jc w:val="both"/>
      </w:pPr>
    </w:p>
    <w:p w14:paraId="30F6930F" w14:textId="6FCA67EA" w:rsidR="00AD73E8" w:rsidRDefault="00AD73E8" w:rsidP="00AD73E8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E76629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18126C1F" wp14:editId="58FEC990">
            <wp:extent cx="9422287" cy="5312664"/>
            <wp:effectExtent l="0" t="0" r="7620" b="2540"/>
            <wp:docPr id="7402820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252" cy="5331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483F5" w14:textId="0E8B4AEC" w:rsidR="00AD73E8" w:rsidRDefault="00AD73E8" w:rsidP="00AD73E8">
      <w:pPr>
        <w:rPr>
          <w:rFonts w:ascii="Arial" w:hAnsi="Arial" w:cs="Arial"/>
          <w:b/>
          <w:bCs/>
          <w:sz w:val="28"/>
          <w:szCs w:val="28"/>
        </w:rPr>
      </w:pPr>
      <w:r w:rsidRPr="00E76629">
        <w:rPr>
          <w:rFonts w:ascii="Arial" w:hAnsi="Arial" w:cs="Arial"/>
          <w:b/>
          <w:noProof/>
          <w:sz w:val="28"/>
          <w:szCs w:val="28"/>
        </w:rPr>
        <w:lastRenderedPageBreak/>
        <w:drawing>
          <wp:inline distT="0" distB="0" distL="0" distR="0" wp14:anchorId="15CAB123" wp14:editId="41EF56E7">
            <wp:extent cx="9191517" cy="5294376"/>
            <wp:effectExtent l="0" t="0" r="0" b="1905"/>
            <wp:docPr id="13500165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4204" cy="5307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74237" w14:textId="77777777" w:rsidR="00AD73E8" w:rsidRDefault="00AD73E8" w:rsidP="00AD73E8">
      <w:pPr>
        <w:rPr>
          <w:rFonts w:ascii="Arial" w:hAnsi="Arial" w:cs="Arial"/>
          <w:b/>
          <w:bCs/>
          <w:sz w:val="28"/>
          <w:szCs w:val="28"/>
        </w:rPr>
      </w:pPr>
    </w:p>
    <w:p w14:paraId="66B42DB1" w14:textId="77777777" w:rsidR="00AD73E8" w:rsidRDefault="00AD73E8" w:rsidP="00AD73E8">
      <w:pPr>
        <w:rPr>
          <w:rFonts w:ascii="Arial" w:hAnsi="Arial" w:cs="Arial"/>
          <w:b/>
          <w:bCs/>
          <w:sz w:val="28"/>
          <w:szCs w:val="28"/>
        </w:rPr>
      </w:pPr>
    </w:p>
    <w:p w14:paraId="2949C6DA" w14:textId="77777777" w:rsidR="00AD73E8" w:rsidRDefault="00AD73E8" w:rsidP="00AD73E8">
      <w:pPr>
        <w:rPr>
          <w:rFonts w:ascii="Arial" w:hAnsi="Arial" w:cs="Arial"/>
          <w:b/>
          <w:bCs/>
          <w:sz w:val="28"/>
          <w:szCs w:val="28"/>
        </w:rPr>
      </w:pPr>
    </w:p>
    <w:p w14:paraId="0E5E7416" w14:textId="77777777" w:rsidR="00AD73E8" w:rsidRDefault="00AD73E8" w:rsidP="00AD73E8">
      <w:pPr>
        <w:rPr>
          <w:rFonts w:ascii="Arial" w:hAnsi="Arial" w:cs="Arial"/>
          <w:b/>
          <w:bCs/>
          <w:sz w:val="28"/>
          <w:szCs w:val="28"/>
        </w:rPr>
      </w:pPr>
    </w:p>
    <w:p w14:paraId="58983021" w14:textId="77777777" w:rsidR="00AD73E8" w:rsidRDefault="00AD73E8" w:rsidP="00AD73E8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617B4E68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 xml:space="preserve">Abdi, S., Spann, A., Borilovic, J., de Witte, </w:t>
      </w:r>
      <w:r>
        <w:rPr>
          <w:rFonts w:ascii="Arial" w:hAnsi="Arial" w:cs="Arial"/>
        </w:rPr>
        <w:t>L.,</w:t>
      </w:r>
      <w:r w:rsidRPr="00DF65C5">
        <w:rPr>
          <w:rFonts w:ascii="Arial" w:hAnsi="Arial" w:cs="Arial"/>
        </w:rPr>
        <w:t xml:space="preserve"> and Hawley, M. (2019) </w:t>
      </w:r>
      <w:r>
        <w:rPr>
          <w:rFonts w:ascii="Arial" w:hAnsi="Arial" w:cs="Arial"/>
        </w:rPr>
        <w:t>‘Understanding</w:t>
      </w:r>
      <w:r w:rsidRPr="00DF65C5">
        <w:rPr>
          <w:rFonts w:ascii="Arial" w:hAnsi="Arial" w:cs="Arial"/>
        </w:rPr>
        <w:t xml:space="preserve"> the care and support needs of older people: a scoping review and categorisation using the WHO International Classification of Functioning, Disability and Health Framework </w:t>
      </w:r>
      <w:r>
        <w:rPr>
          <w:rFonts w:ascii="Arial" w:hAnsi="Arial" w:cs="Arial"/>
        </w:rPr>
        <w:t>(ICF),’</w:t>
      </w:r>
      <w:r w:rsidRPr="00DF65C5">
        <w:rPr>
          <w:rFonts w:ascii="Arial" w:hAnsi="Arial" w:cs="Arial"/>
        </w:rPr>
        <w:t xml:space="preserve"> </w:t>
      </w:r>
      <w:r w:rsidRPr="00DF65C5">
        <w:rPr>
          <w:rFonts w:ascii="Arial" w:hAnsi="Arial" w:cs="Arial"/>
          <w:i/>
          <w:iCs/>
        </w:rPr>
        <w:t>BMC Geriatrics</w:t>
      </w:r>
      <w:r w:rsidRPr="00DF65C5">
        <w:rPr>
          <w:rFonts w:ascii="Arial" w:hAnsi="Arial" w:cs="Arial"/>
        </w:rPr>
        <w:t xml:space="preserve">, 19, p. 195. Available at: </w:t>
      </w:r>
      <w:hyperlink r:id="rId10" w:tgtFrame="_new" w:history="1">
        <w:r w:rsidRPr="00DF65C5">
          <w:rPr>
            <w:rFonts w:ascii="Arial" w:hAnsi="Arial" w:cs="Arial"/>
            <w:color w:val="0000FF"/>
            <w:u w:val="single"/>
          </w:rPr>
          <w:t>https://doi.org/10.1186/s12877-019-1189-9</w:t>
        </w:r>
      </w:hyperlink>
      <w:r w:rsidRPr="00DF65C5">
        <w:rPr>
          <w:rFonts w:ascii="Arial" w:hAnsi="Arial" w:cs="Arial"/>
        </w:rPr>
        <w:t xml:space="preserve"> (Accessed: 22 June 2026).</w:t>
      </w:r>
    </w:p>
    <w:p w14:paraId="527BE59D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>Age UK (2024)</w:t>
      </w:r>
      <w:r>
        <w:rPr>
          <w:rFonts w:ascii="Arial" w:hAnsi="Arial" w:cs="Arial"/>
        </w:rPr>
        <w:t>.</w:t>
      </w:r>
      <w:r w:rsidRPr="00DF65C5">
        <w:rPr>
          <w:rFonts w:ascii="Arial" w:hAnsi="Arial" w:cs="Arial"/>
        </w:rPr>
        <w:t xml:space="preserve"> </w:t>
      </w:r>
      <w:r w:rsidRPr="00DF65C5">
        <w:rPr>
          <w:rFonts w:ascii="Arial" w:hAnsi="Arial" w:cs="Arial"/>
          <w:i/>
          <w:iCs/>
        </w:rPr>
        <w:t>Later life in the United Kingdom</w:t>
      </w:r>
      <w:r w:rsidRPr="00DF65C5">
        <w:rPr>
          <w:rFonts w:ascii="Arial" w:hAnsi="Arial" w:cs="Arial"/>
        </w:rPr>
        <w:t xml:space="preserve">. London: Age UK. Available at: </w:t>
      </w:r>
      <w:hyperlink r:id="rId11" w:tgtFrame="_new" w:history="1">
        <w:r w:rsidRPr="00DF65C5">
          <w:rPr>
            <w:rStyle w:val="Hyperlink"/>
            <w:rFonts w:ascii="Arial" w:hAnsi="Arial" w:cs="Arial"/>
          </w:rPr>
          <w:t>https://www.ageuk.org.uk/siteassets/documents/reports-and-publications/later_life_uk_factsheet.pdf</w:t>
        </w:r>
      </w:hyperlink>
      <w:r w:rsidRPr="00DF65C5">
        <w:rPr>
          <w:rFonts w:ascii="Arial" w:hAnsi="Arial" w:cs="Arial"/>
        </w:rPr>
        <w:t xml:space="preserve"> (Accessed: 22 June 2026).</w:t>
      </w:r>
    </w:p>
    <w:p w14:paraId="76249F35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 xml:space="preserve">Age UK </w:t>
      </w:r>
      <w:r>
        <w:rPr>
          <w:rFonts w:ascii="Arial" w:hAnsi="Arial" w:cs="Arial"/>
        </w:rPr>
        <w:t>(2024).</w:t>
      </w:r>
      <w:r w:rsidRPr="00DF65C5">
        <w:rPr>
          <w:rFonts w:ascii="Arial" w:hAnsi="Arial" w:cs="Arial"/>
        </w:rPr>
        <w:t xml:space="preserve"> </w:t>
      </w:r>
      <w:r w:rsidRPr="00DF65C5">
        <w:rPr>
          <w:rFonts w:ascii="Arial" w:hAnsi="Arial" w:cs="Arial"/>
          <w:i/>
          <w:iCs/>
        </w:rPr>
        <w:t>State of health and care of older people in England 2024</w:t>
      </w:r>
      <w:r w:rsidRPr="00DF65C5">
        <w:rPr>
          <w:rFonts w:ascii="Arial" w:hAnsi="Arial" w:cs="Arial"/>
        </w:rPr>
        <w:t xml:space="preserve">. Available at: </w:t>
      </w:r>
      <w:hyperlink r:id="rId12" w:tgtFrame="_new" w:history="1">
        <w:r w:rsidRPr="00DF65C5">
          <w:rPr>
            <w:rStyle w:val="Hyperlink"/>
            <w:rFonts w:ascii="Arial" w:hAnsi="Arial" w:cs="Arial"/>
          </w:rPr>
          <w:t>https://www.ageuk.org.uk/discover/2024/september/state-of-health-and-care-of-older-people-in-england-2024/</w:t>
        </w:r>
      </w:hyperlink>
      <w:r w:rsidRPr="00DF65C5">
        <w:rPr>
          <w:rFonts w:ascii="Arial" w:hAnsi="Arial" w:cs="Arial"/>
        </w:rPr>
        <w:t xml:space="preserve"> (Accessed: 28 June 2026).</w:t>
      </w:r>
    </w:p>
    <w:p w14:paraId="75FCB906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 xml:space="preserve">Baxter, S., Johnson, M., Chambers, D., Sutton, A., Goyder, </w:t>
      </w:r>
      <w:r>
        <w:rPr>
          <w:rFonts w:ascii="Arial" w:hAnsi="Arial" w:cs="Arial"/>
        </w:rPr>
        <w:t>E.,</w:t>
      </w:r>
      <w:r w:rsidRPr="00DF65C5">
        <w:rPr>
          <w:rFonts w:ascii="Arial" w:hAnsi="Arial" w:cs="Arial"/>
        </w:rPr>
        <w:t xml:space="preserve"> and Booth, A. (2018)</w:t>
      </w:r>
      <w:r>
        <w:rPr>
          <w:rFonts w:ascii="Arial" w:hAnsi="Arial" w:cs="Arial"/>
        </w:rPr>
        <w:t>. ‘The</w:t>
      </w:r>
      <w:r w:rsidRPr="00DF65C5">
        <w:rPr>
          <w:rFonts w:ascii="Arial" w:hAnsi="Arial" w:cs="Arial"/>
        </w:rPr>
        <w:t xml:space="preserve"> effects of integrated care: a systematic review of UK and international </w:t>
      </w:r>
      <w:r>
        <w:rPr>
          <w:rFonts w:ascii="Arial" w:hAnsi="Arial" w:cs="Arial"/>
        </w:rPr>
        <w:t>evidence,’</w:t>
      </w:r>
      <w:r w:rsidRPr="00DF65C5">
        <w:rPr>
          <w:rFonts w:ascii="Arial" w:hAnsi="Arial" w:cs="Arial"/>
        </w:rPr>
        <w:t xml:space="preserve"> </w:t>
      </w:r>
      <w:r w:rsidRPr="00DF65C5">
        <w:rPr>
          <w:rFonts w:ascii="Arial" w:hAnsi="Arial" w:cs="Arial"/>
          <w:i/>
          <w:iCs/>
        </w:rPr>
        <w:t>BMC Health Services Research</w:t>
      </w:r>
      <w:r w:rsidRPr="00DF65C5">
        <w:rPr>
          <w:rFonts w:ascii="Arial" w:hAnsi="Arial" w:cs="Arial"/>
        </w:rPr>
        <w:t xml:space="preserve">, 18, article 350. Available at: </w:t>
      </w:r>
      <w:hyperlink r:id="rId13" w:tgtFrame="_new" w:history="1">
        <w:r w:rsidRPr="00DF65C5">
          <w:rPr>
            <w:rStyle w:val="Hyperlink"/>
            <w:rFonts w:ascii="Arial" w:hAnsi="Arial" w:cs="Arial"/>
          </w:rPr>
          <w:t>https://doi.org/10.1186/s12913-018-3161-3</w:t>
        </w:r>
      </w:hyperlink>
      <w:r w:rsidRPr="00DF65C5">
        <w:rPr>
          <w:rFonts w:ascii="Arial" w:hAnsi="Arial" w:cs="Arial"/>
        </w:rPr>
        <w:t xml:space="preserve"> (Accessed: 22 June 2026).</w:t>
      </w:r>
    </w:p>
    <w:p w14:paraId="7B531649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 xml:space="preserve">British Geriatrics Society (2019) </w:t>
      </w:r>
      <w:r w:rsidRPr="00DF65C5">
        <w:rPr>
          <w:rFonts w:ascii="Arial" w:hAnsi="Arial" w:cs="Arial"/>
          <w:i/>
          <w:iCs/>
        </w:rPr>
        <w:t>8. CGA in primary care settings: care and support planning</w:t>
      </w:r>
      <w:r w:rsidRPr="00DF65C5">
        <w:rPr>
          <w:rFonts w:ascii="Arial" w:hAnsi="Arial" w:cs="Arial"/>
        </w:rPr>
        <w:t xml:space="preserve">. Available at: </w:t>
      </w:r>
      <w:hyperlink r:id="rId14" w:tgtFrame="_new" w:history="1">
        <w:r w:rsidRPr="00DF65C5">
          <w:rPr>
            <w:rStyle w:val="Hyperlink"/>
            <w:rFonts w:ascii="Arial" w:hAnsi="Arial" w:cs="Arial"/>
          </w:rPr>
          <w:t>https://www.bgs.org.uk/8-cga-in-primary-care-settings-care-and-support-planning</w:t>
        </w:r>
      </w:hyperlink>
      <w:r w:rsidRPr="00DF65C5">
        <w:rPr>
          <w:rFonts w:ascii="Arial" w:hAnsi="Arial" w:cs="Arial"/>
        </w:rPr>
        <w:t xml:space="preserve"> (Accessed: 28 June 2026).</w:t>
      </w:r>
    </w:p>
    <w:p w14:paraId="3D8AD925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>Care Quality Commission (2025)</w:t>
      </w:r>
      <w:r>
        <w:rPr>
          <w:rFonts w:ascii="Arial" w:hAnsi="Arial" w:cs="Arial"/>
        </w:rPr>
        <w:t xml:space="preserve">. </w:t>
      </w:r>
      <w:r w:rsidRPr="00DF65C5">
        <w:rPr>
          <w:rFonts w:ascii="Arial" w:hAnsi="Arial" w:cs="Arial"/>
          <w:i/>
          <w:iCs/>
        </w:rPr>
        <w:t>The state of health care and adult social care in England 2024/25</w:t>
      </w:r>
      <w:r w:rsidRPr="00DF65C5">
        <w:rPr>
          <w:rFonts w:ascii="Arial" w:hAnsi="Arial" w:cs="Arial"/>
        </w:rPr>
        <w:t xml:space="preserve">. Available at: </w:t>
      </w:r>
      <w:hyperlink r:id="rId15" w:tgtFrame="_new" w:history="1">
        <w:r w:rsidRPr="00DF65C5">
          <w:rPr>
            <w:rStyle w:val="Hyperlink"/>
            <w:rFonts w:ascii="Arial" w:hAnsi="Arial" w:cs="Arial"/>
          </w:rPr>
          <w:t>https://www.cqc.org.uk/publications/major-report/state-care/2024-2025</w:t>
        </w:r>
      </w:hyperlink>
      <w:r w:rsidRPr="00DF65C5">
        <w:rPr>
          <w:rFonts w:ascii="Arial" w:hAnsi="Arial" w:cs="Arial"/>
        </w:rPr>
        <w:t xml:space="preserve"> (Accessed: 28 June 2026).</w:t>
      </w:r>
    </w:p>
    <w:p w14:paraId="12B92634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>Crocker, T.F., Ensor, J., Lam, N., Jordão, M., Bajpai, R., Bond, M., Forster, A., Riley, R.D. and Clegg, A. (2024) ‘</w:t>
      </w:r>
      <w:r>
        <w:rPr>
          <w:rFonts w:ascii="Arial" w:hAnsi="Arial" w:cs="Arial"/>
        </w:rPr>
        <w:t>Community-based</w:t>
      </w:r>
      <w:r w:rsidRPr="00DF65C5">
        <w:rPr>
          <w:rFonts w:ascii="Arial" w:hAnsi="Arial" w:cs="Arial"/>
        </w:rPr>
        <w:t xml:space="preserve"> complex interventions to sustain independence in older people: systematic review and network </w:t>
      </w:r>
      <w:r>
        <w:rPr>
          <w:rFonts w:ascii="Arial" w:hAnsi="Arial" w:cs="Arial"/>
        </w:rPr>
        <w:t>meta-analysis,’</w:t>
      </w:r>
      <w:r w:rsidRPr="00DF65C5">
        <w:rPr>
          <w:rFonts w:ascii="Arial" w:hAnsi="Arial" w:cs="Arial"/>
        </w:rPr>
        <w:t xml:space="preserve"> </w:t>
      </w:r>
      <w:r w:rsidRPr="00DF65C5">
        <w:rPr>
          <w:rFonts w:ascii="Arial" w:hAnsi="Arial" w:cs="Arial"/>
          <w:i/>
          <w:iCs/>
        </w:rPr>
        <w:t>BMJ</w:t>
      </w:r>
      <w:r w:rsidRPr="00DF65C5">
        <w:rPr>
          <w:rFonts w:ascii="Arial" w:hAnsi="Arial" w:cs="Arial"/>
        </w:rPr>
        <w:t xml:space="preserve">, 384, e077764. Available at: </w:t>
      </w:r>
      <w:hyperlink r:id="rId16" w:tgtFrame="_new" w:history="1">
        <w:r w:rsidRPr="00DF65C5">
          <w:rPr>
            <w:rStyle w:val="Hyperlink"/>
            <w:rFonts w:ascii="Arial" w:hAnsi="Arial" w:cs="Arial"/>
          </w:rPr>
          <w:t>https://doi.org/10.1136/bmj-2023-077764</w:t>
        </w:r>
      </w:hyperlink>
      <w:r w:rsidRPr="00DF65C5">
        <w:rPr>
          <w:rFonts w:ascii="Arial" w:hAnsi="Arial" w:cs="Arial"/>
        </w:rPr>
        <w:t xml:space="preserve"> (Accessed: 28 June 2026).</w:t>
      </w:r>
    </w:p>
    <w:p w14:paraId="63FB507C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 xml:space="preserve">Department of Health and Social Care (2014) </w:t>
      </w:r>
      <w:r w:rsidRPr="00DF65C5">
        <w:rPr>
          <w:rFonts w:ascii="Arial" w:hAnsi="Arial" w:cs="Arial"/>
          <w:i/>
          <w:iCs/>
        </w:rPr>
        <w:t>Care Act 2014: statutory guidance</w:t>
      </w:r>
      <w:r w:rsidRPr="00DF65C5">
        <w:rPr>
          <w:rFonts w:ascii="Arial" w:hAnsi="Arial" w:cs="Arial"/>
        </w:rPr>
        <w:t xml:space="preserve">. London: Department of Health and Social Care. Available at: </w:t>
      </w:r>
      <w:hyperlink r:id="rId17" w:tgtFrame="_new" w:history="1">
        <w:r w:rsidRPr="00DF65C5">
          <w:rPr>
            <w:rStyle w:val="Hyperlink"/>
            <w:rFonts w:ascii="Arial" w:hAnsi="Arial" w:cs="Arial"/>
          </w:rPr>
          <w:t>https://www.gov.uk/government/publications/care-act-statutory-guidance/care-and-support-statutory-guidance</w:t>
        </w:r>
      </w:hyperlink>
      <w:r w:rsidRPr="00DF65C5">
        <w:rPr>
          <w:rFonts w:ascii="Arial" w:hAnsi="Arial" w:cs="Arial"/>
        </w:rPr>
        <w:t xml:space="preserve"> (Accessed: 22 June 2026).</w:t>
      </w:r>
    </w:p>
    <w:p w14:paraId="3B4B9CB5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 xml:space="preserve">Hall, A., Davey, V., McGarrigle, L., Astbury, J., Lazo Green, K., Ahmed, N. </w:t>
      </w:r>
      <w:r w:rsidRPr="00DF65C5">
        <w:rPr>
          <w:rFonts w:ascii="Arial" w:hAnsi="Arial" w:cs="Arial"/>
          <w:i/>
          <w:iCs/>
        </w:rPr>
        <w:t>et al.</w:t>
      </w:r>
      <w:r w:rsidRPr="00DF65C5">
        <w:rPr>
          <w:rFonts w:ascii="Arial" w:hAnsi="Arial" w:cs="Arial"/>
        </w:rPr>
        <w:t xml:space="preserve"> (2025) </w:t>
      </w:r>
      <w:r w:rsidRPr="00DF65C5">
        <w:rPr>
          <w:rFonts w:ascii="Arial" w:hAnsi="Arial" w:cs="Arial"/>
          <w:i/>
          <w:iCs/>
        </w:rPr>
        <w:t>OPFPRU HAPRU Homecare Quality Project – Full Report 29.10.24</w:t>
      </w:r>
      <w:r w:rsidRPr="00DF65C5">
        <w:rPr>
          <w:rFonts w:ascii="Arial" w:hAnsi="Arial" w:cs="Arial"/>
        </w:rPr>
        <w:t xml:space="preserve">. Manchester: University of Manchester. Available at: </w:t>
      </w:r>
      <w:hyperlink r:id="rId18" w:tgtFrame="_new" w:history="1">
        <w:r w:rsidRPr="00DF65C5">
          <w:rPr>
            <w:rStyle w:val="Hyperlink"/>
            <w:rFonts w:ascii="Arial" w:hAnsi="Arial" w:cs="Arial"/>
          </w:rPr>
          <w:t>https://doi.org/10.5281/zenodo.16895867</w:t>
        </w:r>
      </w:hyperlink>
      <w:r w:rsidRPr="00DF65C5">
        <w:rPr>
          <w:rFonts w:ascii="Arial" w:hAnsi="Arial" w:cs="Arial"/>
        </w:rPr>
        <w:t xml:space="preserve"> (Accessed: 23 June 2026).</w:t>
      </w:r>
    </w:p>
    <w:p w14:paraId="5EC7A8AA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 xml:space="preserve">Husk, K., Elston, J., Gradinger, F., Callaghan, </w:t>
      </w:r>
      <w:r>
        <w:rPr>
          <w:rFonts w:ascii="Arial" w:hAnsi="Arial" w:cs="Arial"/>
        </w:rPr>
        <w:t>L.,</w:t>
      </w:r>
      <w:r w:rsidRPr="00DF65C5">
        <w:rPr>
          <w:rFonts w:ascii="Arial" w:hAnsi="Arial" w:cs="Arial"/>
        </w:rPr>
        <w:t xml:space="preserve"> and Asthana, S. (2019)</w:t>
      </w:r>
      <w:r>
        <w:rPr>
          <w:rFonts w:ascii="Arial" w:hAnsi="Arial" w:cs="Arial"/>
        </w:rPr>
        <w:t>.</w:t>
      </w:r>
      <w:r w:rsidRPr="00DF65C5">
        <w:rPr>
          <w:rFonts w:ascii="Arial" w:hAnsi="Arial" w:cs="Arial"/>
        </w:rPr>
        <w:t xml:space="preserve"> Social prescribing: where is the </w:t>
      </w:r>
      <w:r>
        <w:rPr>
          <w:rFonts w:ascii="Arial" w:hAnsi="Arial" w:cs="Arial"/>
        </w:rPr>
        <w:t>evidence?’</w:t>
      </w:r>
      <w:r w:rsidRPr="00DF65C5">
        <w:rPr>
          <w:rFonts w:ascii="Arial" w:hAnsi="Arial" w:cs="Arial"/>
        </w:rPr>
        <w:t xml:space="preserve"> </w:t>
      </w:r>
      <w:r w:rsidRPr="00DF65C5">
        <w:rPr>
          <w:rFonts w:ascii="Arial" w:hAnsi="Arial" w:cs="Arial"/>
          <w:i/>
          <w:iCs/>
        </w:rPr>
        <w:t>British Journal of General Practice</w:t>
      </w:r>
      <w:r w:rsidRPr="00DF65C5">
        <w:rPr>
          <w:rFonts w:ascii="Arial" w:hAnsi="Arial" w:cs="Arial"/>
        </w:rPr>
        <w:t xml:space="preserve">, 69(678), pp. 6–7. Available at: </w:t>
      </w:r>
      <w:hyperlink r:id="rId19" w:tgtFrame="_new" w:history="1">
        <w:r w:rsidRPr="00DF65C5">
          <w:rPr>
            <w:rStyle w:val="Hyperlink"/>
            <w:rFonts w:ascii="Arial" w:hAnsi="Arial" w:cs="Arial"/>
          </w:rPr>
          <w:t>https://doi.org/10.3399/bjgp19X700325</w:t>
        </w:r>
      </w:hyperlink>
      <w:r w:rsidRPr="00DF65C5">
        <w:rPr>
          <w:rFonts w:ascii="Arial" w:hAnsi="Arial" w:cs="Arial"/>
        </w:rPr>
        <w:t xml:space="preserve"> (Accessed: 27 June 2026).</w:t>
      </w:r>
    </w:p>
    <w:p w14:paraId="2C9E6497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 xml:space="preserve">Khan, N., Randhawa, </w:t>
      </w:r>
      <w:r>
        <w:rPr>
          <w:rFonts w:ascii="Arial" w:hAnsi="Arial" w:cs="Arial"/>
        </w:rPr>
        <w:t>G.,</w:t>
      </w:r>
      <w:r w:rsidRPr="00DF65C5">
        <w:rPr>
          <w:rFonts w:ascii="Arial" w:hAnsi="Arial" w:cs="Arial"/>
        </w:rPr>
        <w:t xml:space="preserve"> and Hewson, D. (2023) ‘Integrated care for older people with different frailty levels: a qualitative study of local implementation of a national policy in Luton, </w:t>
      </w:r>
      <w:r>
        <w:rPr>
          <w:rFonts w:ascii="Arial" w:hAnsi="Arial" w:cs="Arial"/>
        </w:rPr>
        <w:t>England,’</w:t>
      </w:r>
      <w:r w:rsidRPr="00DF65C5">
        <w:rPr>
          <w:rFonts w:ascii="Arial" w:hAnsi="Arial" w:cs="Arial"/>
        </w:rPr>
        <w:t xml:space="preserve"> </w:t>
      </w:r>
      <w:r w:rsidRPr="00DF65C5">
        <w:rPr>
          <w:rFonts w:ascii="Arial" w:hAnsi="Arial" w:cs="Arial"/>
          <w:i/>
          <w:iCs/>
        </w:rPr>
        <w:t>International Journal of Integrated Care</w:t>
      </w:r>
      <w:r w:rsidRPr="00DF65C5">
        <w:rPr>
          <w:rFonts w:ascii="Arial" w:hAnsi="Arial" w:cs="Arial"/>
        </w:rPr>
        <w:t xml:space="preserve">, 23(1), 15, pp. 1–13. Available at: </w:t>
      </w:r>
      <w:hyperlink r:id="rId20" w:tgtFrame="_new" w:history="1">
        <w:r w:rsidRPr="00DF65C5">
          <w:rPr>
            <w:rStyle w:val="Hyperlink"/>
            <w:rFonts w:ascii="Arial" w:hAnsi="Arial" w:cs="Arial"/>
          </w:rPr>
          <w:t>https://doi.org/10.5334/ijic.6537</w:t>
        </w:r>
      </w:hyperlink>
      <w:r w:rsidRPr="00DF65C5">
        <w:rPr>
          <w:rFonts w:ascii="Arial" w:hAnsi="Arial" w:cs="Arial"/>
        </w:rPr>
        <w:t xml:space="preserve"> (Accessed: 22 June 2026).</w:t>
      </w:r>
    </w:p>
    <w:p w14:paraId="5385BEBC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 xml:space="preserve">National Institute for Health and Care Excellence (NICE) (2025) </w:t>
      </w:r>
      <w:r w:rsidRPr="00DF65C5">
        <w:rPr>
          <w:rFonts w:ascii="Arial" w:hAnsi="Arial" w:cs="Arial"/>
          <w:i/>
          <w:iCs/>
        </w:rPr>
        <w:t>Falls: assessment and prevention in older people and in people 50 and over at higher risk (NG249)</w:t>
      </w:r>
      <w:r w:rsidRPr="00DF65C5">
        <w:rPr>
          <w:rFonts w:ascii="Arial" w:hAnsi="Arial" w:cs="Arial"/>
        </w:rPr>
        <w:t xml:space="preserve">. Available at: </w:t>
      </w:r>
      <w:hyperlink r:id="rId21" w:tgtFrame="_new" w:history="1">
        <w:r w:rsidRPr="00DF65C5">
          <w:rPr>
            <w:rStyle w:val="Hyperlink"/>
            <w:rFonts w:ascii="Arial" w:hAnsi="Arial" w:cs="Arial"/>
          </w:rPr>
          <w:t>https://www.nice.org.uk/guidance/ng249</w:t>
        </w:r>
      </w:hyperlink>
      <w:r w:rsidRPr="00DF65C5">
        <w:rPr>
          <w:rFonts w:ascii="Arial" w:hAnsi="Arial" w:cs="Arial"/>
        </w:rPr>
        <w:t xml:space="preserve"> (Accessed: 28 June 2026).</w:t>
      </w:r>
    </w:p>
    <w:p w14:paraId="4CF30FE2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 xml:space="preserve">NHS (2022) </w:t>
      </w:r>
      <w:r w:rsidRPr="00DF65C5">
        <w:rPr>
          <w:rFonts w:ascii="Arial" w:hAnsi="Arial" w:cs="Arial"/>
          <w:i/>
          <w:iCs/>
        </w:rPr>
        <w:t>Loneliness in older people</w:t>
      </w:r>
      <w:r w:rsidRPr="00DF65C5">
        <w:rPr>
          <w:rFonts w:ascii="Arial" w:hAnsi="Arial" w:cs="Arial"/>
        </w:rPr>
        <w:t xml:space="preserve">. Available at: </w:t>
      </w:r>
      <w:hyperlink r:id="rId22" w:tgtFrame="_new" w:history="1">
        <w:r w:rsidRPr="00DF65C5">
          <w:rPr>
            <w:rStyle w:val="Hyperlink"/>
            <w:rFonts w:ascii="Arial" w:hAnsi="Arial" w:cs="Arial"/>
          </w:rPr>
          <w:t>https://www.nhs.uk/mental-health/feelings-symptoms-behaviours/feelings-and-symptoms/loneliness-in-older-people/</w:t>
        </w:r>
      </w:hyperlink>
      <w:r w:rsidRPr="00DF65C5">
        <w:rPr>
          <w:rFonts w:ascii="Arial" w:hAnsi="Arial" w:cs="Arial"/>
        </w:rPr>
        <w:t xml:space="preserve"> (Accessed: 22 June 2026).</w:t>
      </w:r>
    </w:p>
    <w:p w14:paraId="23B525EC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 xml:space="preserve">Office for National Statistics (2024) </w:t>
      </w:r>
      <w:r w:rsidRPr="00DF65C5">
        <w:rPr>
          <w:rFonts w:ascii="Arial" w:hAnsi="Arial" w:cs="Arial"/>
          <w:i/>
          <w:iCs/>
        </w:rPr>
        <w:t>Living longer: older people and ageing in the UK</w:t>
      </w:r>
      <w:r w:rsidRPr="00DF65C5">
        <w:rPr>
          <w:rFonts w:ascii="Arial" w:hAnsi="Arial" w:cs="Arial"/>
        </w:rPr>
        <w:t xml:space="preserve">. Available at: </w:t>
      </w:r>
      <w:hyperlink r:id="rId23" w:tgtFrame="_new" w:history="1">
        <w:r w:rsidRPr="00DF65C5">
          <w:rPr>
            <w:rStyle w:val="Hyperlink"/>
            <w:rFonts w:ascii="Arial" w:hAnsi="Arial" w:cs="Arial"/>
          </w:rPr>
          <w:t>https://www.ons.gov.uk/peoplepopulationandcommunity/birthsdeathsandmarriages/ageing</w:t>
        </w:r>
      </w:hyperlink>
      <w:r w:rsidRPr="00DF65C5">
        <w:rPr>
          <w:rFonts w:ascii="Arial" w:hAnsi="Arial" w:cs="Arial"/>
        </w:rPr>
        <w:t xml:space="preserve"> (Accessed: 22 June 2026).</w:t>
      </w:r>
    </w:p>
    <w:p w14:paraId="777C99E2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</w:rPr>
      </w:pPr>
      <w:r w:rsidRPr="00DF65C5">
        <w:rPr>
          <w:rFonts w:ascii="Arial" w:hAnsi="Arial" w:cs="Arial"/>
        </w:rPr>
        <w:t xml:space="preserve">Walters, K., Frost, R., Barrado-Martín, Y., Kalwarowsky, S., Marston, L., Pan, </w:t>
      </w:r>
      <w:r>
        <w:rPr>
          <w:rFonts w:ascii="Arial" w:hAnsi="Arial" w:cs="Arial"/>
        </w:rPr>
        <w:t>S.,</w:t>
      </w:r>
      <w:r w:rsidRPr="00DF65C5">
        <w:rPr>
          <w:rFonts w:ascii="Arial" w:hAnsi="Arial" w:cs="Arial"/>
        </w:rPr>
        <w:t xml:space="preserve"> </w:t>
      </w:r>
      <w:r w:rsidRPr="00DF65C5">
        <w:rPr>
          <w:rFonts w:ascii="Arial" w:hAnsi="Arial" w:cs="Arial"/>
          <w:i/>
          <w:iCs/>
        </w:rPr>
        <w:t>et al.</w:t>
      </w:r>
      <w:r w:rsidRPr="00DF65C5">
        <w:rPr>
          <w:rFonts w:ascii="Arial" w:hAnsi="Arial" w:cs="Arial"/>
        </w:rPr>
        <w:t xml:space="preserve"> (2026) ‘Enabling health and maintaining independence for older people at home: the “Home Health” randomised controlled </w:t>
      </w:r>
      <w:r>
        <w:rPr>
          <w:rFonts w:ascii="Arial" w:hAnsi="Arial" w:cs="Arial"/>
        </w:rPr>
        <w:t>trial,’</w:t>
      </w:r>
      <w:r w:rsidRPr="00DF65C5">
        <w:rPr>
          <w:rFonts w:ascii="Arial" w:hAnsi="Arial" w:cs="Arial"/>
        </w:rPr>
        <w:t xml:space="preserve"> </w:t>
      </w:r>
      <w:r w:rsidRPr="00DF65C5">
        <w:rPr>
          <w:rFonts w:ascii="Arial" w:hAnsi="Arial" w:cs="Arial"/>
          <w:i/>
          <w:iCs/>
        </w:rPr>
        <w:t>Health Technology Assessment</w:t>
      </w:r>
      <w:r w:rsidRPr="00DF65C5">
        <w:rPr>
          <w:rFonts w:ascii="Arial" w:hAnsi="Arial" w:cs="Arial"/>
        </w:rPr>
        <w:t xml:space="preserve">, 30(43), pp. 1–22. Available at: </w:t>
      </w:r>
      <w:hyperlink r:id="rId24" w:tgtFrame="_new" w:history="1">
        <w:r w:rsidRPr="00DF65C5">
          <w:rPr>
            <w:rStyle w:val="Hyperlink"/>
            <w:rFonts w:ascii="Arial" w:hAnsi="Arial" w:cs="Arial"/>
          </w:rPr>
          <w:t>https://doi.org/10.3310/GJKW1909</w:t>
        </w:r>
      </w:hyperlink>
      <w:r w:rsidRPr="00DF65C5">
        <w:rPr>
          <w:rFonts w:ascii="Arial" w:hAnsi="Arial" w:cs="Arial"/>
        </w:rPr>
        <w:t xml:space="preserve"> (Accessed: 28 June 2026).</w:t>
      </w:r>
    </w:p>
    <w:p w14:paraId="02287A6D" w14:textId="77777777" w:rsidR="00AD73E8" w:rsidRPr="00DF65C5" w:rsidRDefault="00AD73E8" w:rsidP="00AD73E8">
      <w:pPr>
        <w:spacing w:line="360" w:lineRule="auto"/>
        <w:jc w:val="both"/>
        <w:rPr>
          <w:rFonts w:ascii="Arial" w:hAnsi="Arial" w:cs="Arial"/>
          <w:u w:val="single"/>
        </w:rPr>
      </w:pPr>
      <w:r w:rsidRPr="00DF65C5">
        <w:rPr>
          <w:rFonts w:ascii="Arial" w:hAnsi="Arial" w:cs="Arial"/>
        </w:rPr>
        <w:t xml:space="preserve">World Health Organisation </w:t>
      </w:r>
      <w:r>
        <w:rPr>
          <w:rFonts w:ascii="Arial" w:hAnsi="Arial" w:cs="Arial"/>
        </w:rPr>
        <w:t>(2024).</w:t>
      </w:r>
      <w:r w:rsidRPr="00DF65C5">
        <w:rPr>
          <w:rFonts w:ascii="Arial" w:hAnsi="Arial" w:cs="Arial"/>
        </w:rPr>
        <w:t xml:space="preserve"> </w:t>
      </w:r>
      <w:r w:rsidRPr="00DF65C5">
        <w:rPr>
          <w:rFonts w:ascii="Arial" w:hAnsi="Arial" w:cs="Arial"/>
          <w:i/>
          <w:iCs/>
        </w:rPr>
        <w:t>Ageing and health</w:t>
      </w:r>
      <w:r w:rsidRPr="00DF65C5">
        <w:rPr>
          <w:rFonts w:ascii="Arial" w:hAnsi="Arial" w:cs="Arial"/>
        </w:rPr>
        <w:t>. Available at</w:t>
      </w:r>
      <w:r w:rsidRPr="00DF65C5">
        <w:rPr>
          <w:rFonts w:ascii="Arial" w:hAnsi="Arial" w:cs="Arial"/>
          <w:u w:val="single"/>
        </w:rPr>
        <w:t xml:space="preserve">: </w:t>
      </w:r>
      <w:hyperlink r:id="rId25" w:tgtFrame="_new" w:history="1">
        <w:r w:rsidRPr="00DF65C5">
          <w:rPr>
            <w:rStyle w:val="Hyperlink"/>
            <w:rFonts w:ascii="Arial" w:hAnsi="Arial" w:cs="Arial"/>
          </w:rPr>
          <w:t>https://www.who.int/news-room/fact-sheets/detail/ageing-and-health</w:t>
        </w:r>
      </w:hyperlink>
      <w:r w:rsidRPr="00DF65C5">
        <w:rPr>
          <w:rFonts w:ascii="Arial" w:hAnsi="Arial" w:cs="Arial"/>
          <w:u w:val="single"/>
        </w:rPr>
        <w:t xml:space="preserve"> </w:t>
      </w:r>
      <w:r w:rsidRPr="00DF65C5">
        <w:rPr>
          <w:rFonts w:ascii="Arial" w:hAnsi="Arial" w:cs="Arial"/>
        </w:rPr>
        <w:t>(Accessed: 22 June 2026).</w:t>
      </w:r>
      <w:r w:rsidRPr="00DF65C5">
        <w:rPr>
          <w:rFonts w:ascii="Arial" w:hAnsi="Arial" w:cs="Arial"/>
          <w:u w:val="single"/>
        </w:rPr>
        <w:t xml:space="preserve">    </w:t>
      </w:r>
    </w:p>
    <w:p w14:paraId="65ED5CDF" w14:textId="77777777" w:rsidR="00AD73E8" w:rsidRPr="0046288B" w:rsidRDefault="00AD73E8" w:rsidP="00AD73E8">
      <w:pPr>
        <w:rPr>
          <w:rFonts w:ascii="Arial" w:hAnsi="Arial" w:cs="Arial"/>
        </w:rPr>
      </w:pPr>
    </w:p>
    <w:p w14:paraId="5E10B679" w14:textId="77777777" w:rsidR="00AD73E8" w:rsidRDefault="00AD73E8" w:rsidP="00AD73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42351A2C" w14:textId="77777777" w:rsidR="00AD73E8" w:rsidRDefault="00AD73E8" w:rsidP="00AD73E8">
      <w:pPr>
        <w:rPr>
          <w:rFonts w:ascii="Arial" w:hAnsi="Arial" w:cs="Arial"/>
          <w:sz w:val="24"/>
          <w:szCs w:val="24"/>
        </w:rPr>
      </w:pPr>
    </w:p>
    <w:p w14:paraId="0A39D823" w14:textId="77777777" w:rsidR="00AD73E8" w:rsidRPr="00EB6F36" w:rsidRDefault="00AD73E8" w:rsidP="00AD73E8">
      <w:pPr>
        <w:rPr>
          <w:rFonts w:ascii="Arial" w:hAnsi="Arial" w:cs="Arial"/>
          <w:sz w:val="24"/>
          <w:szCs w:val="24"/>
        </w:rPr>
      </w:pPr>
    </w:p>
    <w:p w14:paraId="28205D2E" w14:textId="77777777" w:rsidR="009E4615" w:rsidRDefault="009E4615"/>
    <w:sectPr w:rsidR="009E4615" w:rsidSect="00AD73E8">
      <w:headerReference w:type="default" r:id="rId26"/>
      <w:headerReference w:type="first" r:id="rId27"/>
      <w:pgSz w:w="15840" w:h="12240" w:orient="landscape" w:code="1"/>
      <w:pgMar w:top="720" w:right="720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3E0AB" w14:textId="77777777" w:rsidR="00D40702" w:rsidRDefault="00D40702">
      <w:pPr>
        <w:spacing w:after="0"/>
      </w:pPr>
      <w:r>
        <w:separator/>
      </w:r>
    </w:p>
  </w:endnote>
  <w:endnote w:type="continuationSeparator" w:id="0">
    <w:p w14:paraId="2B17C776" w14:textId="77777777" w:rsidR="00D40702" w:rsidRDefault="00D4070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009DA" w14:textId="77777777" w:rsidR="00D40702" w:rsidRDefault="00D40702">
      <w:pPr>
        <w:spacing w:after="0"/>
      </w:pPr>
      <w:r>
        <w:separator/>
      </w:r>
    </w:p>
  </w:footnote>
  <w:footnote w:type="continuationSeparator" w:id="0">
    <w:p w14:paraId="5183849B" w14:textId="77777777" w:rsidR="00D40702" w:rsidRDefault="00D4070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57B7F" w14:textId="77777777" w:rsidR="00AD73E8" w:rsidRDefault="00AD73E8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3A716" w14:textId="77777777" w:rsidR="00AD73E8" w:rsidRDefault="00AD73E8">
    <w:pPr>
      <w:pStyle w:val="Header"/>
    </w:pPr>
  </w:p>
  <w:p w14:paraId="661DF565" w14:textId="77777777" w:rsidR="00AD73E8" w:rsidRDefault="00AD73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3E8"/>
    <w:rsid w:val="002906E4"/>
    <w:rsid w:val="009E4615"/>
    <w:rsid w:val="00AA0C70"/>
    <w:rsid w:val="00AD73E8"/>
    <w:rsid w:val="00B85CB5"/>
    <w:rsid w:val="00D4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2D4EF"/>
  <w15:chartTrackingRefBased/>
  <w15:docId w15:val="{AF66E612-DB45-44AC-A951-78C93B831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3E8"/>
    <w:pPr>
      <w:spacing w:after="220" w:line="240" w:lineRule="auto"/>
    </w:pPr>
    <w:rPr>
      <w:rFonts w:ascii="Century Schoolbook" w:eastAsia="Century Schoolbook" w:hAnsi="Century Schoolbook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73E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73E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73E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73E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73E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73E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73E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73E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73E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73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73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73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73E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73E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73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73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73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73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73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D73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73E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D73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73E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D73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73E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D73E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73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73E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73E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rsid w:val="00AD73E8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D73E8"/>
    <w:rPr>
      <w:rFonts w:ascii="Century Schoolbook" w:eastAsia="Century Schoolbook" w:hAnsi="Century Schoolbook" w:cs="Times New Roman"/>
      <w:kern w:val="0"/>
      <w:lang w:val="en-US"/>
      <w14:ligatures w14:val="none"/>
    </w:rPr>
  </w:style>
  <w:style w:type="character" w:styleId="Hyperlink">
    <w:name w:val="Hyperlink"/>
    <w:uiPriority w:val="99"/>
    <w:unhideWhenUsed/>
    <w:rsid w:val="00AD73E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oi.org/10.1186/s12913-018-3161-3" TargetMode="External"/><Relationship Id="rId18" Type="http://schemas.openxmlformats.org/officeDocument/2006/relationships/hyperlink" Target="https://doi.org/10.5281/zenodo.16895867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www.nice.org.uk/guidance/ng249" TargetMode="External"/><Relationship Id="rId7" Type="http://schemas.openxmlformats.org/officeDocument/2006/relationships/image" Target="cid:image001.png@01D0EA4A.2BD679A0" TargetMode="External"/><Relationship Id="rId12" Type="http://schemas.openxmlformats.org/officeDocument/2006/relationships/hyperlink" Target="https://www.ageuk.org.uk/discover/2024/september/state-of-health-and-care-of-older-people-in-england-2024/?utm_source=chatgpt.com" TargetMode="External"/><Relationship Id="rId17" Type="http://schemas.openxmlformats.org/officeDocument/2006/relationships/hyperlink" Target="https://www.gov.uk/government/publications/care-act-statutory-guidance/care-and-support-statutory-guidance" TargetMode="External"/><Relationship Id="rId25" Type="http://schemas.openxmlformats.org/officeDocument/2006/relationships/hyperlink" Target="https://www.who.int/news-room/fact-sheets/detail/ageing-and-health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136/bmj-2023-077764" TargetMode="External"/><Relationship Id="rId20" Type="http://schemas.openxmlformats.org/officeDocument/2006/relationships/hyperlink" Target="https://doi.org/10.5334/ijic.6537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ageuk.org.uk/siteassets/documents/reports-and-publications/later_life_uk_factsheet.pdf" TargetMode="External"/><Relationship Id="rId24" Type="http://schemas.openxmlformats.org/officeDocument/2006/relationships/hyperlink" Target="https://doi.org/10.3310/GJKW1909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cqc.org.uk/publications/major-report/state-care/2024-2025" TargetMode="External"/><Relationship Id="rId23" Type="http://schemas.openxmlformats.org/officeDocument/2006/relationships/hyperlink" Target="https://www.ons.gov.uk/peoplepopulationandcommunity/birthsdeathsandmarriages/ageing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doi.org/10.1186/s12877-019-1189-9" TargetMode="External"/><Relationship Id="rId19" Type="http://schemas.openxmlformats.org/officeDocument/2006/relationships/hyperlink" Target="https://doi.org/10.3399/bjgp19X700325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yperlink" Target="https://www.bgs.org.uk/8-cga-in-primary-care-settings-care-and-support-planning" TargetMode="External"/><Relationship Id="rId22" Type="http://schemas.openxmlformats.org/officeDocument/2006/relationships/hyperlink" Target="https://www.nhs.uk/mental-health/feelings-symptoms-behaviours/feelings-and-symptoms/loneliness-in-older-people/" TargetMode="External"/><Relationship Id="rId27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863</Words>
  <Characters>4925</Characters>
  <Application>Microsoft Office Word</Application>
  <DocSecurity>0</DocSecurity>
  <Lines>41</Lines>
  <Paragraphs>11</Paragraphs>
  <ScaleCrop>false</ScaleCrop>
  <Company/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abosede dehinbo</dc:creator>
  <cp:keywords/>
  <dc:description/>
  <cp:lastModifiedBy>Joshua Nkatiah (Institute of Inner City Learning)</cp:lastModifiedBy>
  <cp:revision>2</cp:revision>
  <dcterms:created xsi:type="dcterms:W3CDTF">2026-07-21T12:47:00Z</dcterms:created>
  <dcterms:modified xsi:type="dcterms:W3CDTF">2026-07-21T12:47:00Z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ccb4c08c-b061-41f3-94ce-ab731060407d</vt:lpwstr>
  </property>
</Properties>
</file>