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A0B89" w14:textId="2D7AAD03" w:rsidR="006C031E" w:rsidRDefault="006C031E" w:rsidP="008C28BA">
      <w:pPr>
        <w:spacing w:line="360" w:lineRule="auto"/>
        <w:jc w:val="center"/>
        <w:rPr>
          <w:rFonts w:ascii="Times New Roman" w:hAnsi="Times New Roman" w:cs="Times New Roman"/>
          <w:b/>
          <w:sz w:val="24"/>
          <w:szCs w:val="24"/>
          <w:u w:val="single"/>
        </w:rPr>
      </w:pPr>
      <w:r w:rsidRPr="00D368A4">
        <w:rPr>
          <w:rFonts w:ascii="Times New Roman" w:hAnsi="Times New Roman" w:cs="Times New Roman"/>
          <w:b/>
          <w:sz w:val="24"/>
          <w:szCs w:val="24"/>
          <w:u w:val="single"/>
        </w:rPr>
        <w:t>Critical explor</w:t>
      </w:r>
      <w:r>
        <w:rPr>
          <w:rFonts w:ascii="Times New Roman" w:hAnsi="Times New Roman" w:cs="Times New Roman"/>
          <w:b/>
          <w:sz w:val="24"/>
          <w:szCs w:val="24"/>
          <w:u w:val="single"/>
        </w:rPr>
        <w:t>ation of</w:t>
      </w:r>
      <w:r w:rsidRPr="00D368A4">
        <w:rPr>
          <w:rFonts w:ascii="Times New Roman" w:hAnsi="Times New Roman" w:cs="Times New Roman"/>
          <w:b/>
          <w:sz w:val="24"/>
          <w:szCs w:val="24"/>
          <w:u w:val="single"/>
        </w:rPr>
        <w:t xml:space="preserve"> the implications of professionalising advocacy services and reflect on the potential impact of services becoming controlled by government </w:t>
      </w:r>
      <w:r w:rsidR="001D60BD" w:rsidRPr="00D368A4">
        <w:rPr>
          <w:rFonts w:ascii="Times New Roman" w:hAnsi="Times New Roman" w:cs="Times New Roman"/>
          <w:b/>
          <w:sz w:val="24"/>
          <w:szCs w:val="24"/>
          <w:u w:val="single"/>
        </w:rPr>
        <w:t>agencies</w:t>
      </w:r>
    </w:p>
    <w:p w14:paraId="3E4CA589" w14:textId="28B153E0" w:rsidR="009D5284" w:rsidRDefault="006C031E" w:rsidP="00E9236D">
      <w:pPr>
        <w:spacing w:before="240" w:line="360" w:lineRule="auto"/>
        <w:jc w:val="both"/>
        <w:rPr>
          <w:rFonts w:ascii="Times New Roman" w:hAnsi="Times New Roman" w:cs="Times New Roman"/>
          <w:bCs/>
          <w:color w:val="FF0000"/>
          <w:sz w:val="24"/>
          <w:szCs w:val="24"/>
        </w:rPr>
      </w:pPr>
      <w:r>
        <w:rPr>
          <w:rFonts w:ascii="Times New Roman" w:hAnsi="Times New Roman" w:cs="Times New Roman"/>
          <w:bCs/>
          <w:sz w:val="24"/>
          <w:szCs w:val="24"/>
        </w:rPr>
        <w:t xml:space="preserve">This submission will critically explore the implications of professionalising advocacy services in the United Kingdom, while reflecting on the potential impact of services becoming controlled by government agencies. This will be achieved through the critical analysis of policy and practice and utilising information from relevant articles and journals. Professionalising advocacy services refers to the process of establishing standards, qualifications, and accreditation processes for individuals and organisations that provide advocacy services. While this can lead to increased quality and consistency in advocacy services, there are several potential ramifications to take into </w:t>
      </w:r>
      <w:r w:rsidRPr="00F56F17">
        <w:rPr>
          <w:rFonts w:ascii="Times New Roman" w:hAnsi="Times New Roman" w:cs="Times New Roman"/>
          <w:bCs/>
          <w:sz w:val="24"/>
          <w:szCs w:val="24"/>
        </w:rPr>
        <w:t xml:space="preserve">consideration </w:t>
      </w:r>
      <w:r w:rsidR="00F56F17" w:rsidRPr="00F56F17">
        <w:rPr>
          <w:rFonts w:ascii="Times New Roman" w:hAnsi="Times New Roman" w:cs="Times New Roman"/>
          <w:bCs/>
          <w:sz w:val="24"/>
          <w:szCs w:val="24"/>
        </w:rPr>
        <w:t>(Brubaker &amp; Keegan, 2018)</w:t>
      </w:r>
      <w:r w:rsidR="00F56F17">
        <w:rPr>
          <w:rFonts w:ascii="Times New Roman" w:hAnsi="Times New Roman" w:cs="Times New Roman"/>
          <w:bCs/>
          <w:sz w:val="24"/>
          <w:szCs w:val="24"/>
        </w:rPr>
        <w:t>.</w:t>
      </w:r>
      <w:r w:rsidR="00466594">
        <w:rPr>
          <w:rFonts w:ascii="Times New Roman" w:hAnsi="Times New Roman" w:cs="Times New Roman"/>
          <w:bCs/>
          <w:sz w:val="24"/>
          <w:szCs w:val="24"/>
        </w:rPr>
        <w:t xml:space="preserve"> On</w:t>
      </w:r>
      <w:r w:rsidR="00466594" w:rsidRPr="00466594">
        <w:rPr>
          <w:rFonts w:ascii="Times New Roman" w:hAnsi="Times New Roman" w:cs="Times New Roman"/>
          <w:bCs/>
          <w:sz w:val="24"/>
          <w:szCs w:val="24"/>
        </w:rPr>
        <w:t>e of the potential benefits of professionali</w:t>
      </w:r>
      <w:r w:rsidR="00466594">
        <w:rPr>
          <w:rFonts w:ascii="Times New Roman" w:hAnsi="Times New Roman" w:cs="Times New Roman"/>
          <w:bCs/>
          <w:sz w:val="24"/>
          <w:szCs w:val="24"/>
        </w:rPr>
        <w:t>s</w:t>
      </w:r>
      <w:r w:rsidR="00466594" w:rsidRPr="00466594">
        <w:rPr>
          <w:rFonts w:ascii="Times New Roman" w:hAnsi="Times New Roman" w:cs="Times New Roman"/>
          <w:bCs/>
          <w:sz w:val="24"/>
          <w:szCs w:val="24"/>
        </w:rPr>
        <w:t>ing advocacy services is that it could lead to more consistent and standardi</w:t>
      </w:r>
      <w:r w:rsidR="00466594">
        <w:rPr>
          <w:rFonts w:ascii="Times New Roman" w:hAnsi="Times New Roman" w:cs="Times New Roman"/>
          <w:bCs/>
          <w:sz w:val="24"/>
          <w:szCs w:val="24"/>
        </w:rPr>
        <w:t>s</w:t>
      </w:r>
      <w:r w:rsidR="00466594" w:rsidRPr="00466594">
        <w:rPr>
          <w:rFonts w:ascii="Times New Roman" w:hAnsi="Times New Roman" w:cs="Times New Roman"/>
          <w:bCs/>
          <w:sz w:val="24"/>
          <w:szCs w:val="24"/>
        </w:rPr>
        <w:t>ed services. If advocates are required to meet certain qualifications or certifications, it could help ensure that they have the necessary skills and knowledge to effectively support their clients. However, some advocates argue that professionali</w:t>
      </w:r>
      <w:r w:rsidR="00466594">
        <w:rPr>
          <w:rFonts w:ascii="Times New Roman" w:hAnsi="Times New Roman" w:cs="Times New Roman"/>
          <w:bCs/>
          <w:sz w:val="24"/>
          <w:szCs w:val="24"/>
        </w:rPr>
        <w:t>s</w:t>
      </w:r>
      <w:r w:rsidR="00466594" w:rsidRPr="00466594">
        <w:rPr>
          <w:rFonts w:ascii="Times New Roman" w:hAnsi="Times New Roman" w:cs="Times New Roman"/>
          <w:bCs/>
          <w:sz w:val="24"/>
          <w:szCs w:val="24"/>
        </w:rPr>
        <w:t>ation might also make it more difficult to connect with clients on a personal level. If advocates are required to adhere to strict codes of conduct or follow specific protocols, it could limit their ability to build trusting relationships with their clients.</w:t>
      </w:r>
      <w:r w:rsidR="00466594">
        <w:rPr>
          <w:rFonts w:ascii="Times New Roman" w:hAnsi="Times New Roman" w:cs="Times New Roman"/>
          <w:bCs/>
          <w:sz w:val="24"/>
          <w:szCs w:val="24"/>
        </w:rPr>
        <w:t xml:space="preserve"> </w:t>
      </w:r>
      <w:r w:rsidR="00466594" w:rsidRPr="00466594">
        <w:rPr>
          <w:rFonts w:ascii="Times New Roman" w:hAnsi="Times New Roman" w:cs="Times New Roman"/>
          <w:bCs/>
          <w:sz w:val="24"/>
          <w:szCs w:val="24"/>
        </w:rPr>
        <w:t xml:space="preserve">Another potential issue to consider is the impact of government control on the independence and effectiveness of advocacy services. While government funding might provide more resources for these services, it could also lead to conflicts of interest or a loss of autonomy for advocates. If advocacy services are required to meet certain government standards or adhere to specific policies, it could limit their ability to advocate for their clients' needs. Additionally, if government agencies </w:t>
      </w:r>
      <w:r w:rsidR="007B3783">
        <w:rPr>
          <w:rFonts w:ascii="Times New Roman" w:hAnsi="Times New Roman" w:cs="Times New Roman"/>
          <w:bCs/>
          <w:sz w:val="24"/>
          <w:szCs w:val="24"/>
        </w:rPr>
        <w:t>become</w:t>
      </w:r>
      <w:r w:rsidR="00466594" w:rsidRPr="00466594">
        <w:rPr>
          <w:rFonts w:ascii="Times New Roman" w:hAnsi="Times New Roman" w:cs="Times New Roman"/>
          <w:bCs/>
          <w:sz w:val="24"/>
          <w:szCs w:val="24"/>
        </w:rPr>
        <w:t xml:space="preserve"> responsible for overseeing </w:t>
      </w:r>
      <w:r w:rsidR="007B3783">
        <w:rPr>
          <w:rFonts w:ascii="Times New Roman" w:hAnsi="Times New Roman" w:cs="Times New Roman"/>
          <w:bCs/>
          <w:sz w:val="24"/>
          <w:szCs w:val="24"/>
        </w:rPr>
        <w:t xml:space="preserve">all aspects of </w:t>
      </w:r>
      <w:r w:rsidR="00466594" w:rsidRPr="00466594">
        <w:rPr>
          <w:rFonts w:ascii="Times New Roman" w:hAnsi="Times New Roman" w:cs="Times New Roman"/>
          <w:bCs/>
          <w:sz w:val="24"/>
          <w:szCs w:val="24"/>
        </w:rPr>
        <w:t xml:space="preserve">advocacy services, it </w:t>
      </w:r>
      <w:r w:rsidR="002E57A2" w:rsidRPr="00466594">
        <w:rPr>
          <w:rFonts w:ascii="Times New Roman" w:hAnsi="Times New Roman" w:cs="Times New Roman"/>
          <w:bCs/>
          <w:sz w:val="24"/>
          <w:szCs w:val="24"/>
        </w:rPr>
        <w:t>may well</w:t>
      </w:r>
      <w:r w:rsidR="00466594" w:rsidRPr="00466594">
        <w:rPr>
          <w:rFonts w:ascii="Times New Roman" w:hAnsi="Times New Roman" w:cs="Times New Roman"/>
          <w:bCs/>
          <w:sz w:val="24"/>
          <w:szCs w:val="24"/>
        </w:rPr>
        <w:t xml:space="preserve"> create a situation where advocates are more focused on meeting bureaucratic requirements than on </w:t>
      </w:r>
      <w:r w:rsidR="00F9418A" w:rsidRPr="00466594">
        <w:rPr>
          <w:rFonts w:ascii="Times New Roman" w:hAnsi="Times New Roman" w:cs="Times New Roman"/>
          <w:bCs/>
          <w:sz w:val="24"/>
          <w:szCs w:val="24"/>
        </w:rPr>
        <w:t>supplying</w:t>
      </w:r>
      <w:r w:rsidR="00466594" w:rsidRPr="00466594">
        <w:rPr>
          <w:rFonts w:ascii="Times New Roman" w:hAnsi="Times New Roman" w:cs="Times New Roman"/>
          <w:bCs/>
          <w:sz w:val="24"/>
          <w:szCs w:val="24"/>
        </w:rPr>
        <w:t xml:space="preserve"> effective support to their clients.</w:t>
      </w:r>
      <w:r w:rsidR="00F05094">
        <w:rPr>
          <w:rFonts w:ascii="Times New Roman" w:hAnsi="Times New Roman" w:cs="Times New Roman"/>
          <w:bCs/>
          <w:color w:val="FF0000"/>
          <w:sz w:val="24"/>
          <w:szCs w:val="24"/>
        </w:rPr>
        <w:t xml:space="preserve"> </w:t>
      </w:r>
    </w:p>
    <w:p w14:paraId="71145B38" w14:textId="7B74251E" w:rsidR="009D3638" w:rsidRDefault="003539F9" w:rsidP="00E9236D">
      <w:pPr>
        <w:spacing w:before="240" w:line="360" w:lineRule="auto"/>
        <w:jc w:val="both"/>
        <w:rPr>
          <w:rFonts w:ascii="Times New Roman" w:hAnsi="Times New Roman" w:cs="Times New Roman"/>
          <w:bCs/>
          <w:sz w:val="24"/>
          <w:szCs w:val="24"/>
        </w:rPr>
      </w:pPr>
      <w:r>
        <w:rPr>
          <w:rFonts w:ascii="Times New Roman" w:hAnsi="Times New Roman" w:cs="Times New Roman"/>
          <w:bCs/>
          <w:sz w:val="24"/>
          <w:szCs w:val="24"/>
        </w:rPr>
        <w:t>G</w:t>
      </w:r>
      <w:r w:rsidRPr="003539F9">
        <w:rPr>
          <w:rFonts w:ascii="Times New Roman" w:hAnsi="Times New Roman" w:cs="Times New Roman"/>
          <w:bCs/>
          <w:sz w:val="24"/>
          <w:szCs w:val="24"/>
        </w:rPr>
        <w:t>overnment oversight of advocacy services can have unintended consequences</w:t>
      </w:r>
      <w:r>
        <w:rPr>
          <w:rFonts w:ascii="Times New Roman" w:hAnsi="Times New Roman" w:cs="Times New Roman"/>
          <w:bCs/>
          <w:sz w:val="24"/>
          <w:szCs w:val="24"/>
        </w:rPr>
        <w:t xml:space="preserve">, </w:t>
      </w:r>
      <w:r w:rsidRPr="003539F9">
        <w:rPr>
          <w:rFonts w:ascii="Times New Roman" w:hAnsi="Times New Roman" w:cs="Times New Roman"/>
          <w:bCs/>
          <w:sz w:val="24"/>
          <w:szCs w:val="24"/>
        </w:rPr>
        <w:t>Beresford</w:t>
      </w:r>
      <w:r>
        <w:rPr>
          <w:rFonts w:ascii="Times New Roman" w:hAnsi="Times New Roman" w:cs="Times New Roman"/>
          <w:bCs/>
          <w:sz w:val="24"/>
          <w:szCs w:val="24"/>
        </w:rPr>
        <w:t xml:space="preserve"> </w:t>
      </w:r>
      <w:r w:rsidRPr="003539F9">
        <w:rPr>
          <w:rFonts w:ascii="Times New Roman" w:hAnsi="Times New Roman" w:cs="Times New Roman"/>
          <w:bCs/>
          <w:sz w:val="24"/>
          <w:szCs w:val="24"/>
        </w:rPr>
        <w:t>(2002)</w:t>
      </w:r>
      <w:r>
        <w:rPr>
          <w:rFonts w:ascii="Times New Roman" w:hAnsi="Times New Roman" w:cs="Times New Roman"/>
          <w:bCs/>
          <w:sz w:val="24"/>
          <w:szCs w:val="24"/>
        </w:rPr>
        <w:t xml:space="preserve"> writes how the p</w:t>
      </w:r>
      <w:r w:rsidRPr="003539F9">
        <w:rPr>
          <w:rFonts w:ascii="Times New Roman" w:hAnsi="Times New Roman" w:cs="Times New Roman"/>
          <w:bCs/>
          <w:sz w:val="24"/>
          <w:szCs w:val="24"/>
        </w:rPr>
        <w:t>rofessionali</w:t>
      </w:r>
      <w:r>
        <w:rPr>
          <w:rFonts w:ascii="Times New Roman" w:hAnsi="Times New Roman" w:cs="Times New Roman"/>
          <w:bCs/>
          <w:sz w:val="24"/>
          <w:szCs w:val="24"/>
        </w:rPr>
        <w:t>s</w:t>
      </w:r>
      <w:r w:rsidRPr="003539F9">
        <w:rPr>
          <w:rFonts w:ascii="Times New Roman" w:hAnsi="Times New Roman" w:cs="Times New Roman"/>
          <w:bCs/>
          <w:sz w:val="24"/>
          <w:szCs w:val="24"/>
        </w:rPr>
        <w:t>ation of advocacy services in the UK has been a topic of debate for some time. Some argue that it can help to improve the quality of services and increase the credibility of the profession. However, there are concerns that it can lead to a loss of independence and a focus on business interests rather than the needs of the community. Additionally, government oversight of advocacy services can create a situation where advocates are more focused on meeting bureaucratic requirements than on providing effective</w:t>
      </w:r>
      <w:r w:rsidR="00AA63F5">
        <w:rPr>
          <w:rFonts w:ascii="Times New Roman" w:hAnsi="Times New Roman" w:cs="Times New Roman"/>
          <w:bCs/>
          <w:sz w:val="24"/>
          <w:szCs w:val="24"/>
        </w:rPr>
        <w:t xml:space="preserve"> </w:t>
      </w:r>
      <w:r w:rsidRPr="003539F9">
        <w:rPr>
          <w:rFonts w:ascii="Times New Roman" w:hAnsi="Times New Roman" w:cs="Times New Roman"/>
          <w:bCs/>
          <w:sz w:val="24"/>
          <w:szCs w:val="24"/>
        </w:rPr>
        <w:lastRenderedPageBreak/>
        <w:t>support to their clients. It's important to consider these potential risks and challenges when discussing the professionali</w:t>
      </w:r>
      <w:r>
        <w:rPr>
          <w:rFonts w:ascii="Times New Roman" w:hAnsi="Times New Roman" w:cs="Times New Roman"/>
          <w:bCs/>
          <w:sz w:val="24"/>
          <w:szCs w:val="24"/>
        </w:rPr>
        <w:t>s</w:t>
      </w:r>
      <w:r w:rsidRPr="003539F9">
        <w:rPr>
          <w:rFonts w:ascii="Times New Roman" w:hAnsi="Times New Roman" w:cs="Times New Roman"/>
          <w:bCs/>
          <w:sz w:val="24"/>
          <w:szCs w:val="24"/>
        </w:rPr>
        <w:t>ation of advocacy services.</w:t>
      </w:r>
      <w:r w:rsidR="001E3CB3">
        <w:rPr>
          <w:rFonts w:ascii="Times New Roman" w:hAnsi="Times New Roman" w:cs="Times New Roman"/>
          <w:bCs/>
          <w:sz w:val="24"/>
          <w:szCs w:val="24"/>
        </w:rPr>
        <w:t xml:space="preserve"> </w:t>
      </w:r>
    </w:p>
    <w:p w14:paraId="15FFA1FA" w14:textId="3AF9E09F" w:rsidR="003539F9" w:rsidRDefault="009D3638" w:rsidP="00E9236D">
      <w:pPr>
        <w:spacing w:before="240" w:line="360" w:lineRule="auto"/>
        <w:jc w:val="both"/>
        <w:rPr>
          <w:rFonts w:ascii="Times New Roman" w:hAnsi="Times New Roman" w:cs="Times New Roman"/>
          <w:bCs/>
          <w:sz w:val="24"/>
          <w:szCs w:val="24"/>
        </w:rPr>
      </w:pPr>
      <w:r>
        <w:rPr>
          <w:rFonts w:ascii="Times New Roman" w:hAnsi="Times New Roman" w:cs="Times New Roman"/>
          <w:bCs/>
          <w:sz w:val="24"/>
          <w:szCs w:val="24"/>
        </w:rPr>
        <w:t>T</w:t>
      </w:r>
      <w:r w:rsidRPr="009D3638">
        <w:rPr>
          <w:rFonts w:ascii="Times New Roman" w:hAnsi="Times New Roman" w:cs="Times New Roman"/>
          <w:bCs/>
          <w:sz w:val="24"/>
          <w:szCs w:val="24"/>
        </w:rPr>
        <w:t xml:space="preserve">he effectiveness of advocacy services in the UK can vary depending on a range of factors, such as the needs of the individual, the type of advocacy service being provided, and the resources available to the advocacy service. However, in general, advocacy services can be an effective way of ensuring that individuals are able to access the support and services they need, and that their rights and interests are </w:t>
      </w:r>
      <w:r w:rsidR="00575CF8" w:rsidRPr="009D3638">
        <w:rPr>
          <w:rFonts w:ascii="Times New Roman" w:hAnsi="Times New Roman" w:cs="Times New Roman"/>
          <w:bCs/>
          <w:sz w:val="24"/>
          <w:szCs w:val="24"/>
        </w:rPr>
        <w:t>protected.</w:t>
      </w:r>
      <w:r w:rsidR="00575CF8" w:rsidRPr="001E3CB3">
        <w:rPr>
          <w:rFonts w:ascii="Times New Roman" w:hAnsi="Times New Roman" w:cs="Times New Roman"/>
          <w:bCs/>
          <w:sz w:val="24"/>
          <w:szCs w:val="24"/>
        </w:rPr>
        <w:t xml:space="preserve"> According</w:t>
      </w:r>
      <w:r w:rsidR="001E3CB3" w:rsidRPr="001E3CB3">
        <w:rPr>
          <w:rFonts w:ascii="Times New Roman" w:hAnsi="Times New Roman" w:cs="Times New Roman"/>
          <w:bCs/>
          <w:sz w:val="24"/>
          <w:szCs w:val="24"/>
        </w:rPr>
        <w:t xml:space="preserve"> to a scoping review by Hudson (2016), advocacy can be an effective way of ensuring that individuals receive the support and services they need, and that advocacy services should be made more widely available to those who need them. There are a number of different types of advocacy services available in the UK, including statutory advocacy, non-statutory advocacy, and self-advocacy. Statutory advocacy is provided by local authorities or health trusts, and is required by law in certain circumstances, such as when an individual lacks </w:t>
      </w:r>
      <w:r w:rsidR="00697BFA">
        <w:rPr>
          <w:rFonts w:ascii="Times New Roman" w:hAnsi="Times New Roman" w:cs="Times New Roman"/>
          <w:bCs/>
          <w:sz w:val="24"/>
          <w:szCs w:val="24"/>
        </w:rPr>
        <w:t xml:space="preserve">the </w:t>
      </w:r>
      <w:r w:rsidR="00697BFA" w:rsidRPr="001E3CB3">
        <w:rPr>
          <w:rFonts w:ascii="Times New Roman" w:hAnsi="Times New Roman" w:cs="Times New Roman"/>
          <w:bCs/>
          <w:sz w:val="24"/>
          <w:szCs w:val="24"/>
        </w:rPr>
        <w:t>ability</w:t>
      </w:r>
      <w:r w:rsidR="001E3CB3" w:rsidRPr="001E3CB3">
        <w:rPr>
          <w:rFonts w:ascii="Times New Roman" w:hAnsi="Times New Roman" w:cs="Times New Roman"/>
          <w:bCs/>
          <w:sz w:val="24"/>
          <w:szCs w:val="24"/>
        </w:rPr>
        <w:t xml:space="preserve"> to make decisions about their care and treatment. Non-statutory advocacy is provided by voluntary or community organizations, and is available to individuals who do not meet the criteria for statutory advocacy. Self-advocacy is when individuals speak up for themselves, and can be supported by advocacy services or other organizations. While there is no one-size-fits-all answer to the question of how effective advocacy services are in the UK, there is evidence to suggest that advocacy can be an effective way of ensuring that individuals are able to access the support and services they need, and that their rights and interests are protected.</w:t>
      </w:r>
    </w:p>
    <w:p w14:paraId="47EF5837" w14:textId="4AC99062" w:rsidR="00904191" w:rsidRDefault="006C031E" w:rsidP="00E9236D">
      <w:pPr>
        <w:spacing w:before="240" w:line="360" w:lineRule="auto"/>
        <w:jc w:val="both"/>
        <w:rPr>
          <w:rFonts w:ascii="Times New Roman" w:hAnsi="Times New Roman" w:cs="Times New Roman"/>
          <w:bCs/>
          <w:sz w:val="24"/>
          <w:szCs w:val="24"/>
        </w:rPr>
      </w:pPr>
      <w:r>
        <w:rPr>
          <w:rFonts w:ascii="Times New Roman" w:hAnsi="Times New Roman" w:cs="Times New Roman"/>
          <w:bCs/>
          <w:sz w:val="24"/>
          <w:szCs w:val="24"/>
        </w:rPr>
        <w:t>Primarily, professionalising advocacy services may in fact limit access to those services that are being delivered. I</w:t>
      </w:r>
      <w:r w:rsidR="009778AD">
        <w:rPr>
          <w:rFonts w:ascii="Times New Roman" w:hAnsi="Times New Roman" w:cs="Times New Roman"/>
          <w:bCs/>
          <w:sz w:val="24"/>
          <w:szCs w:val="24"/>
        </w:rPr>
        <w:t>f</w:t>
      </w:r>
      <w:r>
        <w:rPr>
          <w:rFonts w:ascii="Times New Roman" w:hAnsi="Times New Roman" w:cs="Times New Roman"/>
          <w:bCs/>
          <w:sz w:val="24"/>
          <w:szCs w:val="24"/>
        </w:rPr>
        <w:t xml:space="preserve"> the requirements for qualifications are excessive or if the accreditation process is t</w:t>
      </w:r>
      <w:r w:rsidR="009778AD">
        <w:rPr>
          <w:rFonts w:ascii="Times New Roman" w:hAnsi="Times New Roman" w:cs="Times New Roman"/>
          <w:bCs/>
          <w:sz w:val="24"/>
          <w:szCs w:val="24"/>
        </w:rPr>
        <w:t>o</w:t>
      </w:r>
      <w:r>
        <w:rPr>
          <w:rFonts w:ascii="Times New Roman" w:hAnsi="Times New Roman" w:cs="Times New Roman"/>
          <w:bCs/>
          <w:sz w:val="24"/>
          <w:szCs w:val="24"/>
        </w:rPr>
        <w:t xml:space="preserve">o expensive, then that would cause the community-based groups or the smaller organisations to have issues meeting the requirements, therefore </w:t>
      </w:r>
      <w:r w:rsidR="009778AD">
        <w:rPr>
          <w:rFonts w:ascii="Times New Roman" w:hAnsi="Times New Roman" w:cs="Times New Roman"/>
          <w:bCs/>
          <w:sz w:val="24"/>
          <w:szCs w:val="24"/>
        </w:rPr>
        <w:t>prospectively</w:t>
      </w:r>
      <w:r>
        <w:rPr>
          <w:rFonts w:ascii="Times New Roman" w:hAnsi="Times New Roman" w:cs="Times New Roman"/>
          <w:bCs/>
          <w:sz w:val="24"/>
          <w:szCs w:val="24"/>
        </w:rPr>
        <w:t xml:space="preserve"> leading to the reduction of availability of advocacy provision</w:t>
      </w:r>
      <w:r w:rsidR="00A91215">
        <w:rPr>
          <w:rFonts w:ascii="Times New Roman" w:hAnsi="Times New Roman" w:cs="Times New Roman"/>
          <w:bCs/>
          <w:sz w:val="24"/>
          <w:szCs w:val="24"/>
        </w:rPr>
        <w:t xml:space="preserve"> </w:t>
      </w:r>
      <w:r w:rsidR="00A91215" w:rsidRPr="00A91215">
        <w:rPr>
          <w:rFonts w:ascii="Times New Roman" w:hAnsi="Times New Roman" w:cs="Times New Roman"/>
          <w:bCs/>
          <w:sz w:val="24"/>
          <w:szCs w:val="24"/>
        </w:rPr>
        <w:t>(SCIE, 2014)</w:t>
      </w:r>
      <w:r>
        <w:rPr>
          <w:rFonts w:ascii="Times New Roman" w:hAnsi="Times New Roman" w:cs="Times New Roman"/>
          <w:bCs/>
          <w:sz w:val="24"/>
          <w:szCs w:val="24"/>
        </w:rPr>
        <w:t>.</w:t>
      </w:r>
      <w:r w:rsidR="00A91215">
        <w:rPr>
          <w:rFonts w:ascii="Times New Roman" w:hAnsi="Times New Roman" w:cs="Times New Roman"/>
          <w:bCs/>
          <w:sz w:val="24"/>
          <w:szCs w:val="24"/>
        </w:rPr>
        <w:t xml:space="preserve"> </w:t>
      </w:r>
      <w:r>
        <w:rPr>
          <w:rFonts w:ascii="Times New Roman" w:hAnsi="Times New Roman" w:cs="Times New Roman"/>
          <w:bCs/>
          <w:sz w:val="24"/>
          <w:szCs w:val="24"/>
        </w:rPr>
        <w:t xml:space="preserve">This </w:t>
      </w:r>
      <w:r w:rsidR="000E4CAC" w:rsidRPr="000E4CAC">
        <w:rPr>
          <w:rFonts w:ascii="Times New Roman" w:hAnsi="Times New Roman" w:cs="Times New Roman"/>
          <w:bCs/>
          <w:sz w:val="24"/>
          <w:szCs w:val="24"/>
        </w:rPr>
        <w:t xml:space="preserve">may lead to consequences, particularly to </w:t>
      </w:r>
      <w:r>
        <w:rPr>
          <w:rFonts w:ascii="Times New Roman" w:hAnsi="Times New Roman" w:cs="Times New Roman"/>
          <w:bCs/>
          <w:sz w:val="24"/>
          <w:szCs w:val="24"/>
        </w:rPr>
        <w:t xml:space="preserve">marginalised communities, those of which may rely on </w:t>
      </w:r>
      <w:r w:rsidR="000E4CAC">
        <w:rPr>
          <w:rFonts w:ascii="Times New Roman" w:hAnsi="Times New Roman" w:cs="Times New Roman"/>
          <w:bCs/>
          <w:sz w:val="24"/>
          <w:szCs w:val="24"/>
        </w:rPr>
        <w:t>these</w:t>
      </w:r>
      <w:r>
        <w:rPr>
          <w:rFonts w:ascii="Times New Roman" w:hAnsi="Times New Roman" w:cs="Times New Roman"/>
          <w:bCs/>
          <w:sz w:val="24"/>
          <w:szCs w:val="24"/>
        </w:rPr>
        <w:t xml:space="preserve"> services but have less access to resources which would allow for the new standards to be achieved.</w:t>
      </w:r>
      <w:r w:rsidR="00670301">
        <w:rPr>
          <w:rFonts w:ascii="Times New Roman" w:hAnsi="Times New Roman" w:cs="Times New Roman"/>
          <w:bCs/>
          <w:sz w:val="24"/>
          <w:szCs w:val="24"/>
        </w:rPr>
        <w:t xml:space="preserve"> </w:t>
      </w:r>
      <w:r w:rsidR="00670301" w:rsidRPr="00670301">
        <w:rPr>
          <w:rFonts w:ascii="Times New Roman" w:hAnsi="Times New Roman" w:cs="Times New Roman"/>
          <w:bCs/>
          <w:sz w:val="24"/>
          <w:szCs w:val="24"/>
        </w:rPr>
        <w:t>In the UK, over-regulation of services like advocacy could lead to increased costs</w:t>
      </w:r>
      <w:r w:rsidR="00B76B2F">
        <w:rPr>
          <w:rFonts w:ascii="Times New Roman" w:hAnsi="Times New Roman" w:cs="Times New Roman"/>
          <w:bCs/>
          <w:sz w:val="24"/>
          <w:szCs w:val="24"/>
        </w:rPr>
        <w:t xml:space="preserve"> </w:t>
      </w:r>
      <w:r w:rsidR="00B76B2F" w:rsidRPr="00B76B2F">
        <w:rPr>
          <w:rFonts w:ascii="Times New Roman" w:hAnsi="Times New Roman" w:cs="Times New Roman"/>
          <w:bCs/>
          <w:sz w:val="24"/>
          <w:szCs w:val="24"/>
        </w:rPr>
        <w:t>(Barnes &amp; Prior, 2016)</w:t>
      </w:r>
      <w:r w:rsidR="00670301" w:rsidRPr="00670301">
        <w:rPr>
          <w:rFonts w:ascii="Times New Roman" w:hAnsi="Times New Roman" w:cs="Times New Roman"/>
          <w:bCs/>
          <w:sz w:val="24"/>
          <w:szCs w:val="24"/>
        </w:rPr>
        <w:t>, which could have a knock-on effect on social care provision in general. This is especially true for mandated services like</w:t>
      </w:r>
      <w:r w:rsidR="002E57A2">
        <w:rPr>
          <w:rFonts w:ascii="Times New Roman" w:hAnsi="Times New Roman" w:cs="Times New Roman"/>
          <w:bCs/>
          <w:sz w:val="24"/>
          <w:szCs w:val="24"/>
        </w:rPr>
        <w:t xml:space="preserve"> Independent Mental Capacity Advoca</w:t>
      </w:r>
      <w:r w:rsidR="003C037F">
        <w:rPr>
          <w:rFonts w:ascii="Times New Roman" w:hAnsi="Times New Roman" w:cs="Times New Roman"/>
          <w:bCs/>
          <w:sz w:val="24"/>
          <w:szCs w:val="24"/>
        </w:rPr>
        <w:t>cy</w:t>
      </w:r>
      <w:r w:rsidR="00670301" w:rsidRPr="00670301">
        <w:rPr>
          <w:rFonts w:ascii="Times New Roman" w:hAnsi="Times New Roman" w:cs="Times New Roman"/>
          <w:bCs/>
          <w:sz w:val="24"/>
          <w:szCs w:val="24"/>
        </w:rPr>
        <w:t xml:space="preserve"> </w:t>
      </w:r>
      <w:r w:rsidR="002E57A2">
        <w:rPr>
          <w:rFonts w:ascii="Times New Roman" w:hAnsi="Times New Roman" w:cs="Times New Roman"/>
          <w:bCs/>
          <w:sz w:val="24"/>
          <w:szCs w:val="24"/>
        </w:rPr>
        <w:t>(</w:t>
      </w:r>
      <w:r w:rsidR="00670301" w:rsidRPr="00670301">
        <w:rPr>
          <w:rFonts w:ascii="Times New Roman" w:hAnsi="Times New Roman" w:cs="Times New Roman"/>
          <w:bCs/>
          <w:sz w:val="24"/>
          <w:szCs w:val="24"/>
        </w:rPr>
        <w:t>IMCA</w:t>
      </w:r>
      <w:r w:rsidR="002E57A2">
        <w:rPr>
          <w:rFonts w:ascii="Times New Roman" w:hAnsi="Times New Roman" w:cs="Times New Roman"/>
          <w:bCs/>
          <w:sz w:val="24"/>
          <w:szCs w:val="24"/>
        </w:rPr>
        <w:t>)</w:t>
      </w:r>
      <w:r w:rsidR="00670301" w:rsidRPr="00670301">
        <w:rPr>
          <w:rFonts w:ascii="Times New Roman" w:hAnsi="Times New Roman" w:cs="Times New Roman"/>
          <w:bCs/>
          <w:sz w:val="24"/>
          <w:szCs w:val="24"/>
        </w:rPr>
        <w:t>,</w:t>
      </w:r>
      <w:r w:rsidR="00904191">
        <w:rPr>
          <w:rFonts w:ascii="Times New Roman" w:hAnsi="Times New Roman" w:cs="Times New Roman"/>
          <w:bCs/>
          <w:sz w:val="24"/>
          <w:szCs w:val="24"/>
        </w:rPr>
        <w:t xml:space="preserve"> </w:t>
      </w:r>
      <w:r w:rsidR="00904191" w:rsidRPr="00904191">
        <w:rPr>
          <w:rFonts w:ascii="Times New Roman" w:hAnsi="Times New Roman" w:cs="Times New Roman"/>
          <w:bCs/>
          <w:sz w:val="24"/>
          <w:szCs w:val="24"/>
        </w:rPr>
        <w:t xml:space="preserve">the cost of </w:t>
      </w:r>
      <w:r w:rsidR="00B379BA" w:rsidRPr="00904191">
        <w:rPr>
          <w:rFonts w:ascii="Times New Roman" w:hAnsi="Times New Roman" w:cs="Times New Roman"/>
          <w:bCs/>
          <w:sz w:val="24"/>
          <w:szCs w:val="24"/>
        </w:rPr>
        <w:t>supplying</w:t>
      </w:r>
      <w:r w:rsidR="00904191" w:rsidRPr="00904191">
        <w:rPr>
          <w:rFonts w:ascii="Times New Roman" w:hAnsi="Times New Roman" w:cs="Times New Roman"/>
          <w:bCs/>
          <w:sz w:val="24"/>
          <w:szCs w:val="24"/>
        </w:rPr>
        <w:t xml:space="preserve"> advocacy services is borne by the government. </w:t>
      </w:r>
      <w:r w:rsidR="00904191">
        <w:rPr>
          <w:rFonts w:ascii="Times New Roman" w:hAnsi="Times New Roman" w:cs="Times New Roman"/>
          <w:bCs/>
          <w:sz w:val="24"/>
          <w:szCs w:val="24"/>
        </w:rPr>
        <w:t>A</w:t>
      </w:r>
      <w:r w:rsidR="00904191" w:rsidRPr="00904191">
        <w:rPr>
          <w:rFonts w:ascii="Times New Roman" w:hAnsi="Times New Roman" w:cs="Times New Roman"/>
          <w:bCs/>
          <w:sz w:val="24"/>
          <w:szCs w:val="24"/>
        </w:rPr>
        <w:t>n IMCA is a specially trained</w:t>
      </w:r>
      <w:r w:rsidR="00B379BA">
        <w:rPr>
          <w:rFonts w:ascii="Times New Roman" w:hAnsi="Times New Roman" w:cs="Times New Roman"/>
          <w:bCs/>
          <w:sz w:val="24"/>
          <w:szCs w:val="24"/>
        </w:rPr>
        <w:t xml:space="preserve"> </w:t>
      </w:r>
      <w:r w:rsidR="00904191" w:rsidRPr="00904191">
        <w:rPr>
          <w:rFonts w:ascii="Times New Roman" w:hAnsi="Times New Roman" w:cs="Times New Roman"/>
          <w:bCs/>
          <w:sz w:val="24"/>
          <w:szCs w:val="24"/>
        </w:rPr>
        <w:t xml:space="preserve">advocate who is appointed to represent and support people who lack capacity to make certain </w:t>
      </w:r>
      <w:r w:rsidR="00904191" w:rsidRPr="00904191">
        <w:rPr>
          <w:rFonts w:ascii="Times New Roman" w:hAnsi="Times New Roman" w:cs="Times New Roman"/>
          <w:bCs/>
          <w:sz w:val="24"/>
          <w:szCs w:val="24"/>
        </w:rPr>
        <w:lastRenderedPageBreak/>
        <w:t xml:space="preserve">important decisions about their life, such as medical treatment or a change of accommodation. IMCAs are usually appointed by local authorities or the National Health Service (NHS) in England, Wales, and Northern Ireland, or by the Mental Welfare Commission in Scotland, and they are required to act in the best interests of the person they are representing. The role of the IMCA is to ensure that the person's wishes, feelings, beliefs, and values are </w:t>
      </w:r>
      <w:r w:rsidR="000A3790">
        <w:rPr>
          <w:rFonts w:ascii="Times New Roman" w:hAnsi="Times New Roman" w:cs="Times New Roman"/>
          <w:bCs/>
          <w:sz w:val="24"/>
          <w:szCs w:val="24"/>
        </w:rPr>
        <w:t>considered</w:t>
      </w:r>
      <w:r w:rsidR="00904191" w:rsidRPr="00904191">
        <w:rPr>
          <w:rFonts w:ascii="Times New Roman" w:hAnsi="Times New Roman" w:cs="Times New Roman"/>
          <w:bCs/>
          <w:sz w:val="24"/>
          <w:szCs w:val="24"/>
        </w:rPr>
        <w:t xml:space="preserve"> in the decision-making process. If the cost of providing these services becomes too high, it could lead to a reduction in the availability or quality of advocacy services, which could in turn have negative consequences for vulnerable individuals who rely on these services</w:t>
      </w:r>
      <w:r w:rsidR="00904191">
        <w:rPr>
          <w:rFonts w:ascii="Times New Roman" w:hAnsi="Times New Roman" w:cs="Times New Roman"/>
          <w:bCs/>
          <w:sz w:val="24"/>
          <w:szCs w:val="24"/>
        </w:rPr>
        <w:t xml:space="preserve"> (</w:t>
      </w:r>
      <w:r w:rsidR="00904191" w:rsidRPr="00904191">
        <w:rPr>
          <w:rFonts w:ascii="Times New Roman" w:hAnsi="Times New Roman" w:cs="Times New Roman"/>
          <w:bCs/>
          <w:sz w:val="24"/>
          <w:szCs w:val="24"/>
        </w:rPr>
        <w:t>The Department of Health</w:t>
      </w:r>
      <w:r w:rsidR="00904191">
        <w:rPr>
          <w:rFonts w:ascii="Times New Roman" w:hAnsi="Times New Roman" w:cs="Times New Roman"/>
          <w:bCs/>
          <w:sz w:val="24"/>
          <w:szCs w:val="24"/>
        </w:rPr>
        <w:t xml:space="preserve">, </w:t>
      </w:r>
      <w:r w:rsidR="00904191" w:rsidRPr="00904191">
        <w:rPr>
          <w:rFonts w:ascii="Times New Roman" w:hAnsi="Times New Roman" w:cs="Times New Roman"/>
          <w:bCs/>
          <w:sz w:val="24"/>
          <w:szCs w:val="24"/>
        </w:rPr>
        <w:t>2007)</w:t>
      </w:r>
      <w:r w:rsidR="00622DD1">
        <w:rPr>
          <w:rFonts w:ascii="Times New Roman" w:hAnsi="Times New Roman" w:cs="Times New Roman"/>
          <w:bCs/>
          <w:sz w:val="24"/>
          <w:szCs w:val="24"/>
        </w:rPr>
        <w:t xml:space="preserve">. </w:t>
      </w:r>
      <w:r w:rsidR="00622DD1" w:rsidRPr="00622DD1">
        <w:rPr>
          <w:rFonts w:ascii="Times New Roman" w:hAnsi="Times New Roman" w:cs="Times New Roman"/>
          <w:bCs/>
          <w:sz w:val="24"/>
          <w:szCs w:val="24"/>
        </w:rPr>
        <w:t>the Independent Mental Health Advocacy (IMHA) service is an example of an advocacy service that has been professionalised. IMHA provides advocacy services for individuals detained under the Mental Health Act, and its advocates are required to have a minimum of a Level 3 qualification in mental health or a related field. This has helped to ensure that IMHA's advocates have the necessary knowledge and skills to provide effective support to individuals with mental health issues.</w:t>
      </w:r>
      <w:r w:rsidR="00622DD1">
        <w:rPr>
          <w:rFonts w:ascii="Times New Roman" w:hAnsi="Times New Roman" w:cs="Times New Roman"/>
          <w:bCs/>
          <w:sz w:val="24"/>
          <w:szCs w:val="24"/>
        </w:rPr>
        <w:t xml:space="preserve"> </w:t>
      </w:r>
    </w:p>
    <w:p w14:paraId="0B8B96D4" w14:textId="2B8BDD12" w:rsidR="00E72DF4" w:rsidRPr="00E9236D" w:rsidRDefault="006C031E" w:rsidP="00E9236D">
      <w:pPr>
        <w:spacing w:before="24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Government agency-controlled services also have the potential to cause several ramifications. These may be in the form of potentially becoming more selective in the types of advocacy services that could be eligible for funding, </w:t>
      </w:r>
      <w:r w:rsidR="00460561">
        <w:rPr>
          <w:rFonts w:ascii="Times New Roman" w:hAnsi="Times New Roman" w:cs="Times New Roman"/>
          <w:bCs/>
          <w:sz w:val="24"/>
          <w:szCs w:val="24"/>
        </w:rPr>
        <w:t>theoretically</w:t>
      </w:r>
      <w:r>
        <w:rPr>
          <w:rFonts w:ascii="Times New Roman" w:hAnsi="Times New Roman" w:cs="Times New Roman"/>
          <w:bCs/>
          <w:sz w:val="24"/>
          <w:szCs w:val="24"/>
        </w:rPr>
        <w:t xml:space="preserve"> leading to the reduction in the diversity of advocacy services available</w:t>
      </w:r>
      <w:r w:rsidR="004016AE">
        <w:rPr>
          <w:rFonts w:ascii="Times New Roman" w:hAnsi="Times New Roman" w:cs="Times New Roman"/>
          <w:bCs/>
          <w:sz w:val="24"/>
          <w:szCs w:val="24"/>
        </w:rPr>
        <w:t>.</w:t>
      </w:r>
      <w:r w:rsidR="0068276D">
        <w:rPr>
          <w:rFonts w:ascii="Times New Roman" w:hAnsi="Times New Roman" w:cs="Times New Roman"/>
          <w:bCs/>
          <w:sz w:val="24"/>
          <w:szCs w:val="24"/>
        </w:rPr>
        <w:t xml:space="preserve"> </w:t>
      </w:r>
      <w:r w:rsidR="0068276D" w:rsidRPr="0068276D">
        <w:rPr>
          <w:rFonts w:ascii="Times New Roman" w:hAnsi="Times New Roman" w:cs="Times New Roman"/>
          <w:bCs/>
          <w:sz w:val="24"/>
          <w:szCs w:val="24"/>
        </w:rPr>
        <w:t>Beresford and Croft (1993) argue that selective funding can lead to the reduction of advocacy services available, as services that do not fit the funding criteria may be excluded, which can have implications for the diversity of services available.</w:t>
      </w:r>
      <w:r w:rsidR="00E9236D">
        <w:rPr>
          <w:rFonts w:ascii="Times New Roman" w:hAnsi="Times New Roman" w:cs="Times New Roman"/>
          <w:bCs/>
          <w:sz w:val="24"/>
          <w:szCs w:val="24"/>
        </w:rPr>
        <w:t xml:space="preserve"> </w:t>
      </w:r>
      <w:r>
        <w:rPr>
          <w:rFonts w:ascii="Times New Roman" w:hAnsi="Times New Roman" w:cs="Times New Roman"/>
          <w:bCs/>
          <w:sz w:val="24"/>
          <w:szCs w:val="24"/>
        </w:rPr>
        <w:t xml:space="preserve">Secondly, </w:t>
      </w:r>
      <w:r w:rsidR="005700F8">
        <w:rPr>
          <w:rFonts w:ascii="Times New Roman" w:hAnsi="Times New Roman" w:cs="Times New Roman"/>
          <w:bCs/>
          <w:sz w:val="24"/>
          <w:szCs w:val="24"/>
        </w:rPr>
        <w:t>w</w:t>
      </w:r>
      <w:r w:rsidR="004016AE" w:rsidRPr="004016AE">
        <w:rPr>
          <w:rFonts w:ascii="Times New Roman" w:hAnsi="Times New Roman" w:cs="Times New Roman"/>
          <w:bCs/>
          <w:sz w:val="24"/>
          <w:szCs w:val="24"/>
        </w:rPr>
        <w:t>hile government funding may provide more resources for these services, it could also lead to conflicts of interest or a loss of autonomy</w:t>
      </w:r>
      <w:r w:rsidR="004016AE">
        <w:rPr>
          <w:rFonts w:ascii="Times New Roman" w:hAnsi="Times New Roman" w:cs="Times New Roman"/>
          <w:bCs/>
          <w:sz w:val="24"/>
          <w:szCs w:val="24"/>
        </w:rPr>
        <w:t xml:space="preserve"> </w:t>
      </w:r>
      <w:r>
        <w:rPr>
          <w:rFonts w:ascii="Times New Roman" w:hAnsi="Times New Roman" w:cs="Times New Roman"/>
          <w:bCs/>
          <w:sz w:val="24"/>
          <w:szCs w:val="24"/>
        </w:rPr>
        <w:t>for advocacy practitioners. If the accreditation process is controlled and regulated by the government agencies or other regulatory bodies, it may result in the reduction in the ability of advocacy providers to work independently outside of the boundaries that these governing bodies set in place. This alone could result in a reduction in the advocacy providers’ ability to advocate for systematic changes or to challenge</w:t>
      </w:r>
      <w:r w:rsidR="000E4CAC">
        <w:rPr>
          <w:rFonts w:ascii="Times New Roman" w:hAnsi="Times New Roman" w:cs="Times New Roman"/>
          <w:bCs/>
          <w:sz w:val="24"/>
          <w:szCs w:val="24"/>
        </w:rPr>
        <w:t xml:space="preserve"> the</w:t>
      </w:r>
      <w:r>
        <w:rPr>
          <w:rFonts w:ascii="Times New Roman" w:hAnsi="Times New Roman" w:cs="Times New Roman"/>
          <w:bCs/>
          <w:sz w:val="24"/>
          <w:szCs w:val="24"/>
        </w:rPr>
        <w:t xml:space="preserve"> status quo </w:t>
      </w:r>
      <w:r w:rsidR="007944B3" w:rsidRPr="007944B3">
        <w:rPr>
          <w:rFonts w:ascii="Times New Roman" w:hAnsi="Times New Roman" w:cs="Times New Roman"/>
          <w:bCs/>
          <w:sz w:val="24"/>
          <w:szCs w:val="24"/>
        </w:rPr>
        <w:t>(Goncharenko, 2019)</w:t>
      </w:r>
      <w:r w:rsidR="007944B3">
        <w:rPr>
          <w:rFonts w:ascii="Times New Roman" w:hAnsi="Times New Roman" w:cs="Times New Roman"/>
          <w:bCs/>
          <w:sz w:val="24"/>
          <w:szCs w:val="24"/>
        </w:rPr>
        <w:t xml:space="preserve">. </w:t>
      </w:r>
      <w:r>
        <w:rPr>
          <w:rFonts w:ascii="Times New Roman" w:hAnsi="Times New Roman" w:cs="Times New Roman"/>
          <w:bCs/>
          <w:sz w:val="24"/>
          <w:szCs w:val="24"/>
        </w:rPr>
        <w:t>Advocacy providers may feel a mounting pressure to conform to the government agendas, with a potential added reluctance to advocate against government policies or practices</w:t>
      </w:r>
      <w:r w:rsidR="0092079B">
        <w:rPr>
          <w:rFonts w:ascii="Times New Roman" w:hAnsi="Times New Roman" w:cs="Times New Roman"/>
          <w:bCs/>
          <w:sz w:val="24"/>
          <w:szCs w:val="24"/>
        </w:rPr>
        <w:t xml:space="preserve">, </w:t>
      </w:r>
      <w:r w:rsidR="0092079B" w:rsidRPr="00E72DF4">
        <w:rPr>
          <w:rFonts w:ascii="Times New Roman" w:hAnsi="Times New Roman" w:cs="Times New Roman"/>
          <w:bCs/>
          <w:color w:val="000000" w:themeColor="text1"/>
          <w:sz w:val="24"/>
          <w:szCs w:val="24"/>
        </w:rPr>
        <w:t>such as</w:t>
      </w:r>
      <w:r w:rsidR="00E72DF4">
        <w:rPr>
          <w:rFonts w:ascii="Times New Roman" w:hAnsi="Times New Roman" w:cs="Times New Roman"/>
          <w:bCs/>
          <w:color w:val="000000" w:themeColor="text1"/>
          <w:sz w:val="24"/>
          <w:szCs w:val="24"/>
        </w:rPr>
        <w:t xml:space="preserve"> t</w:t>
      </w:r>
      <w:r w:rsidR="00E72DF4" w:rsidRPr="00E72DF4">
        <w:rPr>
          <w:rFonts w:ascii="Times New Roman" w:hAnsi="Times New Roman" w:cs="Times New Roman"/>
          <w:bCs/>
          <w:color w:val="000000" w:themeColor="text1"/>
          <w:sz w:val="24"/>
          <w:szCs w:val="24"/>
        </w:rPr>
        <w:t>he</w:t>
      </w:r>
    </w:p>
    <w:p w14:paraId="7C4ADE1C" w14:textId="72464453" w:rsidR="006C031E" w:rsidRPr="00F65F38" w:rsidRDefault="00E72DF4" w:rsidP="00E9236D">
      <w:pPr>
        <w:spacing w:before="240" w:line="360" w:lineRule="auto"/>
        <w:jc w:val="both"/>
        <w:rPr>
          <w:rFonts w:ascii="Times New Roman" w:hAnsi="Times New Roman" w:cs="Times New Roman"/>
          <w:bCs/>
          <w:color w:val="000000" w:themeColor="text1"/>
          <w:sz w:val="24"/>
          <w:szCs w:val="24"/>
        </w:rPr>
      </w:pPr>
      <w:r w:rsidRPr="00E72DF4">
        <w:rPr>
          <w:rFonts w:ascii="Times New Roman" w:hAnsi="Times New Roman" w:cs="Times New Roman"/>
          <w:bCs/>
          <w:color w:val="000000" w:themeColor="text1"/>
          <w:sz w:val="24"/>
          <w:szCs w:val="24"/>
        </w:rPr>
        <w:t xml:space="preserve"> Civil Service Code: (UK Government, 2019) sets out the standards of </w:t>
      </w:r>
      <w:r w:rsidRPr="00E72DF4">
        <w:rPr>
          <w:rFonts w:ascii="Times New Roman" w:hAnsi="Times New Roman" w:cs="Times New Roman"/>
          <w:bCs/>
          <w:color w:val="000000" w:themeColor="text1"/>
          <w:sz w:val="24"/>
          <w:szCs w:val="24"/>
        </w:rPr>
        <w:t>behaviour</w:t>
      </w:r>
      <w:r w:rsidRPr="00E72DF4">
        <w:rPr>
          <w:rFonts w:ascii="Times New Roman" w:hAnsi="Times New Roman" w:cs="Times New Roman"/>
          <w:bCs/>
          <w:color w:val="000000" w:themeColor="text1"/>
          <w:sz w:val="24"/>
          <w:szCs w:val="24"/>
        </w:rPr>
        <w:t xml:space="preserve"> expected of civil servants, including advocacy providers who work for the government. The code requires civil servants to remain politically impartial and to avoid any activity that might compromise </w:t>
      </w:r>
      <w:r w:rsidRPr="00E72DF4">
        <w:rPr>
          <w:rFonts w:ascii="Times New Roman" w:hAnsi="Times New Roman" w:cs="Times New Roman"/>
          <w:bCs/>
          <w:color w:val="000000" w:themeColor="text1"/>
          <w:sz w:val="24"/>
          <w:szCs w:val="24"/>
        </w:rPr>
        <w:lastRenderedPageBreak/>
        <w:t>their impartiality or give rise to the perception of bias. While the code does not prohibit civil servants from engaging in political activity outside of work, it does require them to seek advice from their employer before doing so. This could create a situation where advocacy providers are hesitant to engage in any political activities, even outside of work, for fear of running afoul of the code. Additionally, the Official Secrets Act</w:t>
      </w:r>
      <w:r w:rsidR="00F65F38" w:rsidRPr="00F65F38">
        <w:rPr>
          <w:rFonts w:ascii="Times New Roman" w:hAnsi="Times New Roman" w:cs="Times New Roman"/>
          <w:bCs/>
          <w:color w:val="000000" w:themeColor="text1"/>
          <w:sz w:val="24"/>
          <w:szCs w:val="24"/>
        </w:rPr>
        <w:t xml:space="preserve"> (The National Archives, 1989)</w:t>
      </w:r>
      <w:r w:rsidRPr="00E72DF4">
        <w:rPr>
          <w:rFonts w:ascii="Times New Roman" w:hAnsi="Times New Roman" w:cs="Times New Roman"/>
          <w:bCs/>
          <w:color w:val="000000" w:themeColor="text1"/>
          <w:sz w:val="24"/>
          <w:szCs w:val="24"/>
        </w:rPr>
        <w:t xml:space="preserve"> could limit the freedom of speech of advocacy providers who work for the government, as it prohibits the unauthorized disclosure of information that is considered to be sensitive or confidential. This could create a situation where advocacy providers are hesitant to speak out or share information that could be seen as critical of government policies or practices.</w:t>
      </w:r>
      <w:r w:rsidR="00F65F38">
        <w:rPr>
          <w:rFonts w:ascii="Times New Roman" w:hAnsi="Times New Roman" w:cs="Times New Roman"/>
          <w:bCs/>
          <w:color w:val="000000" w:themeColor="text1"/>
          <w:sz w:val="24"/>
          <w:szCs w:val="24"/>
        </w:rPr>
        <w:t xml:space="preserve"> </w:t>
      </w:r>
      <w:r w:rsidR="0092079B">
        <w:rPr>
          <w:rFonts w:ascii="Times New Roman" w:hAnsi="Times New Roman" w:cs="Times New Roman"/>
          <w:bCs/>
          <w:color w:val="0D0D0D" w:themeColor="text1" w:themeTint="F2"/>
          <w:sz w:val="24"/>
          <w:szCs w:val="24"/>
        </w:rPr>
        <w:t>D</w:t>
      </w:r>
      <w:r w:rsidR="006C031E">
        <w:rPr>
          <w:rFonts w:ascii="Times New Roman" w:hAnsi="Times New Roman" w:cs="Times New Roman"/>
          <w:bCs/>
          <w:sz w:val="24"/>
          <w:szCs w:val="24"/>
        </w:rPr>
        <w:t>ue to a fear that it may result in losing accreditation or funding</w:t>
      </w:r>
      <w:r w:rsidR="006C031E" w:rsidRPr="003A18E0">
        <w:rPr>
          <w:rFonts w:ascii="Times New Roman" w:hAnsi="Times New Roman" w:cs="Times New Roman"/>
          <w:bCs/>
          <w:sz w:val="24"/>
          <w:szCs w:val="24"/>
        </w:rPr>
        <w:t>. Although that being said</w:t>
      </w:r>
      <w:r w:rsidR="005724DF">
        <w:rPr>
          <w:rFonts w:ascii="Times New Roman" w:hAnsi="Times New Roman" w:cs="Times New Roman"/>
          <w:bCs/>
          <w:sz w:val="24"/>
          <w:szCs w:val="24"/>
        </w:rPr>
        <w:t xml:space="preserve">, </w:t>
      </w:r>
      <w:r w:rsidR="006C031E" w:rsidRPr="003A18E0">
        <w:rPr>
          <w:rFonts w:ascii="Times New Roman" w:hAnsi="Times New Roman" w:cs="Times New Roman"/>
          <w:bCs/>
          <w:sz w:val="24"/>
          <w:szCs w:val="24"/>
        </w:rPr>
        <w:t>there is evidence that</w:t>
      </w:r>
      <w:r w:rsidR="00517E2C">
        <w:rPr>
          <w:rFonts w:ascii="Times New Roman" w:hAnsi="Times New Roman" w:cs="Times New Roman"/>
          <w:bCs/>
          <w:sz w:val="24"/>
          <w:szCs w:val="24"/>
        </w:rPr>
        <w:t xml:space="preserve"> </w:t>
      </w:r>
      <w:r w:rsidR="003A18E0">
        <w:rPr>
          <w:rFonts w:ascii="Times New Roman" w:hAnsi="Times New Roman" w:cs="Times New Roman"/>
          <w:bCs/>
          <w:sz w:val="24"/>
          <w:szCs w:val="24"/>
        </w:rPr>
        <w:t xml:space="preserve">would suggest that the professionalisation of the service may in fact cement stronger working partnerships with larger organisations (Woo </w:t>
      </w:r>
      <w:r w:rsidR="003A18E0">
        <w:rPr>
          <w:rFonts w:ascii="Times New Roman" w:hAnsi="Times New Roman" w:cs="Times New Roman"/>
          <w:bCs/>
          <w:i/>
          <w:iCs/>
          <w:sz w:val="24"/>
          <w:szCs w:val="24"/>
        </w:rPr>
        <w:t>et al</w:t>
      </w:r>
      <w:r w:rsidR="00F7462D">
        <w:rPr>
          <w:rFonts w:ascii="Times New Roman" w:hAnsi="Times New Roman" w:cs="Times New Roman"/>
          <w:bCs/>
          <w:i/>
          <w:iCs/>
          <w:sz w:val="24"/>
          <w:szCs w:val="24"/>
        </w:rPr>
        <w:t>.</w:t>
      </w:r>
      <w:r w:rsidR="003A18E0">
        <w:rPr>
          <w:rFonts w:ascii="Times New Roman" w:hAnsi="Times New Roman" w:cs="Times New Roman"/>
          <w:bCs/>
          <w:sz w:val="24"/>
          <w:szCs w:val="24"/>
        </w:rPr>
        <w:t>, 2014)</w:t>
      </w:r>
      <w:r w:rsidR="009B67FF">
        <w:rPr>
          <w:rFonts w:ascii="Times New Roman" w:hAnsi="Times New Roman" w:cs="Times New Roman"/>
          <w:bCs/>
          <w:sz w:val="24"/>
          <w:szCs w:val="24"/>
        </w:rPr>
        <w:t>.</w:t>
      </w:r>
    </w:p>
    <w:p w14:paraId="744506FA" w14:textId="13326B0B" w:rsidR="00501890" w:rsidRDefault="009148A6" w:rsidP="00E9236D">
      <w:pPr>
        <w:spacing w:before="240" w:line="360" w:lineRule="auto"/>
        <w:jc w:val="both"/>
        <w:rPr>
          <w:rFonts w:ascii="Times New Roman" w:hAnsi="Times New Roman" w:cs="Times New Roman"/>
          <w:bCs/>
          <w:sz w:val="24"/>
          <w:szCs w:val="24"/>
        </w:rPr>
      </w:pPr>
      <w:r>
        <w:rPr>
          <w:rFonts w:ascii="Times New Roman" w:hAnsi="Times New Roman" w:cs="Times New Roman"/>
          <w:bCs/>
          <w:sz w:val="24"/>
          <w:szCs w:val="24"/>
        </w:rPr>
        <w:t>Furthermore</w:t>
      </w:r>
      <w:r w:rsidR="006C031E">
        <w:rPr>
          <w:rFonts w:ascii="Times New Roman" w:hAnsi="Times New Roman" w:cs="Times New Roman"/>
          <w:bCs/>
          <w:sz w:val="24"/>
          <w:szCs w:val="24"/>
        </w:rPr>
        <w:t xml:space="preserve">, professionalising advocacy services may lead to a shift in the nature of advocacy services. If </w:t>
      </w:r>
      <w:r w:rsidR="004867C7">
        <w:rPr>
          <w:rFonts w:ascii="Times New Roman" w:hAnsi="Times New Roman" w:cs="Times New Roman"/>
          <w:bCs/>
          <w:sz w:val="24"/>
          <w:szCs w:val="24"/>
        </w:rPr>
        <w:t>the</w:t>
      </w:r>
      <w:r w:rsidR="006C031E">
        <w:rPr>
          <w:rFonts w:ascii="Times New Roman" w:hAnsi="Times New Roman" w:cs="Times New Roman"/>
          <w:bCs/>
          <w:sz w:val="24"/>
          <w:szCs w:val="24"/>
        </w:rPr>
        <w:t xml:space="preserve"> service become</w:t>
      </w:r>
      <w:r w:rsidR="004867C7">
        <w:rPr>
          <w:rFonts w:ascii="Times New Roman" w:hAnsi="Times New Roman" w:cs="Times New Roman"/>
          <w:bCs/>
          <w:sz w:val="24"/>
          <w:szCs w:val="24"/>
        </w:rPr>
        <w:t>s</w:t>
      </w:r>
      <w:r w:rsidR="006C031E">
        <w:rPr>
          <w:rFonts w:ascii="Times New Roman" w:hAnsi="Times New Roman" w:cs="Times New Roman"/>
          <w:bCs/>
          <w:sz w:val="24"/>
          <w:szCs w:val="24"/>
        </w:rPr>
        <w:t xml:space="preserve"> professionalised, there could be a motion that would allow </w:t>
      </w:r>
      <w:r w:rsidR="00280D52">
        <w:rPr>
          <w:rFonts w:ascii="Times New Roman" w:hAnsi="Times New Roman" w:cs="Times New Roman"/>
          <w:bCs/>
          <w:sz w:val="24"/>
          <w:szCs w:val="24"/>
        </w:rPr>
        <w:t>for a more</w:t>
      </w:r>
      <w:r w:rsidR="006C031E">
        <w:rPr>
          <w:rFonts w:ascii="Times New Roman" w:hAnsi="Times New Roman" w:cs="Times New Roman"/>
          <w:bCs/>
          <w:sz w:val="24"/>
          <w:szCs w:val="24"/>
        </w:rPr>
        <w:t xml:space="preserve"> legalistic or clinical approach to advocacy, rather </w:t>
      </w:r>
      <w:r w:rsidR="00445596">
        <w:rPr>
          <w:rFonts w:ascii="Times New Roman" w:hAnsi="Times New Roman" w:cs="Times New Roman"/>
          <w:bCs/>
          <w:sz w:val="24"/>
          <w:szCs w:val="24"/>
        </w:rPr>
        <w:t>than</w:t>
      </w:r>
      <w:r w:rsidR="006C031E">
        <w:rPr>
          <w:rFonts w:ascii="Times New Roman" w:hAnsi="Times New Roman" w:cs="Times New Roman"/>
          <w:bCs/>
          <w:sz w:val="24"/>
          <w:szCs w:val="24"/>
        </w:rPr>
        <w:t xml:space="preserve"> an approach that is based on community organising, relationship building and a return to grassroots advocacy</w:t>
      </w:r>
      <w:r w:rsidR="001F52D0">
        <w:rPr>
          <w:rFonts w:ascii="Times New Roman" w:hAnsi="Times New Roman" w:cs="Times New Roman"/>
          <w:bCs/>
          <w:sz w:val="24"/>
          <w:szCs w:val="24"/>
        </w:rPr>
        <w:t xml:space="preserve"> </w:t>
      </w:r>
      <w:r w:rsidR="001F52D0" w:rsidRPr="001F52D0">
        <w:rPr>
          <w:rFonts w:ascii="Times New Roman" w:hAnsi="Times New Roman" w:cs="Times New Roman"/>
          <w:bCs/>
          <w:sz w:val="24"/>
          <w:szCs w:val="24"/>
        </w:rPr>
        <w:t>(Stewart &amp; Macintyre, 2019)</w:t>
      </w:r>
      <w:r w:rsidR="006C031E" w:rsidRPr="001F52D0">
        <w:rPr>
          <w:rFonts w:ascii="Times New Roman" w:hAnsi="Times New Roman" w:cs="Times New Roman"/>
          <w:bCs/>
          <w:sz w:val="24"/>
          <w:szCs w:val="24"/>
        </w:rPr>
        <w:t xml:space="preserve">. </w:t>
      </w:r>
      <w:r w:rsidR="00E87DD4">
        <w:rPr>
          <w:rFonts w:ascii="Times New Roman" w:hAnsi="Times New Roman" w:cs="Times New Roman"/>
          <w:bCs/>
          <w:sz w:val="24"/>
          <w:szCs w:val="24"/>
        </w:rPr>
        <w:t>This</w:t>
      </w:r>
      <w:r w:rsidR="006C031E">
        <w:rPr>
          <w:rFonts w:ascii="Times New Roman" w:hAnsi="Times New Roman" w:cs="Times New Roman"/>
          <w:bCs/>
          <w:sz w:val="24"/>
          <w:szCs w:val="24"/>
        </w:rPr>
        <w:t xml:space="preserve"> may then in turn lead to the reduction in the effectiveness of advocacy services, particularly for marginalised communities who benefit more from community-based advocacy.</w:t>
      </w:r>
      <w:r w:rsidR="004016AE">
        <w:rPr>
          <w:rFonts w:ascii="Times New Roman" w:hAnsi="Times New Roman" w:cs="Times New Roman"/>
          <w:bCs/>
          <w:sz w:val="24"/>
          <w:szCs w:val="24"/>
        </w:rPr>
        <w:t xml:space="preserve"> On the one hand professionalisation might lead to a more standardised and consistent services, but on the other hand, it could make it more difficult for advocates to connect with the people they provide a service for.</w:t>
      </w:r>
      <w:r w:rsidR="00E9236D">
        <w:rPr>
          <w:rFonts w:ascii="Times New Roman" w:hAnsi="Times New Roman" w:cs="Times New Roman"/>
          <w:bCs/>
          <w:sz w:val="24"/>
          <w:szCs w:val="24"/>
        </w:rPr>
        <w:t xml:space="preserve"> </w:t>
      </w:r>
      <w:r w:rsidR="006C031E">
        <w:rPr>
          <w:rFonts w:ascii="Times New Roman" w:hAnsi="Times New Roman" w:cs="Times New Roman"/>
          <w:bCs/>
          <w:sz w:val="24"/>
          <w:szCs w:val="24"/>
        </w:rPr>
        <w:t>Over the years advocacy services have evolved to meet the needs of the stakeholders that the service is involved with, including organisations, communities and individuals. Through the increasing professionalisation of the advocacy service, many new innovations have surfaced in an ongoing</w:t>
      </w:r>
      <w:r w:rsidR="009C6016">
        <w:rPr>
          <w:rFonts w:ascii="Times New Roman" w:hAnsi="Times New Roman" w:cs="Times New Roman"/>
          <w:bCs/>
          <w:sz w:val="24"/>
          <w:szCs w:val="24"/>
        </w:rPr>
        <w:t>,</w:t>
      </w:r>
      <w:r w:rsidR="006C031E">
        <w:rPr>
          <w:rFonts w:ascii="Times New Roman" w:hAnsi="Times New Roman" w:cs="Times New Roman"/>
          <w:bCs/>
          <w:sz w:val="24"/>
          <w:szCs w:val="24"/>
        </w:rPr>
        <w:t xml:space="preserve"> evolving landscape of the advocacy profession. The following section will cover some of the examples that have been put into practice as a direct result of professionalisation.</w:t>
      </w:r>
    </w:p>
    <w:p w14:paraId="1BA994C5" w14:textId="5C0C31B5" w:rsidR="00F12D10" w:rsidRPr="00501890" w:rsidRDefault="006C031E" w:rsidP="00E9236D">
      <w:pPr>
        <w:spacing w:before="240" w:line="360" w:lineRule="auto"/>
        <w:jc w:val="both"/>
        <w:rPr>
          <w:rFonts w:ascii="Times New Roman" w:hAnsi="Times New Roman" w:cs="Times New Roman"/>
          <w:bCs/>
          <w:color w:val="FF0000"/>
          <w:sz w:val="24"/>
          <w:szCs w:val="24"/>
        </w:rPr>
      </w:pPr>
      <w:r>
        <w:rPr>
          <w:rFonts w:ascii="Times New Roman" w:hAnsi="Times New Roman" w:cs="Times New Roman"/>
          <w:bCs/>
          <w:sz w:val="24"/>
          <w:szCs w:val="24"/>
        </w:rPr>
        <w:t>With a rise in digital technology those organisations involved in advocacy services have developed online tools which allow for advocates to be able to reach out to policymakers, raise awareness about ongoing issues and allow for the mobilisation of support networks. These tools use various pre-existing online platforms, including social media campaigns, forums and outreach emails, which in itself makes advocacy more accessible and effective</w:t>
      </w:r>
      <w:r w:rsidR="00141F85">
        <w:rPr>
          <w:rFonts w:ascii="Times New Roman" w:hAnsi="Times New Roman" w:cs="Times New Roman"/>
          <w:bCs/>
          <w:sz w:val="24"/>
          <w:szCs w:val="24"/>
        </w:rPr>
        <w:t xml:space="preserve"> </w:t>
      </w:r>
      <w:r w:rsidR="00141F85" w:rsidRPr="00141F85">
        <w:rPr>
          <w:rFonts w:ascii="Times New Roman" w:hAnsi="Times New Roman" w:cs="Times New Roman"/>
          <w:bCs/>
          <w:sz w:val="24"/>
          <w:szCs w:val="24"/>
        </w:rPr>
        <w:t xml:space="preserve">(Gelfgren </w:t>
      </w:r>
      <w:r w:rsidR="00141F85" w:rsidRPr="00320C37">
        <w:rPr>
          <w:rFonts w:ascii="Times New Roman" w:hAnsi="Times New Roman" w:cs="Times New Roman"/>
          <w:bCs/>
          <w:i/>
          <w:iCs/>
          <w:sz w:val="24"/>
          <w:szCs w:val="24"/>
        </w:rPr>
        <w:t>et al</w:t>
      </w:r>
      <w:r w:rsidR="00141F85" w:rsidRPr="00141F85">
        <w:rPr>
          <w:rFonts w:ascii="Times New Roman" w:hAnsi="Times New Roman" w:cs="Times New Roman"/>
          <w:bCs/>
          <w:sz w:val="24"/>
          <w:szCs w:val="24"/>
        </w:rPr>
        <w:t>., 2021)</w:t>
      </w:r>
      <w:r w:rsidR="00141F85">
        <w:rPr>
          <w:rFonts w:ascii="Times New Roman" w:hAnsi="Times New Roman" w:cs="Times New Roman"/>
          <w:bCs/>
          <w:sz w:val="24"/>
          <w:szCs w:val="24"/>
        </w:rPr>
        <w:t>.</w:t>
      </w:r>
      <w:r w:rsidR="00501890">
        <w:rPr>
          <w:rFonts w:ascii="Times New Roman" w:hAnsi="Times New Roman" w:cs="Times New Roman"/>
          <w:bCs/>
          <w:color w:val="FF0000"/>
          <w:sz w:val="24"/>
          <w:szCs w:val="24"/>
        </w:rPr>
        <w:t xml:space="preserve"> </w:t>
      </w:r>
      <w:r>
        <w:rPr>
          <w:rFonts w:ascii="Times New Roman" w:hAnsi="Times New Roman" w:cs="Times New Roman"/>
          <w:bCs/>
          <w:sz w:val="24"/>
          <w:szCs w:val="24"/>
        </w:rPr>
        <w:t xml:space="preserve">As advocacy becomes more complex and specialised profession, it also </w:t>
      </w:r>
      <w:r w:rsidR="00445596">
        <w:rPr>
          <w:rFonts w:ascii="Times New Roman" w:hAnsi="Times New Roman" w:cs="Times New Roman"/>
          <w:bCs/>
          <w:sz w:val="24"/>
          <w:szCs w:val="24"/>
        </w:rPr>
        <w:t>makes</w:t>
      </w:r>
      <w:r>
        <w:rPr>
          <w:rFonts w:ascii="Times New Roman" w:hAnsi="Times New Roman" w:cs="Times New Roman"/>
          <w:bCs/>
          <w:sz w:val="24"/>
          <w:szCs w:val="24"/>
        </w:rPr>
        <w:t xml:space="preserve"> sense </w:t>
      </w:r>
      <w:r>
        <w:rPr>
          <w:rFonts w:ascii="Times New Roman" w:hAnsi="Times New Roman" w:cs="Times New Roman"/>
          <w:bCs/>
          <w:sz w:val="24"/>
          <w:szCs w:val="24"/>
        </w:rPr>
        <w:lastRenderedPageBreak/>
        <w:t xml:space="preserve">that there is </w:t>
      </w:r>
      <w:r w:rsidR="00445596">
        <w:rPr>
          <w:rFonts w:ascii="Times New Roman" w:hAnsi="Times New Roman" w:cs="Times New Roman"/>
          <w:bCs/>
          <w:sz w:val="24"/>
          <w:szCs w:val="24"/>
        </w:rPr>
        <w:t>an</w:t>
      </w:r>
      <w:r>
        <w:rPr>
          <w:rFonts w:ascii="Times New Roman" w:hAnsi="Times New Roman" w:cs="Times New Roman"/>
          <w:bCs/>
          <w:sz w:val="24"/>
          <w:szCs w:val="24"/>
        </w:rPr>
        <w:t xml:space="preserve"> emerging need for professional development and training programmes to </w:t>
      </w:r>
      <w:r w:rsidR="001D60BD">
        <w:rPr>
          <w:rFonts w:ascii="Times New Roman" w:hAnsi="Times New Roman" w:cs="Times New Roman"/>
          <w:bCs/>
          <w:sz w:val="24"/>
          <w:szCs w:val="24"/>
        </w:rPr>
        <w:t>support</w:t>
      </w:r>
      <w:r>
        <w:rPr>
          <w:rFonts w:ascii="Times New Roman" w:hAnsi="Times New Roman" w:cs="Times New Roman"/>
          <w:bCs/>
          <w:sz w:val="24"/>
          <w:szCs w:val="24"/>
        </w:rPr>
        <w:t xml:space="preserve"> the high level of knowledge and skills that advocates require </w:t>
      </w:r>
      <w:r w:rsidR="00320C37" w:rsidRPr="00320C37">
        <w:rPr>
          <w:rFonts w:ascii="Times New Roman" w:hAnsi="Times New Roman" w:cs="Times New Roman"/>
          <w:bCs/>
          <w:sz w:val="24"/>
          <w:szCs w:val="24"/>
        </w:rPr>
        <w:t>(Okafor, 2021)</w:t>
      </w:r>
      <w:r w:rsidR="00320C37">
        <w:rPr>
          <w:rFonts w:ascii="Times New Roman" w:hAnsi="Times New Roman" w:cs="Times New Roman"/>
          <w:bCs/>
          <w:sz w:val="24"/>
          <w:szCs w:val="24"/>
        </w:rPr>
        <w:t>.</w:t>
      </w:r>
      <w:r w:rsidR="00C72B17">
        <w:rPr>
          <w:rFonts w:ascii="Times New Roman" w:hAnsi="Times New Roman" w:cs="Times New Roman"/>
          <w:bCs/>
          <w:color w:val="FF0000"/>
          <w:sz w:val="24"/>
          <w:szCs w:val="24"/>
        </w:rPr>
        <w:t xml:space="preserve"> </w:t>
      </w:r>
      <w:r w:rsidR="00C72B17" w:rsidRPr="00C72B17">
        <w:rPr>
          <w:rFonts w:ascii="Times New Roman" w:hAnsi="Times New Roman" w:cs="Times New Roman"/>
          <w:bCs/>
          <w:sz w:val="24"/>
          <w:szCs w:val="24"/>
        </w:rPr>
        <w:t>This is supported by the work of Beresford and Croft (1993), who argue that ongoing professional development and training can improve the quality and effectiveness of advocacy services.</w:t>
      </w:r>
      <w:r w:rsidR="00F12D10">
        <w:rPr>
          <w:rFonts w:ascii="Times New Roman" w:hAnsi="Times New Roman" w:cs="Times New Roman"/>
          <w:color w:val="FF0000"/>
          <w:sz w:val="24"/>
          <w:szCs w:val="24"/>
        </w:rPr>
        <w:t xml:space="preserve"> </w:t>
      </w:r>
    </w:p>
    <w:p w14:paraId="38A0E9CD" w14:textId="65A36578" w:rsidR="004D401D" w:rsidRPr="009E7A6D" w:rsidRDefault="006C031E" w:rsidP="00E9236D">
      <w:pPr>
        <w:spacing w:before="240" w:line="360" w:lineRule="auto"/>
        <w:jc w:val="both"/>
        <w:rPr>
          <w:rFonts w:ascii="Times New Roman" w:hAnsi="Times New Roman" w:cs="Times New Roman"/>
          <w:color w:val="FF0000"/>
          <w:sz w:val="24"/>
          <w:szCs w:val="24"/>
        </w:rPr>
      </w:pPr>
      <w:r>
        <w:rPr>
          <w:rFonts w:ascii="Times New Roman" w:hAnsi="Times New Roman" w:cs="Times New Roman"/>
          <w:sz w:val="24"/>
          <w:szCs w:val="24"/>
        </w:rPr>
        <w:t>There has been an increase in the need of data-driven advocacy, with organisations discovering the need to increase the use of data and analytics to inform the strategies and access the impact of the services provided</w:t>
      </w:r>
      <w:r w:rsidR="00805299">
        <w:rPr>
          <w:rFonts w:ascii="Times New Roman" w:hAnsi="Times New Roman" w:cs="Times New Roman"/>
          <w:sz w:val="24"/>
          <w:szCs w:val="24"/>
        </w:rPr>
        <w:t xml:space="preserve"> </w:t>
      </w:r>
      <w:r w:rsidR="00805299" w:rsidRPr="00805299">
        <w:rPr>
          <w:rFonts w:ascii="Times New Roman" w:hAnsi="Times New Roman" w:cs="Times New Roman"/>
          <w:sz w:val="24"/>
          <w:szCs w:val="24"/>
        </w:rPr>
        <w:t xml:space="preserve">(Lazuka-Nicoulaud </w:t>
      </w:r>
      <w:r w:rsidR="00805299" w:rsidRPr="00805299">
        <w:rPr>
          <w:rFonts w:ascii="Times New Roman" w:hAnsi="Times New Roman" w:cs="Times New Roman"/>
          <w:i/>
          <w:iCs/>
          <w:sz w:val="24"/>
          <w:szCs w:val="24"/>
        </w:rPr>
        <w:t>et al.,</w:t>
      </w:r>
      <w:r w:rsidR="00B930CA">
        <w:rPr>
          <w:rFonts w:ascii="Times New Roman" w:hAnsi="Times New Roman" w:cs="Times New Roman"/>
          <w:sz w:val="24"/>
          <w:szCs w:val="24"/>
        </w:rPr>
        <w:t xml:space="preserve"> </w:t>
      </w:r>
      <w:r w:rsidR="00805299" w:rsidRPr="00805299">
        <w:rPr>
          <w:rFonts w:ascii="Times New Roman" w:hAnsi="Times New Roman" w:cs="Times New Roman"/>
          <w:sz w:val="24"/>
          <w:szCs w:val="24"/>
        </w:rPr>
        <w:t>2022)</w:t>
      </w:r>
      <w:r>
        <w:rPr>
          <w:rFonts w:ascii="Times New Roman" w:hAnsi="Times New Roman" w:cs="Times New Roman"/>
          <w:sz w:val="24"/>
          <w:szCs w:val="24"/>
        </w:rPr>
        <w:t>. This is another initiative which is utilising the mo</w:t>
      </w:r>
      <w:r w:rsidR="00445596">
        <w:rPr>
          <w:rFonts w:ascii="Times New Roman" w:hAnsi="Times New Roman" w:cs="Times New Roman"/>
          <w:sz w:val="24"/>
          <w:szCs w:val="24"/>
        </w:rPr>
        <w:t>ni</w:t>
      </w:r>
      <w:r>
        <w:rPr>
          <w:rFonts w:ascii="Times New Roman" w:hAnsi="Times New Roman" w:cs="Times New Roman"/>
          <w:sz w:val="24"/>
          <w:szCs w:val="24"/>
        </w:rPr>
        <w:t>toring of social media, web analytics and survey research, which provides valuable insights into public opinion, media coverage and policy trends</w:t>
      </w:r>
      <w:r w:rsidR="005720BF">
        <w:rPr>
          <w:rFonts w:ascii="Times New Roman" w:hAnsi="Times New Roman" w:cs="Times New Roman"/>
          <w:sz w:val="24"/>
          <w:szCs w:val="24"/>
        </w:rPr>
        <w:t xml:space="preserve"> </w:t>
      </w:r>
      <w:r w:rsidR="005720BF" w:rsidRPr="005720BF">
        <w:rPr>
          <w:rFonts w:ascii="Times New Roman" w:hAnsi="Times New Roman" w:cs="Times New Roman"/>
          <w:sz w:val="24"/>
          <w:szCs w:val="24"/>
        </w:rPr>
        <w:t>(</w:t>
      </w:r>
      <w:r w:rsidR="005720BF" w:rsidRPr="005720BF">
        <w:rPr>
          <w:rFonts w:ascii="Times New Roman" w:hAnsi="Times New Roman" w:cs="Times New Roman"/>
          <w:sz w:val="24"/>
          <w:szCs w:val="24"/>
        </w:rPr>
        <w:t>Social</w:t>
      </w:r>
      <w:r w:rsidR="005720BF" w:rsidRPr="005720BF">
        <w:rPr>
          <w:rFonts w:ascii="Times New Roman" w:hAnsi="Times New Roman" w:cs="Times New Roman"/>
          <w:sz w:val="24"/>
          <w:szCs w:val="24"/>
        </w:rPr>
        <w:t xml:space="preserve"> Media Research Group, 2016)</w:t>
      </w:r>
      <w:r>
        <w:rPr>
          <w:rFonts w:ascii="Times New Roman" w:hAnsi="Times New Roman" w:cs="Times New Roman"/>
          <w:sz w:val="24"/>
          <w:szCs w:val="24"/>
        </w:rPr>
        <w:t>.</w:t>
      </w:r>
      <w:r w:rsidR="00F12D10">
        <w:rPr>
          <w:rFonts w:ascii="Times New Roman" w:hAnsi="Times New Roman" w:cs="Times New Roman"/>
          <w:sz w:val="24"/>
          <w:szCs w:val="24"/>
        </w:rPr>
        <w:t xml:space="preserve"> </w:t>
      </w:r>
      <w:r w:rsidR="00F12D10" w:rsidRPr="00F12D10">
        <w:rPr>
          <w:rFonts w:ascii="Times New Roman" w:hAnsi="Times New Roman" w:cs="Times New Roman"/>
          <w:sz w:val="24"/>
          <w:szCs w:val="24"/>
        </w:rPr>
        <w:t>By analysing this data, organisations can gain a better understanding of the needs and preferences of their target audiences, as well as the broader social, economic and political context in which they operate. This can help them to develop more effective advocacy strategies that are better aligned with the needs of their stakeholders, and th</w:t>
      </w:r>
      <w:r w:rsidR="004A22AF">
        <w:rPr>
          <w:rFonts w:ascii="Times New Roman" w:hAnsi="Times New Roman" w:cs="Times New Roman"/>
          <w:sz w:val="24"/>
          <w:szCs w:val="24"/>
        </w:rPr>
        <w:t>erefore</w:t>
      </w:r>
      <w:r w:rsidR="00F12D10" w:rsidRPr="00F12D10">
        <w:rPr>
          <w:rFonts w:ascii="Times New Roman" w:hAnsi="Times New Roman" w:cs="Times New Roman"/>
          <w:sz w:val="24"/>
          <w:szCs w:val="24"/>
        </w:rPr>
        <w:t xml:space="preserve"> have a greater chance of achieving their desired outcomes.</w:t>
      </w:r>
      <w:r w:rsidR="009E7A6D">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Evidence shows an increase in advocacy organisations collaborating with one another to achieve goals, this also includes forming coalitions, partnerships and networks that allow advocates to pool available resources together, sharing knowledge and occasionally additional leverage from the collective influences</w:t>
      </w:r>
      <w:r w:rsidR="0060105B">
        <w:rPr>
          <w:rFonts w:ascii="Times New Roman" w:hAnsi="Times New Roman" w:cs="Times New Roman"/>
          <w:color w:val="000000" w:themeColor="text1"/>
          <w:sz w:val="24"/>
          <w:szCs w:val="24"/>
        </w:rPr>
        <w:t xml:space="preserve"> </w:t>
      </w:r>
      <w:r w:rsidR="0060105B" w:rsidRPr="0060105B">
        <w:rPr>
          <w:rFonts w:ascii="Times New Roman" w:hAnsi="Times New Roman" w:cs="Times New Roman"/>
          <w:color w:val="000000" w:themeColor="text1"/>
          <w:sz w:val="24"/>
          <w:szCs w:val="24"/>
        </w:rPr>
        <w:t>(Grossman, 2018)</w:t>
      </w:r>
      <w:r w:rsidR="0060105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The collaborations </w:t>
      </w:r>
      <w:r w:rsidR="00207C15" w:rsidRPr="00207C15">
        <w:rPr>
          <w:rFonts w:ascii="Times New Roman" w:hAnsi="Times New Roman" w:cs="Times New Roman"/>
          <w:color w:val="000000" w:themeColor="text1"/>
          <w:sz w:val="24"/>
          <w:szCs w:val="24"/>
        </w:rPr>
        <w:t>may encourage a strengthening of relationships</w:t>
      </w:r>
      <w:r w:rsidR="00207C1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with policymakers, as well as stakeholders.</w:t>
      </w:r>
    </w:p>
    <w:p w14:paraId="434CA34A" w14:textId="21FC249D" w:rsidR="000D1BD8" w:rsidRPr="00CB66E0" w:rsidRDefault="004D401D" w:rsidP="00E9236D">
      <w:pPr>
        <w:spacing w:before="240" w:line="360" w:lineRule="auto"/>
        <w:jc w:val="both"/>
        <w:rPr>
          <w:rFonts w:ascii="Times New Roman" w:hAnsi="Times New Roman" w:cs="Times New Roman"/>
          <w:sz w:val="24"/>
          <w:szCs w:val="24"/>
        </w:rPr>
      </w:pPr>
      <w:r w:rsidRPr="004D401D">
        <w:rPr>
          <w:rFonts w:ascii="Times New Roman" w:hAnsi="Times New Roman" w:cs="Times New Roman"/>
          <w:color w:val="000000" w:themeColor="text1"/>
          <w:sz w:val="24"/>
          <w:szCs w:val="24"/>
        </w:rPr>
        <w:t>Diversity, equality, and inclusion are also really important for advocacy organi</w:t>
      </w:r>
      <w:r w:rsidR="00743156">
        <w:rPr>
          <w:rFonts w:ascii="Times New Roman" w:hAnsi="Times New Roman" w:cs="Times New Roman"/>
          <w:color w:val="000000" w:themeColor="text1"/>
          <w:sz w:val="24"/>
          <w:szCs w:val="24"/>
        </w:rPr>
        <w:t>s</w:t>
      </w:r>
      <w:r w:rsidRPr="004D401D">
        <w:rPr>
          <w:rFonts w:ascii="Times New Roman" w:hAnsi="Times New Roman" w:cs="Times New Roman"/>
          <w:color w:val="000000" w:themeColor="text1"/>
          <w:sz w:val="24"/>
          <w:szCs w:val="24"/>
        </w:rPr>
        <w:t>ations. By promoting diversity and inclusion within their own organi</w:t>
      </w:r>
      <w:r w:rsidR="000C2E3D">
        <w:rPr>
          <w:rFonts w:ascii="Times New Roman" w:hAnsi="Times New Roman" w:cs="Times New Roman"/>
          <w:color w:val="000000" w:themeColor="text1"/>
          <w:sz w:val="24"/>
          <w:szCs w:val="24"/>
        </w:rPr>
        <w:t>s</w:t>
      </w:r>
      <w:r w:rsidRPr="004D401D">
        <w:rPr>
          <w:rFonts w:ascii="Times New Roman" w:hAnsi="Times New Roman" w:cs="Times New Roman"/>
          <w:color w:val="000000" w:themeColor="text1"/>
          <w:sz w:val="24"/>
          <w:szCs w:val="24"/>
        </w:rPr>
        <w:t>ations, advocates can better understand the communities they serve and more effectively represent their interests. This can help build trust and credibility with the people they</w:t>
      </w:r>
      <w:r w:rsidR="0050334C">
        <w:rPr>
          <w:rFonts w:ascii="Times New Roman" w:hAnsi="Times New Roman" w:cs="Times New Roman"/>
          <w:color w:val="000000" w:themeColor="text1"/>
          <w:sz w:val="24"/>
          <w:szCs w:val="24"/>
        </w:rPr>
        <w:t xml:space="preserve"> a</w:t>
      </w:r>
      <w:r w:rsidRPr="004D401D">
        <w:rPr>
          <w:rFonts w:ascii="Times New Roman" w:hAnsi="Times New Roman" w:cs="Times New Roman"/>
          <w:color w:val="000000" w:themeColor="text1"/>
          <w:sz w:val="24"/>
          <w:szCs w:val="24"/>
        </w:rPr>
        <w:t>re serving, which can be really important for achieving their goals</w:t>
      </w:r>
      <w:r w:rsidR="000D1BD8">
        <w:rPr>
          <w:rFonts w:ascii="Times New Roman" w:hAnsi="Times New Roman" w:cs="Times New Roman"/>
          <w:color w:val="000000" w:themeColor="text1"/>
          <w:sz w:val="24"/>
          <w:szCs w:val="24"/>
        </w:rPr>
        <w:t xml:space="preserve">. </w:t>
      </w:r>
      <w:r w:rsidR="000D1BD8" w:rsidRPr="000D1BD8">
        <w:rPr>
          <w:rFonts w:ascii="Times New Roman" w:hAnsi="Times New Roman" w:cs="Times New Roman"/>
          <w:color w:val="000000" w:themeColor="text1"/>
          <w:sz w:val="24"/>
          <w:szCs w:val="24"/>
        </w:rPr>
        <w:t xml:space="preserve">Salamon &amp; Anheier </w:t>
      </w:r>
      <w:r w:rsidR="000D1BD8">
        <w:rPr>
          <w:rFonts w:ascii="Times New Roman" w:hAnsi="Times New Roman" w:cs="Times New Roman"/>
          <w:color w:val="000000" w:themeColor="text1"/>
          <w:sz w:val="24"/>
          <w:szCs w:val="24"/>
        </w:rPr>
        <w:t>(</w:t>
      </w:r>
      <w:r w:rsidR="000D1BD8" w:rsidRPr="000D1BD8">
        <w:rPr>
          <w:rFonts w:ascii="Times New Roman" w:hAnsi="Times New Roman" w:cs="Times New Roman"/>
          <w:color w:val="000000" w:themeColor="text1"/>
          <w:sz w:val="24"/>
          <w:szCs w:val="24"/>
        </w:rPr>
        <w:t>1998)</w:t>
      </w:r>
      <w:r w:rsidR="000D1BD8">
        <w:rPr>
          <w:rFonts w:ascii="Times New Roman" w:hAnsi="Times New Roman" w:cs="Times New Roman"/>
          <w:color w:val="000000" w:themeColor="text1"/>
          <w:sz w:val="24"/>
          <w:szCs w:val="24"/>
        </w:rPr>
        <w:t xml:space="preserve"> </w:t>
      </w:r>
      <w:r w:rsidR="000D1BD8" w:rsidRPr="000D1BD8">
        <w:rPr>
          <w:rFonts w:ascii="Times New Roman" w:hAnsi="Times New Roman" w:cs="Times New Roman"/>
          <w:color w:val="000000" w:themeColor="text1"/>
          <w:sz w:val="24"/>
          <w:szCs w:val="24"/>
        </w:rPr>
        <w:t>explore</w:t>
      </w:r>
      <w:r w:rsidR="000D1BD8">
        <w:rPr>
          <w:rFonts w:ascii="Times New Roman" w:hAnsi="Times New Roman" w:cs="Times New Roman"/>
          <w:color w:val="000000" w:themeColor="text1"/>
          <w:sz w:val="24"/>
          <w:szCs w:val="24"/>
        </w:rPr>
        <w:t>d</w:t>
      </w:r>
      <w:r w:rsidR="000D1BD8" w:rsidRPr="000D1BD8">
        <w:rPr>
          <w:rFonts w:ascii="Times New Roman" w:hAnsi="Times New Roman" w:cs="Times New Roman"/>
          <w:color w:val="000000" w:themeColor="text1"/>
          <w:sz w:val="24"/>
          <w:szCs w:val="24"/>
        </w:rPr>
        <w:t xml:space="preserve"> the social origins of civil society and the </w:t>
      </w:r>
      <w:r w:rsidR="000D1BD8" w:rsidRPr="000D1BD8">
        <w:rPr>
          <w:rFonts w:ascii="Times New Roman" w:hAnsi="Times New Roman" w:cs="Times New Roman"/>
          <w:color w:val="000000" w:themeColor="text1"/>
          <w:sz w:val="24"/>
          <w:szCs w:val="24"/>
        </w:rPr>
        <w:t>non-profit</w:t>
      </w:r>
      <w:r w:rsidR="000D1BD8" w:rsidRPr="000D1BD8">
        <w:rPr>
          <w:rFonts w:ascii="Times New Roman" w:hAnsi="Times New Roman" w:cs="Times New Roman"/>
          <w:color w:val="000000" w:themeColor="text1"/>
          <w:sz w:val="24"/>
          <w:szCs w:val="24"/>
        </w:rPr>
        <w:t xml:space="preserve"> sector, and the factors that contribute to their development and growth. One of the key factors identified is the importance of diversity, equality, and inclusion in building strong and effective civil society organi</w:t>
      </w:r>
      <w:r w:rsidR="000D1BD8">
        <w:rPr>
          <w:rFonts w:ascii="Times New Roman" w:hAnsi="Times New Roman" w:cs="Times New Roman"/>
          <w:color w:val="000000" w:themeColor="text1"/>
          <w:sz w:val="24"/>
          <w:szCs w:val="24"/>
        </w:rPr>
        <w:t>s</w:t>
      </w:r>
      <w:r w:rsidR="000D1BD8" w:rsidRPr="000D1BD8">
        <w:rPr>
          <w:rFonts w:ascii="Times New Roman" w:hAnsi="Times New Roman" w:cs="Times New Roman"/>
          <w:color w:val="000000" w:themeColor="text1"/>
          <w:sz w:val="24"/>
          <w:szCs w:val="24"/>
        </w:rPr>
        <w:t>ations. The article argues that organi</w:t>
      </w:r>
      <w:r w:rsidR="000D1BD8">
        <w:rPr>
          <w:rFonts w:ascii="Times New Roman" w:hAnsi="Times New Roman" w:cs="Times New Roman"/>
          <w:color w:val="000000" w:themeColor="text1"/>
          <w:sz w:val="24"/>
          <w:szCs w:val="24"/>
        </w:rPr>
        <w:t>s</w:t>
      </w:r>
      <w:r w:rsidR="000D1BD8" w:rsidRPr="000D1BD8">
        <w:rPr>
          <w:rFonts w:ascii="Times New Roman" w:hAnsi="Times New Roman" w:cs="Times New Roman"/>
          <w:color w:val="000000" w:themeColor="text1"/>
          <w:sz w:val="24"/>
          <w:szCs w:val="24"/>
        </w:rPr>
        <w:t>ations that reflect the diversity of the communities they serve are better able to represent their interests and build trust and credibility with their stakeholders</w:t>
      </w:r>
      <w:r w:rsidRPr="004D401D">
        <w:rPr>
          <w:rFonts w:ascii="Times New Roman" w:hAnsi="Times New Roman" w:cs="Times New Roman"/>
          <w:color w:val="000000" w:themeColor="text1"/>
          <w:sz w:val="24"/>
          <w:szCs w:val="24"/>
        </w:rPr>
        <w:t>.</w:t>
      </w:r>
      <w:r w:rsidR="006C031E">
        <w:rPr>
          <w:rFonts w:ascii="Times New Roman" w:hAnsi="Times New Roman" w:cs="Times New Roman"/>
          <w:color w:val="000000" w:themeColor="text1"/>
          <w:sz w:val="24"/>
          <w:szCs w:val="24"/>
        </w:rPr>
        <w:t xml:space="preserve"> As a result of these innovations in advocacy</w:t>
      </w:r>
      <w:r w:rsidR="00CB66E0">
        <w:rPr>
          <w:rFonts w:ascii="Times New Roman" w:hAnsi="Times New Roman" w:cs="Times New Roman"/>
          <w:color w:val="000000" w:themeColor="text1"/>
          <w:sz w:val="24"/>
          <w:szCs w:val="24"/>
        </w:rPr>
        <w:t>,</w:t>
      </w:r>
      <w:r w:rsidR="006C031E">
        <w:rPr>
          <w:rFonts w:ascii="Times New Roman" w:hAnsi="Times New Roman" w:cs="Times New Roman"/>
          <w:color w:val="000000" w:themeColor="text1"/>
          <w:sz w:val="24"/>
          <w:szCs w:val="24"/>
        </w:rPr>
        <w:t xml:space="preserve"> services reflect the growing professionalisation of advocates and the changing landscape of advocacy as a whole. It is only by embracing these innovations, that advocates can potentially become more effective and impactful in their work.</w:t>
      </w:r>
      <w:r w:rsidR="00CB66E0">
        <w:rPr>
          <w:rFonts w:ascii="Times New Roman" w:hAnsi="Times New Roman" w:cs="Times New Roman"/>
          <w:color w:val="000000" w:themeColor="text1"/>
          <w:sz w:val="24"/>
          <w:szCs w:val="24"/>
        </w:rPr>
        <w:t xml:space="preserve"> </w:t>
      </w:r>
      <w:r w:rsidR="00CB66E0" w:rsidRPr="00CB66E0">
        <w:rPr>
          <w:rFonts w:ascii="Times New Roman" w:hAnsi="Times New Roman" w:cs="Times New Roman"/>
          <w:sz w:val="24"/>
          <w:szCs w:val="24"/>
        </w:rPr>
        <w:t>However, this</w:t>
      </w:r>
      <w:r w:rsidR="00CB66E0">
        <w:rPr>
          <w:rFonts w:ascii="Times New Roman" w:hAnsi="Times New Roman" w:cs="Times New Roman"/>
          <w:sz w:val="24"/>
          <w:szCs w:val="24"/>
        </w:rPr>
        <w:t xml:space="preserve"> may</w:t>
      </w:r>
      <w:r w:rsidR="00CB66E0" w:rsidRPr="00CB66E0">
        <w:rPr>
          <w:rFonts w:ascii="Times New Roman" w:hAnsi="Times New Roman" w:cs="Times New Roman"/>
          <w:sz w:val="24"/>
          <w:szCs w:val="24"/>
        </w:rPr>
        <w:t xml:space="preserve"> change with the </w:t>
      </w:r>
      <w:r w:rsidR="00CB66E0" w:rsidRPr="00CB66E0">
        <w:rPr>
          <w:rFonts w:ascii="Times New Roman" w:hAnsi="Times New Roman" w:cs="Times New Roman"/>
          <w:sz w:val="24"/>
          <w:szCs w:val="24"/>
        </w:rPr>
        <w:lastRenderedPageBreak/>
        <w:t>professionalisation of advocacy services</w:t>
      </w:r>
      <w:r w:rsidR="00CB66E0">
        <w:rPr>
          <w:rFonts w:ascii="Times New Roman" w:hAnsi="Times New Roman" w:cs="Times New Roman"/>
          <w:sz w:val="24"/>
          <w:szCs w:val="24"/>
        </w:rPr>
        <w:t>, which could prospectively  have a detrimental effect on the client/ advocate relationship.</w:t>
      </w:r>
    </w:p>
    <w:p w14:paraId="4E0C6A1A" w14:textId="4C76EC28" w:rsidR="00FE311F" w:rsidRDefault="000D1BD8" w:rsidP="00E9236D">
      <w:pPr>
        <w:spacing w:before="240"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006C031E">
        <w:rPr>
          <w:rFonts w:ascii="Times New Roman" w:hAnsi="Times New Roman" w:cs="Times New Roman"/>
          <w:sz w:val="24"/>
          <w:szCs w:val="24"/>
        </w:rPr>
        <w:t xml:space="preserve">In conclusion, the professionalisation of advocacy services in the UK has </w:t>
      </w:r>
      <w:r w:rsidR="00220E55" w:rsidRPr="00220E55">
        <w:rPr>
          <w:rFonts w:ascii="Times New Roman" w:hAnsi="Times New Roman" w:cs="Times New Roman"/>
          <w:sz w:val="24"/>
          <w:szCs w:val="24"/>
        </w:rPr>
        <w:t>resulted in improved</w:t>
      </w:r>
      <w:r w:rsidR="00220E55">
        <w:rPr>
          <w:rFonts w:ascii="Times New Roman" w:hAnsi="Times New Roman" w:cs="Times New Roman"/>
          <w:sz w:val="24"/>
          <w:szCs w:val="24"/>
        </w:rPr>
        <w:t xml:space="preserve"> </w:t>
      </w:r>
      <w:r w:rsidR="006C031E">
        <w:rPr>
          <w:rFonts w:ascii="Times New Roman" w:hAnsi="Times New Roman" w:cs="Times New Roman"/>
          <w:sz w:val="24"/>
          <w:szCs w:val="24"/>
        </w:rPr>
        <w:t>access to services, a greater protection of rights, and an increased participation in society for vulnerable and marginalised individuals, by ensuring that individuals have a voice, and their rights are protected.</w:t>
      </w:r>
      <w:r w:rsidR="00F50362">
        <w:rPr>
          <w:rFonts w:ascii="Times New Roman" w:hAnsi="Times New Roman" w:cs="Times New Roman"/>
          <w:sz w:val="24"/>
          <w:szCs w:val="24"/>
        </w:rPr>
        <w:t xml:space="preserve"> </w:t>
      </w:r>
      <w:r w:rsidR="00F50362" w:rsidRPr="00F50362">
        <w:rPr>
          <w:rFonts w:ascii="Times New Roman" w:hAnsi="Times New Roman" w:cs="Times New Roman"/>
          <w:sz w:val="24"/>
          <w:szCs w:val="24"/>
        </w:rPr>
        <w:t>Collaborations between advocacy organi</w:t>
      </w:r>
      <w:r w:rsidR="008F6E77">
        <w:rPr>
          <w:rFonts w:ascii="Times New Roman" w:hAnsi="Times New Roman" w:cs="Times New Roman"/>
          <w:sz w:val="24"/>
          <w:szCs w:val="24"/>
        </w:rPr>
        <w:t>s</w:t>
      </w:r>
      <w:r w:rsidR="00F50362" w:rsidRPr="00F50362">
        <w:rPr>
          <w:rFonts w:ascii="Times New Roman" w:hAnsi="Times New Roman" w:cs="Times New Roman"/>
          <w:sz w:val="24"/>
          <w:szCs w:val="24"/>
        </w:rPr>
        <w:t xml:space="preserve">ations can be really beneficial in a number of ways. </w:t>
      </w:r>
      <w:r w:rsidR="00375402">
        <w:rPr>
          <w:rFonts w:ascii="Times New Roman" w:hAnsi="Times New Roman" w:cs="Times New Roman"/>
          <w:sz w:val="24"/>
          <w:szCs w:val="24"/>
        </w:rPr>
        <w:t>O</w:t>
      </w:r>
      <w:r w:rsidR="00F50362" w:rsidRPr="00F50362">
        <w:rPr>
          <w:rFonts w:ascii="Times New Roman" w:hAnsi="Times New Roman" w:cs="Times New Roman"/>
          <w:sz w:val="24"/>
          <w:szCs w:val="24"/>
        </w:rPr>
        <w:t>rgani</w:t>
      </w:r>
      <w:r w:rsidR="00375402">
        <w:rPr>
          <w:rFonts w:ascii="Times New Roman" w:hAnsi="Times New Roman" w:cs="Times New Roman"/>
          <w:sz w:val="24"/>
          <w:szCs w:val="24"/>
        </w:rPr>
        <w:t>s</w:t>
      </w:r>
      <w:r w:rsidR="00F50362" w:rsidRPr="00F50362">
        <w:rPr>
          <w:rFonts w:ascii="Times New Roman" w:hAnsi="Times New Roman" w:cs="Times New Roman"/>
          <w:sz w:val="24"/>
          <w:szCs w:val="24"/>
        </w:rPr>
        <w:t>ations can pool their resources and knowledge, which can help them achieve their goals more effectively. Additionally, these partnerships can help advocates build stronger relationships with policymakers and other stakeholders, which can be really important for advancing their causes.</w:t>
      </w:r>
      <w:r w:rsidR="006C031E">
        <w:rPr>
          <w:rFonts w:ascii="Times New Roman" w:hAnsi="Times New Roman" w:cs="Times New Roman"/>
          <w:sz w:val="24"/>
          <w:szCs w:val="24"/>
        </w:rPr>
        <w:t xml:space="preserve"> Advocacy services play a vital role in creating a fairer and more just society, although that being said there are also potential implications to consider, as afore mentioned  the loss of independence and autonomy, as well as a shift in the nature of the advocacy service</w:t>
      </w:r>
      <w:r w:rsidR="00375402">
        <w:rPr>
          <w:rFonts w:ascii="Times New Roman" w:hAnsi="Times New Roman" w:cs="Times New Roman"/>
          <w:sz w:val="24"/>
          <w:szCs w:val="24"/>
        </w:rPr>
        <w:t>s</w:t>
      </w:r>
      <w:r w:rsidR="006C031E">
        <w:rPr>
          <w:rFonts w:ascii="Times New Roman" w:hAnsi="Times New Roman" w:cs="Times New Roman"/>
          <w:sz w:val="24"/>
          <w:szCs w:val="24"/>
        </w:rPr>
        <w:t xml:space="preserve">. </w:t>
      </w:r>
    </w:p>
    <w:p w14:paraId="7520B856" w14:textId="3A8402B6" w:rsidR="00FE311F" w:rsidRDefault="006C031E" w:rsidP="00E9236D">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With the government acquiring control over advocacy </w:t>
      </w:r>
      <w:r w:rsidR="0064671B">
        <w:rPr>
          <w:rFonts w:ascii="Times New Roman" w:hAnsi="Times New Roman" w:cs="Times New Roman"/>
          <w:sz w:val="24"/>
          <w:szCs w:val="24"/>
        </w:rPr>
        <w:t>services,</w:t>
      </w:r>
      <w:r>
        <w:rPr>
          <w:rFonts w:ascii="Times New Roman" w:hAnsi="Times New Roman" w:cs="Times New Roman"/>
          <w:sz w:val="24"/>
          <w:szCs w:val="24"/>
        </w:rPr>
        <w:t xml:space="preserve"> it would inevitably reduce the advocates abilities to challenge the policies and practices implicated by them</w:t>
      </w:r>
      <w:r w:rsidR="00337563">
        <w:rPr>
          <w:rFonts w:ascii="Times New Roman" w:hAnsi="Times New Roman" w:cs="Times New Roman"/>
          <w:sz w:val="24"/>
          <w:szCs w:val="24"/>
        </w:rPr>
        <w:t xml:space="preserve">. </w:t>
      </w:r>
      <w:r w:rsidR="00DC412E">
        <w:rPr>
          <w:rFonts w:ascii="Times New Roman" w:hAnsi="Times New Roman" w:cs="Times New Roman"/>
          <w:sz w:val="24"/>
          <w:szCs w:val="24"/>
        </w:rPr>
        <w:t>The research undertaken for this submission has highlighted that</w:t>
      </w:r>
      <w:r w:rsidR="00BE2965">
        <w:rPr>
          <w:rFonts w:ascii="Times New Roman" w:hAnsi="Times New Roman" w:cs="Times New Roman"/>
          <w:sz w:val="24"/>
          <w:szCs w:val="24"/>
        </w:rPr>
        <w:t xml:space="preserve"> is vitally</w:t>
      </w:r>
      <w:r>
        <w:rPr>
          <w:rFonts w:ascii="Times New Roman" w:hAnsi="Times New Roman" w:cs="Times New Roman"/>
          <w:sz w:val="24"/>
          <w:szCs w:val="24"/>
        </w:rPr>
        <w:t xml:space="preserve"> import</w:t>
      </w:r>
      <w:r w:rsidR="00BE2965">
        <w:rPr>
          <w:rFonts w:ascii="Times New Roman" w:hAnsi="Times New Roman" w:cs="Times New Roman"/>
          <w:sz w:val="24"/>
          <w:szCs w:val="24"/>
        </w:rPr>
        <w:t>ant</w:t>
      </w:r>
      <w:r>
        <w:rPr>
          <w:rFonts w:ascii="Times New Roman" w:hAnsi="Times New Roman" w:cs="Times New Roman"/>
          <w:sz w:val="24"/>
          <w:szCs w:val="24"/>
        </w:rPr>
        <w:t xml:space="preserve"> to </w:t>
      </w:r>
      <w:r w:rsidR="00C97A07">
        <w:rPr>
          <w:rFonts w:ascii="Times New Roman" w:hAnsi="Times New Roman" w:cs="Times New Roman"/>
          <w:sz w:val="24"/>
          <w:szCs w:val="24"/>
        </w:rPr>
        <w:t>support</w:t>
      </w:r>
      <w:r>
        <w:rPr>
          <w:rFonts w:ascii="Times New Roman" w:hAnsi="Times New Roman" w:cs="Times New Roman"/>
          <w:sz w:val="24"/>
          <w:szCs w:val="24"/>
        </w:rPr>
        <w:t xml:space="preserve"> the balance between professionalisation and the need for advocacy providers to remain independent and </w:t>
      </w:r>
      <w:r w:rsidRPr="004C0A2C">
        <w:rPr>
          <w:rFonts w:ascii="Times New Roman" w:hAnsi="Times New Roman" w:cs="Times New Roman"/>
          <w:sz w:val="24"/>
          <w:szCs w:val="24"/>
        </w:rPr>
        <w:t>separate</w:t>
      </w:r>
      <w:r>
        <w:rPr>
          <w:rFonts w:ascii="Times New Roman" w:hAnsi="Times New Roman" w:cs="Times New Roman"/>
          <w:sz w:val="24"/>
          <w:szCs w:val="24"/>
        </w:rPr>
        <w:t xml:space="preserve"> in their practice.</w:t>
      </w:r>
      <w:r w:rsidR="004F0C79">
        <w:rPr>
          <w:rFonts w:ascii="Times New Roman" w:hAnsi="Times New Roman" w:cs="Times New Roman"/>
          <w:sz w:val="24"/>
          <w:szCs w:val="24"/>
        </w:rPr>
        <w:t xml:space="preserve"> </w:t>
      </w:r>
      <w:r w:rsidR="004F0C79" w:rsidRPr="004F0C79">
        <w:rPr>
          <w:rFonts w:ascii="Times New Roman" w:hAnsi="Times New Roman" w:cs="Times New Roman"/>
          <w:sz w:val="24"/>
          <w:szCs w:val="24"/>
        </w:rPr>
        <w:t>Professionali</w:t>
      </w:r>
      <w:r w:rsidR="0052748E">
        <w:rPr>
          <w:rFonts w:ascii="Times New Roman" w:hAnsi="Times New Roman" w:cs="Times New Roman"/>
          <w:sz w:val="24"/>
          <w:szCs w:val="24"/>
        </w:rPr>
        <w:t>s</w:t>
      </w:r>
      <w:r w:rsidR="004F0C79" w:rsidRPr="004F0C79">
        <w:rPr>
          <w:rFonts w:ascii="Times New Roman" w:hAnsi="Times New Roman" w:cs="Times New Roman"/>
          <w:sz w:val="24"/>
          <w:szCs w:val="24"/>
        </w:rPr>
        <w:t>ing advocacy services can have a number of benefits. For example, it can help ensure that advocates are properly trained and qualified to provide support and guidance to those who need it. It can also help establish clear standards and guidelines for advocacy work, which can promote consistency and quality across different organizations and program</w:t>
      </w:r>
      <w:r w:rsidR="009C2246">
        <w:rPr>
          <w:rFonts w:ascii="Times New Roman" w:hAnsi="Times New Roman" w:cs="Times New Roman"/>
          <w:sz w:val="24"/>
          <w:szCs w:val="24"/>
        </w:rPr>
        <w:t>mes</w:t>
      </w:r>
      <w:r w:rsidR="004F0C79" w:rsidRPr="004F0C79">
        <w:rPr>
          <w:rFonts w:ascii="Times New Roman" w:hAnsi="Times New Roman" w:cs="Times New Roman"/>
          <w:sz w:val="24"/>
          <w:szCs w:val="24"/>
        </w:rPr>
        <w:t>. Additionally, professionali</w:t>
      </w:r>
      <w:r w:rsidR="00B65EE4">
        <w:rPr>
          <w:rFonts w:ascii="Times New Roman" w:hAnsi="Times New Roman" w:cs="Times New Roman"/>
          <w:sz w:val="24"/>
          <w:szCs w:val="24"/>
        </w:rPr>
        <w:t>s</w:t>
      </w:r>
      <w:r w:rsidR="004F0C79" w:rsidRPr="004F0C79">
        <w:rPr>
          <w:rFonts w:ascii="Times New Roman" w:hAnsi="Times New Roman" w:cs="Times New Roman"/>
          <w:sz w:val="24"/>
          <w:szCs w:val="24"/>
        </w:rPr>
        <w:t xml:space="preserve">ation can help advocacy services </w:t>
      </w:r>
      <w:r w:rsidR="003F2920">
        <w:rPr>
          <w:rFonts w:ascii="Times New Roman" w:hAnsi="Times New Roman" w:cs="Times New Roman"/>
          <w:sz w:val="24"/>
          <w:szCs w:val="24"/>
        </w:rPr>
        <w:t xml:space="preserve">to </w:t>
      </w:r>
      <w:r w:rsidR="004F0C79" w:rsidRPr="004F0C79">
        <w:rPr>
          <w:rFonts w:ascii="Times New Roman" w:hAnsi="Times New Roman" w:cs="Times New Roman"/>
          <w:sz w:val="24"/>
          <w:szCs w:val="24"/>
        </w:rPr>
        <w:t>gain credibility and recognition in the wider community, which can help attract more funding and support.</w:t>
      </w:r>
      <w:r w:rsidR="004F0C79">
        <w:rPr>
          <w:rFonts w:ascii="Times New Roman" w:hAnsi="Times New Roman" w:cs="Times New Roman"/>
          <w:sz w:val="24"/>
          <w:szCs w:val="24"/>
        </w:rPr>
        <w:t xml:space="preserve"> </w:t>
      </w:r>
      <w:r w:rsidR="004F0C79" w:rsidRPr="004F0C79">
        <w:rPr>
          <w:rFonts w:ascii="Times New Roman" w:hAnsi="Times New Roman" w:cs="Times New Roman"/>
          <w:sz w:val="24"/>
          <w:szCs w:val="24"/>
        </w:rPr>
        <w:t>However, there are also potential drawbacks to professionali</w:t>
      </w:r>
      <w:r w:rsidR="00B65EE4">
        <w:rPr>
          <w:rFonts w:ascii="Times New Roman" w:hAnsi="Times New Roman" w:cs="Times New Roman"/>
          <w:sz w:val="24"/>
          <w:szCs w:val="24"/>
        </w:rPr>
        <w:t>s</w:t>
      </w:r>
      <w:r w:rsidR="004F0C79" w:rsidRPr="004F0C79">
        <w:rPr>
          <w:rFonts w:ascii="Times New Roman" w:hAnsi="Times New Roman" w:cs="Times New Roman"/>
          <w:sz w:val="24"/>
          <w:szCs w:val="24"/>
        </w:rPr>
        <w:t xml:space="preserve">ing advocacy services. For example, it can create a barrier for individuals who may not have formal training or qualifications but still have valuable insights and perspectives to offer. </w:t>
      </w:r>
      <w:r w:rsidR="00C867C9" w:rsidRPr="00C867C9">
        <w:rPr>
          <w:rFonts w:ascii="Times New Roman" w:hAnsi="Times New Roman" w:cs="Times New Roman"/>
          <w:sz w:val="24"/>
          <w:szCs w:val="24"/>
        </w:rPr>
        <w:t>Advocates in the UK can work to improve their own practices and provide the best possible support to those who need it by</w:t>
      </w:r>
      <w:r w:rsidR="00C867C9">
        <w:rPr>
          <w:rFonts w:ascii="Times New Roman" w:hAnsi="Times New Roman" w:cs="Times New Roman"/>
          <w:sz w:val="24"/>
          <w:szCs w:val="24"/>
        </w:rPr>
        <w:t xml:space="preserve">, </w:t>
      </w:r>
      <w:r w:rsidR="00F3133C">
        <w:rPr>
          <w:rFonts w:ascii="Times New Roman" w:hAnsi="Times New Roman" w:cs="Times New Roman"/>
          <w:sz w:val="24"/>
          <w:szCs w:val="24"/>
        </w:rPr>
        <w:t>s</w:t>
      </w:r>
      <w:r w:rsidR="00C867C9" w:rsidRPr="00C867C9">
        <w:rPr>
          <w:rFonts w:ascii="Times New Roman" w:hAnsi="Times New Roman" w:cs="Times New Roman"/>
          <w:sz w:val="24"/>
          <w:szCs w:val="24"/>
        </w:rPr>
        <w:t>taying up-to-date with relevant laws and policies: Advocates should regularly review and update their knowledge of relevant laws and policies to ensure that they are providing the most accurate and up-to-date information to their clients.</w:t>
      </w:r>
      <w:r w:rsidR="00C867C9">
        <w:rPr>
          <w:rFonts w:ascii="Times New Roman" w:hAnsi="Times New Roman" w:cs="Times New Roman"/>
          <w:sz w:val="24"/>
          <w:szCs w:val="24"/>
        </w:rPr>
        <w:t xml:space="preserve"> </w:t>
      </w:r>
      <w:r w:rsidR="004F0C79" w:rsidRPr="004F0C79">
        <w:rPr>
          <w:rFonts w:ascii="Times New Roman" w:hAnsi="Times New Roman" w:cs="Times New Roman"/>
          <w:sz w:val="24"/>
          <w:szCs w:val="24"/>
        </w:rPr>
        <w:t>It can also lead to a more rigid and bureaucratic approach to advocacy work, which may not be as effective or responsive to the needs of those being served.</w:t>
      </w:r>
      <w:r w:rsidR="00C867C9">
        <w:rPr>
          <w:rFonts w:ascii="Times New Roman" w:hAnsi="Times New Roman" w:cs="Times New Roman"/>
          <w:sz w:val="24"/>
          <w:szCs w:val="24"/>
        </w:rPr>
        <w:t xml:space="preserve"> </w:t>
      </w:r>
      <w:r w:rsidR="00C867C9" w:rsidRPr="00C867C9">
        <w:rPr>
          <w:rFonts w:ascii="Times New Roman" w:hAnsi="Times New Roman" w:cs="Times New Roman"/>
          <w:sz w:val="24"/>
          <w:szCs w:val="24"/>
        </w:rPr>
        <w:t xml:space="preserve">Overall, advocates in the UK can work to </w:t>
      </w:r>
      <w:r w:rsidR="00C867C9" w:rsidRPr="00C867C9">
        <w:rPr>
          <w:rFonts w:ascii="Times New Roman" w:hAnsi="Times New Roman" w:cs="Times New Roman"/>
          <w:sz w:val="24"/>
          <w:szCs w:val="24"/>
        </w:rPr>
        <w:lastRenderedPageBreak/>
        <w:t>improve their practice by staying up-to-date with relevant laws and policies, building strong relationships with clients, seeking regular supervision and support, practicing active listening, and engaging in ongoing training and professional development.</w:t>
      </w:r>
    </w:p>
    <w:p w14:paraId="3AC00604" w14:textId="0F797917" w:rsidR="00B9778A" w:rsidRPr="00694486" w:rsidRDefault="004F0C79" w:rsidP="00694486">
      <w:pPr>
        <w:spacing w:before="240" w:line="360" w:lineRule="auto"/>
        <w:jc w:val="both"/>
        <w:rPr>
          <w:rFonts w:ascii="Times New Roman" w:hAnsi="Times New Roman" w:cs="Times New Roman"/>
          <w:color w:val="000000" w:themeColor="text1"/>
          <w:sz w:val="24"/>
          <w:szCs w:val="24"/>
        </w:rPr>
      </w:pPr>
      <w:r w:rsidRPr="004F0C79">
        <w:rPr>
          <w:rFonts w:ascii="Times New Roman" w:hAnsi="Times New Roman" w:cs="Times New Roman"/>
          <w:sz w:val="24"/>
          <w:szCs w:val="24"/>
        </w:rPr>
        <w:t>Finally, professionali</w:t>
      </w:r>
      <w:r w:rsidR="00B65EE4">
        <w:rPr>
          <w:rFonts w:ascii="Times New Roman" w:hAnsi="Times New Roman" w:cs="Times New Roman"/>
          <w:sz w:val="24"/>
          <w:szCs w:val="24"/>
        </w:rPr>
        <w:t>s</w:t>
      </w:r>
      <w:r w:rsidRPr="004F0C79">
        <w:rPr>
          <w:rFonts w:ascii="Times New Roman" w:hAnsi="Times New Roman" w:cs="Times New Roman"/>
          <w:sz w:val="24"/>
          <w:szCs w:val="24"/>
        </w:rPr>
        <w:t>ation can sometimes lead to a focus on process and procedure rather than on the human relationships and connections that are often at the heart of effective advocacy work.</w:t>
      </w:r>
      <w:r w:rsidR="00C97A07">
        <w:rPr>
          <w:rFonts w:ascii="Times New Roman" w:hAnsi="Times New Roman" w:cs="Times New Roman"/>
          <w:sz w:val="24"/>
          <w:szCs w:val="24"/>
        </w:rPr>
        <w:t xml:space="preserve"> </w:t>
      </w:r>
      <w:r w:rsidR="00C97A07" w:rsidRPr="00C97A07">
        <w:rPr>
          <w:rFonts w:ascii="Times New Roman" w:hAnsi="Times New Roman" w:cs="Times New Roman"/>
          <w:sz w:val="24"/>
          <w:szCs w:val="24"/>
        </w:rPr>
        <w:t>Ultimately, these innovations in advocacy services reflect the growing professionali</w:t>
      </w:r>
      <w:r w:rsidR="00C97A07">
        <w:rPr>
          <w:rFonts w:ascii="Times New Roman" w:hAnsi="Times New Roman" w:cs="Times New Roman"/>
          <w:sz w:val="24"/>
          <w:szCs w:val="24"/>
        </w:rPr>
        <w:t>s</w:t>
      </w:r>
      <w:r w:rsidR="00C97A07" w:rsidRPr="00C97A07">
        <w:rPr>
          <w:rFonts w:ascii="Times New Roman" w:hAnsi="Times New Roman" w:cs="Times New Roman"/>
          <w:sz w:val="24"/>
          <w:szCs w:val="24"/>
        </w:rPr>
        <w:t>ation of advocates and the changing landscape of advocacy as a whole. By embracing these changes and working to improve their own practices, advocates can become more effective and impactful in their work.</w:t>
      </w:r>
      <w:r w:rsidR="00B9778A">
        <w:rPr>
          <w:rFonts w:ascii="Times New Roman" w:hAnsi="Times New Roman" w:cs="Times New Roman"/>
          <w:b/>
          <w:bCs/>
          <w:sz w:val="24"/>
          <w:szCs w:val="24"/>
          <w:u w:val="single"/>
        </w:rPr>
        <w:br w:type="page"/>
      </w:r>
    </w:p>
    <w:p w14:paraId="4CBBF80F" w14:textId="6F556992" w:rsidR="006C031E" w:rsidRDefault="00A6534A" w:rsidP="00F56F17">
      <w:pPr>
        <w:spacing w:before="240" w:line="24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References</w:t>
      </w:r>
    </w:p>
    <w:p w14:paraId="0900E6B8" w14:textId="77777777" w:rsidR="001C224E" w:rsidRDefault="001C224E" w:rsidP="00904191">
      <w:pPr>
        <w:spacing w:line="240" w:lineRule="auto"/>
        <w:rPr>
          <w:rFonts w:ascii="Times New Roman" w:hAnsi="Times New Roman" w:cs="Times New Roman"/>
          <w:sz w:val="24"/>
          <w:szCs w:val="24"/>
        </w:rPr>
      </w:pPr>
      <w:r w:rsidRPr="00B76B2F">
        <w:rPr>
          <w:rFonts w:ascii="Times New Roman" w:hAnsi="Times New Roman" w:cs="Times New Roman"/>
          <w:sz w:val="24"/>
          <w:szCs w:val="24"/>
        </w:rPr>
        <w:t>Barnes, M. &amp; Prior, D. (2016) 'Austerity and the role of the voluntary sector in adult social care: A research review', Social Policy and Society, 15(4), pp. 529-540.</w:t>
      </w:r>
    </w:p>
    <w:p w14:paraId="029FD406" w14:textId="77777777" w:rsidR="001C224E" w:rsidRDefault="001C224E" w:rsidP="00904191">
      <w:pPr>
        <w:spacing w:line="240" w:lineRule="auto"/>
        <w:rPr>
          <w:rFonts w:ascii="Times New Roman" w:hAnsi="Times New Roman" w:cs="Times New Roman"/>
          <w:sz w:val="24"/>
          <w:szCs w:val="24"/>
        </w:rPr>
      </w:pPr>
      <w:r w:rsidRPr="00677908">
        <w:rPr>
          <w:rFonts w:ascii="Times New Roman" w:hAnsi="Times New Roman" w:cs="Times New Roman"/>
          <w:sz w:val="24"/>
          <w:szCs w:val="24"/>
        </w:rPr>
        <w:t>Beresford, P. (2002). User involvement in research and evaluation: Liberation or regulation? Social Policy and Society, 1(2), 95-105. doi:10.1017/S1474746402000054</w:t>
      </w:r>
    </w:p>
    <w:p w14:paraId="48959FFA" w14:textId="77777777" w:rsidR="001C224E" w:rsidRDefault="001C224E" w:rsidP="00904191">
      <w:pPr>
        <w:spacing w:line="240" w:lineRule="auto"/>
        <w:rPr>
          <w:rFonts w:ascii="Times New Roman" w:hAnsi="Times New Roman" w:cs="Times New Roman"/>
          <w:sz w:val="24"/>
          <w:szCs w:val="24"/>
        </w:rPr>
      </w:pPr>
      <w:r w:rsidRPr="007676A0">
        <w:rPr>
          <w:rFonts w:ascii="Times New Roman" w:hAnsi="Times New Roman" w:cs="Times New Roman"/>
          <w:sz w:val="24"/>
          <w:szCs w:val="24"/>
        </w:rPr>
        <w:t>Beresford, P. and Croft, S., 1993. Citizen advocacy: A critical appraisal. Critical Social Policy, 13(39), pp.5-29.</w:t>
      </w:r>
    </w:p>
    <w:p w14:paraId="2F2723B3" w14:textId="77777777" w:rsidR="001C224E" w:rsidRPr="005104B7" w:rsidRDefault="001C224E" w:rsidP="00904191">
      <w:pPr>
        <w:spacing w:line="240" w:lineRule="auto"/>
        <w:rPr>
          <w:rFonts w:ascii="Times New Roman" w:hAnsi="Times New Roman" w:cs="Times New Roman"/>
          <w:sz w:val="24"/>
          <w:szCs w:val="24"/>
        </w:rPr>
      </w:pPr>
      <w:r w:rsidRPr="00F56F17">
        <w:rPr>
          <w:rFonts w:ascii="Times New Roman" w:hAnsi="Times New Roman" w:cs="Times New Roman"/>
          <w:sz w:val="24"/>
          <w:szCs w:val="24"/>
        </w:rPr>
        <w:t>Brubaker, S.J. and Keegan, B. (2019) ‘“Suddenly Everyone’s an Expert in Our Field”: Campus Victim Advocates and the Promise and Perils of Professionalization’, Violence against women, 25(9), pp. 1116–1137.</w:t>
      </w:r>
    </w:p>
    <w:p w14:paraId="0B914766" w14:textId="77777777" w:rsidR="001C224E" w:rsidRPr="00BA7C51" w:rsidRDefault="001C224E" w:rsidP="00904191">
      <w:pPr>
        <w:spacing w:line="240" w:lineRule="auto"/>
        <w:rPr>
          <w:rFonts w:ascii="Times New Roman" w:eastAsia="Times New Roman" w:hAnsi="Times New Roman" w:cs="Times New Roman"/>
          <w:sz w:val="24"/>
          <w:szCs w:val="24"/>
          <w:lang w:eastAsia="en-GB"/>
        </w:rPr>
      </w:pPr>
      <w:r w:rsidRPr="00904191">
        <w:rPr>
          <w:rFonts w:ascii="Times New Roman" w:eastAsia="Times New Roman" w:hAnsi="Times New Roman" w:cs="Times New Roman"/>
          <w:sz w:val="24"/>
          <w:szCs w:val="24"/>
          <w:lang w:eastAsia="en-GB"/>
        </w:rPr>
        <w:t xml:space="preserve">Department of Health. (2007). Independent Mental Capacity Advocates (IMCAs): Guidance on the role and responsibilities of Independent Mental Capacity Advocates (IMCAs). </w:t>
      </w:r>
    </w:p>
    <w:p w14:paraId="5F6CBE76" w14:textId="77777777" w:rsidR="001C224E" w:rsidRPr="002152C6" w:rsidRDefault="001C224E" w:rsidP="00904191">
      <w:pPr>
        <w:spacing w:line="240" w:lineRule="auto"/>
        <w:rPr>
          <w:rFonts w:ascii="Times New Roman" w:hAnsi="Times New Roman" w:cs="Times New Roman"/>
          <w:sz w:val="24"/>
          <w:szCs w:val="24"/>
        </w:rPr>
      </w:pPr>
      <w:r w:rsidRPr="002152C6">
        <w:rPr>
          <w:rFonts w:ascii="Times New Roman" w:hAnsi="Times New Roman" w:cs="Times New Roman"/>
          <w:sz w:val="24"/>
          <w:szCs w:val="24"/>
        </w:rPr>
        <w:t xml:space="preserve">Gelfgren, S., Ineland, J. and Cocq, C. (2021) “Social Media and disability advocacy organizations: Caught between hopes and realities,” </w:t>
      </w:r>
      <w:r w:rsidRPr="002152C6">
        <w:rPr>
          <w:rFonts w:ascii="Times New Roman" w:hAnsi="Times New Roman" w:cs="Times New Roman"/>
          <w:i/>
          <w:iCs/>
          <w:sz w:val="24"/>
          <w:szCs w:val="24"/>
        </w:rPr>
        <w:t>Disability &amp; Society</w:t>
      </w:r>
      <w:r w:rsidRPr="002152C6">
        <w:rPr>
          <w:rFonts w:ascii="Times New Roman" w:hAnsi="Times New Roman" w:cs="Times New Roman"/>
          <w:sz w:val="24"/>
          <w:szCs w:val="24"/>
        </w:rPr>
        <w:t>, 37(7), pp. 1085–1106.</w:t>
      </w:r>
    </w:p>
    <w:p w14:paraId="69D3ADB9" w14:textId="77777777" w:rsidR="001C224E" w:rsidRDefault="001C224E" w:rsidP="00904191">
      <w:pPr>
        <w:spacing w:line="240" w:lineRule="auto"/>
        <w:rPr>
          <w:rFonts w:ascii="Times New Roman" w:hAnsi="Times New Roman" w:cs="Times New Roman"/>
          <w:sz w:val="24"/>
          <w:szCs w:val="24"/>
        </w:rPr>
      </w:pPr>
      <w:r w:rsidRPr="00AA4E64">
        <w:rPr>
          <w:rFonts w:ascii="Times New Roman" w:hAnsi="Times New Roman" w:cs="Times New Roman"/>
          <w:sz w:val="24"/>
          <w:szCs w:val="24"/>
        </w:rPr>
        <w:t xml:space="preserve">Goncharenko, G. (2019) ‘The accountability of advocacy NGOs: insights from the online community of practice’, Accounting forum, 43(1), pp. 135–160. </w:t>
      </w:r>
    </w:p>
    <w:p w14:paraId="78BC91E2" w14:textId="77777777" w:rsidR="001C224E" w:rsidRDefault="001C224E" w:rsidP="00904191">
      <w:pPr>
        <w:spacing w:line="240" w:lineRule="auto"/>
        <w:rPr>
          <w:rFonts w:ascii="Times New Roman" w:eastAsia="Times New Roman" w:hAnsi="Times New Roman" w:cs="Times New Roman"/>
          <w:sz w:val="24"/>
          <w:szCs w:val="24"/>
          <w:lang w:eastAsia="en-GB"/>
        </w:rPr>
      </w:pPr>
      <w:r w:rsidRPr="006B2B32">
        <w:rPr>
          <w:rFonts w:ascii="Times New Roman" w:eastAsia="Times New Roman" w:hAnsi="Times New Roman" w:cs="Times New Roman"/>
          <w:sz w:val="24"/>
          <w:szCs w:val="24"/>
          <w:lang w:eastAsia="en-GB"/>
        </w:rPr>
        <w:t>Grossman, E. (2018). Collaboration in advocacy: A review of the literature. Journal of Community Practice, 26(4), 372-389.</w:t>
      </w:r>
    </w:p>
    <w:p w14:paraId="753578B8" w14:textId="77777777" w:rsidR="001C224E" w:rsidRDefault="001C224E" w:rsidP="00904191">
      <w:pPr>
        <w:spacing w:line="240" w:lineRule="auto"/>
        <w:rPr>
          <w:rFonts w:ascii="Times New Roman" w:hAnsi="Times New Roman" w:cs="Times New Roman"/>
          <w:sz w:val="24"/>
          <w:szCs w:val="24"/>
        </w:rPr>
      </w:pPr>
      <w:r w:rsidRPr="00AA0A09">
        <w:rPr>
          <w:rFonts w:ascii="Times New Roman" w:hAnsi="Times New Roman" w:cs="Times New Roman"/>
          <w:sz w:val="24"/>
          <w:szCs w:val="24"/>
        </w:rPr>
        <w:t>Hudson, B. (2016). The effectiveness of advocacy in health and social care in the UK: A scoping review. Health and Social Care in the Community, 24(1), 1-15.</w:t>
      </w:r>
      <w:r>
        <w:rPr>
          <w:rFonts w:ascii="Times New Roman" w:hAnsi="Times New Roman" w:cs="Times New Roman"/>
          <w:sz w:val="24"/>
          <w:szCs w:val="24"/>
        </w:rPr>
        <w:t xml:space="preserve"> </w:t>
      </w:r>
    </w:p>
    <w:p w14:paraId="1F652128" w14:textId="77777777" w:rsidR="001C224E" w:rsidRPr="005720BF" w:rsidRDefault="001C224E" w:rsidP="00904191">
      <w:pPr>
        <w:spacing w:line="240" w:lineRule="auto"/>
        <w:rPr>
          <w:rFonts w:ascii="Times New Roman" w:eastAsia="Times New Roman" w:hAnsi="Times New Roman" w:cs="Times New Roman"/>
          <w:sz w:val="24"/>
          <w:szCs w:val="24"/>
          <w:lang w:eastAsia="en-GB"/>
        </w:rPr>
      </w:pPr>
      <w:r w:rsidRPr="005720BF">
        <w:rPr>
          <w:rFonts w:ascii="Times New Roman" w:eastAsia="Times New Roman" w:hAnsi="Times New Roman" w:cs="Times New Roman"/>
          <w:sz w:val="24"/>
          <w:szCs w:val="24"/>
          <w:lang w:eastAsia="en-GB"/>
        </w:rPr>
        <w:t xml:space="preserve">Lazuka-Nicoulaud, E. </w:t>
      </w:r>
      <w:r w:rsidRPr="005720BF">
        <w:rPr>
          <w:rFonts w:ascii="Times New Roman" w:eastAsia="Times New Roman" w:hAnsi="Times New Roman" w:cs="Times New Roman"/>
          <w:i/>
          <w:iCs/>
          <w:sz w:val="24"/>
          <w:szCs w:val="24"/>
          <w:lang w:eastAsia="en-GB"/>
        </w:rPr>
        <w:t>et al.</w:t>
      </w:r>
      <w:r w:rsidRPr="005720BF">
        <w:rPr>
          <w:rFonts w:ascii="Times New Roman" w:eastAsia="Times New Roman" w:hAnsi="Times New Roman" w:cs="Times New Roman"/>
          <w:sz w:val="24"/>
          <w:szCs w:val="24"/>
          <w:lang w:eastAsia="en-GB"/>
        </w:rPr>
        <w:t xml:space="preserve"> (2022) “The power of advocacy: Advancing Vision for everyone to meet the sustainable development goals,” </w:t>
      </w:r>
      <w:r w:rsidRPr="005720BF">
        <w:rPr>
          <w:rFonts w:ascii="Times New Roman" w:eastAsia="Times New Roman" w:hAnsi="Times New Roman" w:cs="Times New Roman"/>
          <w:i/>
          <w:iCs/>
          <w:sz w:val="24"/>
          <w:szCs w:val="24"/>
          <w:lang w:eastAsia="en-GB"/>
        </w:rPr>
        <w:t>International Journal of Public Health</w:t>
      </w:r>
      <w:r w:rsidRPr="005720BF">
        <w:rPr>
          <w:rFonts w:ascii="Times New Roman" w:eastAsia="Times New Roman" w:hAnsi="Times New Roman" w:cs="Times New Roman"/>
          <w:sz w:val="24"/>
          <w:szCs w:val="24"/>
          <w:lang w:eastAsia="en-GB"/>
        </w:rPr>
        <w:t xml:space="preserve">, 67. </w:t>
      </w:r>
    </w:p>
    <w:p w14:paraId="05B5CE2E" w14:textId="77777777" w:rsidR="001C224E" w:rsidRDefault="001C224E" w:rsidP="00904191">
      <w:pPr>
        <w:spacing w:line="240" w:lineRule="auto"/>
        <w:rPr>
          <w:rFonts w:ascii="Times New Roman" w:eastAsia="Times New Roman" w:hAnsi="Times New Roman" w:cs="Times New Roman"/>
          <w:sz w:val="24"/>
          <w:szCs w:val="24"/>
          <w:lang w:eastAsia="en-GB"/>
        </w:rPr>
      </w:pPr>
      <w:r w:rsidRPr="005720BF">
        <w:rPr>
          <w:rFonts w:ascii="Times New Roman" w:eastAsia="Times New Roman" w:hAnsi="Times New Roman" w:cs="Times New Roman"/>
          <w:sz w:val="24"/>
          <w:szCs w:val="24"/>
          <w:lang w:eastAsia="en-GB"/>
        </w:rPr>
        <w:t xml:space="preserve">Okafor, A. (2021) “Role of the social worker in the outbreak of pandemics (a case of covid-19),” </w:t>
      </w:r>
      <w:r w:rsidRPr="005720BF">
        <w:rPr>
          <w:rFonts w:ascii="Times New Roman" w:eastAsia="Times New Roman" w:hAnsi="Times New Roman" w:cs="Times New Roman"/>
          <w:i/>
          <w:iCs/>
          <w:sz w:val="24"/>
          <w:szCs w:val="24"/>
          <w:lang w:eastAsia="en-GB"/>
        </w:rPr>
        <w:t>Cogent Psychology</w:t>
      </w:r>
      <w:r w:rsidRPr="005720BF">
        <w:rPr>
          <w:rFonts w:ascii="Times New Roman" w:eastAsia="Times New Roman" w:hAnsi="Times New Roman" w:cs="Times New Roman"/>
          <w:sz w:val="24"/>
          <w:szCs w:val="24"/>
          <w:lang w:eastAsia="en-GB"/>
        </w:rPr>
        <w:t xml:space="preserve">, 8(1). </w:t>
      </w:r>
    </w:p>
    <w:p w14:paraId="2AB37B9A" w14:textId="77777777" w:rsidR="001C224E" w:rsidRDefault="001C224E" w:rsidP="00904191">
      <w:pPr>
        <w:spacing w:line="240" w:lineRule="auto"/>
        <w:rPr>
          <w:rFonts w:ascii="Times New Roman" w:eastAsia="Times New Roman" w:hAnsi="Times New Roman" w:cs="Times New Roman"/>
          <w:sz w:val="24"/>
          <w:szCs w:val="24"/>
          <w:lang w:eastAsia="en-GB"/>
        </w:rPr>
      </w:pPr>
      <w:r w:rsidRPr="000D1BD8">
        <w:rPr>
          <w:rFonts w:ascii="Times New Roman" w:eastAsia="Times New Roman" w:hAnsi="Times New Roman" w:cs="Times New Roman"/>
          <w:sz w:val="24"/>
          <w:szCs w:val="24"/>
          <w:lang w:eastAsia="en-GB"/>
        </w:rPr>
        <w:t>Salamon, L. M., &amp; Anheier, H. K. (1998). Social origins of civil society: Explaining the nonprofit sector cross-nationally. Voluntas: International Journal of Voluntary and Nonprofit Organizations, 9(3), 213-248.</w:t>
      </w:r>
    </w:p>
    <w:p w14:paraId="429981F6" w14:textId="77777777" w:rsidR="001C224E" w:rsidRDefault="001C224E" w:rsidP="00904191">
      <w:pPr>
        <w:spacing w:line="240" w:lineRule="auto"/>
        <w:rPr>
          <w:rFonts w:ascii="Times New Roman" w:eastAsia="Times New Roman" w:hAnsi="Times New Roman" w:cs="Times New Roman"/>
          <w:sz w:val="24"/>
          <w:szCs w:val="24"/>
          <w:lang w:eastAsia="en-GB"/>
        </w:rPr>
      </w:pPr>
      <w:r w:rsidRPr="00BA7C51">
        <w:rPr>
          <w:rFonts w:ascii="Times New Roman" w:eastAsia="Times New Roman" w:hAnsi="Times New Roman" w:cs="Times New Roman"/>
          <w:sz w:val="24"/>
          <w:szCs w:val="24"/>
          <w:lang w:eastAsia="en-GB"/>
        </w:rPr>
        <w:t xml:space="preserve">SCIE (2014) </w:t>
      </w:r>
      <w:r w:rsidRPr="00BA7C51">
        <w:rPr>
          <w:rFonts w:ascii="Times New Roman" w:eastAsia="Times New Roman" w:hAnsi="Times New Roman" w:cs="Times New Roman"/>
          <w:i/>
          <w:iCs/>
          <w:sz w:val="24"/>
          <w:szCs w:val="24"/>
          <w:lang w:eastAsia="en-GB"/>
        </w:rPr>
        <w:t>Commissioning independent advocacy</w:t>
      </w:r>
      <w:r w:rsidRPr="00BA7C51">
        <w:rPr>
          <w:rFonts w:ascii="Times New Roman" w:eastAsia="Times New Roman" w:hAnsi="Times New Roman" w:cs="Times New Roman"/>
          <w:sz w:val="24"/>
          <w:szCs w:val="24"/>
          <w:lang w:eastAsia="en-GB"/>
        </w:rPr>
        <w:t xml:space="preserve">, </w:t>
      </w:r>
      <w:r w:rsidRPr="00BA7C51">
        <w:rPr>
          <w:rFonts w:ascii="Times New Roman" w:eastAsia="Times New Roman" w:hAnsi="Times New Roman" w:cs="Times New Roman"/>
          <w:i/>
          <w:iCs/>
          <w:sz w:val="24"/>
          <w:szCs w:val="24"/>
          <w:lang w:eastAsia="en-GB"/>
        </w:rPr>
        <w:t xml:space="preserve">Social Care Institute for Excellence </w:t>
      </w:r>
      <w:r w:rsidRPr="00BA7C51">
        <w:rPr>
          <w:rFonts w:ascii="Times New Roman" w:eastAsia="Times New Roman" w:hAnsi="Times New Roman" w:cs="Times New Roman"/>
          <w:sz w:val="24"/>
          <w:szCs w:val="24"/>
          <w:lang w:eastAsia="en-GB"/>
        </w:rPr>
        <w:t xml:space="preserve">. Available at: https://www.scie.org.uk/advocacy/commissioning#challenges (Accessed: April 25, 2023). </w:t>
      </w:r>
    </w:p>
    <w:p w14:paraId="161B8AFE" w14:textId="77777777" w:rsidR="001C224E" w:rsidRPr="005720BF" w:rsidRDefault="001C224E" w:rsidP="00904191">
      <w:pPr>
        <w:spacing w:line="240" w:lineRule="auto"/>
        <w:rPr>
          <w:rFonts w:ascii="Times New Roman" w:hAnsi="Times New Roman" w:cs="Times New Roman"/>
          <w:sz w:val="24"/>
          <w:szCs w:val="24"/>
        </w:rPr>
      </w:pPr>
      <w:r w:rsidRPr="005720BF">
        <w:rPr>
          <w:rFonts w:ascii="Times New Roman" w:hAnsi="Times New Roman" w:cs="Times New Roman"/>
          <w:sz w:val="24"/>
          <w:szCs w:val="24"/>
        </w:rPr>
        <w:t>Social</w:t>
      </w:r>
      <w:r w:rsidRPr="005720BF">
        <w:rPr>
          <w:rFonts w:ascii="Times New Roman" w:hAnsi="Times New Roman" w:cs="Times New Roman"/>
          <w:sz w:val="24"/>
          <w:szCs w:val="24"/>
        </w:rPr>
        <w:t xml:space="preserve"> Media Research Group (2016) </w:t>
      </w:r>
      <w:r w:rsidRPr="005720BF">
        <w:rPr>
          <w:rFonts w:ascii="Times New Roman" w:hAnsi="Times New Roman" w:cs="Times New Roman"/>
          <w:i/>
          <w:iCs/>
          <w:sz w:val="24"/>
          <w:szCs w:val="24"/>
        </w:rPr>
        <w:t>Statutory framework for the Early Years foundation stage - gov.uk</w:t>
      </w:r>
      <w:r w:rsidRPr="005720BF">
        <w:rPr>
          <w:rFonts w:ascii="Times New Roman" w:hAnsi="Times New Roman" w:cs="Times New Roman"/>
          <w:sz w:val="24"/>
          <w:szCs w:val="24"/>
        </w:rPr>
        <w:t xml:space="preserve">, </w:t>
      </w:r>
      <w:r w:rsidRPr="005720BF">
        <w:rPr>
          <w:rFonts w:ascii="Times New Roman" w:hAnsi="Times New Roman" w:cs="Times New Roman"/>
          <w:i/>
          <w:iCs/>
          <w:sz w:val="24"/>
          <w:szCs w:val="24"/>
        </w:rPr>
        <w:t>Using social media for social research: An introduction</w:t>
      </w:r>
      <w:r w:rsidRPr="005720BF">
        <w:rPr>
          <w:rFonts w:ascii="Times New Roman" w:hAnsi="Times New Roman" w:cs="Times New Roman"/>
          <w:sz w:val="24"/>
          <w:szCs w:val="24"/>
        </w:rPr>
        <w:t xml:space="preserve">. Available at: https://assets.publishing.service.gov.uk/government/uploads/system/uploads/attachment_data/file/974907/EYFS_framework_-_March_2021.pdf (Accessed: April 25, 2023). </w:t>
      </w:r>
    </w:p>
    <w:p w14:paraId="39AFF6D5" w14:textId="77777777" w:rsidR="001C224E" w:rsidRDefault="001C224E" w:rsidP="00904191">
      <w:pPr>
        <w:spacing w:line="240" w:lineRule="auto"/>
        <w:rPr>
          <w:rFonts w:ascii="Times New Roman" w:hAnsi="Times New Roman" w:cs="Times New Roman"/>
          <w:sz w:val="24"/>
          <w:szCs w:val="24"/>
        </w:rPr>
      </w:pPr>
      <w:r w:rsidRPr="00DA54DA">
        <w:rPr>
          <w:rFonts w:ascii="Times New Roman" w:hAnsi="Times New Roman" w:cs="Times New Roman"/>
          <w:sz w:val="24"/>
          <w:szCs w:val="24"/>
        </w:rPr>
        <w:t xml:space="preserve">Stewart, A. and Macintyre, G. (2019) </w:t>
      </w:r>
      <w:r w:rsidRPr="00DA54DA">
        <w:rPr>
          <w:rFonts w:ascii="Times New Roman" w:hAnsi="Times New Roman" w:cs="Times New Roman"/>
          <w:i/>
          <w:iCs/>
          <w:sz w:val="24"/>
          <w:szCs w:val="24"/>
        </w:rPr>
        <w:t>Advocacy: Models and effectiveness</w:t>
      </w:r>
      <w:r w:rsidRPr="00DA54DA">
        <w:rPr>
          <w:rFonts w:ascii="Times New Roman" w:hAnsi="Times New Roman" w:cs="Times New Roman"/>
          <w:sz w:val="24"/>
          <w:szCs w:val="24"/>
        </w:rPr>
        <w:t xml:space="preserve">, </w:t>
      </w:r>
      <w:r w:rsidRPr="00DA54DA">
        <w:rPr>
          <w:rFonts w:ascii="Times New Roman" w:hAnsi="Times New Roman" w:cs="Times New Roman"/>
          <w:i/>
          <w:iCs/>
          <w:sz w:val="24"/>
          <w:szCs w:val="24"/>
        </w:rPr>
        <w:t>Iriss</w:t>
      </w:r>
      <w:r w:rsidRPr="00DA54DA">
        <w:rPr>
          <w:rFonts w:ascii="Times New Roman" w:hAnsi="Times New Roman" w:cs="Times New Roman"/>
          <w:sz w:val="24"/>
          <w:szCs w:val="24"/>
        </w:rPr>
        <w:t xml:space="preserve">. Available at: https://www.iriss.org.uk/resources/insights/advocacy-models-and-effectiveness (Accessed: April 25, 2023). </w:t>
      </w:r>
    </w:p>
    <w:p w14:paraId="2E9D2AF0" w14:textId="77777777" w:rsidR="001C224E" w:rsidRPr="00301556" w:rsidRDefault="001C224E" w:rsidP="00904191">
      <w:pPr>
        <w:spacing w:line="240" w:lineRule="auto"/>
        <w:rPr>
          <w:rFonts w:ascii="Times New Roman" w:hAnsi="Times New Roman" w:cs="Times New Roman"/>
          <w:sz w:val="24"/>
          <w:szCs w:val="24"/>
        </w:rPr>
      </w:pPr>
      <w:r w:rsidRPr="00301556">
        <w:rPr>
          <w:rFonts w:ascii="Times New Roman" w:hAnsi="Times New Roman" w:cs="Times New Roman"/>
          <w:sz w:val="24"/>
          <w:szCs w:val="24"/>
        </w:rPr>
        <w:t>The National Archives. (1989). Official Secrets Act 1989. Retrieved April 27, 2023, from https://www.legislation.gov.uk/ukpga/1989/6/contents</w:t>
      </w:r>
    </w:p>
    <w:p w14:paraId="5E84FFB2" w14:textId="77777777" w:rsidR="001C224E" w:rsidRPr="00301556" w:rsidRDefault="001C224E" w:rsidP="00904191">
      <w:pPr>
        <w:spacing w:line="240" w:lineRule="auto"/>
        <w:rPr>
          <w:rFonts w:ascii="Times New Roman" w:hAnsi="Times New Roman" w:cs="Times New Roman"/>
          <w:sz w:val="24"/>
          <w:szCs w:val="24"/>
        </w:rPr>
      </w:pPr>
      <w:r w:rsidRPr="00301556">
        <w:rPr>
          <w:rFonts w:ascii="Times New Roman" w:hAnsi="Times New Roman" w:cs="Times New Roman"/>
          <w:sz w:val="24"/>
          <w:szCs w:val="24"/>
        </w:rPr>
        <w:lastRenderedPageBreak/>
        <w:t>UK Government. (2019). The Civil Service Code. Retrieved April 27, 2023, from https://www.gov.uk/government/publications/civil-service-code/the-civil-service-code</w:t>
      </w:r>
    </w:p>
    <w:p w14:paraId="2F522695" w14:textId="77777777" w:rsidR="001C224E" w:rsidRDefault="001C224E" w:rsidP="00904191">
      <w:pPr>
        <w:spacing w:line="240" w:lineRule="auto"/>
        <w:rPr>
          <w:rFonts w:ascii="Times New Roman" w:hAnsi="Times New Roman" w:cs="Times New Roman"/>
          <w:sz w:val="24"/>
          <w:szCs w:val="24"/>
        </w:rPr>
      </w:pPr>
      <w:r w:rsidRPr="005104B7">
        <w:rPr>
          <w:rFonts w:ascii="Times New Roman" w:hAnsi="Times New Roman" w:cs="Times New Roman"/>
          <w:sz w:val="24"/>
          <w:szCs w:val="24"/>
        </w:rPr>
        <w:t>Woo, H., Henfield, M.S. and Choi, N. (2014) ‘Developing a Unified Professional Identity in Counseling: A Review of the Literature’, Journal of counselor leadership and advocacy, 1(1), pp. 1–15.</w:t>
      </w:r>
    </w:p>
    <w:sectPr w:rsidR="001C224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CC6C1" w14:textId="77777777" w:rsidR="003A3019" w:rsidRDefault="003A3019" w:rsidP="00C04848">
      <w:pPr>
        <w:spacing w:after="0" w:line="240" w:lineRule="auto"/>
      </w:pPr>
      <w:r>
        <w:separator/>
      </w:r>
    </w:p>
  </w:endnote>
  <w:endnote w:type="continuationSeparator" w:id="0">
    <w:p w14:paraId="563D2B02" w14:textId="77777777" w:rsidR="003A3019" w:rsidRDefault="003A3019" w:rsidP="00C04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9234920"/>
      <w:docPartObj>
        <w:docPartGallery w:val="Page Numbers (Bottom of Page)"/>
        <w:docPartUnique/>
      </w:docPartObj>
    </w:sdtPr>
    <w:sdtEndPr>
      <w:rPr>
        <w:noProof/>
      </w:rPr>
    </w:sdtEndPr>
    <w:sdtContent>
      <w:p w14:paraId="32355A0C" w14:textId="0F218811" w:rsidR="00DA0FBA" w:rsidRDefault="00DA0F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3DC57B" w14:textId="77777777" w:rsidR="00C04848" w:rsidRDefault="00C04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14F4C" w14:textId="77777777" w:rsidR="003A3019" w:rsidRDefault="003A3019" w:rsidP="00C04848">
      <w:pPr>
        <w:spacing w:after="0" w:line="240" w:lineRule="auto"/>
      </w:pPr>
      <w:r>
        <w:separator/>
      </w:r>
    </w:p>
  </w:footnote>
  <w:footnote w:type="continuationSeparator" w:id="0">
    <w:p w14:paraId="6B3F29D9" w14:textId="77777777" w:rsidR="003A3019" w:rsidRDefault="003A3019" w:rsidP="00C048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0F1D9" w14:textId="77777777" w:rsidR="00C04848" w:rsidRPr="00FC1C2C" w:rsidRDefault="00C04848" w:rsidP="00C04848">
    <w:pPr>
      <w:pStyle w:val="Header"/>
      <w:rPr>
        <w:rFonts w:ascii="Times New Roman" w:hAnsi="Times New Roman" w:cs="Times New Roman"/>
        <w:sz w:val="24"/>
        <w:szCs w:val="24"/>
      </w:rPr>
    </w:pPr>
    <w:r w:rsidRPr="00FC1C2C">
      <w:rPr>
        <w:rFonts w:ascii="Times New Roman" w:hAnsi="Times New Roman" w:cs="Times New Roman"/>
        <w:sz w:val="24"/>
        <w:szCs w:val="24"/>
      </w:rPr>
      <w:t xml:space="preserve">Module Code: </w:t>
    </w:r>
    <w:r>
      <w:rPr>
        <w:rFonts w:ascii="Times New Roman" w:hAnsi="Times New Roman" w:cs="Times New Roman"/>
        <w:sz w:val="24"/>
        <w:szCs w:val="24"/>
      </w:rPr>
      <w:t>ECED7004</w:t>
    </w:r>
    <w:r w:rsidRPr="00FC1C2C">
      <w:rPr>
        <w:rFonts w:ascii="Times New Roman" w:hAnsi="Times New Roman" w:cs="Times New Roman"/>
        <w:sz w:val="24"/>
        <w:szCs w:val="24"/>
      </w:rPr>
      <w:ptab w:relativeTo="margin" w:alignment="center" w:leader="none"/>
    </w:r>
    <w:r w:rsidRPr="00FC1C2C">
      <w:rPr>
        <w:rFonts w:ascii="Times New Roman" w:hAnsi="Times New Roman" w:cs="Times New Roman"/>
        <w:sz w:val="24"/>
        <w:szCs w:val="24"/>
      </w:rPr>
      <w:t>Student number:</w:t>
    </w:r>
    <w:r>
      <w:rPr>
        <w:rFonts w:ascii="Times New Roman" w:hAnsi="Times New Roman" w:cs="Times New Roman"/>
        <w:sz w:val="24"/>
        <w:szCs w:val="24"/>
      </w:rPr>
      <w:t xml:space="preserve"> 1502947</w:t>
    </w:r>
    <w:r w:rsidRPr="00FC1C2C">
      <w:rPr>
        <w:rFonts w:ascii="Times New Roman" w:hAnsi="Times New Roman" w:cs="Times New Roman"/>
        <w:sz w:val="24"/>
        <w:szCs w:val="24"/>
      </w:rPr>
      <w:ptab w:relativeTo="margin" w:alignment="right" w:leader="none"/>
    </w:r>
    <w:r w:rsidRPr="00FC1C2C">
      <w:rPr>
        <w:rFonts w:ascii="Times New Roman" w:hAnsi="Times New Roman" w:cs="Times New Roman"/>
        <w:sz w:val="24"/>
        <w:szCs w:val="24"/>
      </w:rPr>
      <w:t xml:space="preserve">Assessment No: </w:t>
    </w:r>
    <w:r>
      <w:rPr>
        <w:rFonts w:ascii="Times New Roman" w:hAnsi="Times New Roman" w:cs="Times New Roman"/>
        <w:sz w:val="24"/>
        <w:szCs w:val="24"/>
      </w:rPr>
      <w:t>1</w:t>
    </w:r>
  </w:p>
  <w:p w14:paraId="7A076094" w14:textId="77777777" w:rsidR="00C04848" w:rsidRPr="00C04848" w:rsidRDefault="00C04848" w:rsidP="00C048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427F6F"/>
    <w:multiLevelType w:val="multilevel"/>
    <w:tmpl w:val="198A4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8591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31E"/>
    <w:rsid w:val="0001117D"/>
    <w:rsid w:val="000111F9"/>
    <w:rsid w:val="00050364"/>
    <w:rsid w:val="000A3790"/>
    <w:rsid w:val="000C2E3D"/>
    <w:rsid w:val="000D03D1"/>
    <w:rsid w:val="000D1BD8"/>
    <w:rsid w:val="000E4CAC"/>
    <w:rsid w:val="00141F85"/>
    <w:rsid w:val="001C224E"/>
    <w:rsid w:val="001D60BD"/>
    <w:rsid w:val="001E3CB3"/>
    <w:rsid w:val="001F52D0"/>
    <w:rsid w:val="00207C15"/>
    <w:rsid w:val="002152C6"/>
    <w:rsid w:val="00220E55"/>
    <w:rsid w:val="00226E58"/>
    <w:rsid w:val="00242174"/>
    <w:rsid w:val="002578DC"/>
    <w:rsid w:val="00274E26"/>
    <w:rsid w:val="00280D52"/>
    <w:rsid w:val="002E57A2"/>
    <w:rsid w:val="002E716F"/>
    <w:rsid w:val="002F6932"/>
    <w:rsid w:val="00301556"/>
    <w:rsid w:val="00306825"/>
    <w:rsid w:val="00320C37"/>
    <w:rsid w:val="0033452B"/>
    <w:rsid w:val="00337563"/>
    <w:rsid w:val="003539F9"/>
    <w:rsid w:val="00375402"/>
    <w:rsid w:val="003A18E0"/>
    <w:rsid w:val="003A3019"/>
    <w:rsid w:val="003B5084"/>
    <w:rsid w:val="003B65D5"/>
    <w:rsid w:val="003B7EAB"/>
    <w:rsid w:val="003C037F"/>
    <w:rsid w:val="003F2920"/>
    <w:rsid w:val="004016AE"/>
    <w:rsid w:val="00445596"/>
    <w:rsid w:val="00460561"/>
    <w:rsid w:val="00466594"/>
    <w:rsid w:val="004867C7"/>
    <w:rsid w:val="004A22AF"/>
    <w:rsid w:val="004D401D"/>
    <w:rsid w:val="004F0C79"/>
    <w:rsid w:val="00501890"/>
    <w:rsid w:val="0050334C"/>
    <w:rsid w:val="005104B7"/>
    <w:rsid w:val="00517E2C"/>
    <w:rsid w:val="00522523"/>
    <w:rsid w:val="0052748E"/>
    <w:rsid w:val="005426B1"/>
    <w:rsid w:val="005633E4"/>
    <w:rsid w:val="00564E0A"/>
    <w:rsid w:val="005700F8"/>
    <w:rsid w:val="00570AA8"/>
    <w:rsid w:val="005720BF"/>
    <w:rsid w:val="005724DF"/>
    <w:rsid w:val="00575CF8"/>
    <w:rsid w:val="00577FCD"/>
    <w:rsid w:val="005C4124"/>
    <w:rsid w:val="005C77F5"/>
    <w:rsid w:val="0060105B"/>
    <w:rsid w:val="00622DD1"/>
    <w:rsid w:val="006308E3"/>
    <w:rsid w:val="0064671B"/>
    <w:rsid w:val="00664697"/>
    <w:rsid w:val="00670301"/>
    <w:rsid w:val="00677908"/>
    <w:rsid w:val="00677F8B"/>
    <w:rsid w:val="0068276D"/>
    <w:rsid w:val="00694486"/>
    <w:rsid w:val="00697BFA"/>
    <w:rsid w:val="006B2B32"/>
    <w:rsid w:val="006C031E"/>
    <w:rsid w:val="006C3E5A"/>
    <w:rsid w:val="006E0BEF"/>
    <w:rsid w:val="00713150"/>
    <w:rsid w:val="00733F56"/>
    <w:rsid w:val="00743156"/>
    <w:rsid w:val="007676A0"/>
    <w:rsid w:val="007944B3"/>
    <w:rsid w:val="007A0927"/>
    <w:rsid w:val="007B3783"/>
    <w:rsid w:val="00805299"/>
    <w:rsid w:val="0082356F"/>
    <w:rsid w:val="00861DB4"/>
    <w:rsid w:val="0088254C"/>
    <w:rsid w:val="008C28BA"/>
    <w:rsid w:val="008F6E77"/>
    <w:rsid w:val="00904191"/>
    <w:rsid w:val="009148A6"/>
    <w:rsid w:val="00916D70"/>
    <w:rsid w:val="0092079B"/>
    <w:rsid w:val="00947D8E"/>
    <w:rsid w:val="00974D02"/>
    <w:rsid w:val="009778AD"/>
    <w:rsid w:val="009B67FF"/>
    <w:rsid w:val="009C2246"/>
    <w:rsid w:val="009C6016"/>
    <w:rsid w:val="009D3638"/>
    <w:rsid w:val="009D5284"/>
    <w:rsid w:val="009E12BD"/>
    <w:rsid w:val="009E15ED"/>
    <w:rsid w:val="009E7A6D"/>
    <w:rsid w:val="009F2ECD"/>
    <w:rsid w:val="00A41BD2"/>
    <w:rsid w:val="00A6534A"/>
    <w:rsid w:val="00A8182C"/>
    <w:rsid w:val="00A91215"/>
    <w:rsid w:val="00A922BF"/>
    <w:rsid w:val="00AA0A09"/>
    <w:rsid w:val="00AA4E64"/>
    <w:rsid w:val="00AA63F5"/>
    <w:rsid w:val="00B006D7"/>
    <w:rsid w:val="00B04678"/>
    <w:rsid w:val="00B103AC"/>
    <w:rsid w:val="00B379BA"/>
    <w:rsid w:val="00B65EE4"/>
    <w:rsid w:val="00B76B2F"/>
    <w:rsid w:val="00B930CA"/>
    <w:rsid w:val="00B9778A"/>
    <w:rsid w:val="00BA7C51"/>
    <w:rsid w:val="00BC55F7"/>
    <w:rsid w:val="00BE2965"/>
    <w:rsid w:val="00C04848"/>
    <w:rsid w:val="00C4124B"/>
    <w:rsid w:val="00C72B17"/>
    <w:rsid w:val="00C867C9"/>
    <w:rsid w:val="00C961BE"/>
    <w:rsid w:val="00C96516"/>
    <w:rsid w:val="00C97A07"/>
    <w:rsid w:val="00CA1231"/>
    <w:rsid w:val="00CB66E0"/>
    <w:rsid w:val="00D00B10"/>
    <w:rsid w:val="00D120F1"/>
    <w:rsid w:val="00D426EB"/>
    <w:rsid w:val="00D471DC"/>
    <w:rsid w:val="00DA0FBA"/>
    <w:rsid w:val="00DA54DA"/>
    <w:rsid w:val="00DB5E96"/>
    <w:rsid w:val="00DC412E"/>
    <w:rsid w:val="00DE6A68"/>
    <w:rsid w:val="00E13F2A"/>
    <w:rsid w:val="00E72DF4"/>
    <w:rsid w:val="00E87DD4"/>
    <w:rsid w:val="00E9236D"/>
    <w:rsid w:val="00EE7F6C"/>
    <w:rsid w:val="00F05094"/>
    <w:rsid w:val="00F12D10"/>
    <w:rsid w:val="00F3133C"/>
    <w:rsid w:val="00F37349"/>
    <w:rsid w:val="00F50362"/>
    <w:rsid w:val="00F56F17"/>
    <w:rsid w:val="00F65F38"/>
    <w:rsid w:val="00F7462D"/>
    <w:rsid w:val="00F9418A"/>
    <w:rsid w:val="00FE311F"/>
    <w:rsid w:val="00FF0E94"/>
    <w:rsid w:val="00FF3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92DD5"/>
  <w15:chartTrackingRefBased/>
  <w15:docId w15:val="{2EE5EC5C-ED4D-4FB4-90F3-FC766F2BD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31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48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848"/>
  </w:style>
  <w:style w:type="paragraph" w:styleId="Footer">
    <w:name w:val="footer"/>
    <w:basedOn w:val="Normal"/>
    <w:link w:val="FooterChar"/>
    <w:uiPriority w:val="99"/>
    <w:unhideWhenUsed/>
    <w:rsid w:val="00C048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848"/>
  </w:style>
  <w:style w:type="character" w:styleId="Hyperlink">
    <w:name w:val="Hyperlink"/>
    <w:basedOn w:val="DefaultParagraphFont"/>
    <w:uiPriority w:val="99"/>
    <w:unhideWhenUsed/>
    <w:rsid w:val="00F56F17"/>
    <w:rPr>
      <w:color w:val="0563C1" w:themeColor="hyperlink"/>
      <w:u w:val="single"/>
    </w:rPr>
  </w:style>
  <w:style w:type="character" w:styleId="UnresolvedMention">
    <w:name w:val="Unresolved Mention"/>
    <w:basedOn w:val="DefaultParagraphFont"/>
    <w:uiPriority w:val="99"/>
    <w:semiHidden/>
    <w:unhideWhenUsed/>
    <w:rsid w:val="00F56F17"/>
    <w:rPr>
      <w:color w:val="605E5C"/>
      <w:shd w:val="clear" w:color="auto" w:fill="E1DFDD"/>
    </w:rPr>
  </w:style>
  <w:style w:type="paragraph" w:styleId="NormalWeb">
    <w:name w:val="Normal (Web)"/>
    <w:basedOn w:val="Normal"/>
    <w:uiPriority w:val="99"/>
    <w:unhideWhenUsed/>
    <w:rsid w:val="00BA7C5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281665">
      <w:bodyDiv w:val="1"/>
      <w:marLeft w:val="0"/>
      <w:marRight w:val="0"/>
      <w:marTop w:val="0"/>
      <w:marBottom w:val="0"/>
      <w:divBdr>
        <w:top w:val="none" w:sz="0" w:space="0" w:color="auto"/>
        <w:left w:val="none" w:sz="0" w:space="0" w:color="auto"/>
        <w:bottom w:val="none" w:sz="0" w:space="0" w:color="auto"/>
        <w:right w:val="none" w:sz="0" w:space="0" w:color="auto"/>
      </w:divBdr>
    </w:div>
    <w:div w:id="878279832">
      <w:bodyDiv w:val="1"/>
      <w:marLeft w:val="0"/>
      <w:marRight w:val="0"/>
      <w:marTop w:val="0"/>
      <w:marBottom w:val="0"/>
      <w:divBdr>
        <w:top w:val="none" w:sz="0" w:space="0" w:color="auto"/>
        <w:left w:val="none" w:sz="0" w:space="0" w:color="auto"/>
        <w:bottom w:val="none" w:sz="0" w:space="0" w:color="auto"/>
        <w:right w:val="none" w:sz="0" w:space="0" w:color="auto"/>
      </w:divBdr>
      <w:divsChild>
        <w:div w:id="1202285310">
          <w:marLeft w:val="0"/>
          <w:marRight w:val="0"/>
          <w:marTop w:val="0"/>
          <w:marBottom w:val="0"/>
          <w:divBdr>
            <w:top w:val="none" w:sz="0" w:space="0" w:color="0EADFF"/>
            <w:left w:val="none" w:sz="0" w:space="0" w:color="0EADFF"/>
            <w:bottom w:val="none" w:sz="0" w:space="0" w:color="0EADFF"/>
            <w:right w:val="none" w:sz="0" w:space="0" w:color="0EADFF"/>
          </w:divBdr>
          <w:divsChild>
            <w:div w:id="171750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13581">
      <w:bodyDiv w:val="1"/>
      <w:marLeft w:val="0"/>
      <w:marRight w:val="0"/>
      <w:marTop w:val="0"/>
      <w:marBottom w:val="0"/>
      <w:divBdr>
        <w:top w:val="none" w:sz="0" w:space="0" w:color="auto"/>
        <w:left w:val="none" w:sz="0" w:space="0" w:color="auto"/>
        <w:bottom w:val="none" w:sz="0" w:space="0" w:color="auto"/>
        <w:right w:val="none" w:sz="0" w:space="0" w:color="auto"/>
      </w:divBdr>
      <w:divsChild>
        <w:div w:id="145780935">
          <w:marLeft w:val="0"/>
          <w:marRight w:val="0"/>
          <w:marTop w:val="0"/>
          <w:marBottom w:val="0"/>
          <w:divBdr>
            <w:top w:val="none" w:sz="0" w:space="0" w:color="0EADFF"/>
            <w:left w:val="none" w:sz="0" w:space="0" w:color="0EADFF"/>
            <w:bottom w:val="none" w:sz="0" w:space="0" w:color="0EADFF"/>
            <w:right w:val="none" w:sz="0" w:space="0" w:color="0EADFF"/>
          </w:divBdr>
          <w:divsChild>
            <w:div w:id="9000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396463">
      <w:bodyDiv w:val="1"/>
      <w:marLeft w:val="0"/>
      <w:marRight w:val="0"/>
      <w:marTop w:val="0"/>
      <w:marBottom w:val="0"/>
      <w:divBdr>
        <w:top w:val="none" w:sz="0" w:space="0" w:color="auto"/>
        <w:left w:val="none" w:sz="0" w:space="0" w:color="auto"/>
        <w:bottom w:val="none" w:sz="0" w:space="0" w:color="auto"/>
        <w:right w:val="none" w:sz="0" w:space="0" w:color="auto"/>
      </w:divBdr>
    </w:div>
    <w:div w:id="1040863457">
      <w:bodyDiv w:val="1"/>
      <w:marLeft w:val="0"/>
      <w:marRight w:val="0"/>
      <w:marTop w:val="0"/>
      <w:marBottom w:val="0"/>
      <w:divBdr>
        <w:top w:val="none" w:sz="0" w:space="0" w:color="auto"/>
        <w:left w:val="none" w:sz="0" w:space="0" w:color="auto"/>
        <w:bottom w:val="none" w:sz="0" w:space="0" w:color="auto"/>
        <w:right w:val="none" w:sz="0" w:space="0" w:color="auto"/>
      </w:divBdr>
    </w:div>
    <w:div w:id="1086075741">
      <w:bodyDiv w:val="1"/>
      <w:marLeft w:val="0"/>
      <w:marRight w:val="0"/>
      <w:marTop w:val="0"/>
      <w:marBottom w:val="0"/>
      <w:divBdr>
        <w:top w:val="none" w:sz="0" w:space="0" w:color="auto"/>
        <w:left w:val="none" w:sz="0" w:space="0" w:color="auto"/>
        <w:bottom w:val="none" w:sz="0" w:space="0" w:color="auto"/>
        <w:right w:val="none" w:sz="0" w:space="0" w:color="auto"/>
      </w:divBdr>
    </w:div>
    <w:div w:id="1116023009">
      <w:bodyDiv w:val="1"/>
      <w:marLeft w:val="0"/>
      <w:marRight w:val="0"/>
      <w:marTop w:val="0"/>
      <w:marBottom w:val="0"/>
      <w:divBdr>
        <w:top w:val="none" w:sz="0" w:space="0" w:color="auto"/>
        <w:left w:val="none" w:sz="0" w:space="0" w:color="auto"/>
        <w:bottom w:val="none" w:sz="0" w:space="0" w:color="auto"/>
        <w:right w:val="none" w:sz="0" w:space="0" w:color="auto"/>
      </w:divBdr>
      <w:divsChild>
        <w:div w:id="1551573285">
          <w:marLeft w:val="0"/>
          <w:marRight w:val="0"/>
          <w:marTop w:val="0"/>
          <w:marBottom w:val="0"/>
          <w:divBdr>
            <w:top w:val="none" w:sz="0" w:space="0" w:color="auto"/>
            <w:left w:val="none" w:sz="0" w:space="0" w:color="auto"/>
            <w:bottom w:val="none" w:sz="0" w:space="0" w:color="auto"/>
            <w:right w:val="none" w:sz="0" w:space="0" w:color="auto"/>
          </w:divBdr>
          <w:divsChild>
            <w:div w:id="1527518088">
              <w:marLeft w:val="0"/>
              <w:marRight w:val="0"/>
              <w:marTop w:val="0"/>
              <w:marBottom w:val="0"/>
              <w:divBdr>
                <w:top w:val="none" w:sz="0" w:space="0" w:color="0EADFF"/>
                <w:left w:val="none" w:sz="0" w:space="0" w:color="0EADFF"/>
                <w:bottom w:val="none" w:sz="0" w:space="0" w:color="0EADFF"/>
                <w:right w:val="none" w:sz="0" w:space="0" w:color="0EADFF"/>
              </w:divBdr>
              <w:divsChild>
                <w:div w:id="9721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328094">
          <w:marLeft w:val="0"/>
          <w:marRight w:val="0"/>
          <w:marTop w:val="0"/>
          <w:marBottom w:val="0"/>
          <w:divBdr>
            <w:top w:val="none" w:sz="0" w:space="0" w:color="auto"/>
            <w:left w:val="none" w:sz="0" w:space="0" w:color="auto"/>
            <w:bottom w:val="none" w:sz="0" w:space="0" w:color="auto"/>
            <w:right w:val="none" w:sz="0" w:space="0" w:color="auto"/>
          </w:divBdr>
        </w:div>
      </w:divsChild>
    </w:div>
    <w:div w:id="1160660469">
      <w:bodyDiv w:val="1"/>
      <w:marLeft w:val="0"/>
      <w:marRight w:val="0"/>
      <w:marTop w:val="0"/>
      <w:marBottom w:val="0"/>
      <w:divBdr>
        <w:top w:val="none" w:sz="0" w:space="0" w:color="auto"/>
        <w:left w:val="none" w:sz="0" w:space="0" w:color="auto"/>
        <w:bottom w:val="none" w:sz="0" w:space="0" w:color="auto"/>
        <w:right w:val="none" w:sz="0" w:space="0" w:color="auto"/>
      </w:divBdr>
    </w:div>
    <w:div w:id="1199703571">
      <w:bodyDiv w:val="1"/>
      <w:marLeft w:val="0"/>
      <w:marRight w:val="0"/>
      <w:marTop w:val="0"/>
      <w:marBottom w:val="0"/>
      <w:divBdr>
        <w:top w:val="none" w:sz="0" w:space="0" w:color="auto"/>
        <w:left w:val="none" w:sz="0" w:space="0" w:color="auto"/>
        <w:bottom w:val="none" w:sz="0" w:space="0" w:color="auto"/>
        <w:right w:val="none" w:sz="0" w:space="0" w:color="auto"/>
      </w:divBdr>
    </w:div>
    <w:div w:id="1231236674">
      <w:bodyDiv w:val="1"/>
      <w:marLeft w:val="0"/>
      <w:marRight w:val="0"/>
      <w:marTop w:val="0"/>
      <w:marBottom w:val="0"/>
      <w:divBdr>
        <w:top w:val="none" w:sz="0" w:space="0" w:color="auto"/>
        <w:left w:val="none" w:sz="0" w:space="0" w:color="auto"/>
        <w:bottom w:val="none" w:sz="0" w:space="0" w:color="auto"/>
        <w:right w:val="none" w:sz="0" w:space="0" w:color="auto"/>
      </w:divBdr>
    </w:div>
    <w:div w:id="1281843491">
      <w:bodyDiv w:val="1"/>
      <w:marLeft w:val="0"/>
      <w:marRight w:val="0"/>
      <w:marTop w:val="0"/>
      <w:marBottom w:val="0"/>
      <w:divBdr>
        <w:top w:val="none" w:sz="0" w:space="0" w:color="auto"/>
        <w:left w:val="none" w:sz="0" w:space="0" w:color="auto"/>
        <w:bottom w:val="none" w:sz="0" w:space="0" w:color="auto"/>
        <w:right w:val="none" w:sz="0" w:space="0" w:color="auto"/>
      </w:divBdr>
    </w:div>
    <w:div w:id="1352029701">
      <w:bodyDiv w:val="1"/>
      <w:marLeft w:val="0"/>
      <w:marRight w:val="0"/>
      <w:marTop w:val="0"/>
      <w:marBottom w:val="0"/>
      <w:divBdr>
        <w:top w:val="none" w:sz="0" w:space="0" w:color="auto"/>
        <w:left w:val="none" w:sz="0" w:space="0" w:color="auto"/>
        <w:bottom w:val="none" w:sz="0" w:space="0" w:color="auto"/>
        <w:right w:val="none" w:sz="0" w:space="0" w:color="auto"/>
      </w:divBdr>
      <w:divsChild>
        <w:div w:id="1747846136">
          <w:marLeft w:val="0"/>
          <w:marRight w:val="0"/>
          <w:marTop w:val="0"/>
          <w:marBottom w:val="0"/>
          <w:divBdr>
            <w:top w:val="none" w:sz="0" w:space="0" w:color="auto"/>
            <w:left w:val="none" w:sz="0" w:space="0" w:color="auto"/>
            <w:bottom w:val="none" w:sz="0" w:space="0" w:color="auto"/>
            <w:right w:val="none" w:sz="0" w:space="0" w:color="auto"/>
          </w:divBdr>
          <w:divsChild>
            <w:div w:id="1469594287">
              <w:marLeft w:val="0"/>
              <w:marRight w:val="0"/>
              <w:marTop w:val="0"/>
              <w:marBottom w:val="0"/>
              <w:divBdr>
                <w:top w:val="none" w:sz="0" w:space="0" w:color="0EADFF"/>
                <w:left w:val="none" w:sz="0" w:space="0" w:color="0EADFF"/>
                <w:bottom w:val="none" w:sz="0" w:space="0" w:color="0EADFF"/>
                <w:right w:val="none" w:sz="0" w:space="0" w:color="0EADFF"/>
              </w:divBdr>
              <w:divsChild>
                <w:div w:id="182735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99594">
          <w:marLeft w:val="0"/>
          <w:marRight w:val="0"/>
          <w:marTop w:val="0"/>
          <w:marBottom w:val="0"/>
          <w:divBdr>
            <w:top w:val="none" w:sz="0" w:space="0" w:color="auto"/>
            <w:left w:val="none" w:sz="0" w:space="0" w:color="auto"/>
            <w:bottom w:val="none" w:sz="0" w:space="0" w:color="auto"/>
            <w:right w:val="none" w:sz="0" w:space="0" w:color="auto"/>
          </w:divBdr>
        </w:div>
      </w:divsChild>
    </w:div>
    <w:div w:id="1376003549">
      <w:bodyDiv w:val="1"/>
      <w:marLeft w:val="0"/>
      <w:marRight w:val="0"/>
      <w:marTop w:val="0"/>
      <w:marBottom w:val="0"/>
      <w:divBdr>
        <w:top w:val="none" w:sz="0" w:space="0" w:color="auto"/>
        <w:left w:val="none" w:sz="0" w:space="0" w:color="auto"/>
        <w:bottom w:val="none" w:sz="0" w:space="0" w:color="auto"/>
        <w:right w:val="none" w:sz="0" w:space="0" w:color="auto"/>
      </w:divBdr>
    </w:div>
    <w:div w:id="1383941059">
      <w:bodyDiv w:val="1"/>
      <w:marLeft w:val="0"/>
      <w:marRight w:val="0"/>
      <w:marTop w:val="0"/>
      <w:marBottom w:val="0"/>
      <w:divBdr>
        <w:top w:val="none" w:sz="0" w:space="0" w:color="auto"/>
        <w:left w:val="none" w:sz="0" w:space="0" w:color="auto"/>
        <w:bottom w:val="none" w:sz="0" w:space="0" w:color="auto"/>
        <w:right w:val="none" w:sz="0" w:space="0" w:color="auto"/>
      </w:divBdr>
    </w:div>
    <w:div w:id="1385134440">
      <w:bodyDiv w:val="1"/>
      <w:marLeft w:val="0"/>
      <w:marRight w:val="0"/>
      <w:marTop w:val="0"/>
      <w:marBottom w:val="0"/>
      <w:divBdr>
        <w:top w:val="none" w:sz="0" w:space="0" w:color="auto"/>
        <w:left w:val="none" w:sz="0" w:space="0" w:color="auto"/>
        <w:bottom w:val="none" w:sz="0" w:space="0" w:color="auto"/>
        <w:right w:val="none" w:sz="0" w:space="0" w:color="auto"/>
      </w:divBdr>
    </w:div>
    <w:div w:id="1715226042">
      <w:bodyDiv w:val="1"/>
      <w:marLeft w:val="0"/>
      <w:marRight w:val="0"/>
      <w:marTop w:val="0"/>
      <w:marBottom w:val="0"/>
      <w:divBdr>
        <w:top w:val="none" w:sz="0" w:space="0" w:color="auto"/>
        <w:left w:val="none" w:sz="0" w:space="0" w:color="auto"/>
        <w:bottom w:val="none" w:sz="0" w:space="0" w:color="auto"/>
        <w:right w:val="none" w:sz="0" w:space="0" w:color="auto"/>
      </w:divBdr>
    </w:div>
    <w:div w:id="1827625181">
      <w:bodyDiv w:val="1"/>
      <w:marLeft w:val="0"/>
      <w:marRight w:val="0"/>
      <w:marTop w:val="0"/>
      <w:marBottom w:val="0"/>
      <w:divBdr>
        <w:top w:val="none" w:sz="0" w:space="0" w:color="auto"/>
        <w:left w:val="none" w:sz="0" w:space="0" w:color="auto"/>
        <w:bottom w:val="none" w:sz="0" w:space="0" w:color="auto"/>
        <w:right w:val="none" w:sz="0" w:space="0" w:color="auto"/>
      </w:divBdr>
    </w:div>
    <w:div w:id="214102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4562</TotalTime>
  <Pages>9</Pages>
  <Words>3175</Words>
  <Characters>18102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 williams</dc:creator>
  <cp:keywords/>
  <dc:description/>
  <cp:lastModifiedBy>Stef williams</cp:lastModifiedBy>
  <cp:revision>207</cp:revision>
  <dcterms:created xsi:type="dcterms:W3CDTF">2023-04-20T12:11:00Z</dcterms:created>
  <dcterms:modified xsi:type="dcterms:W3CDTF">2023-04-28T16:41:00Z</dcterms:modified>
</cp:coreProperties>
</file>