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E6B23E" w14:textId="77777777" w:rsidR="008D009A" w:rsidRPr="00F37EFF" w:rsidRDefault="008D009A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</w:t>
      </w:r>
    </w:p>
    <w:sdt>
      <w:sdtPr>
        <w:id w:val="1824692884"/>
        <w:docPartObj>
          <w:docPartGallery w:val="Cover Pages"/>
          <w:docPartUnique/>
        </w:docPartObj>
      </w:sdtPr>
      <w:sdtEndPr>
        <w:rPr>
          <w:rFonts w:cs="Arial"/>
        </w:rPr>
      </w:sdtEndPr>
      <w:sdtContent>
        <w:p w14:paraId="3CC3E868" w14:textId="77777777" w:rsidR="008D009A" w:rsidRDefault="008D009A" w:rsidP="008D009A">
          <w:pPr>
            <w:rPr>
              <w:rFonts w:cs="Arial"/>
              <w:b/>
              <w:bCs/>
              <w:sz w:val="32"/>
              <w:szCs w:val="32"/>
            </w:rPr>
          </w:pPr>
          <w:r w:rsidRPr="0071548B">
            <w:rPr>
              <w:rFonts w:cs="Arial"/>
              <w:b/>
              <w:bCs/>
              <w:sz w:val="32"/>
              <w:szCs w:val="32"/>
            </w:rPr>
            <w:t>U</w:t>
          </w:r>
          <w:r>
            <w:rPr>
              <w:rFonts w:cs="Arial"/>
              <w:b/>
              <w:bCs/>
              <w:sz w:val="32"/>
              <w:szCs w:val="32"/>
            </w:rPr>
            <w:t>NIVERSITY</w:t>
          </w:r>
          <w:r w:rsidRPr="0071548B">
            <w:rPr>
              <w:rFonts w:cs="Arial"/>
              <w:b/>
              <w:bCs/>
              <w:sz w:val="32"/>
              <w:szCs w:val="32"/>
            </w:rPr>
            <w:t xml:space="preserve"> </w:t>
          </w:r>
          <w:r>
            <w:rPr>
              <w:rFonts w:cs="Arial"/>
              <w:b/>
              <w:bCs/>
              <w:sz w:val="32"/>
              <w:szCs w:val="32"/>
            </w:rPr>
            <w:t xml:space="preserve">OF </w:t>
          </w:r>
          <w:r w:rsidRPr="0071548B">
            <w:rPr>
              <w:rFonts w:cs="Arial"/>
              <w:b/>
              <w:bCs/>
              <w:sz w:val="32"/>
              <w:szCs w:val="32"/>
            </w:rPr>
            <w:t xml:space="preserve"> W</w:t>
          </w:r>
          <w:r>
            <w:rPr>
              <w:rFonts w:cs="Arial"/>
              <w:b/>
              <w:bCs/>
              <w:sz w:val="32"/>
              <w:szCs w:val="32"/>
            </w:rPr>
            <w:t>ALES</w:t>
          </w:r>
          <w:r w:rsidRPr="0071548B">
            <w:rPr>
              <w:rFonts w:cs="Arial"/>
              <w:b/>
              <w:bCs/>
              <w:sz w:val="32"/>
              <w:szCs w:val="32"/>
            </w:rPr>
            <w:t xml:space="preserve"> T</w:t>
          </w:r>
          <w:r>
            <w:rPr>
              <w:rFonts w:cs="Arial"/>
              <w:b/>
              <w:bCs/>
              <w:sz w:val="32"/>
              <w:szCs w:val="32"/>
            </w:rPr>
            <w:t>RINITY</w:t>
          </w:r>
          <w:r w:rsidRPr="0071548B">
            <w:rPr>
              <w:rFonts w:cs="Arial"/>
              <w:b/>
              <w:bCs/>
              <w:sz w:val="32"/>
              <w:szCs w:val="32"/>
            </w:rPr>
            <w:t xml:space="preserve"> S</w:t>
          </w:r>
          <w:r>
            <w:rPr>
              <w:rFonts w:cs="Arial"/>
              <w:b/>
              <w:bCs/>
              <w:sz w:val="32"/>
              <w:szCs w:val="32"/>
            </w:rPr>
            <w:t>AINT</w:t>
          </w:r>
          <w:r w:rsidRPr="0071548B">
            <w:rPr>
              <w:rFonts w:cs="Arial"/>
              <w:b/>
              <w:bCs/>
              <w:sz w:val="32"/>
              <w:szCs w:val="32"/>
            </w:rPr>
            <w:t xml:space="preserve"> D</w:t>
          </w:r>
          <w:r>
            <w:rPr>
              <w:rFonts w:cs="Arial"/>
              <w:b/>
              <w:bCs/>
              <w:sz w:val="32"/>
              <w:szCs w:val="32"/>
            </w:rPr>
            <w:t>AVID</w:t>
          </w:r>
        </w:p>
        <w:p w14:paraId="42B7BA78" w14:textId="77777777" w:rsidR="008D009A" w:rsidRDefault="008D009A" w:rsidP="008D009A">
          <w:pPr>
            <w:rPr>
              <w:rFonts w:cs="Arial"/>
              <w:b/>
              <w:bCs/>
              <w:sz w:val="32"/>
              <w:szCs w:val="32"/>
            </w:rPr>
          </w:pPr>
        </w:p>
        <w:p w14:paraId="1D795B86" w14:textId="77777777" w:rsidR="008D009A" w:rsidRDefault="008D009A" w:rsidP="008D009A">
          <w:pPr>
            <w:rPr>
              <w:rFonts w:cs="Arial"/>
              <w:b/>
              <w:bCs/>
              <w:sz w:val="32"/>
              <w:szCs w:val="32"/>
            </w:rPr>
          </w:pPr>
        </w:p>
        <w:p w14:paraId="369FB6FF" w14:textId="77777777" w:rsidR="008D009A" w:rsidRDefault="008D009A" w:rsidP="008D009A">
          <w:pPr>
            <w:rPr>
              <w:rFonts w:ascii="Arial" w:hAnsi="Arial" w:cs="Arial"/>
              <w:b/>
              <w:bCs/>
              <w:sz w:val="40"/>
              <w:szCs w:val="40"/>
            </w:rPr>
          </w:pPr>
          <w:r>
            <w:rPr>
              <w:rFonts w:ascii="Arial" w:hAnsi="Arial" w:cs="Arial"/>
              <w:b/>
              <w:bCs/>
              <w:sz w:val="40"/>
              <w:szCs w:val="40"/>
            </w:rPr>
            <w:t xml:space="preserve">          </w:t>
          </w:r>
        </w:p>
        <w:p w14:paraId="2A722888" w14:textId="4B0C6C33" w:rsidR="008D009A" w:rsidRPr="008D009A" w:rsidRDefault="008D009A" w:rsidP="008D009A">
          <w:pPr>
            <w:rPr>
              <w:rFonts w:ascii="Arial" w:hAnsi="Arial" w:cs="Arial"/>
              <w:b/>
              <w:bCs/>
              <w:sz w:val="40"/>
              <w:szCs w:val="40"/>
            </w:rPr>
          </w:pPr>
          <w:r>
            <w:rPr>
              <w:rFonts w:ascii="Arial" w:hAnsi="Arial" w:cs="Arial"/>
              <w:b/>
              <w:bCs/>
              <w:sz w:val="40"/>
              <w:szCs w:val="40"/>
            </w:rPr>
            <w:t xml:space="preserve"> </w:t>
          </w:r>
          <w:r w:rsidRPr="008D009A">
            <w:rPr>
              <w:rFonts w:ascii="Arial" w:hAnsi="Arial" w:cs="Arial"/>
              <w:b/>
              <w:bCs/>
              <w:sz w:val="40"/>
              <w:szCs w:val="40"/>
            </w:rPr>
            <w:t>T</w:t>
          </w:r>
          <w:r w:rsidRPr="008D009A">
            <w:rPr>
              <w:rFonts w:ascii="Arial" w:hAnsi="Arial" w:cs="Arial"/>
              <w:b/>
              <w:bCs/>
              <w:sz w:val="40"/>
              <w:szCs w:val="40"/>
            </w:rPr>
            <w:t>echnology in healthcare</w:t>
          </w:r>
        </w:p>
        <w:p w14:paraId="7889A5B8" w14:textId="77777777" w:rsidR="008D009A" w:rsidRDefault="008D009A" w:rsidP="008D009A">
          <w:pPr>
            <w:rPr>
              <w:rFonts w:cs="Arial"/>
              <w:b/>
              <w:bCs/>
              <w:sz w:val="32"/>
              <w:szCs w:val="32"/>
            </w:rPr>
          </w:pPr>
        </w:p>
        <w:p w14:paraId="53A78C83" w14:textId="77777777" w:rsidR="008D009A" w:rsidRPr="00F52DEA" w:rsidRDefault="008D009A" w:rsidP="008D009A">
          <w:pPr>
            <w:rPr>
              <w:rFonts w:cs="Arial"/>
              <w:sz w:val="28"/>
              <w:szCs w:val="28"/>
            </w:rPr>
          </w:pPr>
          <w:r w:rsidRPr="00F52DEA">
            <w:rPr>
              <w:rFonts w:cs="Arial"/>
              <w:b/>
              <w:bCs/>
              <w:sz w:val="28"/>
              <w:szCs w:val="28"/>
            </w:rPr>
            <w:t xml:space="preserve">Programme: </w:t>
          </w:r>
          <w:r w:rsidRPr="00F52DEA">
            <w:rPr>
              <w:rFonts w:cs="Arial"/>
              <w:sz w:val="28"/>
              <w:szCs w:val="28"/>
            </w:rPr>
            <w:t>Cert HE and Social Care</w:t>
          </w:r>
        </w:p>
        <w:p w14:paraId="1EE0D3F1" w14:textId="77777777" w:rsidR="008D009A" w:rsidRPr="00F52DEA" w:rsidRDefault="008D009A" w:rsidP="008D009A">
          <w:pPr>
            <w:rPr>
              <w:rFonts w:cs="Arial"/>
              <w:sz w:val="28"/>
              <w:szCs w:val="28"/>
            </w:rPr>
          </w:pPr>
          <w:r w:rsidRPr="00F52DEA">
            <w:rPr>
              <w:rFonts w:cs="Arial"/>
              <w:b/>
              <w:bCs/>
              <w:sz w:val="28"/>
              <w:szCs w:val="28"/>
            </w:rPr>
            <w:t>Module:</w:t>
          </w:r>
          <w:r w:rsidRPr="00F52DEA">
            <w:rPr>
              <w:rFonts w:cs="Arial"/>
              <w:sz w:val="28"/>
              <w:szCs w:val="28"/>
            </w:rPr>
            <w:t xml:space="preserve"> Digital Skills And Research Methods(BMSW400</w:t>
          </w:r>
          <w:r>
            <w:rPr>
              <w:rFonts w:cs="Arial"/>
              <w:sz w:val="28"/>
              <w:szCs w:val="28"/>
            </w:rPr>
            <w:t>3</w:t>
          </w:r>
          <w:r w:rsidRPr="00F52DEA">
            <w:rPr>
              <w:rFonts w:cs="Arial"/>
              <w:sz w:val="28"/>
              <w:szCs w:val="28"/>
            </w:rPr>
            <w:t>)</w:t>
          </w:r>
        </w:p>
        <w:p w14:paraId="66B70130" w14:textId="77777777" w:rsidR="008D009A" w:rsidRPr="00F52DEA" w:rsidRDefault="008D009A" w:rsidP="008D009A">
          <w:pPr>
            <w:rPr>
              <w:rFonts w:cs="Arial"/>
              <w:sz w:val="28"/>
              <w:szCs w:val="28"/>
            </w:rPr>
          </w:pPr>
          <w:r w:rsidRPr="00F52DEA">
            <w:rPr>
              <w:rFonts w:cs="Arial"/>
              <w:b/>
              <w:bCs/>
              <w:sz w:val="28"/>
              <w:szCs w:val="28"/>
            </w:rPr>
            <w:t xml:space="preserve">Student: </w:t>
          </w:r>
          <w:r w:rsidRPr="00F52DEA">
            <w:rPr>
              <w:rFonts w:cs="Arial"/>
              <w:sz w:val="28"/>
              <w:szCs w:val="28"/>
            </w:rPr>
            <w:t>Alexandru Gabriel Serban (2028156)</w:t>
          </w:r>
        </w:p>
        <w:p w14:paraId="70DD7EDE" w14:textId="01699743" w:rsidR="008D009A" w:rsidRPr="00F52DEA" w:rsidRDefault="008D009A" w:rsidP="008D009A">
          <w:pPr>
            <w:rPr>
              <w:rFonts w:cs="Arial"/>
              <w:b/>
              <w:bCs/>
              <w:sz w:val="28"/>
              <w:szCs w:val="28"/>
            </w:rPr>
          </w:pPr>
          <w:r w:rsidRPr="00F52DEA">
            <w:rPr>
              <w:rFonts w:cs="Arial"/>
              <w:b/>
              <w:bCs/>
              <w:sz w:val="28"/>
              <w:szCs w:val="28"/>
            </w:rPr>
            <w:t xml:space="preserve">Assessment  </w:t>
          </w:r>
          <w:r>
            <w:rPr>
              <w:rFonts w:cs="Arial"/>
              <w:b/>
              <w:bCs/>
              <w:sz w:val="28"/>
              <w:szCs w:val="28"/>
            </w:rPr>
            <w:t>1</w:t>
          </w:r>
        </w:p>
        <w:p w14:paraId="7EFC5F32" w14:textId="77777777" w:rsidR="008D009A" w:rsidRPr="00F52DEA" w:rsidRDefault="008D009A" w:rsidP="008D009A">
          <w:pPr>
            <w:rPr>
              <w:rFonts w:cs="Arial"/>
              <w:sz w:val="28"/>
              <w:szCs w:val="28"/>
            </w:rPr>
          </w:pPr>
          <w:r w:rsidRPr="00F52DEA">
            <w:rPr>
              <w:rFonts w:cs="Arial"/>
              <w:b/>
              <w:bCs/>
              <w:sz w:val="28"/>
              <w:szCs w:val="28"/>
            </w:rPr>
            <w:t>Prof:</w:t>
          </w:r>
          <w:r w:rsidRPr="00F52DEA">
            <w:rPr>
              <w:rFonts w:cs="Arial"/>
              <w:sz w:val="28"/>
              <w:szCs w:val="28"/>
            </w:rPr>
            <w:t xml:space="preserve"> Alfred Mensah</w:t>
          </w:r>
        </w:p>
        <w:p w14:paraId="32DD1034" w14:textId="77777777" w:rsidR="008D009A" w:rsidRPr="00740D47" w:rsidRDefault="008D009A" w:rsidP="008D009A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</w:p>
        <w:p w14:paraId="65C36B49" w14:textId="77777777" w:rsidR="008D009A" w:rsidRPr="00740D47" w:rsidRDefault="008D009A" w:rsidP="008D009A">
          <w:pPr>
            <w:spacing w:line="259" w:lineRule="auto"/>
            <w:rPr>
              <w:rFonts w:eastAsiaTheme="majorEastAsia" w:cs="Arial"/>
              <w:color w:val="2F5496" w:themeColor="accent1" w:themeShade="BF"/>
              <w:sz w:val="32"/>
              <w:szCs w:val="32"/>
            </w:rPr>
          </w:pPr>
          <w:r w:rsidRPr="00740D47">
            <w:rPr>
              <w:rFonts w:cs="Arial"/>
            </w:rPr>
            <w:br w:type="page"/>
          </w:r>
        </w:p>
      </w:sdtContent>
    </w:sdt>
    <w:p w14:paraId="177D20D5" w14:textId="48670A06" w:rsidR="008D009A" w:rsidRDefault="008D009A" w:rsidP="008D009A"/>
    <w:sdt>
      <w:sdtPr>
        <w:id w:val="1975175917"/>
        <w:docPartObj>
          <w:docPartGallery w:val="Cover Pages"/>
          <w:docPartUnique/>
        </w:docPartObj>
      </w:sdtPr>
      <w:sdtEndPr>
        <w:rPr>
          <w:rFonts w:cs="Arial"/>
        </w:rPr>
      </w:sdtEndPr>
      <w:sdtContent>
        <w:p w14:paraId="69214D89" w14:textId="0A68DF87" w:rsidR="008D009A" w:rsidRPr="008D009A" w:rsidRDefault="008D009A" w:rsidP="008D009A">
          <w:pPr>
            <w:rPr>
              <w:rFonts w:cs="Arial"/>
              <w:b/>
              <w:bCs/>
              <w:sz w:val="28"/>
              <w:szCs w:val="28"/>
            </w:rPr>
          </w:pPr>
        </w:p>
        <w:p w14:paraId="3DA87A27" w14:textId="5248B9CA" w:rsidR="008D009A" w:rsidRPr="00740D47" w:rsidRDefault="008D009A" w:rsidP="008D009A">
          <w:pPr>
            <w:spacing w:line="259" w:lineRule="auto"/>
            <w:rPr>
              <w:rFonts w:eastAsiaTheme="majorEastAsia" w:cs="Arial"/>
              <w:color w:val="2F5496" w:themeColor="accent1" w:themeShade="BF"/>
              <w:sz w:val="32"/>
              <w:szCs w:val="32"/>
            </w:rPr>
          </w:pPr>
        </w:p>
      </w:sdtContent>
    </w:sdt>
    <w:p w14:paraId="4D43A981" w14:textId="03630DE7" w:rsidR="008D009A" w:rsidRDefault="008D009A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3634057C" w14:textId="0B6DDB85" w:rsidR="008D009A" w:rsidRDefault="008D009A" w:rsidP="008D009A">
      <w:pPr>
        <w:pStyle w:val="TOCHeading"/>
      </w:pPr>
    </w:p>
    <w:p w14:paraId="3BD358C5" w14:textId="7453EA19" w:rsidR="008D009A" w:rsidRDefault="008D009A" w:rsidP="008D009A">
      <w:pPr>
        <w:pStyle w:val="TOCHeading"/>
      </w:pPr>
    </w:p>
    <w:sdt>
      <w:sdtPr>
        <w:id w:val="-1204009552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="Times New Roman"/>
          <w:b/>
          <w:bCs/>
          <w:noProof/>
          <w:color w:val="202124"/>
          <w:sz w:val="24"/>
          <w:szCs w:val="24"/>
        </w:rPr>
      </w:sdtEndPr>
      <w:sdtContent>
        <w:p w14:paraId="493D1200" w14:textId="36014559" w:rsidR="008D009A" w:rsidRDefault="008D009A" w:rsidP="008D009A">
          <w:pPr>
            <w:pStyle w:val="TOCHeading"/>
          </w:pPr>
          <w:r>
            <w:t>Contents</w:t>
          </w:r>
        </w:p>
        <w:p w14:paraId="69CE419E" w14:textId="77777777" w:rsidR="008D009A" w:rsidRPr="008D009A" w:rsidRDefault="008D009A" w:rsidP="008D009A"/>
        <w:p w14:paraId="46E86C15" w14:textId="77777777" w:rsidR="008D009A" w:rsidRDefault="008D009A" w:rsidP="008D009A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1049074" w:history="1">
            <w:r w:rsidRPr="0016657B">
              <w:rPr>
                <w:rStyle w:val="Hyperlink"/>
                <w:noProof/>
              </w:rPr>
              <w:t>Contemporary Technologies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_Toc81049074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87328D" w14:textId="77777777" w:rsidR="008D009A" w:rsidRDefault="008D009A" w:rsidP="008D009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1049075" w:history="1">
            <w:r w:rsidRPr="0016657B">
              <w:rPr>
                <w:rStyle w:val="Hyperlink"/>
                <w:rFonts w:ascii="Arial" w:hAnsi="Arial" w:cs="Arial"/>
                <w:noProof/>
              </w:rPr>
              <w:t>Technology during Covid-19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_Toc81049075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AB2BA8" w14:textId="77777777" w:rsidR="008D009A" w:rsidRDefault="008D009A" w:rsidP="008D009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1049076" w:history="1">
            <w:r w:rsidRPr="0016657B">
              <w:rPr>
                <w:rStyle w:val="Hyperlink"/>
                <w:rFonts w:ascii="Arial" w:hAnsi="Arial" w:cs="Arial"/>
                <w:noProof/>
              </w:rPr>
              <w:t>Digital Communication, Collaboration, and Participation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_Toc81049076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69D1B" w14:textId="77777777" w:rsidR="008D009A" w:rsidRDefault="008D009A" w:rsidP="008D009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1049077" w:history="1">
            <w:r w:rsidRPr="0016657B">
              <w:rPr>
                <w:rStyle w:val="Hyperlink"/>
                <w:rFonts w:ascii="Arial" w:hAnsi="Arial" w:cs="Arial"/>
                <w:noProof/>
              </w:rPr>
              <w:t>Digital Literacy for Professional Career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_Toc81049077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B5DCD0" w14:textId="77777777" w:rsidR="008D009A" w:rsidRDefault="008D009A" w:rsidP="008D009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1049078" w:history="1">
            <w:r w:rsidRPr="0016657B">
              <w:rPr>
                <w:rStyle w:val="Hyperlink"/>
                <w:rFonts w:ascii="Arial" w:hAnsi="Arial" w:cs="Arial"/>
                <w:noProof/>
              </w:rPr>
              <w:t>Technical Proficiency for Information and Data Handling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_Toc81049078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E506C2" w14:textId="77777777" w:rsidR="008D009A" w:rsidRDefault="008D009A" w:rsidP="008D009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1049079" w:history="1">
            <w:r w:rsidRPr="0016657B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_Toc81049079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41093A" w14:textId="77777777" w:rsidR="008D009A" w:rsidRDefault="008D009A" w:rsidP="008D009A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08B40AE" w14:textId="7D0C0495" w:rsidR="008D009A" w:rsidRDefault="008D009A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72ED0F38" w14:textId="77777777" w:rsidR="008D009A" w:rsidRDefault="008D009A" w:rsidP="008D009A">
      <w:pPr>
        <w:pStyle w:val="TOCHeading"/>
      </w:pPr>
    </w:p>
    <w:p w14:paraId="2596A99A" w14:textId="77777777" w:rsidR="008D009A" w:rsidRDefault="008D009A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 </w:t>
      </w:r>
    </w:p>
    <w:p w14:paraId="1D316BD6" w14:textId="77777777" w:rsidR="008D009A" w:rsidRDefault="008D009A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sz w:val="32"/>
          <w:szCs w:val="32"/>
        </w:rPr>
      </w:pPr>
    </w:p>
    <w:p w14:paraId="6108D479" w14:textId="77777777" w:rsidR="008D009A" w:rsidRDefault="008D009A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sz w:val="32"/>
          <w:szCs w:val="32"/>
        </w:rPr>
      </w:pPr>
    </w:p>
    <w:p w14:paraId="3B0B9287" w14:textId="0C02C33E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sz w:val="32"/>
          <w:szCs w:val="32"/>
        </w:rPr>
      </w:pPr>
      <w:r w:rsidRPr="00F37EFF">
        <w:rPr>
          <w:rFonts w:ascii="Arial" w:hAnsi="Arial" w:cs="Arial"/>
          <w:b/>
          <w:bCs/>
          <w:sz w:val="32"/>
          <w:szCs w:val="32"/>
        </w:rPr>
        <w:lastRenderedPageBreak/>
        <w:t>Technology in healthcare</w:t>
      </w:r>
    </w:p>
    <w:p w14:paraId="18DAFB81" w14:textId="23EF47AD" w:rsid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2D9D7A16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46011FC8" w14:textId="66D4FA57" w:rsidR="00F37EFF" w:rsidRDefault="00F37EFF" w:rsidP="00F37EFF">
      <w:pPr>
        <w:pStyle w:val="Heading1"/>
      </w:pPr>
      <w:bookmarkStart w:id="0" w:name="_Toc81049074"/>
      <w:r w:rsidRPr="00F37EFF">
        <w:t>Contemporary Technologies in Healthcare</w:t>
      </w:r>
      <w:bookmarkEnd w:id="0"/>
    </w:p>
    <w:p w14:paraId="1394D90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sz w:val="22"/>
          <w:szCs w:val="22"/>
        </w:rPr>
      </w:pPr>
    </w:p>
    <w:p w14:paraId="342D1439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The use of the first vaccines, the use of antibiotics, and the discovery of the structure of</w:t>
      </w:r>
    </w:p>
    <w:p w14:paraId="406D9D02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DNA were great advances in medicine focused on defeating and overcoming diseases. Medical</w:t>
      </w:r>
    </w:p>
    <w:p w14:paraId="482D2872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science continues to progress to better understand the mechanisms of the behavior of our</w:t>
      </w:r>
    </w:p>
    <w:p w14:paraId="07758BA3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organism in order to prevent, diagnose early and cure pathologies that in other times would be</w:t>
      </w:r>
    </w:p>
    <w:p w14:paraId="184B8F06" w14:textId="57D75030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fatal. There are advances in medicine with the greatest impact on our health. What technological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advances will have the greatest impact on our health? Following are the latest technological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advances in medicine that improve our health exponentially:</w:t>
      </w:r>
    </w:p>
    <w:p w14:paraId="25BAA622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sz w:val="22"/>
          <w:szCs w:val="22"/>
        </w:rPr>
      </w:pPr>
      <w:r w:rsidRPr="00F37EFF">
        <w:rPr>
          <w:rFonts w:ascii="Arial" w:hAnsi="Arial" w:cs="Arial"/>
          <w:b/>
          <w:bCs/>
          <w:sz w:val="22"/>
          <w:szCs w:val="22"/>
        </w:rPr>
        <w:t>Liquid biopsy</w:t>
      </w:r>
    </w:p>
    <w:p w14:paraId="04842EBC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A minimally invasive test is performed on a blood sample to identify tumor cancer cells</w:t>
      </w:r>
    </w:p>
    <w:p w14:paraId="5E01A79B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or DNA from tumor cells that are circulating in the blood. It can be helpful in diagnosing cancer</w:t>
      </w:r>
    </w:p>
    <w:p w14:paraId="0087BFD3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early and in planning treatment based on the type of tumor, determining its effectiveness, and</w:t>
      </w:r>
    </w:p>
    <w:p w14:paraId="72D6C54F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detecting a relapse. It is a simple procedure, which avoids disturbances to the patient and</w:t>
      </w:r>
    </w:p>
    <w:p w14:paraId="345C68B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represents time-saving. Challenges include figuring out which types of tumors benefit the most</w:t>
      </w:r>
    </w:p>
    <w:p w14:paraId="582A84B4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from applying them and how often they should be tested (</w:t>
      </w:r>
      <w:r w:rsidRPr="00F37EFF">
        <w:rPr>
          <w:rFonts w:ascii="Arial" w:hAnsi="Arial" w:cs="Arial"/>
          <w:color w:val="222222"/>
          <w:sz w:val="22"/>
          <w:szCs w:val="22"/>
        </w:rPr>
        <w:t>Mazanderani, Noorani, Dudhwala &amp;</w:t>
      </w:r>
    </w:p>
    <w:p w14:paraId="7231E520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>Kamwendo, 2020).</w:t>
      </w:r>
    </w:p>
    <w:p w14:paraId="7F2FE080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sz w:val="22"/>
          <w:szCs w:val="22"/>
        </w:rPr>
      </w:pPr>
      <w:r w:rsidRPr="00F37EFF">
        <w:rPr>
          <w:rFonts w:ascii="Arial" w:hAnsi="Arial" w:cs="Arial"/>
          <w:b/>
          <w:bCs/>
          <w:sz w:val="22"/>
          <w:szCs w:val="22"/>
        </w:rPr>
        <w:t>Gene therapy and cell immunotherapy</w:t>
      </w:r>
    </w:p>
    <w:p w14:paraId="6AC493A5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In 2012 the European Medicines Agency approved the first single administration gene</w:t>
      </w:r>
    </w:p>
    <w:p w14:paraId="1261189B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therapy for a hereditary disease. Glybera treats lipoprotein lipase deficiency, which causes fat to</w:t>
      </w:r>
    </w:p>
    <w:p w14:paraId="17C17C1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accumulate in the blood, a rare metabolic disease. However, the high cost of the treatment (one</w:t>
      </w:r>
    </w:p>
    <w:p w14:paraId="74C2A90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million dollars, the most expensive drug in the world) and its low demand have led the company</w:t>
      </w:r>
    </w:p>
    <w:p w14:paraId="6ADBDC4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not to renew the marketing license.</w:t>
      </w:r>
    </w:p>
    <w:p w14:paraId="0F9F063C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sz w:val="22"/>
          <w:szCs w:val="22"/>
        </w:rPr>
      </w:pPr>
      <w:r w:rsidRPr="00F37EFF">
        <w:rPr>
          <w:rFonts w:ascii="Arial" w:hAnsi="Arial" w:cs="Arial"/>
          <w:b/>
          <w:bCs/>
          <w:sz w:val="22"/>
          <w:szCs w:val="22"/>
        </w:rPr>
        <w:t>Genome sequencing</w:t>
      </w:r>
    </w:p>
    <w:p w14:paraId="62BEEF4E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After deciphering the human genome, the next step is personalized sequencing for</w:t>
      </w:r>
    </w:p>
    <w:p w14:paraId="51EF766D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medical purposes that heralds a revolutionary future for medicine. The information may be used</w:t>
      </w:r>
    </w:p>
    <w:p w14:paraId="10993702" w14:textId="62AD9485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preventively, before the onset of pathologies, to establish lifestyle changes and to apply targeted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therapies based on pharmacogenomics in fields such as oncology, rare diseases, or infectious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 xml:space="preserve">diseases. It is an open the door to personalized medicine in which environmental </w:t>
      </w:r>
      <w:r w:rsidRPr="00F37EFF">
        <w:rPr>
          <w:rFonts w:ascii="Arial" w:hAnsi="Arial" w:cs="Arial"/>
          <w:sz w:val="22"/>
          <w:szCs w:val="22"/>
        </w:rPr>
        <w:lastRenderedPageBreak/>
        <w:t>exposure in the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behavior of genes will also be taken into account to reach a diagnosis of the highest precision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and anticipate diseases.</w:t>
      </w:r>
    </w:p>
    <w:p w14:paraId="60E00F95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sz w:val="22"/>
          <w:szCs w:val="22"/>
        </w:rPr>
      </w:pPr>
      <w:r w:rsidRPr="00F37EFF">
        <w:rPr>
          <w:rFonts w:ascii="Arial" w:hAnsi="Arial" w:cs="Arial"/>
          <w:b/>
          <w:bCs/>
          <w:sz w:val="22"/>
          <w:szCs w:val="22"/>
        </w:rPr>
        <w:t>Decipher the cell atlas</w:t>
      </w:r>
    </w:p>
    <w:p w14:paraId="0EC2B3E4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The next megaproject in biology, according to the Massachusetts Institute of Technology</w:t>
      </w:r>
    </w:p>
    <w:p w14:paraId="5E7BEB12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(MIT), will be to build the first cell atlas or map of the 37.2 billion human cells. "A scheme to</w:t>
      </w:r>
    </w:p>
    <w:p w14:paraId="52F6090D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capture and examine millions of cells individually using the most powerful tools in modern</w:t>
      </w:r>
    </w:p>
    <w:p w14:paraId="43C606B2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genomics and cell biology," states MIT. It is a new path to be explored in the development of</w:t>
      </w:r>
    </w:p>
    <w:p w14:paraId="1EFBC5BD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targeted drugs and a career that has even been joined by Facebook CEO Mark Zuckerberg by</w:t>
      </w:r>
    </w:p>
    <w:p w14:paraId="3BDDACC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providing funding in this field of research. Among the main advances in science that improve</w:t>
      </w:r>
    </w:p>
    <w:p w14:paraId="423AA603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health, we also find MRI, a test aimed at detecting and diagnosing injuries and diseases. The</w:t>
      </w:r>
    </w:p>
    <w:p w14:paraId="5EFF98C1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Virgen del Mar hospital has the latest technology and equipment to perform this type of analysis</w:t>
      </w:r>
    </w:p>
    <w:p w14:paraId="0E9411E3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(</w:t>
      </w:r>
      <w:r w:rsidRPr="00F37EFF">
        <w:rPr>
          <w:rFonts w:ascii="Arial" w:hAnsi="Arial" w:cs="Arial"/>
          <w:color w:val="222222"/>
          <w:sz w:val="22"/>
          <w:szCs w:val="22"/>
        </w:rPr>
        <w:t>Pramanik et al., 2020).</w:t>
      </w:r>
    </w:p>
    <w:p w14:paraId="617EE8E9" w14:textId="77777777" w:rsidR="00F37EFF" w:rsidRPr="00F37EFF" w:rsidRDefault="00F37EFF" w:rsidP="00F37EFF">
      <w:pPr>
        <w:pStyle w:val="Heading1"/>
        <w:rPr>
          <w:rFonts w:ascii="Arial" w:hAnsi="Arial" w:cs="Arial"/>
        </w:rPr>
      </w:pPr>
      <w:bookmarkStart w:id="1" w:name="_Toc81049075"/>
      <w:r w:rsidRPr="00F37EFF">
        <w:rPr>
          <w:rFonts w:ascii="Arial" w:hAnsi="Arial" w:cs="Arial"/>
        </w:rPr>
        <w:t>Technology during Covid-19</w:t>
      </w:r>
      <w:bookmarkEnd w:id="1"/>
    </w:p>
    <w:p w14:paraId="13325F6E" w14:textId="77777777" w:rsid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</w:p>
    <w:p w14:paraId="0DF3970F" w14:textId="10D9EBA9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Technical innovation has been an important force in the healthcare sector for some time,</w:t>
      </w:r>
    </w:p>
    <w:p w14:paraId="54F6C515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but the global pandemic has increased the need to develop and implement new concepts.</w:t>
      </w:r>
    </w:p>
    <w:p w14:paraId="19F39E08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Facilitating access to technologies to help fight COVID-19 is essential - not only directly in the</w:t>
      </w:r>
    </w:p>
    <w:p w14:paraId="320265DC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current struggle against the pandemic but also to contribute to the scientific discoveries that will</w:t>
      </w:r>
    </w:p>
    <w:p w14:paraId="210A714E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prepare us for future crises. From the manufacture of ventilators by 3D printing to the</w:t>
      </w:r>
    </w:p>
    <w:p w14:paraId="28A982A5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manufacture of cleaning robots, Intel® technologies are at the heart of many efforts in the</w:t>
      </w:r>
    </w:p>
    <w:p w14:paraId="0A05CE75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healthcare sector to respond to the current pandemic.</w:t>
      </w:r>
    </w:p>
    <w:p w14:paraId="1BCE222B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Intel has already committed $ 50 million to support the pandemic response technology</w:t>
      </w:r>
    </w:p>
    <w:p w14:paraId="4E017FEC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initiative, of which approximately $ 40 million will go to Intel's COVID-19 response,</w:t>
      </w:r>
    </w:p>
    <w:p w14:paraId="0677DB20" w14:textId="4E98B315" w:rsidR="00F37EFF" w:rsidRPr="008D009A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preparation, and online learning areas. It is about providing customers and partners with financial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support to accelerate diagnosis, treatment, and vaccine development using technologies such as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AI and High-Performance Computing (HPC). An additional $ 10 million has been allocated to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the Innovation Fund, which focuses on the needs of external partners and employee aid projects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that respond to the most urgent needs of local communities (</w:t>
      </w:r>
      <w:r w:rsidRPr="00F37EFF">
        <w:rPr>
          <w:rFonts w:ascii="Arial" w:hAnsi="Arial" w:cs="Arial"/>
          <w:color w:val="222222"/>
          <w:sz w:val="22"/>
          <w:szCs w:val="22"/>
        </w:rPr>
        <w:t>Locsin et al., 2021).</w:t>
      </w:r>
    </w:p>
    <w:p w14:paraId="3F1E0376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Functionally the application is useful since it makes it easier for citizens to have the</w:t>
      </w:r>
    </w:p>
    <w:p w14:paraId="7D779F7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security of knowing that they are in a place free of infection and that the state can also keep track</w:t>
      </w:r>
    </w:p>
    <w:p w14:paraId="712E14D0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lastRenderedPageBreak/>
        <w:t>of people, but there is also a kind of regional prejudice and lack of privacy protection that have</w:t>
      </w:r>
    </w:p>
    <w:p w14:paraId="0FE15565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been manifested in cases in which, because they are in a region close to an affected one, all</w:t>
      </w:r>
    </w:p>
    <w:p w14:paraId="5295B179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citizens have been prevented from being able to leave and in others in which the application has</w:t>
      </w:r>
    </w:p>
    <w:p w14:paraId="53C6481F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sent personal data to entities without requesting it. Meanwhile, in North America, the United</w:t>
      </w:r>
    </w:p>
    <w:p w14:paraId="78C9ACF1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States government, together with the Center for Systems Science and Engineering (CSSE) of</w:t>
      </w:r>
    </w:p>
    <w:p w14:paraId="6BFC9807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Johns Hopkins University in Baltimore, Maryland, created a digital map), where it centralizes</w:t>
      </w:r>
    </w:p>
    <w:p w14:paraId="546135C2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data from the reports provided by all health organizations worldwide on the status of patients</w:t>
      </w:r>
    </w:p>
    <w:p w14:paraId="71DD8CA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(confirmed cases, deaths, recovered and active), with the aim of showing the true status of the</w:t>
      </w:r>
    </w:p>
    <w:p w14:paraId="5B6A5609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situation in each country around the world.</w:t>
      </w:r>
    </w:p>
    <w:p w14:paraId="19736FE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This platform is being supported by the WHO due to fully valid information, thus</w:t>
      </w:r>
    </w:p>
    <w:p w14:paraId="7C9912E9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providing public health authorities with a digital tool that is automatically updated every 15</w:t>
      </w:r>
    </w:p>
    <w:p w14:paraId="1777699C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minutes with databases from around the world. Provides easy tracking of the outbreak as it</w:t>
      </w:r>
    </w:p>
    <w:p w14:paraId="5B1B4DF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develops in each country. All data collected and displayed is made available for free in a</w:t>
      </w:r>
    </w:p>
    <w:p w14:paraId="418B5486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GitHub4repository for the use of the information in new technology ideas. It is essential that</w:t>
      </w:r>
    </w:p>
    <w:p w14:paraId="19367751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these types of software, based on large amounts of data in the cloud and predictions through</w:t>
      </w:r>
    </w:p>
    <w:p w14:paraId="598C21B6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artificial intelligence, allow health systems to have support so that the number of infected does</w:t>
      </w:r>
    </w:p>
    <w:p w14:paraId="6FF6214D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not continue to increase. A mentality of large-scale digital transformation and interoperability of</w:t>
      </w:r>
    </w:p>
    <w:p w14:paraId="50686D2D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systems would have to be had, a situation that is still in the process of being realized (</w:t>
      </w:r>
      <w:r w:rsidRPr="00F37EFF">
        <w:rPr>
          <w:rFonts w:ascii="Arial" w:hAnsi="Arial" w:cs="Arial"/>
          <w:color w:val="222222"/>
          <w:sz w:val="22"/>
          <w:szCs w:val="22"/>
        </w:rPr>
        <w:t>Haleem &amp;</w:t>
      </w:r>
    </w:p>
    <w:p w14:paraId="513127E5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>Javaid, 2020).</w:t>
      </w:r>
    </w:p>
    <w:p w14:paraId="65D46025" w14:textId="77777777" w:rsidR="00F37EFF" w:rsidRPr="00F37EFF" w:rsidRDefault="00F37EFF" w:rsidP="00F37EFF">
      <w:pPr>
        <w:pStyle w:val="Heading1"/>
        <w:rPr>
          <w:rFonts w:ascii="Arial" w:hAnsi="Arial" w:cs="Arial"/>
          <w:sz w:val="28"/>
          <w:szCs w:val="28"/>
        </w:rPr>
      </w:pPr>
      <w:bookmarkStart w:id="2" w:name="_Toc81049076"/>
      <w:r w:rsidRPr="00F37EFF">
        <w:rPr>
          <w:rFonts w:ascii="Arial" w:hAnsi="Arial" w:cs="Arial"/>
          <w:sz w:val="28"/>
          <w:szCs w:val="28"/>
        </w:rPr>
        <w:t>Digital Communication, Collaboration, and Participation</w:t>
      </w:r>
      <w:bookmarkEnd w:id="2"/>
    </w:p>
    <w:p w14:paraId="1F79511F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In the field of health, modifications have been evident. ICTs are used in so many and so</w:t>
      </w:r>
    </w:p>
    <w:p w14:paraId="0C29D866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different ways that there is no aspect of service that is outside their influence: From health</w:t>
      </w:r>
    </w:p>
    <w:p w14:paraId="3C5F7521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planning and hospital modernization to achieve authentic 2.0 hospitals, to electronic medical</w:t>
      </w:r>
    </w:p>
    <w:p w14:paraId="351D560B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records, telecare and appointments electronic prior, taking into account the management of the</w:t>
      </w:r>
    </w:p>
    <w:p w14:paraId="417AC2C8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security of the systems and the protection of citizens' data. So much so that the new term</w:t>
      </w:r>
    </w:p>
    <w:p w14:paraId="1D8F43E2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"eHealth" has emerged to refer to the application of ICT in the field of health, driven by the</w:t>
      </w:r>
    </w:p>
    <w:p w14:paraId="1C2BE4AF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information and communication technology industry and its marketing departments, in the</w:t>
      </w:r>
    </w:p>
    <w:p w14:paraId="5AF0CE29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context of the proliferation of the "e" in many activities related to electronic commerce. It is</w:t>
      </w:r>
    </w:p>
    <w:p w14:paraId="6321EAC3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important to mention that, like the other sciences, the epistemological development of nursing</w:t>
      </w:r>
    </w:p>
    <w:p w14:paraId="24A15EE3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has taken place within the framework of the positivist current, which has tried to explain all</w:t>
      </w:r>
    </w:p>
    <w:p w14:paraId="7520CD8B" w14:textId="553BC99D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social and human phenomena in reference to the biological model (</w:t>
      </w:r>
      <w:r w:rsidRPr="00F37EFF">
        <w:rPr>
          <w:rFonts w:ascii="Arial" w:hAnsi="Arial" w:cs="Arial"/>
          <w:color w:val="222222"/>
          <w:sz w:val="22"/>
          <w:szCs w:val="22"/>
        </w:rPr>
        <w:t>Mäkinen, Haavisto, Havola &amp;</w:t>
      </w:r>
      <w:r>
        <w:rPr>
          <w:rFonts w:ascii="Arial" w:hAnsi="Arial" w:cs="Arial"/>
          <w:color w:val="222222"/>
          <w:sz w:val="22"/>
          <w:szCs w:val="22"/>
        </w:rPr>
        <w:t xml:space="preserve"> </w:t>
      </w:r>
      <w:r w:rsidRPr="00F37EFF">
        <w:rPr>
          <w:rFonts w:ascii="Arial" w:hAnsi="Arial" w:cs="Arial"/>
          <w:color w:val="222222"/>
          <w:sz w:val="22"/>
          <w:szCs w:val="22"/>
        </w:rPr>
        <w:t>Koivisto, 2020).</w:t>
      </w:r>
    </w:p>
    <w:p w14:paraId="067A3C05" w14:textId="77777777" w:rsidR="00F37EFF" w:rsidRPr="00F37EFF" w:rsidRDefault="00F37EFF" w:rsidP="00F37EFF">
      <w:pPr>
        <w:pStyle w:val="Heading1"/>
        <w:rPr>
          <w:rFonts w:ascii="Arial" w:hAnsi="Arial" w:cs="Arial"/>
          <w:sz w:val="28"/>
          <w:szCs w:val="28"/>
        </w:rPr>
      </w:pPr>
      <w:bookmarkStart w:id="3" w:name="_Toc81049077"/>
      <w:r w:rsidRPr="00F37EFF">
        <w:rPr>
          <w:rFonts w:ascii="Arial" w:hAnsi="Arial" w:cs="Arial"/>
          <w:sz w:val="28"/>
          <w:szCs w:val="28"/>
        </w:rPr>
        <w:lastRenderedPageBreak/>
        <w:t>Digital Literacy for Professional Career Development</w:t>
      </w:r>
      <w:bookmarkEnd w:id="3"/>
    </w:p>
    <w:p w14:paraId="1A5D3C4C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At present, information and communication technologies (ICT) are an active part of</w:t>
      </w:r>
    </w:p>
    <w:p w14:paraId="05DEF718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world education, being synonymous with modernization, quality, productivity, better services,</w:t>
      </w:r>
    </w:p>
    <w:p w14:paraId="55BA1222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and support for educational processes. We live in times of great technological transformations</w:t>
      </w:r>
    </w:p>
    <w:p w14:paraId="5E5687F4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that modify the way of teaching and learning, in which the access and generation of knowledge</w:t>
      </w:r>
    </w:p>
    <w:p w14:paraId="38AA812B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become the engines for the development of meaningful learning, thus becoming competencies.</w:t>
      </w:r>
    </w:p>
    <w:p w14:paraId="002A2D2F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One of the challenges that arise in face-to-face university education is to move to new forms of</w:t>
      </w:r>
    </w:p>
    <w:p w14:paraId="6D142064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literacy in technology, to make a change in the culture of the use of technological resources.</w:t>
      </w:r>
    </w:p>
    <w:p w14:paraId="382B7EA3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In the educational process of health sciences careers, the teaching aids have served as a</w:t>
      </w:r>
    </w:p>
    <w:p w14:paraId="77A60110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complement to guarantee their quality, both traditional and those created through ICT. Investing</w:t>
      </w:r>
    </w:p>
    <w:p w14:paraId="3683B873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in the quality of learning and teacher training reduces digital illiteracy. If this indicator turns</w:t>
      </w:r>
    </w:p>
    <w:p w14:paraId="7647F482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favorable, it is possible that the university will obtain a noticeable growth in the teaching and</w:t>
      </w:r>
    </w:p>
    <w:p w14:paraId="417C0C2C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learning processes, which further enhances the training of human resources destined to</w:t>
      </w:r>
    </w:p>
    <w:p w14:paraId="4EEBD205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maintaining the health of the population. However, it is necessary to understand that the rational</w:t>
      </w:r>
    </w:p>
    <w:p w14:paraId="47E4E215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use of new learning resources, such as the use of ICT, also depends on the involvement and</w:t>
      </w:r>
    </w:p>
    <w:p w14:paraId="32C2186C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commitment of teachers. In this sense, ICTs optimize information management and</w:t>
      </w:r>
    </w:p>
    <w:p w14:paraId="5B2FA413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communication development; and they allow to act on these and generate more and new</w:t>
      </w:r>
    </w:p>
    <w:p w14:paraId="4DB6599F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knowledge and intelligence by becoming one of the critical variables of the training</w:t>
      </w:r>
    </w:p>
    <w:p w14:paraId="6799181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environments of the knowledge society and offering various possibilities: expansion of the</w:t>
      </w:r>
    </w:p>
    <w:p w14:paraId="42DCD754" w14:textId="4DD426C6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information offered; creation of more flexible environments for learning, by eliminating spacetime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barriers between teacher and students; increase in communication modalities; and</w:t>
      </w:r>
    </w:p>
    <w:p w14:paraId="2D3D77E0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enhancement of social interaction between participants (</w:t>
      </w:r>
      <w:r w:rsidRPr="00F37EFF">
        <w:rPr>
          <w:rFonts w:ascii="Arial" w:hAnsi="Arial" w:cs="Arial"/>
          <w:color w:val="222222"/>
          <w:sz w:val="22"/>
          <w:szCs w:val="22"/>
        </w:rPr>
        <w:t>Sami Ullah, Aslam &amp; Arjomand, 2020).</w:t>
      </w:r>
    </w:p>
    <w:p w14:paraId="2A2C955B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Digital literacy emerges both as a concept that explains the defined problem and as an</w:t>
      </w:r>
    </w:p>
    <w:p w14:paraId="13BF97A9" w14:textId="622239E5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educational proposal, which is proposed as a mediation strategy between students, teachers, and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content. Lanham, who coined the concept of "multimedia literacy", argues that literacy in a</w:t>
      </w:r>
    </w:p>
    <w:p w14:paraId="3829F50D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digital age means the ability to understand information, regardless of the format in which it is</w:t>
      </w:r>
    </w:p>
    <w:p w14:paraId="3CAAD894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presented, and that digital literacy includes the ability to decipher images and sounds. . The</w:t>
      </w:r>
    </w:p>
    <w:p w14:paraId="01436BF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Anglo-Saxon author Gilster suggests that through the concept of "digital literacy", there is an</w:t>
      </w:r>
    </w:p>
    <w:p w14:paraId="129210DE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explanatory framework for the development of skills regardless of technological changes. In this</w:t>
      </w:r>
    </w:p>
    <w:p w14:paraId="089DCD39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line, the achievement of deep and lasting learning is possible in the students of the information</w:t>
      </w:r>
    </w:p>
    <w:p w14:paraId="28D6C802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society through the appeal to the development of procedures as part of the academic content.</w:t>
      </w:r>
    </w:p>
    <w:p w14:paraId="3778F03B" w14:textId="70D95C3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Through the use of ICT, these elements of educational training can be achieved so that later they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are materialized in educational actions and products that reflect improvements in learning</w:t>
      </w:r>
      <w:r w:rsidR="008D009A">
        <w:rPr>
          <w:rFonts w:ascii="Arial" w:hAnsi="Arial" w:cs="Arial"/>
          <w:sz w:val="22"/>
          <w:szCs w:val="22"/>
        </w:rPr>
        <w:t>.</w:t>
      </w:r>
    </w:p>
    <w:p w14:paraId="35A4DD01" w14:textId="77777777" w:rsidR="00F37EFF" w:rsidRPr="00F37EFF" w:rsidRDefault="00F37EFF" w:rsidP="00F37EFF">
      <w:pPr>
        <w:pStyle w:val="Heading1"/>
        <w:rPr>
          <w:rFonts w:ascii="Arial" w:hAnsi="Arial" w:cs="Arial"/>
          <w:sz w:val="28"/>
          <w:szCs w:val="28"/>
        </w:rPr>
      </w:pPr>
      <w:bookmarkStart w:id="4" w:name="_Toc81049078"/>
      <w:r w:rsidRPr="00F37EFF">
        <w:rPr>
          <w:rFonts w:ascii="Arial" w:hAnsi="Arial" w:cs="Arial"/>
          <w:sz w:val="28"/>
          <w:szCs w:val="28"/>
        </w:rPr>
        <w:lastRenderedPageBreak/>
        <w:t>Technical Proficiency for Information and Data Handling</w:t>
      </w:r>
      <w:bookmarkEnd w:id="4"/>
    </w:p>
    <w:p w14:paraId="10BF337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Competent people in information management must master technological skills.</w:t>
      </w:r>
    </w:p>
    <w:p w14:paraId="12268712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Mastering information technology and information management require intellectual skills such</w:t>
      </w:r>
    </w:p>
    <w:p w14:paraId="6B187668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as understanding, finding, evaluating, and using it through discernment and reasoning.</w:t>
      </w:r>
    </w:p>
    <w:p w14:paraId="24836ED1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Information management competence is a very important generic skill that allows us to</w:t>
      </w:r>
    </w:p>
    <w:p w14:paraId="613F054A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effectively face decision-making, problem solving, or research. This competence allows the</w:t>
      </w:r>
    </w:p>
    <w:p w14:paraId="520B8BBE" w14:textId="77777777" w:rsidR="008D009A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>development of the necessary skills to acquire and evaluate, organize and maintain, interpret and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communicate, interpret and adequately process information through the use of technologies.</w:t>
      </w:r>
    </w:p>
    <w:p w14:paraId="2A44BFB5" w14:textId="46470B42" w:rsidR="00F37EFF" w:rsidRPr="008D009A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2"/>
          <w:szCs w:val="22"/>
        </w:rPr>
      </w:pPr>
      <w:r w:rsidRPr="00F37EFF">
        <w:rPr>
          <w:rFonts w:ascii="Arial" w:hAnsi="Arial" w:cs="Arial"/>
          <w:sz w:val="22"/>
          <w:szCs w:val="22"/>
        </w:rPr>
        <w:t xml:space="preserve"> In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such a way that the individual who has the competence in the management of the information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can access the knowledge, using various means within the environment of it, in such a way that</w:t>
      </w:r>
      <w:r w:rsidR="008D009A">
        <w:rPr>
          <w:rFonts w:ascii="Arial" w:hAnsi="Arial" w:cs="Arial"/>
          <w:sz w:val="22"/>
          <w:szCs w:val="22"/>
        </w:rPr>
        <w:t xml:space="preserve"> </w:t>
      </w:r>
      <w:r w:rsidRPr="00F37EFF">
        <w:rPr>
          <w:rFonts w:ascii="Arial" w:hAnsi="Arial" w:cs="Arial"/>
          <w:sz w:val="22"/>
          <w:szCs w:val="22"/>
        </w:rPr>
        <w:t>he can recover it, use it, manage it and control it when necessary (</w:t>
      </w:r>
      <w:r w:rsidRPr="00F37EFF">
        <w:rPr>
          <w:rFonts w:ascii="Arial" w:hAnsi="Arial" w:cs="Arial"/>
          <w:color w:val="222222"/>
          <w:sz w:val="22"/>
          <w:szCs w:val="22"/>
        </w:rPr>
        <w:t>Panda &amp; Mohapatra, 2021).</w:t>
      </w:r>
    </w:p>
    <w:p w14:paraId="7B18C50D" w14:textId="77777777" w:rsidR="00F37EFF" w:rsidRPr="008D009A" w:rsidRDefault="00F37EFF" w:rsidP="008D009A">
      <w:pPr>
        <w:pStyle w:val="Heading1"/>
        <w:rPr>
          <w:rFonts w:ascii="Arial" w:hAnsi="Arial" w:cs="Arial"/>
          <w:sz w:val="28"/>
          <w:szCs w:val="28"/>
        </w:rPr>
      </w:pPr>
      <w:bookmarkStart w:id="5" w:name="_Toc81049079"/>
      <w:r w:rsidRPr="008D009A">
        <w:rPr>
          <w:rFonts w:ascii="Arial" w:hAnsi="Arial" w:cs="Arial"/>
          <w:sz w:val="28"/>
          <w:szCs w:val="28"/>
        </w:rPr>
        <w:t>References</w:t>
      </w:r>
      <w:bookmarkEnd w:id="5"/>
    </w:p>
    <w:p w14:paraId="004C8B59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>Haleem, A., &amp; Javaid, M. (2020). Medical 4.0 and its role in healthcare during COVID-19</w:t>
      </w:r>
    </w:p>
    <w:p w14:paraId="138A801E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 xml:space="preserve">pandemic: A review. </w:t>
      </w: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Journal of Industrial Integration and Management</w:t>
      </w:r>
      <w:r w:rsidRPr="00F37EFF">
        <w:rPr>
          <w:rFonts w:ascii="Arial" w:hAnsi="Arial" w:cs="Arial"/>
          <w:color w:val="222222"/>
          <w:sz w:val="22"/>
          <w:szCs w:val="22"/>
        </w:rPr>
        <w:t xml:space="preserve">, </w:t>
      </w: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5</w:t>
      </w:r>
      <w:r w:rsidRPr="00F37EFF">
        <w:rPr>
          <w:rFonts w:ascii="Arial" w:hAnsi="Arial" w:cs="Arial"/>
          <w:color w:val="222222"/>
          <w:sz w:val="22"/>
          <w:szCs w:val="22"/>
        </w:rPr>
        <w:t>(4).</w:t>
      </w:r>
    </w:p>
    <w:p w14:paraId="4361CDE0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>Locsin, R. C., Soriano, G. P., Juntasopeepun, P., Kunaviktikul, W., &amp; Evangelista, L. S. (2021).</w:t>
      </w:r>
    </w:p>
    <w:p w14:paraId="1A23DD74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>Social transformation and social isolation of older adults: Digital technologies, nursing,</w:t>
      </w:r>
    </w:p>
    <w:p w14:paraId="6CF37757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 xml:space="preserve">healthcare. </w:t>
      </w: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Collegian</w:t>
      </w:r>
      <w:r w:rsidRPr="00F37EFF">
        <w:rPr>
          <w:rFonts w:ascii="Arial" w:hAnsi="Arial" w:cs="Arial"/>
          <w:color w:val="222222"/>
          <w:sz w:val="22"/>
          <w:szCs w:val="22"/>
        </w:rPr>
        <w:t>.</w:t>
      </w:r>
    </w:p>
    <w:p w14:paraId="53363A64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>Mäkinen, H., Haavisto, E., Havola, S., &amp; Koivisto, J. M. (2020). User experiences of virtual</w:t>
      </w:r>
    </w:p>
    <w:p w14:paraId="626AFCD8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/>
          <w:iCs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 xml:space="preserve">reality technologies for healthcare in learning: an integrative review. </w:t>
      </w: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Behaviour &amp;</w:t>
      </w:r>
    </w:p>
    <w:p w14:paraId="3D72E799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Information Technology</w:t>
      </w:r>
      <w:r w:rsidRPr="00F37EFF">
        <w:rPr>
          <w:rFonts w:ascii="Arial" w:hAnsi="Arial" w:cs="Arial"/>
          <w:color w:val="222222"/>
          <w:sz w:val="22"/>
          <w:szCs w:val="22"/>
        </w:rPr>
        <w:t>, 1-17.</w:t>
      </w:r>
    </w:p>
    <w:p w14:paraId="7C2BBF75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>Mazanderani, F., Noorani, T., Dudhwala, F., &amp; Kamwendo, Z. T. (2020). Knowledge, evidence,</w:t>
      </w:r>
    </w:p>
    <w:p w14:paraId="355CD468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/>
          <w:iCs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 xml:space="preserve">expertise? The epistemics of experience in contemporary healthcare. </w:t>
      </w: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Evidence &amp; Policy:</w:t>
      </w:r>
    </w:p>
    <w:p w14:paraId="454D58A5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A Journal of Research, Debate and Practice</w:t>
      </w:r>
      <w:r w:rsidRPr="00F37EFF">
        <w:rPr>
          <w:rFonts w:ascii="Arial" w:hAnsi="Arial" w:cs="Arial"/>
          <w:color w:val="222222"/>
          <w:sz w:val="22"/>
          <w:szCs w:val="22"/>
        </w:rPr>
        <w:t xml:space="preserve">, </w:t>
      </w: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16</w:t>
      </w:r>
      <w:r w:rsidRPr="00F37EFF">
        <w:rPr>
          <w:rFonts w:ascii="Arial" w:hAnsi="Arial" w:cs="Arial"/>
          <w:color w:val="222222"/>
          <w:sz w:val="22"/>
          <w:szCs w:val="22"/>
        </w:rPr>
        <w:t>(2), 267-284.</w:t>
      </w:r>
    </w:p>
    <w:p w14:paraId="434E9AFE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>Panda, A., &amp; Mohapatra, S. (2021). Online healthcare practices and associated stakeholders:</w:t>
      </w:r>
    </w:p>
    <w:p w14:paraId="399CCF13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 xml:space="preserve">Review of literature for future research agenda. </w:t>
      </w: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Vikalpa</w:t>
      </w:r>
      <w:r w:rsidRPr="00F37EFF">
        <w:rPr>
          <w:rFonts w:ascii="Arial" w:hAnsi="Arial" w:cs="Arial"/>
          <w:color w:val="222222"/>
          <w:sz w:val="22"/>
          <w:szCs w:val="22"/>
        </w:rPr>
        <w:t xml:space="preserve">, </w:t>
      </w: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46</w:t>
      </w:r>
      <w:r w:rsidRPr="00F37EFF">
        <w:rPr>
          <w:rFonts w:ascii="Arial" w:hAnsi="Arial" w:cs="Arial"/>
          <w:color w:val="222222"/>
          <w:sz w:val="22"/>
          <w:szCs w:val="22"/>
        </w:rPr>
        <w:t>(2), 71-85.</w:t>
      </w:r>
    </w:p>
    <w:p w14:paraId="4FC0ECB6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>Pramanik, M. I., Lau, R. Y., Azad, M. A. K., Hossain, M. S., Chowdhury, M. K. H., &amp; Karmaker,</w:t>
      </w:r>
    </w:p>
    <w:p w14:paraId="3745CFAB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/>
          <w:iCs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 xml:space="preserve">B. K. (2020). Healthcare informatics and analytics in big data. </w:t>
      </w: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Expert Systems with</w:t>
      </w:r>
    </w:p>
    <w:p w14:paraId="0C3CACE4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Applications</w:t>
      </w:r>
      <w:r w:rsidRPr="00F37EFF">
        <w:rPr>
          <w:rFonts w:ascii="Arial" w:hAnsi="Arial" w:cs="Arial"/>
          <w:color w:val="222222"/>
          <w:sz w:val="22"/>
          <w:szCs w:val="22"/>
        </w:rPr>
        <w:t xml:space="preserve">, </w:t>
      </w: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152</w:t>
      </w:r>
      <w:r w:rsidRPr="00F37EFF">
        <w:rPr>
          <w:rFonts w:ascii="Arial" w:hAnsi="Arial" w:cs="Arial"/>
          <w:color w:val="222222"/>
          <w:sz w:val="22"/>
          <w:szCs w:val="22"/>
        </w:rPr>
        <w:t>, 113388.</w:t>
      </w:r>
    </w:p>
    <w:p w14:paraId="0EC14B2C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>Sami Ullah, H., Aslam, S., &amp; Arjomand, N. (2020). Blockchain in Healthcare and Medicine: A</w:t>
      </w:r>
    </w:p>
    <w:p w14:paraId="286D8E22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t xml:space="preserve">Contemporary Research of Applications, Challenges, and Future Perspectives. </w:t>
      </w:r>
      <w:r w:rsidRPr="00F37EFF">
        <w:rPr>
          <w:rFonts w:ascii="Arial" w:hAnsi="Arial" w:cs="Arial"/>
          <w:i/>
          <w:iCs/>
          <w:color w:val="222222"/>
          <w:sz w:val="22"/>
          <w:szCs w:val="22"/>
        </w:rPr>
        <w:t>arXiv eprints</w:t>
      </w:r>
      <w:r w:rsidRPr="00F37EFF">
        <w:rPr>
          <w:rFonts w:ascii="Arial" w:hAnsi="Arial" w:cs="Arial"/>
          <w:color w:val="222222"/>
          <w:sz w:val="22"/>
          <w:szCs w:val="22"/>
        </w:rPr>
        <w:t>,</w:t>
      </w:r>
    </w:p>
    <w:p w14:paraId="0DF27C35" w14:textId="77777777" w:rsidR="00F37EFF" w:rsidRPr="00F37EFF" w:rsidRDefault="00F37EFF" w:rsidP="00F37EF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222222"/>
          <w:sz w:val="22"/>
          <w:szCs w:val="22"/>
        </w:rPr>
      </w:pPr>
      <w:r w:rsidRPr="00F37EFF">
        <w:rPr>
          <w:rFonts w:ascii="Arial" w:hAnsi="Arial" w:cs="Arial"/>
          <w:color w:val="222222"/>
          <w:sz w:val="22"/>
          <w:szCs w:val="22"/>
        </w:rPr>
        <w:lastRenderedPageBreak/>
        <w:t>arXiv-2004.</w:t>
      </w:r>
    </w:p>
    <w:p w14:paraId="0BE61F88" w14:textId="77777777" w:rsidR="00BC793F" w:rsidRPr="00F37EFF" w:rsidRDefault="00BC793F" w:rsidP="00F37EFF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BC793F" w:rsidRPr="00F37EF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7EFF"/>
    <w:rsid w:val="008D009A"/>
    <w:rsid w:val="00BC793F"/>
    <w:rsid w:val="00F37E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7F9678"/>
  <w15:chartTrackingRefBased/>
  <w15:docId w15:val="{154989B7-40BA-4FA6-AD95-3833DE653C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7EFF"/>
    <w:pPr>
      <w:spacing w:after="200" w:line="480" w:lineRule="auto"/>
    </w:pPr>
    <w:rPr>
      <w:rFonts w:ascii="Times New Roman" w:hAnsi="Times New Roman" w:cs="Times New Roman"/>
      <w:color w:val="202124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37EF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7E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D009A"/>
    <w:p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8D009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D009A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8D009A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8D009A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870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D3FFC1-4C16-481F-826C-87A47367E2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8</Pages>
  <Words>2041</Words>
  <Characters>11639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serban</dc:creator>
  <cp:keywords/>
  <dc:description/>
  <cp:lastModifiedBy>alexandru serban</cp:lastModifiedBy>
  <cp:revision>1</cp:revision>
  <dcterms:created xsi:type="dcterms:W3CDTF">2021-08-28T20:05:00Z</dcterms:created>
  <dcterms:modified xsi:type="dcterms:W3CDTF">2021-08-28T20:27:00Z</dcterms:modified>
</cp:coreProperties>
</file>