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9F8AA" w14:textId="32875D4F" w:rsidR="00765D99" w:rsidRDefault="00292394" w:rsidP="00292394">
      <w:pPr>
        <w:jc w:val="center"/>
        <w:rPr>
          <w:rFonts w:ascii="Arial Black" w:hAnsi="Arial Black"/>
          <w:sz w:val="32"/>
          <w:szCs w:val="32"/>
        </w:rPr>
      </w:pPr>
      <w:r w:rsidRPr="00292394">
        <w:rPr>
          <w:rFonts w:ascii="Arial Black" w:hAnsi="Arial Black"/>
          <w:sz w:val="32"/>
          <w:szCs w:val="32"/>
        </w:rPr>
        <w:t>Developing Relationships and Workplace Achievement</w:t>
      </w:r>
    </w:p>
    <w:p w14:paraId="0E136396" w14:textId="77777777" w:rsidR="00292394" w:rsidRPr="00292394" w:rsidRDefault="00292394" w:rsidP="00292394">
      <w:pPr>
        <w:jc w:val="center"/>
        <w:rPr>
          <w:rFonts w:ascii="Arial Black" w:hAnsi="Arial Black"/>
          <w:sz w:val="32"/>
          <w:szCs w:val="32"/>
        </w:rPr>
      </w:pPr>
    </w:p>
    <w:p w14:paraId="22CF9C6E" w14:textId="77978936" w:rsidR="00292394" w:rsidRDefault="00292394" w:rsidP="00292394">
      <w:pPr>
        <w:jc w:val="center"/>
        <w:rPr>
          <w:rFonts w:ascii="Arial Black" w:hAnsi="Arial Black"/>
          <w:sz w:val="32"/>
          <w:szCs w:val="32"/>
        </w:rPr>
      </w:pPr>
    </w:p>
    <w:p w14:paraId="0B77D016" w14:textId="0E768C06" w:rsidR="00292394" w:rsidRDefault="00292394" w:rsidP="00292394">
      <w:pPr>
        <w:jc w:val="center"/>
        <w:rPr>
          <w:rFonts w:ascii="Arial Black" w:hAnsi="Arial Black"/>
          <w:sz w:val="32"/>
          <w:szCs w:val="32"/>
        </w:rPr>
      </w:pPr>
    </w:p>
    <w:p w14:paraId="74E68636" w14:textId="57816CBD" w:rsidR="00292394" w:rsidRDefault="00292394" w:rsidP="00292394">
      <w:pPr>
        <w:jc w:val="center"/>
        <w:rPr>
          <w:rFonts w:ascii="Arial Black" w:hAnsi="Arial Black"/>
          <w:sz w:val="32"/>
          <w:szCs w:val="32"/>
        </w:rPr>
      </w:pPr>
      <w:r>
        <w:rPr>
          <w:rFonts w:ascii="Arial Black" w:hAnsi="Arial Black"/>
          <w:sz w:val="32"/>
          <w:szCs w:val="32"/>
        </w:rPr>
        <w:t>Module Number: BMSW5102_BIRM</w:t>
      </w:r>
    </w:p>
    <w:p w14:paraId="1B35695D" w14:textId="6B17D6B8" w:rsidR="00292394" w:rsidRDefault="00292394" w:rsidP="00292394">
      <w:pPr>
        <w:jc w:val="center"/>
        <w:rPr>
          <w:rFonts w:ascii="Arial Black" w:hAnsi="Arial Black"/>
          <w:sz w:val="32"/>
          <w:szCs w:val="32"/>
        </w:rPr>
      </w:pPr>
    </w:p>
    <w:p w14:paraId="0C954B0E" w14:textId="77777777" w:rsidR="00292394" w:rsidRDefault="00292394" w:rsidP="00292394">
      <w:pPr>
        <w:jc w:val="center"/>
        <w:rPr>
          <w:rFonts w:ascii="Arial Black" w:hAnsi="Arial Black"/>
          <w:sz w:val="32"/>
          <w:szCs w:val="32"/>
        </w:rPr>
      </w:pPr>
    </w:p>
    <w:p w14:paraId="53D99791" w14:textId="77777777" w:rsidR="00292394" w:rsidRPr="00292394" w:rsidRDefault="00292394" w:rsidP="00292394">
      <w:pPr>
        <w:jc w:val="center"/>
        <w:rPr>
          <w:rFonts w:ascii="Arial Black" w:hAnsi="Arial Black"/>
          <w:sz w:val="32"/>
          <w:szCs w:val="32"/>
        </w:rPr>
      </w:pPr>
    </w:p>
    <w:p w14:paraId="4CCAB8BC" w14:textId="181DCFE7" w:rsidR="00292394" w:rsidRPr="00292394" w:rsidRDefault="00292394" w:rsidP="00292394">
      <w:pPr>
        <w:jc w:val="center"/>
        <w:rPr>
          <w:rFonts w:ascii="Arial Black" w:hAnsi="Arial Black"/>
          <w:sz w:val="32"/>
          <w:szCs w:val="32"/>
        </w:rPr>
      </w:pPr>
    </w:p>
    <w:p w14:paraId="197E4EC6" w14:textId="250274BC" w:rsidR="00292394" w:rsidRDefault="00292394" w:rsidP="00292394">
      <w:pPr>
        <w:jc w:val="center"/>
        <w:rPr>
          <w:rFonts w:ascii="Arial Black" w:hAnsi="Arial Black"/>
          <w:sz w:val="32"/>
          <w:szCs w:val="32"/>
        </w:rPr>
      </w:pPr>
      <w:r w:rsidRPr="00292394">
        <w:rPr>
          <w:rFonts w:ascii="Arial Black" w:hAnsi="Arial Black"/>
          <w:sz w:val="32"/>
          <w:szCs w:val="32"/>
        </w:rPr>
        <w:t>University of Wales Trinity Saint David</w:t>
      </w:r>
    </w:p>
    <w:p w14:paraId="6A451514" w14:textId="774696B9" w:rsidR="00292394" w:rsidRDefault="00292394" w:rsidP="00292394">
      <w:pPr>
        <w:jc w:val="center"/>
        <w:rPr>
          <w:rFonts w:ascii="Arial Black" w:hAnsi="Arial Black"/>
          <w:sz w:val="32"/>
          <w:szCs w:val="32"/>
        </w:rPr>
      </w:pPr>
    </w:p>
    <w:p w14:paraId="6A113E13" w14:textId="77777777" w:rsidR="00292394" w:rsidRDefault="00292394" w:rsidP="00292394">
      <w:pPr>
        <w:jc w:val="center"/>
        <w:rPr>
          <w:rFonts w:ascii="Arial Black" w:hAnsi="Arial Black"/>
          <w:sz w:val="32"/>
          <w:szCs w:val="32"/>
        </w:rPr>
      </w:pPr>
    </w:p>
    <w:p w14:paraId="3B70F2D5" w14:textId="7720B4C2" w:rsidR="00292394" w:rsidRDefault="00292394" w:rsidP="00292394">
      <w:pPr>
        <w:jc w:val="center"/>
        <w:rPr>
          <w:rFonts w:ascii="Arial Black" w:hAnsi="Arial Black"/>
          <w:sz w:val="32"/>
          <w:szCs w:val="32"/>
        </w:rPr>
      </w:pPr>
    </w:p>
    <w:p w14:paraId="3CC37F72" w14:textId="7E4B6072" w:rsidR="00292394" w:rsidRDefault="00292394" w:rsidP="00292394">
      <w:pPr>
        <w:jc w:val="center"/>
        <w:rPr>
          <w:rFonts w:ascii="Arial Black" w:hAnsi="Arial Black"/>
          <w:sz w:val="32"/>
          <w:szCs w:val="32"/>
        </w:rPr>
      </w:pPr>
      <w:r>
        <w:rPr>
          <w:rFonts w:ascii="Arial Black" w:hAnsi="Arial Black"/>
          <w:sz w:val="32"/>
          <w:szCs w:val="32"/>
        </w:rPr>
        <w:t>Student Name: Adrian Pop</w:t>
      </w:r>
    </w:p>
    <w:p w14:paraId="2CC00042" w14:textId="31DCD3EA" w:rsidR="00292394" w:rsidRDefault="00292394" w:rsidP="00292394">
      <w:pPr>
        <w:jc w:val="center"/>
        <w:rPr>
          <w:rFonts w:ascii="Arial Black" w:hAnsi="Arial Black"/>
          <w:sz w:val="32"/>
          <w:szCs w:val="32"/>
        </w:rPr>
      </w:pPr>
      <w:r>
        <w:rPr>
          <w:rFonts w:ascii="Arial Black" w:hAnsi="Arial Black"/>
          <w:sz w:val="32"/>
          <w:szCs w:val="32"/>
        </w:rPr>
        <w:t>Student Number: 2109183</w:t>
      </w:r>
    </w:p>
    <w:p w14:paraId="7FBA8A80" w14:textId="3260502E" w:rsidR="00292394" w:rsidRDefault="00292394" w:rsidP="00292394">
      <w:pPr>
        <w:jc w:val="center"/>
        <w:rPr>
          <w:rFonts w:ascii="Arial Black" w:hAnsi="Arial Black"/>
          <w:sz w:val="32"/>
          <w:szCs w:val="32"/>
        </w:rPr>
      </w:pPr>
    </w:p>
    <w:p w14:paraId="33F0BBF8" w14:textId="3CBE9B95" w:rsidR="00292394" w:rsidRDefault="00292394" w:rsidP="00292394">
      <w:pPr>
        <w:jc w:val="center"/>
        <w:rPr>
          <w:rFonts w:ascii="Arial Black" w:hAnsi="Arial Black"/>
          <w:sz w:val="32"/>
          <w:szCs w:val="32"/>
        </w:rPr>
      </w:pPr>
    </w:p>
    <w:p w14:paraId="6E613DB2" w14:textId="2388BA12" w:rsidR="00292394" w:rsidRDefault="00292394" w:rsidP="00292394">
      <w:pPr>
        <w:jc w:val="center"/>
        <w:rPr>
          <w:rFonts w:ascii="Arial Black" w:hAnsi="Arial Black"/>
          <w:sz w:val="32"/>
          <w:szCs w:val="32"/>
        </w:rPr>
      </w:pPr>
    </w:p>
    <w:p w14:paraId="4F57074D" w14:textId="58BFE8BE" w:rsidR="00292394" w:rsidRDefault="00292394" w:rsidP="00292394">
      <w:pPr>
        <w:jc w:val="center"/>
        <w:rPr>
          <w:rFonts w:ascii="Arial Black" w:hAnsi="Arial Black"/>
          <w:sz w:val="32"/>
          <w:szCs w:val="32"/>
        </w:rPr>
      </w:pPr>
    </w:p>
    <w:p w14:paraId="55509DB5" w14:textId="10BF1D0C" w:rsidR="00292394" w:rsidRDefault="00292394" w:rsidP="00292394">
      <w:pPr>
        <w:jc w:val="center"/>
        <w:rPr>
          <w:rFonts w:ascii="Arial Black" w:hAnsi="Arial Black"/>
          <w:sz w:val="32"/>
          <w:szCs w:val="32"/>
        </w:rPr>
      </w:pPr>
    </w:p>
    <w:p w14:paraId="0ECA053E" w14:textId="7737D19E" w:rsidR="00292394" w:rsidRDefault="00292394" w:rsidP="00292394">
      <w:pPr>
        <w:jc w:val="center"/>
        <w:rPr>
          <w:rFonts w:ascii="Arial Black" w:hAnsi="Arial Black"/>
          <w:sz w:val="32"/>
          <w:szCs w:val="32"/>
        </w:rPr>
      </w:pPr>
    </w:p>
    <w:p w14:paraId="0F990BCA" w14:textId="5CEBCB1B" w:rsidR="00D4046F" w:rsidRDefault="00D4046F" w:rsidP="00D4046F">
      <w:pPr>
        <w:spacing w:line="360" w:lineRule="auto"/>
        <w:jc w:val="center"/>
        <w:rPr>
          <w:rFonts w:ascii="Arial" w:hAnsi="Arial" w:cs="Arial"/>
        </w:rPr>
      </w:pPr>
      <w:r w:rsidRPr="00D4046F">
        <w:rPr>
          <w:rFonts w:ascii="Arial" w:hAnsi="Arial" w:cs="Arial"/>
          <w:highlight w:val="green"/>
        </w:rPr>
        <w:lastRenderedPageBreak/>
        <w:t>INTRODUCTION</w:t>
      </w:r>
    </w:p>
    <w:p w14:paraId="705A9CD7" w14:textId="6F5C2214" w:rsidR="00790F01" w:rsidRDefault="00D4046F" w:rsidP="00292394">
      <w:pPr>
        <w:spacing w:line="360" w:lineRule="auto"/>
        <w:rPr>
          <w:rFonts w:ascii="Arial" w:hAnsi="Arial" w:cs="Arial"/>
        </w:rPr>
      </w:pPr>
      <w:r>
        <w:rPr>
          <w:rFonts w:ascii="Arial" w:hAnsi="Arial" w:cs="Arial"/>
        </w:rPr>
        <w:t xml:space="preserve">     </w:t>
      </w:r>
      <w:r w:rsidR="00292394" w:rsidRPr="00292394">
        <w:rPr>
          <w:rFonts w:ascii="Arial" w:hAnsi="Arial" w:cs="Arial"/>
        </w:rPr>
        <w:t>Total Energies</w:t>
      </w:r>
      <w:r w:rsidR="00292394" w:rsidRPr="00292394">
        <w:rPr>
          <w:rFonts w:ascii="Arial" w:hAnsi="Arial" w:cs="Arial"/>
        </w:rPr>
        <w:t xml:space="preserve"> was founded in 1924 with the goal of enabling France to play a significant role in the big oil and gas adventure, and it has always been motivated by a true pioneering spirit. Some of the world's most fruitful fields have been found by it. Its refineries have produced ever-more complex goods, and its large distribution network has offered a wide variety of services.</w:t>
      </w:r>
      <w:r w:rsidR="008F0F0B">
        <w:rPr>
          <w:rFonts w:ascii="Arial" w:hAnsi="Arial" w:cs="Arial"/>
        </w:rPr>
        <w:t xml:space="preserve"> </w:t>
      </w:r>
      <w:r w:rsidR="008F0F0B" w:rsidRPr="008F0F0B">
        <w:rPr>
          <w:rFonts w:ascii="Arial" w:hAnsi="Arial" w:cs="Arial"/>
        </w:rPr>
        <w:t>Total Energies</w:t>
      </w:r>
      <w:r w:rsidR="008F0F0B" w:rsidRPr="008F0F0B">
        <w:rPr>
          <w:rFonts w:ascii="Arial" w:hAnsi="Arial" w:cs="Arial"/>
        </w:rPr>
        <w:t xml:space="preserve"> is modernising and reaffirming its commitment to become a major actor in the energy transition and achieving net zero emissions in 2050 alongside society.</w:t>
      </w:r>
      <w:r w:rsidR="008F0F0B" w:rsidRPr="008F0F0B">
        <w:t xml:space="preserve"> </w:t>
      </w:r>
      <w:r w:rsidR="008F0F0B" w:rsidRPr="008F0F0B">
        <w:rPr>
          <w:rFonts w:ascii="Arial" w:hAnsi="Arial" w:cs="Arial"/>
        </w:rPr>
        <w:t>The firm is solidifying its competitive edge and continuing to enhance output while maintaining an unshakable commitment to the safety of people and property in order to face the major challenges in the oil and gas sector as well as the demands of our partners and stakeholders.</w:t>
      </w:r>
    </w:p>
    <w:p w14:paraId="0D31E5FB" w14:textId="1FC39CBC" w:rsidR="00790F01" w:rsidRDefault="00790F01" w:rsidP="00790F01">
      <w:pPr>
        <w:spacing w:line="360" w:lineRule="auto"/>
        <w:rPr>
          <w:rFonts w:ascii="Arial" w:hAnsi="Arial" w:cs="Arial"/>
        </w:rPr>
      </w:pPr>
      <w:r>
        <w:rPr>
          <w:rFonts w:ascii="Arial" w:hAnsi="Arial" w:cs="Arial"/>
        </w:rPr>
        <w:t xml:space="preserve">     </w:t>
      </w:r>
      <w:r w:rsidRPr="00790F01">
        <w:rPr>
          <w:rFonts w:ascii="Arial" w:hAnsi="Arial" w:cs="Arial"/>
        </w:rPr>
        <w:t>In order to create the oil industry group LangepasUrayKogalym (LUKOIL), the Russian Soviet Federal Socialist Republic issued Regulation No. 18 on November 25, 1991. This regulation consolidated the three oil production enterprises Kogalym, Langepas, and Uray as well as a number of refineries, including those in Perm and Volgograd.The first initials of the names of the cities of Langepas, Urai, and Kogalym, which are the locations of the Company's principal oil-producing subsidiaries, were combined to form the name LUKOIL. Ravil Maganov, who was Langepasneftegaz's director general at the time, suggested the name.</w:t>
      </w:r>
      <w:r w:rsidR="00AC16B0">
        <w:rPr>
          <w:rFonts w:ascii="Arial" w:hAnsi="Arial" w:cs="Arial"/>
        </w:rPr>
        <w:t xml:space="preserve"> </w:t>
      </w:r>
      <w:r w:rsidR="00AC16B0" w:rsidRPr="00AC16B0">
        <w:rPr>
          <w:rFonts w:ascii="Arial" w:hAnsi="Arial" w:cs="Arial"/>
        </w:rPr>
        <w:t xml:space="preserve">For the last 30 years, LUKOIL has been one of the top businesses in the world for producing crude oil, gas, and refining them into petroleum products and petrochemicals. Every day, millions of individuals purchase our products from us and </w:t>
      </w:r>
      <w:r w:rsidR="00D4046F" w:rsidRPr="00AC16B0">
        <w:rPr>
          <w:rFonts w:ascii="Arial" w:hAnsi="Arial" w:cs="Arial"/>
        </w:rPr>
        <w:t>use</w:t>
      </w:r>
      <w:r w:rsidR="00AC16B0" w:rsidRPr="00AC16B0">
        <w:rPr>
          <w:rFonts w:ascii="Arial" w:hAnsi="Arial" w:cs="Arial"/>
        </w:rPr>
        <w:t xml:space="preserve"> them to enhance their quality of life.</w:t>
      </w:r>
    </w:p>
    <w:p w14:paraId="70829CEB" w14:textId="5E2C07DB" w:rsidR="007F051F" w:rsidRDefault="007F051F" w:rsidP="00790F01">
      <w:pPr>
        <w:spacing w:line="360" w:lineRule="auto"/>
        <w:rPr>
          <w:rFonts w:ascii="Arial" w:hAnsi="Arial" w:cs="Arial"/>
        </w:rPr>
      </w:pPr>
      <w:r>
        <w:rPr>
          <w:rFonts w:ascii="Arial" w:hAnsi="Arial" w:cs="Arial"/>
        </w:rPr>
        <w:t xml:space="preserve">     </w:t>
      </w:r>
      <w:r w:rsidRPr="007F051F">
        <w:rPr>
          <w:rFonts w:ascii="Arial" w:hAnsi="Arial" w:cs="Arial"/>
        </w:rPr>
        <w:t xml:space="preserve">TotaleEnergies </w:t>
      </w:r>
      <w:r w:rsidR="009A44E8">
        <w:rPr>
          <w:rFonts w:ascii="Arial" w:hAnsi="Arial" w:cs="Arial"/>
        </w:rPr>
        <w:t>C</w:t>
      </w:r>
      <w:r w:rsidRPr="007F051F">
        <w:rPr>
          <w:rFonts w:ascii="Arial" w:hAnsi="Arial" w:cs="Arial"/>
        </w:rPr>
        <w:t xml:space="preserve">urrently employing over 10,000 people throughout France, the business is renowned for its aggressive pricing, first-rate customer support, and </w:t>
      </w:r>
      <w:r w:rsidR="00D4046F" w:rsidRPr="007F051F">
        <w:rPr>
          <w:rFonts w:ascii="Arial" w:hAnsi="Arial" w:cs="Arial"/>
        </w:rPr>
        <w:t>innovative</w:t>
      </w:r>
      <w:r w:rsidRPr="007F051F">
        <w:rPr>
          <w:rFonts w:ascii="Arial" w:hAnsi="Arial" w:cs="Arial"/>
        </w:rPr>
        <w:t xml:space="preserve"> products. EDF, Engie, Eni, and Direct Energie are the major rivals of TotaleEnergies. Residential and business clients make up the company's clientele, and it places a strong emphasis on offering </w:t>
      </w:r>
      <w:r w:rsidR="00D4046F" w:rsidRPr="007F051F">
        <w:rPr>
          <w:rFonts w:ascii="Arial" w:hAnsi="Arial" w:cs="Arial"/>
        </w:rPr>
        <w:t>innovative</w:t>
      </w:r>
      <w:r w:rsidRPr="007F051F">
        <w:rPr>
          <w:rFonts w:ascii="Arial" w:hAnsi="Arial" w:cs="Arial"/>
        </w:rPr>
        <w:t xml:space="preserve"> energy solutions that are tailored to each market segment's requirements. Although they have operations in other nations including Spain, Italy, Germany, the UK, and the US, its clientele are predominantly in France.</w:t>
      </w:r>
      <w:r w:rsidR="00B727C3">
        <w:rPr>
          <w:rFonts w:ascii="Arial" w:hAnsi="Arial" w:cs="Arial"/>
        </w:rPr>
        <w:t xml:space="preserve"> </w:t>
      </w:r>
      <w:r w:rsidR="00B727C3" w:rsidRPr="00B727C3">
        <w:rPr>
          <w:rFonts w:ascii="Arial" w:hAnsi="Arial" w:cs="Arial"/>
        </w:rPr>
        <w:t>In addition to offering consumers energy solutions, TotaleEnergies is dedicated to offering green energy solutions to lessen the negative effects of energy usage on the environment. Additionally, they are committed to assisting their clients in lowering their carbon impact and increasing their energy efficiency.</w:t>
      </w:r>
    </w:p>
    <w:p w14:paraId="054F0087" w14:textId="77777777" w:rsidR="00B727C3" w:rsidRPr="00B727C3" w:rsidRDefault="00B727C3" w:rsidP="00B727C3">
      <w:pPr>
        <w:spacing w:line="360" w:lineRule="auto"/>
        <w:rPr>
          <w:rFonts w:ascii="Arial" w:hAnsi="Arial" w:cs="Arial"/>
        </w:rPr>
      </w:pPr>
      <w:r>
        <w:rPr>
          <w:rFonts w:ascii="Arial" w:hAnsi="Arial" w:cs="Arial"/>
        </w:rPr>
        <w:t xml:space="preserve">     </w:t>
      </w:r>
      <w:r w:rsidRPr="00B727C3">
        <w:rPr>
          <w:rFonts w:ascii="Arial" w:hAnsi="Arial" w:cs="Arial"/>
        </w:rPr>
        <w:t xml:space="preserve">Russian transnational energy company Lukoil was established in 1991. With a market share of 11.9%, it is the second-largest publicly traded oil and gas corporation in the world </w:t>
      </w:r>
      <w:r w:rsidRPr="00B727C3">
        <w:rPr>
          <w:rFonts w:ascii="Arial" w:hAnsi="Arial" w:cs="Arial"/>
        </w:rPr>
        <w:lastRenderedPageBreak/>
        <w:t>and the biggest business in Russia. With over 100,000 people and a presence in more than 40 nations, Lukoil competes primarily with ExxonMobil, Royal Dutch Shell, BP, and Chevron.</w:t>
      </w:r>
    </w:p>
    <w:p w14:paraId="4FEC119D" w14:textId="59870AAD" w:rsidR="00B727C3" w:rsidRDefault="00B727C3" w:rsidP="00B727C3">
      <w:pPr>
        <w:spacing w:line="360" w:lineRule="auto"/>
        <w:rPr>
          <w:rFonts w:ascii="Arial" w:hAnsi="Arial" w:cs="Arial"/>
        </w:rPr>
      </w:pPr>
      <w:r w:rsidRPr="00B727C3">
        <w:rPr>
          <w:rFonts w:ascii="Arial" w:hAnsi="Arial" w:cs="Arial"/>
        </w:rPr>
        <w:t>Lukoil has operations in several nations across the world, with a particular emphasis on the Russian and Central Asian markets. With a market share of 24.8% in Russia, Lukoil is the biggest oil and gas business there. It is also the second-largest oil and gas producer in Central Asia. Additionally, Lukoil has sizable activities in North America, Europe, Africa, and the Middle East.</w:t>
      </w:r>
      <w:r>
        <w:rPr>
          <w:rFonts w:ascii="Arial" w:hAnsi="Arial" w:cs="Arial"/>
        </w:rPr>
        <w:t xml:space="preserve"> </w:t>
      </w:r>
      <w:r w:rsidRPr="00B727C3">
        <w:rPr>
          <w:rFonts w:ascii="Arial" w:hAnsi="Arial" w:cs="Arial"/>
        </w:rPr>
        <w:t>Customers of Lukoil include both businesses and private individuals, with a concentration on providing oil, gas, and other energy supplies to a variety of industries. Oil and gas exploration and production, refining, petrochemicals, marketing, and retail are all included in the company's range of goods and services. Overall, Lukoil is a significant participant in the global oil and gas sector and is well-positioned to profit from its clients' future energy demands.</w:t>
      </w:r>
    </w:p>
    <w:p w14:paraId="266625C7" w14:textId="77777777" w:rsidR="00AD6AF0" w:rsidRDefault="00B727C3" w:rsidP="00790F01">
      <w:pPr>
        <w:spacing w:line="360" w:lineRule="auto"/>
        <w:rPr>
          <w:rFonts w:ascii="Arial" w:hAnsi="Arial" w:cs="Arial"/>
        </w:rPr>
      </w:pPr>
      <w:r>
        <w:rPr>
          <w:rFonts w:ascii="Arial" w:hAnsi="Arial" w:cs="Arial"/>
        </w:rPr>
        <w:t xml:space="preserve">     </w:t>
      </w:r>
      <w:r w:rsidRPr="00B727C3">
        <w:rPr>
          <w:rFonts w:ascii="Arial" w:hAnsi="Arial" w:cs="Arial"/>
          <w:highlight w:val="green"/>
        </w:rPr>
        <w:t>SECTION1: PART1 CULTURAL ANALYSIS OF COUNTRYES FRANCE AND RUSSIA</w:t>
      </w:r>
    </w:p>
    <w:p w14:paraId="67F0D05D" w14:textId="4D1417C6" w:rsidR="00A503ED" w:rsidRDefault="00AD6AF0" w:rsidP="00790F01">
      <w:pPr>
        <w:spacing w:line="360" w:lineRule="auto"/>
        <w:rPr>
          <w:rFonts w:ascii="Arial" w:hAnsi="Arial" w:cs="Arial"/>
        </w:rPr>
      </w:pPr>
      <w:r>
        <w:rPr>
          <w:rFonts w:ascii="Arial" w:hAnsi="Arial" w:cs="Arial"/>
        </w:rPr>
        <w:t xml:space="preserve">     </w:t>
      </w:r>
      <w:r w:rsidRPr="00AD6AF0">
        <w:rPr>
          <w:rFonts w:ascii="Arial" w:hAnsi="Arial" w:cs="Arial"/>
        </w:rPr>
        <w:t xml:space="preserve">Using the Hofstede model, which specifies six cultural characteristics that assist to characterise civilizations, it is possible to investigate the cultural differences between Russia and France. Power distance, individuality, masculinity, uncertainty avoidance, long-term orientation, and indulgence are some of these aspects. Power Distance: Russia has a score of 78 out of 100 on the power distance index, which denotes a </w:t>
      </w:r>
      <w:r w:rsidR="00D4046F" w:rsidRPr="00AD6AF0">
        <w:rPr>
          <w:rFonts w:ascii="Arial" w:hAnsi="Arial" w:cs="Arial"/>
        </w:rPr>
        <w:t>high-power</w:t>
      </w:r>
      <w:r w:rsidRPr="00AD6AF0">
        <w:rPr>
          <w:rFonts w:ascii="Arial" w:hAnsi="Arial" w:cs="Arial"/>
        </w:rPr>
        <w:t xml:space="preserve"> distance for the nation. This indicates that there is a significant difference in social standing between those of higher and lower status, and people in </w:t>
      </w:r>
      <w:r w:rsidR="00D4046F" w:rsidRPr="00AD6AF0">
        <w:rPr>
          <w:rFonts w:ascii="Arial" w:hAnsi="Arial" w:cs="Arial"/>
        </w:rPr>
        <w:t>lower-level</w:t>
      </w:r>
      <w:r w:rsidRPr="00AD6AF0">
        <w:rPr>
          <w:rFonts w:ascii="Arial" w:hAnsi="Arial" w:cs="Arial"/>
        </w:rPr>
        <w:t xml:space="preserve"> positions are expected to show respect to people in higher status positions. France, in comparison, receives a score of 40 out of 100, suggesting a poor power distance.</w:t>
      </w:r>
      <w:r>
        <w:rPr>
          <w:rFonts w:ascii="Arial" w:hAnsi="Arial" w:cs="Arial"/>
        </w:rPr>
        <w:t xml:space="preserve"> </w:t>
      </w:r>
      <w:r w:rsidRPr="00AD6AF0">
        <w:rPr>
          <w:rFonts w:ascii="Arial" w:hAnsi="Arial" w:cs="Arial"/>
        </w:rPr>
        <w:t>This implies that there is a smaller difference between those with higher and lower social standing and that people in lower positions are not always required to show respect.</w:t>
      </w:r>
      <w:r>
        <w:rPr>
          <w:rFonts w:ascii="Arial" w:hAnsi="Arial" w:cs="Arial"/>
        </w:rPr>
        <w:t xml:space="preserve"> </w:t>
      </w:r>
      <w:r w:rsidRPr="00AD6AF0">
        <w:rPr>
          <w:rFonts w:ascii="Arial" w:hAnsi="Arial" w:cs="Arial"/>
        </w:rPr>
        <w:t>Individualism: According to the individualism index, Russia has a score of 20 out of 100, which is considered to be poor. This suggests that individuals emphasise the collective over the individual and that the culture is more collectivist. France, in comparison, receives a score of 71 out of 100, suggesting a high level of individuality there. This shows that individuals emphasise the individual above the collective more frequently and that individualism is more valued in the society.</w:t>
      </w:r>
      <w:r>
        <w:rPr>
          <w:rFonts w:ascii="Arial" w:hAnsi="Arial" w:cs="Arial"/>
        </w:rPr>
        <w:t xml:space="preserve"> </w:t>
      </w:r>
      <w:r w:rsidRPr="00AD6AF0">
        <w:rPr>
          <w:rFonts w:ascii="Arial" w:hAnsi="Arial" w:cs="Arial"/>
        </w:rPr>
        <w:t>Russians tend to be rather masculine, according to the masculinity index, which gives the nation a score of 66 out of 100. This shows that gender roles are more conventional, with men expected to assume a dominant position, and that the society is more centred on success, competitiveness, and financial gain. France, in comparison, receives a score of 41 out of 100, suggesting a low degree of masculinity in the nation. This shows that gender roles are less conventional and that the society is less concerned with success, rivalry, and monetary gain.</w:t>
      </w:r>
      <w:r w:rsidR="007F051F">
        <w:rPr>
          <w:rFonts w:ascii="Arial" w:hAnsi="Arial" w:cs="Arial"/>
        </w:rPr>
        <w:t xml:space="preserve"> </w:t>
      </w:r>
      <w:r w:rsidRPr="00AD6AF0">
        <w:rPr>
          <w:rFonts w:ascii="Arial" w:hAnsi="Arial" w:cs="Arial"/>
        </w:rPr>
        <w:t xml:space="preserve">Russia has a </w:t>
      </w:r>
      <w:r w:rsidRPr="00AD6AF0">
        <w:rPr>
          <w:rFonts w:ascii="Arial" w:hAnsi="Arial" w:cs="Arial"/>
        </w:rPr>
        <w:lastRenderedPageBreak/>
        <w:t>reasonably high degree of uncertainty avoidance, according to the uncertainty avoidance index, which gives the country a score of 65 out of 100. This shows that people are less prone to take chances or be open to uncertainty due to the culture. France, on the other hand, receives a score of 86 out of 100, demonstrating a high level of uncertainty avoidance. This shows that people are less willing to take risks or tolerate uncertainty and that people in general are more risk-averse.</w:t>
      </w:r>
      <w:r>
        <w:rPr>
          <w:rFonts w:ascii="Arial" w:hAnsi="Arial" w:cs="Arial"/>
        </w:rPr>
        <w:t xml:space="preserve"> </w:t>
      </w:r>
      <w:r w:rsidRPr="00AD6AF0">
        <w:rPr>
          <w:rFonts w:ascii="Arial" w:hAnsi="Arial" w:cs="Arial"/>
        </w:rPr>
        <w:t>On the long-term orientation measure, Russia receives a score of 20 out of 100, which indicates that the nation has a low degree of long-term orientation. This shows that individuals are less prone to make plans for the future and that the society is more present-oriented. France, on the other hand, receives a score of 56 out of 100, suggesting a modest level of long-term orientation. This means that individuals are more inclined to make plans for the future and that the culture is moderately focused on both the now and the future.</w:t>
      </w:r>
      <w:r>
        <w:rPr>
          <w:rFonts w:ascii="Arial" w:hAnsi="Arial" w:cs="Arial"/>
        </w:rPr>
        <w:t xml:space="preserve"> </w:t>
      </w:r>
      <w:r w:rsidRPr="00AD6AF0">
        <w:rPr>
          <w:rFonts w:ascii="Arial" w:hAnsi="Arial" w:cs="Arial"/>
        </w:rPr>
        <w:t>Indulgence: According to the indulgence index, Russia ranks 34th out of 100 countries in terms of level of indulgence. This means that people are less prone to engage in hobbies or purchases and that society is more restricted. France, on the other hand, receives a score of 72 out of 100, suggesting a high level of indulgence. This implies that people are more prone to indulge in behaviours or purchases and that the society is more indulgent. Russia and France have substantial cultural contrasts from one another overall. Russia is more collectivist, macho, and has a greater power distance.</w:t>
      </w:r>
    </w:p>
    <w:p w14:paraId="5EFCFFFC" w14:textId="390B7242" w:rsidR="00CD743D" w:rsidRDefault="00CD743D" w:rsidP="00790F01">
      <w:pPr>
        <w:spacing w:line="360" w:lineRule="auto"/>
        <w:rPr>
          <w:rFonts w:ascii="Arial" w:hAnsi="Arial" w:cs="Arial"/>
        </w:rPr>
      </w:pPr>
      <w:r w:rsidRPr="00CD743D">
        <w:rPr>
          <w:rFonts w:ascii="Arial" w:hAnsi="Arial" w:cs="Arial"/>
        </w:rPr>
        <w:t xml:space="preserve">     </w:t>
      </w:r>
      <w:r w:rsidRPr="00CD743D">
        <w:rPr>
          <w:rFonts w:ascii="Arial" w:hAnsi="Arial" w:cs="Arial"/>
          <w:highlight w:val="green"/>
        </w:rPr>
        <w:t>SECTION1: PART2 INSTITUTIONAL ANALISYS OF COUNTRYES FRANCE AND RUSSIA</w:t>
      </w:r>
    </w:p>
    <w:p w14:paraId="072B213A" w14:textId="2A9412DC" w:rsidR="00DF0AFA" w:rsidRDefault="00DF0AFA" w:rsidP="00790F01">
      <w:pPr>
        <w:spacing w:line="360" w:lineRule="auto"/>
        <w:rPr>
          <w:rFonts w:ascii="Arial" w:hAnsi="Arial" w:cs="Arial"/>
        </w:rPr>
      </w:pPr>
      <w:r>
        <w:rPr>
          <w:rFonts w:ascii="Arial" w:hAnsi="Arial" w:cs="Arial"/>
        </w:rPr>
        <w:t xml:space="preserve">     </w:t>
      </w:r>
      <w:r w:rsidRPr="00DF0AFA">
        <w:rPr>
          <w:rFonts w:ascii="Arial" w:hAnsi="Arial" w:cs="Arial"/>
        </w:rPr>
        <w:t xml:space="preserve">The fundamental components of a political economy framework are outlined by Scott (1995), who describes how the interaction of the state, economy, and social institutions </w:t>
      </w:r>
      <w:r w:rsidR="00D4046F" w:rsidRPr="00DF0AFA">
        <w:rPr>
          <w:rFonts w:ascii="Arial" w:hAnsi="Arial" w:cs="Arial"/>
        </w:rPr>
        <w:t>influence</w:t>
      </w:r>
      <w:r w:rsidRPr="00DF0AFA">
        <w:rPr>
          <w:rFonts w:ascii="Arial" w:hAnsi="Arial" w:cs="Arial"/>
        </w:rPr>
        <w:t xml:space="preserve"> the growth of international human resource management (IHRM) practises. The government, French corporate culture, and the French labour market are the three primary political, economic, and social institutions influencing IHRM practises in France.</w:t>
      </w:r>
      <w:r>
        <w:rPr>
          <w:rFonts w:ascii="Arial" w:hAnsi="Arial" w:cs="Arial"/>
        </w:rPr>
        <w:t xml:space="preserve"> </w:t>
      </w:r>
      <w:r w:rsidRPr="00DF0AFA">
        <w:rPr>
          <w:rFonts w:ascii="Arial" w:hAnsi="Arial" w:cs="Arial"/>
        </w:rPr>
        <w:t>Due to its authority over employment legislation and regulations, the French government has a substantial impact on IHRM practises. This entails establishing minimum pay and benefits as well as passing legislation to safeguard workers from unfair practises and discrimination. The limits for the terms and conditions of employment are established by this, and as a result, the manner in which companies can build up their HR policies and practises are also determined. This directly affects IHRM practises.</w:t>
      </w:r>
      <w:r>
        <w:rPr>
          <w:rFonts w:ascii="Arial" w:hAnsi="Arial" w:cs="Arial"/>
        </w:rPr>
        <w:t xml:space="preserve"> </w:t>
      </w:r>
      <w:r w:rsidRPr="00DF0AFA">
        <w:rPr>
          <w:rFonts w:ascii="Arial" w:hAnsi="Arial" w:cs="Arial"/>
        </w:rPr>
        <w:t>IHRM procedures are significantly impacted by the French corporate culture. The French have a propensity for a more hierarchical management style as well as a dislike of risk-taking and change. Employers often choose a more conventional approach to HR management and are less inclined to adopt creative or current HR methods, which has an influence on IHRM practises.</w:t>
      </w:r>
      <w:r>
        <w:rPr>
          <w:rFonts w:ascii="Arial" w:hAnsi="Arial" w:cs="Arial"/>
        </w:rPr>
        <w:t xml:space="preserve"> </w:t>
      </w:r>
      <w:r w:rsidRPr="00DF0AFA">
        <w:rPr>
          <w:rFonts w:ascii="Arial" w:hAnsi="Arial" w:cs="Arial"/>
        </w:rPr>
        <w:t xml:space="preserve">Last but not least, the French labour market also has a significant impact on IHRM procedures. The </w:t>
      </w:r>
      <w:r w:rsidRPr="00DF0AFA">
        <w:rPr>
          <w:rFonts w:ascii="Arial" w:hAnsi="Arial" w:cs="Arial"/>
        </w:rPr>
        <w:lastRenderedPageBreak/>
        <w:t>French labour market is heavily controlled, extensively unionised, and leans toward long-term agreements. Employers are more likely to provide more stable and secure employment terms and conditions, which are often more generous and protective in nature, which has an influence on IHRM practises.</w:t>
      </w:r>
    </w:p>
    <w:p w14:paraId="35FE6185" w14:textId="196E66DB" w:rsidR="00DF0AFA" w:rsidRDefault="00DF0AFA" w:rsidP="00DB67FD">
      <w:pPr>
        <w:spacing w:line="360" w:lineRule="auto"/>
        <w:rPr>
          <w:rFonts w:ascii="Arial" w:hAnsi="Arial" w:cs="Arial"/>
        </w:rPr>
      </w:pPr>
      <w:r>
        <w:rPr>
          <w:rFonts w:ascii="Arial" w:hAnsi="Arial" w:cs="Arial"/>
        </w:rPr>
        <w:t xml:space="preserve">     </w:t>
      </w:r>
      <w:r w:rsidR="00DB67FD" w:rsidRPr="00DB67FD">
        <w:rPr>
          <w:rFonts w:ascii="Arial" w:hAnsi="Arial" w:cs="Arial"/>
        </w:rPr>
        <w:t>According to DiMaggio and Powell's (1991) argument, a country's institutional environment has a significant impact on how organisations behave. In the case of Russia, IHRM practises are significantly influenced by political, economic, and social institutions.</w:t>
      </w:r>
      <w:r w:rsidR="00DB67FD">
        <w:rPr>
          <w:rFonts w:ascii="Arial" w:hAnsi="Arial" w:cs="Arial"/>
        </w:rPr>
        <w:t xml:space="preserve"> </w:t>
      </w:r>
      <w:r w:rsidR="00DB67FD" w:rsidRPr="00DB67FD">
        <w:rPr>
          <w:rFonts w:ascii="Arial" w:hAnsi="Arial" w:cs="Arial"/>
        </w:rPr>
        <w:t>In terms of politics, Russia is a federation with a powerful centralised administration. The government establishes laws and rules that regulate how organisations, including those involved in IHRM, operate. For instance, the government has the authority to set minimum wage requirements and labour legislation.</w:t>
      </w:r>
      <w:r w:rsidR="00DB67FD">
        <w:rPr>
          <w:rFonts w:ascii="Arial" w:hAnsi="Arial" w:cs="Arial"/>
        </w:rPr>
        <w:t xml:space="preserve"> </w:t>
      </w:r>
      <w:r w:rsidR="00DB67FD" w:rsidRPr="00DB67FD">
        <w:rPr>
          <w:rFonts w:ascii="Arial" w:hAnsi="Arial" w:cs="Arial"/>
        </w:rPr>
        <w:t>Russia has a market economy in terms of economics. This has given businesses the chance to adopt cutting-edge IHRM techniques like performance-based pay and flexible work schedules. Organizations must remember, though, that they must follow government laws, some of which can be burdensome.</w:t>
      </w:r>
      <w:r w:rsidR="00DB67FD">
        <w:rPr>
          <w:rFonts w:ascii="Arial" w:hAnsi="Arial" w:cs="Arial"/>
        </w:rPr>
        <w:t xml:space="preserve"> </w:t>
      </w:r>
      <w:r w:rsidR="00DB67FD" w:rsidRPr="00DB67FD">
        <w:rPr>
          <w:rFonts w:ascii="Arial" w:hAnsi="Arial" w:cs="Arial"/>
        </w:rPr>
        <w:t>Russia has a very diversified and lengthy history. This affects how businesses approach IHRM. When hiring or training new personnel, for instance, firms may need to take cultural norms and expectations into account. Furthermore, the presence of bribery and corruption can have an effect on how businesses implement IHRM.</w:t>
      </w:r>
      <w:r w:rsidR="00DB67FD">
        <w:rPr>
          <w:rFonts w:ascii="Arial" w:hAnsi="Arial" w:cs="Arial"/>
        </w:rPr>
        <w:t xml:space="preserve"> </w:t>
      </w:r>
      <w:r w:rsidR="00DB67FD" w:rsidRPr="00DB67FD">
        <w:rPr>
          <w:rFonts w:ascii="Arial" w:hAnsi="Arial" w:cs="Arial"/>
        </w:rPr>
        <w:t>Overall, Russia's political, economic, and social institutions have a significant impact on IHR.</w:t>
      </w:r>
    </w:p>
    <w:p w14:paraId="1CC96445" w14:textId="54D0980D" w:rsidR="00A3725D" w:rsidRPr="00A3725D" w:rsidRDefault="00DB67FD" w:rsidP="00A3725D">
      <w:pPr>
        <w:spacing w:line="360" w:lineRule="auto"/>
        <w:rPr>
          <w:rFonts w:ascii="Arial" w:hAnsi="Arial" w:cs="Arial"/>
        </w:rPr>
      </w:pPr>
      <w:r>
        <w:rPr>
          <w:rFonts w:ascii="Arial" w:hAnsi="Arial" w:cs="Arial"/>
        </w:rPr>
        <w:t xml:space="preserve">                        </w:t>
      </w:r>
      <w:r w:rsidRPr="00DB67FD">
        <w:rPr>
          <w:rFonts w:ascii="Arial" w:hAnsi="Arial" w:cs="Arial"/>
          <w:highlight w:val="green"/>
        </w:rPr>
        <w:t>SECTION 2: M&amp;A RATIONALE AND INTEGRATION STRATEGY</w:t>
      </w:r>
      <w:r>
        <w:rPr>
          <w:rFonts w:ascii="Arial" w:hAnsi="Arial" w:cs="Arial"/>
        </w:rPr>
        <w:t xml:space="preserve"> </w:t>
      </w:r>
      <w:r>
        <w:rPr>
          <w:rFonts w:ascii="Arial" w:hAnsi="Arial" w:cs="Arial"/>
        </w:rPr>
        <w:br/>
        <w:t xml:space="preserve">     </w:t>
      </w:r>
      <w:r w:rsidR="00A3725D" w:rsidRPr="00A3725D">
        <w:rPr>
          <w:rFonts w:ascii="Arial" w:hAnsi="Arial" w:cs="Arial"/>
        </w:rPr>
        <w:t xml:space="preserve">TotalEnergies has outlined a number of justifications for entering into a merger or acquisition. </w:t>
      </w:r>
      <w:r w:rsidR="00D4046F" w:rsidRPr="00A3725D">
        <w:rPr>
          <w:rFonts w:ascii="Arial" w:hAnsi="Arial" w:cs="Arial"/>
        </w:rPr>
        <w:t>Primarily</w:t>
      </w:r>
      <w:r w:rsidR="00A3725D" w:rsidRPr="00A3725D">
        <w:rPr>
          <w:rFonts w:ascii="Arial" w:hAnsi="Arial" w:cs="Arial"/>
        </w:rPr>
        <w:t>, TotalEnergies would be able to increase its market share and reach through a merger or acquisition. As a result, it would be able to access new technology and resources, as well as expand its reach to new markets and clients. In the end, this would result in more earnings and a larger market share.</w:t>
      </w:r>
      <w:r w:rsidR="00A3725D">
        <w:rPr>
          <w:rFonts w:ascii="Arial" w:hAnsi="Arial" w:cs="Arial"/>
        </w:rPr>
        <w:t xml:space="preserve"> </w:t>
      </w:r>
      <w:r w:rsidR="00A3725D" w:rsidRPr="00A3725D">
        <w:rPr>
          <w:rFonts w:ascii="Arial" w:hAnsi="Arial" w:cs="Arial"/>
        </w:rPr>
        <w:t>Second, TotalEnergies might expand its business by a merger or acquisition. TotalEnergies would be able to enter new markets and obtain access to new revenue streams by merging with or purchasing another business in the same sector. By doing this, the business would be less likely to rely too much on any one market or industry.</w:t>
      </w:r>
      <w:r w:rsidR="00A3725D">
        <w:rPr>
          <w:rFonts w:ascii="Arial" w:hAnsi="Arial" w:cs="Arial"/>
        </w:rPr>
        <w:t xml:space="preserve"> </w:t>
      </w:r>
      <w:r w:rsidR="00A3725D" w:rsidRPr="00A3725D">
        <w:rPr>
          <w:rFonts w:ascii="Arial" w:hAnsi="Arial" w:cs="Arial"/>
        </w:rPr>
        <w:t>Thirdly, to have access to new resources and technology, TotalEnergies can leverage a merger or acquisition. The firm could be able to obtain cutting-edge tools and resources through a merger with or acquisition of another business. This would help them run more efficiently and perform better. This may entail having access to fresh materials, improved manufacturing techniques, and advanced research and development tools.</w:t>
      </w:r>
    </w:p>
    <w:p w14:paraId="3B6C943C" w14:textId="5F1E56BA" w:rsidR="00DB67FD" w:rsidRDefault="00A3725D" w:rsidP="00A3725D">
      <w:pPr>
        <w:spacing w:line="360" w:lineRule="auto"/>
        <w:rPr>
          <w:rFonts w:ascii="Arial" w:hAnsi="Arial" w:cs="Arial"/>
        </w:rPr>
      </w:pPr>
      <w:r w:rsidRPr="00A3725D">
        <w:rPr>
          <w:rFonts w:ascii="Arial" w:hAnsi="Arial" w:cs="Arial"/>
        </w:rPr>
        <w:t xml:space="preserve">Finally, a merger or acquisition might be used by TotalEnergies to acquire important assets. TotalEnergies would be able to acquire worthwhile assets through a merger with or </w:t>
      </w:r>
      <w:r w:rsidRPr="00A3725D">
        <w:rPr>
          <w:rFonts w:ascii="Arial" w:hAnsi="Arial" w:cs="Arial"/>
        </w:rPr>
        <w:lastRenderedPageBreak/>
        <w:t>acquisition of another business, including real estate, valuable intellectual property, and other assets that might benefit the business' operations.</w:t>
      </w:r>
      <w:r>
        <w:rPr>
          <w:rFonts w:ascii="Arial" w:hAnsi="Arial" w:cs="Arial"/>
        </w:rPr>
        <w:t xml:space="preserve"> </w:t>
      </w:r>
    </w:p>
    <w:p w14:paraId="29F2056C" w14:textId="72A0D932" w:rsidR="00A3725D" w:rsidRDefault="00A3725D" w:rsidP="00A3725D">
      <w:pPr>
        <w:spacing w:line="360" w:lineRule="auto"/>
        <w:rPr>
          <w:rFonts w:ascii="Arial" w:hAnsi="Arial" w:cs="Arial"/>
        </w:rPr>
      </w:pPr>
      <w:r>
        <w:rPr>
          <w:rFonts w:ascii="Arial" w:hAnsi="Arial" w:cs="Arial"/>
        </w:rPr>
        <w:t xml:space="preserve">     </w:t>
      </w:r>
      <w:r w:rsidRPr="00A3725D">
        <w:rPr>
          <w:rFonts w:ascii="Arial" w:hAnsi="Arial" w:cs="Arial"/>
        </w:rPr>
        <w:t>In order to grow its business and get a competitive edge in the international oil and gas market, Lukoil, a major Russian oil and gas corporation, is considering to engage in a merger or acquisition. With more than two decades of profitable operations under its belt and significant investments in cutting-edge technology, Lukoil is well-positioned to capitalise on any possibilities that may arise from an acquisition or merger. The main objective of Lukoil's acquisition or merger efforts is to obtain access to new sources of capital, markets, and technology. Lukoil has the option of purchasing or joining forces with another business to obtain access to fresh consumers, resources, and technology. This might aid Lukoil in growing its business and establishing a stronger footprint on the world oil and gas market.</w:t>
      </w:r>
      <w:r>
        <w:rPr>
          <w:rFonts w:ascii="Arial" w:hAnsi="Arial" w:cs="Arial"/>
        </w:rPr>
        <w:t xml:space="preserve"> </w:t>
      </w:r>
      <w:r w:rsidRPr="00A3725D">
        <w:rPr>
          <w:rFonts w:ascii="Arial" w:hAnsi="Arial" w:cs="Arial"/>
        </w:rPr>
        <w:t xml:space="preserve">Diversification can also be advantageous for Lukoil. Lukoil can diversify its activities, goods and services, and clientele by combining with or buying another business. In the case of a decline in the oil and gas market, this can assist Lukoil in spreading its risk and reducing </w:t>
      </w:r>
      <w:r w:rsidR="00D4046F" w:rsidRPr="00A3725D">
        <w:rPr>
          <w:rFonts w:ascii="Arial" w:hAnsi="Arial" w:cs="Arial"/>
        </w:rPr>
        <w:t>losses</w:t>
      </w:r>
      <w:r w:rsidRPr="00A3725D">
        <w:rPr>
          <w:rFonts w:ascii="Arial" w:hAnsi="Arial" w:cs="Arial"/>
        </w:rPr>
        <w:t>.</w:t>
      </w:r>
      <w:r>
        <w:rPr>
          <w:rFonts w:ascii="Arial" w:hAnsi="Arial" w:cs="Arial"/>
        </w:rPr>
        <w:t xml:space="preserve"> </w:t>
      </w:r>
      <w:r w:rsidRPr="00A3725D">
        <w:rPr>
          <w:rFonts w:ascii="Arial" w:hAnsi="Arial" w:cs="Arial"/>
        </w:rPr>
        <w:t>Finally, economies of scale might also be advantageous for Lukoil. Lukoil may take use of the combined technology and resources of two businesses by combining with them or purchasing them, which would save costs and boost productivity. This might aid Lukoil in lowering production costs and boosting revenue.</w:t>
      </w:r>
    </w:p>
    <w:p w14:paraId="3AFD88A1" w14:textId="7DEC99C0" w:rsidR="00A3725D" w:rsidRDefault="00CA02A7" w:rsidP="00A3725D">
      <w:pPr>
        <w:spacing w:line="360" w:lineRule="auto"/>
        <w:jc w:val="center"/>
        <w:rPr>
          <w:rFonts w:ascii="Arial" w:hAnsi="Arial" w:cs="Arial"/>
        </w:rPr>
      </w:pPr>
      <w:r w:rsidRPr="00CA02A7">
        <w:rPr>
          <w:rFonts w:ascii="Arial" w:hAnsi="Arial" w:cs="Arial"/>
          <w:highlight w:val="green"/>
        </w:rPr>
        <w:t>SECTION2: PART2 – ROLE OF IHRM IN IMPLEMENTING EFFECTIVE M&amp;A</w:t>
      </w:r>
    </w:p>
    <w:p w14:paraId="78D35B66" w14:textId="3F298387" w:rsidR="00CA02A7" w:rsidRDefault="00CA02A7" w:rsidP="00CA02A7">
      <w:pPr>
        <w:spacing w:line="360" w:lineRule="auto"/>
        <w:rPr>
          <w:rFonts w:ascii="Arial" w:hAnsi="Arial" w:cs="Arial"/>
        </w:rPr>
      </w:pPr>
      <w:r>
        <w:rPr>
          <w:rFonts w:ascii="Arial" w:hAnsi="Arial" w:cs="Arial"/>
        </w:rPr>
        <w:t xml:space="preserve">     </w:t>
      </w:r>
      <w:r w:rsidRPr="00CA02A7">
        <w:rPr>
          <w:rFonts w:ascii="Arial" w:hAnsi="Arial" w:cs="Arial"/>
        </w:rPr>
        <w:t>The HR issues that surface before and after stage in France may be explained by Hall's idea of high- and low-context cultures. Low-context cultures depend more on explicit communication and verbal clues, whereas high-context cultures, like those found in France, rely more on implicit communication and nonverbal cues. Due to the recruiting process's potential increased reliance on implicit communication, which can be challenging for individuals from low-context cultures to grasp, this might present difficulties in the pre-stage of HR. The post-stage of HR can also be challenging since there might not be enough specific feedback for staff members to appreciate their performance and the demands of their roles.</w:t>
      </w:r>
    </w:p>
    <w:p w14:paraId="36A7B58C" w14:textId="0527CAA3" w:rsidR="00F13298" w:rsidRDefault="00F13298" w:rsidP="00CA02A7">
      <w:pPr>
        <w:spacing w:line="360" w:lineRule="auto"/>
        <w:rPr>
          <w:rFonts w:ascii="Arial" w:hAnsi="Arial" w:cs="Arial"/>
        </w:rPr>
      </w:pPr>
      <w:r>
        <w:rPr>
          <w:rFonts w:ascii="Arial" w:hAnsi="Arial" w:cs="Arial"/>
        </w:rPr>
        <w:t xml:space="preserve">     </w:t>
      </w:r>
      <w:r w:rsidRPr="00F13298">
        <w:rPr>
          <w:rFonts w:ascii="Arial" w:hAnsi="Arial" w:cs="Arial"/>
        </w:rPr>
        <w:t xml:space="preserve">According to the Adler and Ghadar model, four major HR issues—cultural fit, language, lack of transparency, and legal uncertainty—occur at the preliminary stage of the hiring process in Russia. Due to the disparities between Russian culture and the culture of the company, cultural fit might be difficult. The linguistic barrier that exists between the company and the potential employee makes language a hurdle. Because there is little information accessible on pay, working conditions, and job descriptions, there is a difficulty with lack of openness. Finally, the absence of a defined legal framework in Russia presents a barrier in </w:t>
      </w:r>
      <w:r w:rsidRPr="00F13298">
        <w:rPr>
          <w:rFonts w:ascii="Arial" w:hAnsi="Arial" w:cs="Arial"/>
        </w:rPr>
        <w:lastRenderedPageBreak/>
        <w:t>terms of legal ambiguity.</w:t>
      </w:r>
      <w:r>
        <w:rPr>
          <w:rFonts w:ascii="Arial" w:hAnsi="Arial" w:cs="Arial"/>
        </w:rPr>
        <w:t xml:space="preserve"> </w:t>
      </w:r>
      <w:r w:rsidRPr="00F13298">
        <w:rPr>
          <w:rFonts w:ascii="Arial" w:hAnsi="Arial" w:cs="Arial"/>
        </w:rPr>
        <w:t>In the post-stage, Russia has HR difficulties such as a lack of career advancement, poor wages, inadequate training, and a high employee turnover rate. Lack of professional development is a problem since there are few opportunities for employees to advance inside the company. Because they are lower than in other nations, low salaries provide a hurdle. Due to the minimal investment in staff training, there is a problem with lack of training.</w:t>
      </w:r>
    </w:p>
    <w:p w14:paraId="62956FF5" w14:textId="37235F66" w:rsidR="00F13298" w:rsidRDefault="00F13298" w:rsidP="00CA02A7">
      <w:pPr>
        <w:spacing w:line="360" w:lineRule="auto"/>
        <w:rPr>
          <w:rFonts w:ascii="Arial" w:hAnsi="Arial" w:cs="Arial"/>
        </w:rPr>
      </w:pPr>
      <w:r>
        <w:rPr>
          <w:rFonts w:ascii="Arial" w:hAnsi="Arial" w:cs="Arial"/>
        </w:rPr>
        <w:t xml:space="preserve">     </w:t>
      </w:r>
      <w:r w:rsidRPr="00F13298">
        <w:rPr>
          <w:rFonts w:ascii="Arial" w:hAnsi="Arial" w:cs="Arial"/>
        </w:rPr>
        <w:t>A mergers and acquisitions (M&amp;A) process's effectiveness depends heavily on human resources (HR). HR offers the knowledge and tools required to assist the merger of two or more businesses. The formulation and implementation of plans for a seamless employee transition, the blending of corporate cultures, and the creation of efficient management systems are all the responsibility of HR in making sure the two firms are successfully integrated. Additionally, HR is in charge of collaborating with both organisations to make sure that the new structure supports both firms' missions and core values and creates a productive, energetic workplace.</w:t>
      </w:r>
      <w:r>
        <w:rPr>
          <w:rFonts w:ascii="Arial" w:hAnsi="Arial" w:cs="Arial"/>
        </w:rPr>
        <w:t xml:space="preserve"> </w:t>
      </w:r>
      <w:r w:rsidRPr="00F13298">
        <w:rPr>
          <w:rFonts w:ascii="Arial" w:hAnsi="Arial" w:cs="Arial"/>
        </w:rPr>
        <w:t>Because it helps to guarantee that the appropriate human capital is in place to support the transition, HRM is crucial to the success of an M&amp;A transaction. The right rules and procedures can be developed and implemented, the required resources can be identified and managed, and the effective integration of the two companies can be ensured. This entails the formulation of policies and procedures to support the new organisational structure, the execution of effective communication and training efforts, and the development and implementation of strategies to guarantee that</w:t>
      </w:r>
      <w:r>
        <w:rPr>
          <w:rFonts w:ascii="Arial" w:hAnsi="Arial" w:cs="Arial"/>
        </w:rPr>
        <w:t>.</w:t>
      </w:r>
    </w:p>
    <w:p w14:paraId="630FA06C" w14:textId="6264139E" w:rsidR="00D4046F" w:rsidRDefault="00D4046F" w:rsidP="00D4046F">
      <w:pPr>
        <w:spacing w:line="360" w:lineRule="auto"/>
        <w:jc w:val="center"/>
        <w:rPr>
          <w:rFonts w:ascii="Arial" w:hAnsi="Arial" w:cs="Arial"/>
        </w:rPr>
      </w:pPr>
      <w:r w:rsidRPr="00D4046F">
        <w:rPr>
          <w:rFonts w:ascii="Arial" w:hAnsi="Arial" w:cs="Arial"/>
          <w:highlight w:val="green"/>
        </w:rPr>
        <w:t>CONCLUSION</w:t>
      </w:r>
    </w:p>
    <w:p w14:paraId="34517941" w14:textId="4E7B3B02" w:rsidR="00D4046F" w:rsidRDefault="00D4046F" w:rsidP="00D4046F">
      <w:pPr>
        <w:spacing w:line="360" w:lineRule="auto"/>
        <w:rPr>
          <w:rFonts w:ascii="Arial" w:hAnsi="Arial" w:cs="Arial"/>
        </w:rPr>
      </w:pPr>
      <w:r>
        <w:rPr>
          <w:rFonts w:ascii="Arial" w:hAnsi="Arial" w:cs="Arial"/>
        </w:rPr>
        <w:t xml:space="preserve">     </w:t>
      </w:r>
      <w:r w:rsidRPr="00D4046F">
        <w:rPr>
          <w:rFonts w:ascii="Arial" w:hAnsi="Arial" w:cs="Arial"/>
        </w:rPr>
        <w:t>To maintain equity and uniformity in their policies and procedures, merging companies must use the same HRM best practises internationally. To guarantee adherence to local rules and regulations, there can be a few exceptions that need to be considered. For instance, the minimum wage may be greater in some nations than in others, therefore HRM processes should be modified to guarantee adherence to local laws. Furthermore, it is important to consider the various cultural and religious customs that may exist in other nations. When this occurs, the HRM procedures should be changed to ensure that they follow not just the local laws and regulations but also the cultural and religious beliefs of the people as well.</w:t>
      </w:r>
    </w:p>
    <w:p w14:paraId="68939A5C" w14:textId="133E927D" w:rsidR="00D4046F" w:rsidRDefault="00D4046F" w:rsidP="00D4046F">
      <w:pPr>
        <w:spacing w:line="360" w:lineRule="auto"/>
        <w:rPr>
          <w:rFonts w:ascii="Arial" w:hAnsi="Arial" w:cs="Arial"/>
        </w:rPr>
      </w:pPr>
      <w:r>
        <w:rPr>
          <w:rFonts w:ascii="Arial" w:hAnsi="Arial" w:cs="Arial"/>
        </w:rPr>
        <w:t xml:space="preserve">     </w:t>
      </w:r>
      <w:r w:rsidRPr="00D4046F">
        <w:rPr>
          <w:rFonts w:ascii="Arial" w:hAnsi="Arial" w:cs="Arial"/>
        </w:rPr>
        <w:t xml:space="preserve">Establish effective channels of communication between the IHRM division and the M&amp;A team. Create an M&amp;A strategy that is suited to the organization's unique requirements. Determine and evaluate any potential effects the proposed M&amp;A transaction may have on human resources. Create a transition management strategy that identifies important stakeholders, discusses communication tactics, and establishes timetables for the process. </w:t>
      </w:r>
    </w:p>
    <w:p w14:paraId="4ABD8EF5" w14:textId="7C26F75D" w:rsidR="00292394" w:rsidRPr="00CD743D" w:rsidRDefault="00292394" w:rsidP="00292394">
      <w:pPr>
        <w:jc w:val="center"/>
        <w:rPr>
          <w:rFonts w:ascii="Arial Black" w:hAnsi="Arial Black"/>
          <w:sz w:val="32"/>
          <w:szCs w:val="32"/>
        </w:rPr>
      </w:pPr>
    </w:p>
    <w:p w14:paraId="2C814DEF" w14:textId="77777777" w:rsidR="00292394" w:rsidRPr="00CD743D" w:rsidRDefault="00292394" w:rsidP="00292394">
      <w:pPr>
        <w:jc w:val="center"/>
        <w:rPr>
          <w:rFonts w:ascii="Arial Black" w:hAnsi="Arial Black"/>
          <w:sz w:val="32"/>
          <w:szCs w:val="32"/>
        </w:rPr>
      </w:pPr>
    </w:p>
    <w:sectPr w:rsidR="00292394" w:rsidRPr="00CD7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394"/>
    <w:rsid w:val="00292394"/>
    <w:rsid w:val="003278AD"/>
    <w:rsid w:val="005109ED"/>
    <w:rsid w:val="00522613"/>
    <w:rsid w:val="005E7449"/>
    <w:rsid w:val="00790F01"/>
    <w:rsid w:val="007A3187"/>
    <w:rsid w:val="007F051F"/>
    <w:rsid w:val="007F7B24"/>
    <w:rsid w:val="00807E09"/>
    <w:rsid w:val="00832713"/>
    <w:rsid w:val="00832B80"/>
    <w:rsid w:val="008F0F0B"/>
    <w:rsid w:val="009A44E8"/>
    <w:rsid w:val="00A3725D"/>
    <w:rsid w:val="00A503ED"/>
    <w:rsid w:val="00AC16B0"/>
    <w:rsid w:val="00AD6AF0"/>
    <w:rsid w:val="00B727C3"/>
    <w:rsid w:val="00BC067D"/>
    <w:rsid w:val="00C832F7"/>
    <w:rsid w:val="00CA02A7"/>
    <w:rsid w:val="00CD743D"/>
    <w:rsid w:val="00D4046F"/>
    <w:rsid w:val="00DB67FD"/>
    <w:rsid w:val="00DF0AFA"/>
    <w:rsid w:val="00EE304D"/>
    <w:rsid w:val="00F13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66961"/>
  <w15:chartTrackingRefBased/>
  <w15:docId w15:val="{43F9B8FC-7A05-4031-B47B-82AAD589D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6830">
      <w:bodyDiv w:val="1"/>
      <w:marLeft w:val="0"/>
      <w:marRight w:val="0"/>
      <w:marTop w:val="0"/>
      <w:marBottom w:val="0"/>
      <w:divBdr>
        <w:top w:val="none" w:sz="0" w:space="0" w:color="auto"/>
        <w:left w:val="none" w:sz="0" w:space="0" w:color="auto"/>
        <w:bottom w:val="none" w:sz="0" w:space="0" w:color="auto"/>
        <w:right w:val="none" w:sz="0" w:space="0" w:color="auto"/>
      </w:divBdr>
      <w:divsChild>
        <w:div w:id="1954088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cp:lastModifiedBy>
  <cp:revision>6</cp:revision>
  <dcterms:created xsi:type="dcterms:W3CDTF">2023-02-05T09:28:00Z</dcterms:created>
  <dcterms:modified xsi:type="dcterms:W3CDTF">2023-02-12T12:29:00Z</dcterms:modified>
</cp:coreProperties>
</file>