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F98CF" w14:textId="77777777" w:rsidR="00FD5BDC" w:rsidRPr="002855DB" w:rsidRDefault="00FD5BDC" w:rsidP="002855DB">
      <w:pPr>
        <w:spacing w:after="0" w:line="480" w:lineRule="auto"/>
        <w:contextualSpacing/>
        <w:jc w:val="center"/>
        <w:rPr>
          <w:rFonts w:ascii="Times New Roman" w:eastAsia="Times New Roman" w:hAnsi="Times New Roman" w:cs="Times New Roman"/>
          <w:b/>
          <w:sz w:val="24"/>
          <w:szCs w:val="24"/>
        </w:rPr>
      </w:pPr>
    </w:p>
    <w:p w14:paraId="4965FD43" w14:textId="77777777" w:rsidR="00FD5BDC" w:rsidRPr="002855DB" w:rsidRDefault="00FD5BDC" w:rsidP="002855DB">
      <w:pPr>
        <w:spacing w:after="0" w:line="480" w:lineRule="auto"/>
        <w:contextualSpacing/>
        <w:jc w:val="center"/>
        <w:rPr>
          <w:rFonts w:ascii="Times New Roman" w:eastAsia="Times New Roman" w:hAnsi="Times New Roman" w:cs="Times New Roman"/>
          <w:b/>
          <w:sz w:val="24"/>
          <w:szCs w:val="24"/>
        </w:rPr>
      </w:pPr>
    </w:p>
    <w:p w14:paraId="68B1D8CA" w14:textId="77777777" w:rsidR="00FD5BDC" w:rsidRPr="002855DB" w:rsidRDefault="00FD5BDC" w:rsidP="002855DB">
      <w:pPr>
        <w:spacing w:after="0" w:line="480" w:lineRule="auto"/>
        <w:contextualSpacing/>
        <w:jc w:val="center"/>
        <w:rPr>
          <w:rFonts w:ascii="Times New Roman" w:eastAsia="Times New Roman" w:hAnsi="Times New Roman" w:cs="Times New Roman"/>
          <w:b/>
          <w:sz w:val="24"/>
          <w:szCs w:val="24"/>
        </w:rPr>
      </w:pPr>
    </w:p>
    <w:p w14:paraId="09D6BB57" w14:textId="77777777" w:rsidR="00FD5BDC" w:rsidRPr="002855DB" w:rsidRDefault="00FD5BDC" w:rsidP="002855DB">
      <w:pPr>
        <w:spacing w:after="0" w:line="480" w:lineRule="auto"/>
        <w:contextualSpacing/>
        <w:jc w:val="center"/>
        <w:rPr>
          <w:rFonts w:ascii="Times New Roman" w:eastAsia="Times New Roman" w:hAnsi="Times New Roman" w:cs="Times New Roman"/>
          <w:b/>
          <w:sz w:val="24"/>
          <w:szCs w:val="24"/>
        </w:rPr>
      </w:pPr>
    </w:p>
    <w:p w14:paraId="0DDDB90C" w14:textId="77777777" w:rsidR="00FD5BDC" w:rsidRPr="00B65333" w:rsidRDefault="00FD5BDC" w:rsidP="002855DB">
      <w:pPr>
        <w:spacing w:after="0" w:line="480" w:lineRule="auto"/>
        <w:contextualSpacing/>
        <w:jc w:val="center"/>
        <w:rPr>
          <w:rFonts w:ascii="Arial" w:eastAsia="Times New Roman" w:hAnsi="Arial" w:cs="Arial"/>
        </w:rPr>
      </w:pPr>
      <w:r w:rsidRPr="00B65333">
        <w:rPr>
          <w:rFonts w:ascii="Arial" w:eastAsia="Times New Roman" w:hAnsi="Arial" w:cs="Arial"/>
          <w:b/>
        </w:rPr>
        <w:t>IMPROVING SAFETY AND CONTINUITY OF CARE AFTER HIP REPLACEMENT: COMMUNICATION, ADMINISTRATION AND MULTI-AGENCY COLLABORATION IN THE CARE OF MRS MANN</w:t>
      </w:r>
    </w:p>
    <w:p w14:paraId="0E10BCEE" w14:textId="77777777" w:rsidR="00FD5BDC" w:rsidRPr="00B65333" w:rsidRDefault="00FD5BDC" w:rsidP="002855DB">
      <w:pPr>
        <w:spacing w:after="0" w:line="480" w:lineRule="auto"/>
        <w:contextualSpacing/>
        <w:jc w:val="center"/>
        <w:rPr>
          <w:rFonts w:ascii="Arial" w:eastAsia="Times New Roman" w:hAnsi="Arial" w:cs="Arial"/>
        </w:rPr>
      </w:pPr>
    </w:p>
    <w:p w14:paraId="332CB973" w14:textId="77777777" w:rsidR="00FD5BDC" w:rsidRPr="00B65333" w:rsidRDefault="00FD5BDC" w:rsidP="002855DB">
      <w:pPr>
        <w:spacing w:after="0" w:line="480" w:lineRule="auto"/>
        <w:contextualSpacing/>
        <w:jc w:val="center"/>
        <w:rPr>
          <w:rFonts w:ascii="Arial" w:eastAsia="Times New Roman" w:hAnsi="Arial" w:cs="Arial"/>
        </w:rPr>
      </w:pPr>
    </w:p>
    <w:p w14:paraId="55D33316" w14:textId="77777777" w:rsidR="00FD5BDC" w:rsidRPr="00B65333" w:rsidRDefault="00FD5BDC" w:rsidP="002855DB">
      <w:pPr>
        <w:spacing w:after="0" w:line="480" w:lineRule="auto"/>
        <w:contextualSpacing/>
        <w:jc w:val="center"/>
        <w:rPr>
          <w:rFonts w:ascii="Arial" w:eastAsia="Times New Roman" w:hAnsi="Arial" w:cs="Arial"/>
        </w:rPr>
      </w:pPr>
    </w:p>
    <w:p w14:paraId="225BC9AE" w14:textId="77777777" w:rsidR="00FD5BDC" w:rsidRPr="00B65333" w:rsidRDefault="00FD5BDC" w:rsidP="002855DB">
      <w:pPr>
        <w:spacing w:after="0" w:line="480" w:lineRule="auto"/>
        <w:contextualSpacing/>
        <w:jc w:val="center"/>
        <w:rPr>
          <w:rFonts w:ascii="Arial" w:eastAsia="Times New Roman" w:hAnsi="Arial" w:cs="Arial"/>
        </w:rPr>
      </w:pPr>
    </w:p>
    <w:p w14:paraId="3654E743" w14:textId="6E0AF00A" w:rsidR="00FD5BDC" w:rsidRDefault="00B65333" w:rsidP="002855DB">
      <w:pPr>
        <w:spacing w:after="0" w:line="480" w:lineRule="auto"/>
        <w:contextualSpacing/>
        <w:jc w:val="center"/>
        <w:rPr>
          <w:rFonts w:ascii="Arial" w:eastAsia="Times New Roman" w:hAnsi="Arial" w:cs="Arial"/>
        </w:rPr>
      </w:pPr>
      <w:r>
        <w:rPr>
          <w:rFonts w:ascii="Arial" w:eastAsia="Times New Roman" w:hAnsi="Arial" w:cs="Arial"/>
        </w:rPr>
        <w:t xml:space="preserve">Shukri Abdulkadir Omar </w:t>
      </w:r>
    </w:p>
    <w:p w14:paraId="1BBBE869" w14:textId="224018F9" w:rsidR="00B65333" w:rsidRPr="00B65333" w:rsidRDefault="00B65333" w:rsidP="002855DB">
      <w:pPr>
        <w:spacing w:after="0" w:line="480" w:lineRule="auto"/>
        <w:contextualSpacing/>
        <w:jc w:val="center"/>
        <w:rPr>
          <w:rFonts w:ascii="Arial" w:eastAsia="Times New Roman" w:hAnsi="Arial" w:cs="Arial"/>
        </w:rPr>
      </w:pPr>
      <w:r>
        <w:rPr>
          <w:rFonts w:ascii="Arial" w:eastAsia="Times New Roman" w:hAnsi="Arial" w:cs="Arial"/>
        </w:rPr>
        <w:t>2441430</w:t>
      </w:r>
    </w:p>
    <w:p w14:paraId="7238C104" w14:textId="77777777" w:rsidR="00FD5BDC" w:rsidRPr="00B65333" w:rsidRDefault="00FD5BDC" w:rsidP="002855DB">
      <w:pPr>
        <w:spacing w:after="0" w:line="480" w:lineRule="auto"/>
        <w:contextualSpacing/>
        <w:jc w:val="center"/>
        <w:rPr>
          <w:rFonts w:ascii="Arial" w:eastAsia="Times New Roman" w:hAnsi="Arial" w:cs="Arial"/>
        </w:rPr>
      </w:pPr>
    </w:p>
    <w:p w14:paraId="0651A1D4" w14:textId="77777777" w:rsidR="00FD5BDC" w:rsidRPr="00B65333" w:rsidRDefault="00FD5BDC" w:rsidP="002855DB">
      <w:pPr>
        <w:spacing w:after="0" w:line="480" w:lineRule="auto"/>
        <w:contextualSpacing/>
        <w:jc w:val="center"/>
        <w:rPr>
          <w:rFonts w:ascii="Arial" w:eastAsia="Times New Roman" w:hAnsi="Arial" w:cs="Arial"/>
        </w:rPr>
      </w:pPr>
    </w:p>
    <w:p w14:paraId="04BA00BC" w14:textId="77777777" w:rsidR="00FD5BDC" w:rsidRPr="00B65333" w:rsidRDefault="00FD5BDC" w:rsidP="002855DB">
      <w:pPr>
        <w:spacing w:after="0" w:line="480" w:lineRule="auto"/>
        <w:contextualSpacing/>
        <w:jc w:val="center"/>
        <w:rPr>
          <w:rFonts w:ascii="Arial" w:eastAsia="Times New Roman" w:hAnsi="Arial" w:cs="Arial"/>
        </w:rPr>
      </w:pPr>
    </w:p>
    <w:p w14:paraId="6EBAE10B" w14:textId="77777777" w:rsidR="00FD5BDC" w:rsidRPr="00B65333" w:rsidRDefault="00FD5BDC" w:rsidP="002855DB">
      <w:pPr>
        <w:spacing w:after="0" w:line="480" w:lineRule="auto"/>
        <w:contextualSpacing/>
        <w:jc w:val="center"/>
        <w:rPr>
          <w:rFonts w:ascii="Arial" w:eastAsia="Times New Roman" w:hAnsi="Arial" w:cs="Arial"/>
        </w:rPr>
      </w:pPr>
    </w:p>
    <w:p w14:paraId="12585E68" w14:textId="7C50D5FE" w:rsidR="00FD5BDC" w:rsidRPr="00B65333" w:rsidRDefault="00B65333" w:rsidP="002855DB">
      <w:pPr>
        <w:spacing w:after="0" w:line="480" w:lineRule="auto"/>
        <w:contextualSpacing/>
        <w:jc w:val="center"/>
        <w:rPr>
          <w:rFonts w:ascii="Arial" w:eastAsia="Times New Roman" w:hAnsi="Arial" w:cs="Arial"/>
        </w:rPr>
      </w:pPr>
      <w:r>
        <w:rPr>
          <w:rFonts w:ascii="Arial" w:eastAsia="Times New Roman" w:hAnsi="Arial" w:cs="Arial"/>
        </w:rPr>
        <w:t>LCHS4003</w:t>
      </w:r>
    </w:p>
    <w:p w14:paraId="23BB9350" w14:textId="77777777" w:rsidR="00B65333" w:rsidRDefault="00B65333" w:rsidP="002855DB">
      <w:pPr>
        <w:spacing w:after="0" w:line="480" w:lineRule="auto"/>
        <w:contextualSpacing/>
        <w:jc w:val="center"/>
        <w:rPr>
          <w:rFonts w:ascii="Arial" w:eastAsia="Times New Roman" w:hAnsi="Arial" w:cs="Arial"/>
        </w:rPr>
      </w:pPr>
      <w:r>
        <w:rPr>
          <w:rFonts w:ascii="Arial" w:eastAsia="Times New Roman" w:hAnsi="Arial" w:cs="Arial"/>
        </w:rPr>
        <w:t>Ping Wu</w:t>
      </w:r>
    </w:p>
    <w:p w14:paraId="56400132" w14:textId="77777777" w:rsidR="00B65333" w:rsidRDefault="00B65333" w:rsidP="002855DB">
      <w:pPr>
        <w:spacing w:after="0" w:line="480" w:lineRule="auto"/>
        <w:contextualSpacing/>
        <w:jc w:val="center"/>
        <w:rPr>
          <w:rFonts w:ascii="Arial" w:eastAsia="Times New Roman" w:hAnsi="Arial" w:cs="Arial"/>
        </w:rPr>
      </w:pPr>
    </w:p>
    <w:p w14:paraId="0EC63C74" w14:textId="77777777" w:rsidR="00FD5BDC" w:rsidRPr="00B65333" w:rsidRDefault="00FD5BDC" w:rsidP="002855DB">
      <w:pPr>
        <w:spacing w:after="0" w:line="480" w:lineRule="auto"/>
        <w:contextualSpacing/>
        <w:rPr>
          <w:rFonts w:ascii="Arial" w:eastAsia="Times New Roman" w:hAnsi="Arial" w:cs="Arial"/>
          <w:b/>
        </w:rPr>
      </w:pPr>
      <w:r w:rsidRPr="00B65333">
        <w:rPr>
          <w:rFonts w:ascii="Arial" w:eastAsia="Times New Roman" w:hAnsi="Arial" w:cs="Arial"/>
          <w:b/>
        </w:rPr>
        <w:br w:type="page"/>
      </w:r>
    </w:p>
    <w:p w14:paraId="6609D69A" w14:textId="77777777" w:rsidR="00C915A0" w:rsidRPr="00B65333" w:rsidRDefault="00C915A0" w:rsidP="002855DB">
      <w:pPr>
        <w:spacing w:after="0" w:line="480" w:lineRule="auto"/>
        <w:contextualSpacing/>
        <w:jc w:val="center"/>
        <w:rPr>
          <w:rFonts w:ascii="Arial" w:eastAsia="Times New Roman" w:hAnsi="Arial" w:cs="Arial"/>
          <w:b/>
        </w:rPr>
      </w:pPr>
      <w:r w:rsidRPr="00B65333">
        <w:rPr>
          <w:rFonts w:ascii="Arial" w:eastAsia="Times New Roman" w:hAnsi="Arial" w:cs="Arial"/>
          <w:b/>
        </w:rPr>
        <w:lastRenderedPageBreak/>
        <w:t xml:space="preserve">Improving Safety and Continuity of Care after Hip Replacement: Communication, Administration and Multi-agency Collaboration in the Care of </w:t>
      </w:r>
      <w:proofErr w:type="spellStart"/>
      <w:r w:rsidRPr="00B65333">
        <w:rPr>
          <w:rFonts w:ascii="Arial" w:eastAsia="Times New Roman" w:hAnsi="Arial" w:cs="Arial"/>
          <w:b/>
        </w:rPr>
        <w:t>Mrs</w:t>
      </w:r>
      <w:proofErr w:type="spellEnd"/>
      <w:r w:rsidRPr="00B65333">
        <w:rPr>
          <w:rFonts w:ascii="Arial" w:eastAsia="Times New Roman" w:hAnsi="Arial" w:cs="Arial"/>
          <w:b/>
        </w:rPr>
        <w:t xml:space="preserve"> Mann</w:t>
      </w:r>
    </w:p>
    <w:p w14:paraId="227AAF15" w14:textId="77777777" w:rsidR="00C915A0" w:rsidRPr="00B65333" w:rsidRDefault="00C915A0" w:rsidP="002855DB">
      <w:pPr>
        <w:pStyle w:val="NormalWeb"/>
        <w:spacing w:before="0" w:beforeAutospacing="0" w:after="0" w:afterAutospacing="0" w:line="480" w:lineRule="auto"/>
        <w:contextualSpacing/>
        <w:rPr>
          <w:rFonts w:ascii="Arial" w:hAnsi="Arial" w:cs="Arial"/>
          <w:sz w:val="22"/>
          <w:szCs w:val="22"/>
        </w:rPr>
      </w:pPr>
      <w:r w:rsidRPr="00B65333">
        <w:rPr>
          <w:rStyle w:val="Strong"/>
          <w:rFonts w:ascii="Arial" w:hAnsi="Arial" w:cs="Arial"/>
          <w:sz w:val="22"/>
          <w:szCs w:val="22"/>
        </w:rPr>
        <w:t>Introduction</w:t>
      </w:r>
    </w:p>
    <w:p w14:paraId="579B8A00" w14:textId="68ABC17C" w:rsidR="00C915A0" w:rsidRPr="00B65333" w:rsidRDefault="000519A4" w:rsidP="00FD08CD">
      <w:pPr>
        <w:pStyle w:val="NormalWeb"/>
        <w:spacing w:before="0" w:beforeAutospacing="0" w:after="0" w:afterAutospacing="0" w:line="480" w:lineRule="auto"/>
        <w:ind w:firstLine="720"/>
        <w:contextualSpacing/>
        <w:rPr>
          <w:rFonts w:ascii="Arial" w:hAnsi="Arial" w:cs="Arial"/>
          <w:sz w:val="22"/>
          <w:szCs w:val="22"/>
        </w:rPr>
      </w:pPr>
      <w:proofErr w:type="spellStart"/>
      <w:r w:rsidRPr="00B65333">
        <w:rPr>
          <w:rFonts w:ascii="Arial" w:hAnsi="Arial" w:cs="Arial"/>
          <w:sz w:val="22"/>
          <w:szCs w:val="22"/>
        </w:rPr>
        <w:t>Mrs</w:t>
      </w:r>
      <w:proofErr w:type="spellEnd"/>
      <w:r w:rsidRPr="00B65333">
        <w:rPr>
          <w:rFonts w:ascii="Arial" w:hAnsi="Arial" w:cs="Arial"/>
          <w:sz w:val="22"/>
          <w:szCs w:val="22"/>
        </w:rPr>
        <w:t xml:space="preserve"> Mann is a 72-year-old recently discharged female who underwent hip replacement surgery. The patient is living alone, has domiciliary services twice a day, and is not proficient in English, speaking Urdu as her native language. Her daughter offers informal care and contacts with medical workers. Although multidisciplinary involvement was observed, there were concerns about inconsistent documentation and a slow medication adjustment, which indicated the weaknesses in communication, record-keeping, and care coordination. In this paper, the author believes that ineffective communication, poor administrative practices and fragmented multi-agency working are direct issues that undermine patient safety and recovery outcomes. It argues that risk and continuity of care can be greatly </w:t>
      </w:r>
      <w:proofErr w:type="spellStart"/>
      <w:r w:rsidR="00FD08CD" w:rsidRPr="00B65333">
        <w:rPr>
          <w:rFonts w:ascii="Arial" w:hAnsi="Arial" w:cs="Arial"/>
          <w:sz w:val="22"/>
          <w:szCs w:val="22"/>
        </w:rPr>
        <w:t>minimised</w:t>
      </w:r>
      <w:proofErr w:type="spellEnd"/>
      <w:r w:rsidR="00FD08CD" w:rsidRPr="00B65333">
        <w:rPr>
          <w:rFonts w:ascii="Arial" w:hAnsi="Arial" w:cs="Arial"/>
          <w:sz w:val="22"/>
          <w:szCs w:val="22"/>
        </w:rPr>
        <w:t xml:space="preserve"> </w:t>
      </w:r>
      <w:r w:rsidRPr="00B65333">
        <w:rPr>
          <w:rFonts w:ascii="Arial" w:hAnsi="Arial" w:cs="Arial"/>
          <w:sz w:val="22"/>
          <w:szCs w:val="22"/>
        </w:rPr>
        <w:t>using person-</w:t>
      </w:r>
      <w:proofErr w:type="spellStart"/>
      <w:r w:rsidRPr="00B65333">
        <w:rPr>
          <w:rFonts w:ascii="Arial" w:hAnsi="Arial" w:cs="Arial"/>
          <w:sz w:val="22"/>
          <w:szCs w:val="22"/>
        </w:rPr>
        <w:t>centred</w:t>
      </w:r>
      <w:proofErr w:type="spellEnd"/>
      <w:r w:rsidRPr="00B65333">
        <w:rPr>
          <w:rFonts w:ascii="Arial" w:hAnsi="Arial" w:cs="Arial"/>
          <w:sz w:val="22"/>
          <w:szCs w:val="22"/>
        </w:rPr>
        <w:t xml:space="preserve"> communication methods, effective and legal record-keeping mechanisms and well-</w:t>
      </w:r>
      <w:proofErr w:type="spellStart"/>
      <w:r w:rsidR="00FD08CD" w:rsidRPr="00B65333">
        <w:rPr>
          <w:rFonts w:ascii="Arial" w:hAnsi="Arial" w:cs="Arial"/>
          <w:sz w:val="22"/>
          <w:szCs w:val="22"/>
        </w:rPr>
        <w:t>organised</w:t>
      </w:r>
      <w:proofErr w:type="spellEnd"/>
      <w:r w:rsidR="00FD08CD" w:rsidRPr="00B65333">
        <w:rPr>
          <w:rFonts w:ascii="Arial" w:hAnsi="Arial" w:cs="Arial"/>
          <w:sz w:val="22"/>
          <w:szCs w:val="22"/>
        </w:rPr>
        <w:t xml:space="preserve"> </w:t>
      </w:r>
      <w:r w:rsidRPr="00B65333">
        <w:rPr>
          <w:rFonts w:ascii="Arial" w:hAnsi="Arial" w:cs="Arial"/>
          <w:sz w:val="22"/>
          <w:szCs w:val="22"/>
        </w:rPr>
        <w:t xml:space="preserve">interprofessional collaboration. It uses applicable UK laws and policies, such as the Equality Act 2010, the Data Protection Act 2018, the NHS Accessible Information Standard, NICE guidelines on joint replacement and Care Quality Commission (CQC) and Professional Records Standards Body (PRSB) standards, in a critical analysis of the care provided to </w:t>
      </w:r>
      <w:proofErr w:type="spellStart"/>
      <w:r w:rsidRPr="00B65333">
        <w:rPr>
          <w:rFonts w:ascii="Arial" w:hAnsi="Arial" w:cs="Arial"/>
          <w:sz w:val="22"/>
          <w:szCs w:val="22"/>
        </w:rPr>
        <w:t>Mrs</w:t>
      </w:r>
      <w:proofErr w:type="spellEnd"/>
      <w:r w:rsidRPr="00B65333">
        <w:rPr>
          <w:rFonts w:ascii="Arial" w:hAnsi="Arial" w:cs="Arial"/>
          <w:sz w:val="22"/>
          <w:szCs w:val="22"/>
        </w:rPr>
        <w:t xml:space="preserve"> Mann.</w:t>
      </w:r>
    </w:p>
    <w:p w14:paraId="050A05E2" w14:textId="77777777" w:rsidR="00C915A0" w:rsidRPr="00B65333" w:rsidRDefault="00C915A0" w:rsidP="002855DB">
      <w:pPr>
        <w:pStyle w:val="NormalWeb"/>
        <w:spacing w:before="0" w:beforeAutospacing="0" w:after="0" w:afterAutospacing="0" w:line="480" w:lineRule="auto"/>
        <w:contextualSpacing/>
        <w:rPr>
          <w:rFonts w:ascii="Arial" w:hAnsi="Arial" w:cs="Arial"/>
          <w:sz w:val="22"/>
          <w:szCs w:val="22"/>
        </w:rPr>
      </w:pPr>
      <w:r w:rsidRPr="00B65333">
        <w:rPr>
          <w:rStyle w:val="Strong"/>
          <w:rFonts w:ascii="Arial" w:hAnsi="Arial" w:cs="Arial"/>
          <w:sz w:val="22"/>
          <w:szCs w:val="22"/>
        </w:rPr>
        <w:t>Section 1: Effective Communication</w:t>
      </w:r>
    </w:p>
    <w:p w14:paraId="6C906772" w14:textId="110FF954" w:rsidR="009C340F" w:rsidRPr="00B65333" w:rsidRDefault="009C340F" w:rsidP="002855DB">
      <w:pPr>
        <w:spacing w:after="0" w:line="480" w:lineRule="auto"/>
        <w:ind w:firstLine="720"/>
        <w:contextualSpacing/>
        <w:rPr>
          <w:rFonts w:ascii="Arial" w:eastAsia="Times New Roman" w:hAnsi="Arial" w:cs="Arial"/>
        </w:rPr>
      </w:pPr>
      <w:r w:rsidRPr="00B65333">
        <w:rPr>
          <w:rFonts w:ascii="Arial" w:eastAsia="Times New Roman" w:hAnsi="Arial" w:cs="Arial"/>
        </w:rPr>
        <w:t>The key to safe and person-</w:t>
      </w:r>
      <w:proofErr w:type="spellStart"/>
      <w:r w:rsidRPr="00B65333">
        <w:rPr>
          <w:rFonts w:ascii="Arial" w:eastAsia="Times New Roman" w:hAnsi="Arial" w:cs="Arial"/>
        </w:rPr>
        <w:t>centred</w:t>
      </w:r>
      <w:proofErr w:type="spellEnd"/>
      <w:r w:rsidRPr="00B65333">
        <w:rPr>
          <w:rFonts w:ascii="Arial" w:eastAsia="Times New Roman" w:hAnsi="Arial" w:cs="Arial"/>
        </w:rPr>
        <w:t xml:space="preserve"> care is effective communication</w:t>
      </w:r>
      <w:r w:rsidR="00AE1AF4" w:rsidRPr="00B65333">
        <w:rPr>
          <w:rFonts w:ascii="Arial" w:eastAsia="Times New Roman" w:hAnsi="Arial" w:cs="Arial"/>
        </w:rPr>
        <w:t>,</w:t>
      </w:r>
      <w:r w:rsidRPr="00B65333">
        <w:rPr>
          <w:rFonts w:ascii="Arial" w:eastAsia="Times New Roman" w:hAnsi="Arial" w:cs="Arial"/>
        </w:rPr>
        <w:t xml:space="preserve"> which is especially important in the case of </w:t>
      </w:r>
      <w:proofErr w:type="spellStart"/>
      <w:r w:rsidRPr="00B65333">
        <w:rPr>
          <w:rFonts w:ascii="Arial" w:eastAsia="Times New Roman" w:hAnsi="Arial" w:cs="Arial"/>
        </w:rPr>
        <w:t>Mrs</w:t>
      </w:r>
      <w:proofErr w:type="spellEnd"/>
      <w:r w:rsidRPr="00B65333">
        <w:rPr>
          <w:rFonts w:ascii="Arial" w:eastAsia="Times New Roman" w:hAnsi="Arial" w:cs="Arial"/>
        </w:rPr>
        <w:t xml:space="preserve"> Mann. Her poor level of English</w:t>
      </w:r>
      <w:r w:rsidR="00AE1AF4" w:rsidRPr="00B65333">
        <w:rPr>
          <w:rFonts w:ascii="Arial" w:eastAsia="Times New Roman" w:hAnsi="Arial" w:cs="Arial"/>
        </w:rPr>
        <w:t>,</w:t>
      </w:r>
      <w:r w:rsidRPr="00B65333">
        <w:rPr>
          <w:rFonts w:ascii="Arial" w:eastAsia="Times New Roman" w:hAnsi="Arial" w:cs="Arial"/>
        </w:rPr>
        <w:t xml:space="preserve"> coupled with the presence of </w:t>
      </w:r>
      <w:proofErr w:type="gramStart"/>
      <w:r w:rsidRPr="00B65333">
        <w:rPr>
          <w:rFonts w:ascii="Arial" w:eastAsia="Times New Roman" w:hAnsi="Arial" w:cs="Arial"/>
        </w:rPr>
        <w:t>a number of</w:t>
      </w:r>
      <w:proofErr w:type="gramEnd"/>
      <w:r w:rsidRPr="00B65333">
        <w:rPr>
          <w:rFonts w:ascii="Arial" w:eastAsia="Times New Roman" w:hAnsi="Arial" w:cs="Arial"/>
        </w:rPr>
        <w:t xml:space="preserve"> professionals engaged in her post-operative care, posed a great threat of misinterpretation, disjointed information delivery and slow clinical decision-making. The fact that these communication needs were not met in an appropriate manner also led to the delayed medication adjustment and shows how communication failures can directly harm patient safety and recovery.</w:t>
      </w:r>
    </w:p>
    <w:p w14:paraId="7ADD7107" w14:textId="0C31D86F" w:rsidR="009C340F" w:rsidRPr="00B65333" w:rsidRDefault="009C340F" w:rsidP="002855DB">
      <w:pPr>
        <w:spacing w:after="0" w:line="480" w:lineRule="auto"/>
        <w:ind w:firstLine="720"/>
        <w:contextualSpacing/>
        <w:rPr>
          <w:rFonts w:ascii="Arial" w:eastAsia="Times New Roman" w:hAnsi="Arial" w:cs="Arial"/>
        </w:rPr>
      </w:pPr>
      <w:proofErr w:type="spellStart"/>
      <w:r w:rsidRPr="00B65333">
        <w:rPr>
          <w:rFonts w:ascii="Arial" w:eastAsia="Times New Roman" w:hAnsi="Arial" w:cs="Arial"/>
        </w:rPr>
        <w:t>Mrs</w:t>
      </w:r>
      <w:proofErr w:type="spellEnd"/>
      <w:r w:rsidRPr="00B65333">
        <w:rPr>
          <w:rFonts w:ascii="Arial" w:eastAsia="Times New Roman" w:hAnsi="Arial" w:cs="Arial"/>
        </w:rPr>
        <w:t xml:space="preserve"> Mann speaks Urdu as her mother tongue</w:t>
      </w:r>
      <w:r w:rsidR="00AE1AF4" w:rsidRPr="00B65333">
        <w:rPr>
          <w:rFonts w:ascii="Arial" w:eastAsia="Times New Roman" w:hAnsi="Arial" w:cs="Arial"/>
        </w:rPr>
        <w:t>,</w:t>
      </w:r>
      <w:r w:rsidRPr="00B65333">
        <w:rPr>
          <w:rFonts w:ascii="Arial" w:eastAsia="Times New Roman" w:hAnsi="Arial" w:cs="Arial"/>
        </w:rPr>
        <w:t xml:space="preserve"> and the proactive means of providing available information and relevant interpretation are needed. The NHS Accessible </w:t>
      </w:r>
      <w:r w:rsidRPr="00B65333">
        <w:rPr>
          <w:rFonts w:ascii="Arial" w:eastAsia="Times New Roman" w:hAnsi="Arial" w:cs="Arial"/>
        </w:rPr>
        <w:lastRenderedPageBreak/>
        <w:t xml:space="preserve">Information Standard imposes a distinct responsibility on the health and social care providers to diagnose, document, highlight, transmit and fulfil the demands of individuals in terms of communication in a steady way (NHS England, 2025). The absence of these measures enhances the risk of mistakes, lack of interest and </w:t>
      </w:r>
      <w:r w:rsidR="00AE1AF4" w:rsidRPr="00B65333">
        <w:rPr>
          <w:rFonts w:ascii="Arial" w:eastAsia="Times New Roman" w:hAnsi="Arial" w:cs="Arial"/>
        </w:rPr>
        <w:t>dis</w:t>
      </w:r>
      <w:r w:rsidRPr="00B65333">
        <w:rPr>
          <w:rFonts w:ascii="Arial" w:eastAsia="Times New Roman" w:hAnsi="Arial" w:cs="Arial"/>
        </w:rPr>
        <w:t xml:space="preserve">satisfaction with the treatment. Although family members, including the daughter of </w:t>
      </w:r>
      <w:proofErr w:type="spellStart"/>
      <w:r w:rsidRPr="00B65333">
        <w:rPr>
          <w:rFonts w:ascii="Arial" w:eastAsia="Times New Roman" w:hAnsi="Arial" w:cs="Arial"/>
        </w:rPr>
        <w:t>Mrs</w:t>
      </w:r>
      <w:proofErr w:type="spellEnd"/>
      <w:r w:rsidRPr="00B65333">
        <w:rPr>
          <w:rFonts w:ascii="Arial" w:eastAsia="Times New Roman" w:hAnsi="Arial" w:cs="Arial"/>
        </w:rPr>
        <w:t xml:space="preserve"> Mann, may help to gain an understanding, it is not recommended to rely on relatives to </w:t>
      </w:r>
      <w:r w:rsidR="00AE1AF4" w:rsidRPr="00B65333">
        <w:rPr>
          <w:rFonts w:ascii="Arial" w:eastAsia="Times New Roman" w:hAnsi="Arial" w:cs="Arial"/>
        </w:rPr>
        <w:t xml:space="preserve">communicate </w:t>
      </w:r>
      <w:r w:rsidRPr="00B65333">
        <w:rPr>
          <w:rFonts w:ascii="Arial" w:eastAsia="Times New Roman" w:hAnsi="Arial" w:cs="Arial"/>
        </w:rPr>
        <w:t>clinical information because of the risks associated with accuracy, consent and confidentiality. The reasonable adjustments that will facilitate communication are also enhanced by the revised NHS equality guidance that is related to the Equality Act, and it underlines that it is the legal and ethical duty to avoid disadvantage caused by the language barriers (NHS England, 2025).</w:t>
      </w:r>
    </w:p>
    <w:p w14:paraId="1C461A0C" w14:textId="4CBC3ABE" w:rsidR="00C915A0" w:rsidRPr="00B65333" w:rsidRDefault="009C340F" w:rsidP="002855DB">
      <w:pPr>
        <w:spacing w:after="0" w:line="480" w:lineRule="auto"/>
        <w:ind w:firstLine="720"/>
        <w:contextualSpacing/>
        <w:rPr>
          <w:rFonts w:ascii="Arial" w:eastAsia="Times New Roman" w:hAnsi="Arial" w:cs="Arial"/>
        </w:rPr>
      </w:pPr>
      <w:r w:rsidRPr="00B65333">
        <w:rPr>
          <w:rFonts w:ascii="Arial" w:eastAsia="Times New Roman" w:hAnsi="Arial" w:cs="Arial"/>
        </w:rPr>
        <w:t xml:space="preserve">In this case, a two-way communication strategy should be used. The </w:t>
      </w:r>
      <w:proofErr w:type="spellStart"/>
      <w:r w:rsidRPr="00B65333">
        <w:rPr>
          <w:rFonts w:ascii="Arial" w:eastAsia="Times New Roman" w:hAnsi="Arial" w:cs="Arial"/>
        </w:rPr>
        <w:t>personalised</w:t>
      </w:r>
      <w:proofErr w:type="spellEnd"/>
      <w:r w:rsidRPr="00B65333">
        <w:rPr>
          <w:rFonts w:ascii="Arial" w:eastAsia="Times New Roman" w:hAnsi="Arial" w:cs="Arial"/>
        </w:rPr>
        <w:t xml:space="preserve"> communication approach will make sure that the details regarding medication, rehabilitation ambitions and recuperation </w:t>
      </w:r>
      <w:r w:rsidR="00AE1AF4" w:rsidRPr="00B65333">
        <w:rPr>
          <w:rFonts w:ascii="Arial" w:eastAsia="Times New Roman" w:hAnsi="Arial" w:cs="Arial"/>
        </w:rPr>
        <w:t xml:space="preserve">expectations </w:t>
      </w:r>
      <w:r w:rsidRPr="00B65333">
        <w:rPr>
          <w:rFonts w:ascii="Arial" w:eastAsia="Times New Roman" w:hAnsi="Arial" w:cs="Arial"/>
        </w:rPr>
        <w:t xml:space="preserve">are presented in a manner that is sensitive to the cultural background, inclinations and understanding of </w:t>
      </w:r>
      <w:proofErr w:type="spellStart"/>
      <w:r w:rsidRPr="00B65333">
        <w:rPr>
          <w:rFonts w:ascii="Arial" w:eastAsia="Times New Roman" w:hAnsi="Arial" w:cs="Arial"/>
        </w:rPr>
        <w:t>Mrs</w:t>
      </w:r>
      <w:proofErr w:type="spellEnd"/>
      <w:r w:rsidRPr="00B65333">
        <w:rPr>
          <w:rFonts w:ascii="Arial" w:eastAsia="Times New Roman" w:hAnsi="Arial" w:cs="Arial"/>
        </w:rPr>
        <w:t xml:space="preserve"> Mann (Kwame and </w:t>
      </w:r>
      <w:proofErr w:type="spellStart"/>
      <w:r w:rsidRPr="00B65333">
        <w:rPr>
          <w:rFonts w:ascii="Arial" w:eastAsia="Times New Roman" w:hAnsi="Arial" w:cs="Arial"/>
        </w:rPr>
        <w:t>Petrucka</w:t>
      </w:r>
      <w:proofErr w:type="spellEnd"/>
      <w:r w:rsidRPr="00B65333">
        <w:rPr>
          <w:rFonts w:ascii="Arial" w:eastAsia="Times New Roman" w:hAnsi="Arial" w:cs="Arial"/>
        </w:rPr>
        <w:t>, 2021). It has been proven that person-</w:t>
      </w:r>
      <w:proofErr w:type="spellStart"/>
      <w:r w:rsidRPr="00B65333">
        <w:rPr>
          <w:rFonts w:ascii="Arial" w:eastAsia="Times New Roman" w:hAnsi="Arial" w:cs="Arial"/>
        </w:rPr>
        <w:t>centred</w:t>
      </w:r>
      <w:proofErr w:type="spellEnd"/>
      <w:r w:rsidRPr="00B65333">
        <w:rPr>
          <w:rFonts w:ascii="Arial" w:eastAsia="Times New Roman" w:hAnsi="Arial" w:cs="Arial"/>
        </w:rPr>
        <w:t xml:space="preserve"> practices enhance trust, shared decision-making and treatment adherence, especially in older adults with complex needs (</w:t>
      </w:r>
      <w:proofErr w:type="spellStart"/>
      <w:r w:rsidRPr="00B65333">
        <w:rPr>
          <w:rFonts w:ascii="Arial" w:eastAsia="Times New Roman" w:hAnsi="Arial" w:cs="Arial"/>
        </w:rPr>
        <w:t>Halamová</w:t>
      </w:r>
      <w:proofErr w:type="spellEnd"/>
      <w:r w:rsidRPr="00B65333">
        <w:rPr>
          <w:rFonts w:ascii="Arial" w:eastAsia="Times New Roman" w:hAnsi="Arial" w:cs="Arial"/>
        </w:rPr>
        <w:t xml:space="preserve"> et al., 2025). Simultaneously, the SBAR (Situation–Background–Assessment-Recommendation) framework offers </w:t>
      </w:r>
      <w:r w:rsidR="00AE1AF4" w:rsidRPr="00B65333">
        <w:rPr>
          <w:rFonts w:ascii="Arial" w:eastAsia="Times New Roman" w:hAnsi="Arial" w:cs="Arial"/>
        </w:rPr>
        <w:t xml:space="preserve">a </w:t>
      </w:r>
      <w:proofErr w:type="spellStart"/>
      <w:r w:rsidR="00AE1AF4" w:rsidRPr="00B65333">
        <w:rPr>
          <w:rFonts w:ascii="Arial" w:eastAsia="Times New Roman" w:hAnsi="Arial" w:cs="Arial"/>
        </w:rPr>
        <w:t>professionalised</w:t>
      </w:r>
      <w:proofErr w:type="spellEnd"/>
      <w:r w:rsidR="00AE1AF4" w:rsidRPr="00B65333">
        <w:rPr>
          <w:rFonts w:ascii="Arial" w:eastAsia="Times New Roman" w:hAnsi="Arial" w:cs="Arial"/>
        </w:rPr>
        <w:t xml:space="preserve"> </w:t>
      </w:r>
      <w:r w:rsidRPr="00B65333">
        <w:rPr>
          <w:rFonts w:ascii="Arial" w:eastAsia="Times New Roman" w:hAnsi="Arial" w:cs="Arial"/>
        </w:rPr>
        <w:t xml:space="preserve">approach to professional handovers between domiciliary care providers, the GP and the community physiotherapist. SBAR is demonstrated to decrease the information loss during care transfers and potentially </w:t>
      </w:r>
      <w:r w:rsidR="00AE1AF4" w:rsidRPr="00B65333">
        <w:rPr>
          <w:rFonts w:ascii="Arial" w:eastAsia="Times New Roman" w:hAnsi="Arial" w:cs="Arial"/>
        </w:rPr>
        <w:t xml:space="preserve">identify </w:t>
      </w:r>
      <w:r w:rsidRPr="00B65333">
        <w:rPr>
          <w:rFonts w:ascii="Arial" w:eastAsia="Times New Roman" w:hAnsi="Arial" w:cs="Arial"/>
        </w:rPr>
        <w:t>medication issues at an earlier stage, avoiding unnecessary delay (Pinto et al., 2024).</w:t>
      </w:r>
    </w:p>
    <w:p w14:paraId="4862059E" w14:textId="6C26654F" w:rsidR="0084768E" w:rsidRPr="00B65333" w:rsidRDefault="0084768E" w:rsidP="002855DB">
      <w:pPr>
        <w:spacing w:after="0" w:line="480" w:lineRule="auto"/>
        <w:ind w:firstLine="720"/>
        <w:contextualSpacing/>
        <w:rPr>
          <w:rFonts w:ascii="Arial" w:hAnsi="Arial" w:cs="Arial"/>
        </w:rPr>
      </w:pPr>
      <w:r w:rsidRPr="00B65333">
        <w:rPr>
          <w:rFonts w:ascii="Arial" w:hAnsi="Arial" w:cs="Arial"/>
        </w:rPr>
        <w:t xml:space="preserve">The connection between language barriers and patient safety is long known. The recent data </w:t>
      </w:r>
      <w:r w:rsidR="00AE1AF4" w:rsidRPr="00B65333">
        <w:rPr>
          <w:rFonts w:ascii="Arial" w:hAnsi="Arial" w:cs="Arial"/>
        </w:rPr>
        <w:t xml:space="preserve">have </w:t>
      </w:r>
      <w:r w:rsidRPr="00B65333">
        <w:rPr>
          <w:rFonts w:ascii="Arial" w:hAnsi="Arial" w:cs="Arial"/>
        </w:rPr>
        <w:t>shown that limited-English proficiency correlates with increased adverse events, medication errors</w:t>
      </w:r>
      <w:r w:rsidR="00AE1AF4" w:rsidRPr="00B65333">
        <w:rPr>
          <w:rFonts w:ascii="Arial" w:hAnsi="Arial" w:cs="Arial"/>
        </w:rPr>
        <w:t>,</w:t>
      </w:r>
      <w:r w:rsidRPr="00B65333">
        <w:rPr>
          <w:rFonts w:ascii="Arial" w:hAnsi="Arial" w:cs="Arial"/>
        </w:rPr>
        <w:t xml:space="preserve"> with worse health outcomes (Twersky et al., 2024). These risks can be greatly mitigated by </w:t>
      </w:r>
      <w:r w:rsidR="00AE1AF4" w:rsidRPr="00B65333">
        <w:rPr>
          <w:rFonts w:ascii="Arial" w:hAnsi="Arial" w:cs="Arial"/>
        </w:rPr>
        <w:t xml:space="preserve">the </w:t>
      </w:r>
      <w:r w:rsidRPr="00B65333">
        <w:rPr>
          <w:rFonts w:ascii="Arial" w:hAnsi="Arial" w:cs="Arial"/>
        </w:rPr>
        <w:t>planned use of trained interpreters and written material in translated form.</w:t>
      </w:r>
    </w:p>
    <w:p w14:paraId="737E4E45" w14:textId="77777777" w:rsidR="00C915A0" w:rsidRPr="00B65333" w:rsidRDefault="0084768E" w:rsidP="002855DB">
      <w:pPr>
        <w:spacing w:after="0" w:line="480" w:lineRule="auto"/>
        <w:ind w:firstLine="720"/>
        <w:contextualSpacing/>
        <w:rPr>
          <w:rFonts w:ascii="Arial" w:eastAsia="Times New Roman" w:hAnsi="Arial" w:cs="Arial"/>
        </w:rPr>
      </w:pPr>
      <w:r w:rsidRPr="00B65333">
        <w:rPr>
          <w:rFonts w:ascii="Arial" w:hAnsi="Arial" w:cs="Arial"/>
        </w:rPr>
        <w:lastRenderedPageBreak/>
        <w:t xml:space="preserve">Practically, it may be possible to enhance communication through the Accessible Information Standard in all contacts, having trained interpreters to discuss clinical matters, using SBAR in every handover, and recording the communication preferences of </w:t>
      </w:r>
      <w:proofErr w:type="spellStart"/>
      <w:r w:rsidRPr="00B65333">
        <w:rPr>
          <w:rFonts w:ascii="Arial" w:hAnsi="Arial" w:cs="Arial"/>
        </w:rPr>
        <w:t>Mrs</w:t>
      </w:r>
      <w:proofErr w:type="spellEnd"/>
      <w:r w:rsidRPr="00B65333">
        <w:rPr>
          <w:rFonts w:ascii="Arial" w:hAnsi="Arial" w:cs="Arial"/>
        </w:rPr>
        <w:t xml:space="preserve"> Mann in her care records so that continuity across services is ensured (NHS England, 2025; Shrivastava et al., 2025).</w:t>
      </w:r>
    </w:p>
    <w:p w14:paraId="4F8D9F08" w14:textId="77777777" w:rsidR="00C915A0" w:rsidRPr="00B65333" w:rsidRDefault="00C915A0" w:rsidP="002855DB">
      <w:pPr>
        <w:pStyle w:val="NormalWeb"/>
        <w:spacing w:before="0" w:beforeAutospacing="0" w:after="0" w:afterAutospacing="0" w:line="480" w:lineRule="auto"/>
        <w:contextualSpacing/>
        <w:rPr>
          <w:rFonts w:ascii="Arial" w:hAnsi="Arial" w:cs="Arial"/>
          <w:sz w:val="22"/>
          <w:szCs w:val="22"/>
        </w:rPr>
      </w:pPr>
      <w:r w:rsidRPr="00B65333">
        <w:rPr>
          <w:rStyle w:val="Strong"/>
          <w:rFonts w:ascii="Arial" w:hAnsi="Arial" w:cs="Arial"/>
          <w:sz w:val="22"/>
          <w:szCs w:val="22"/>
        </w:rPr>
        <w:t>Section 2: Administrative Skills and Record-Keeping</w:t>
      </w:r>
    </w:p>
    <w:p w14:paraId="071ADA64" w14:textId="0EA25C1F" w:rsidR="0001395F" w:rsidRPr="00B65333" w:rsidRDefault="0001395F" w:rsidP="002855DB">
      <w:pPr>
        <w:spacing w:after="0" w:line="480" w:lineRule="auto"/>
        <w:ind w:firstLine="720"/>
        <w:contextualSpacing/>
        <w:rPr>
          <w:rFonts w:ascii="Arial" w:eastAsia="Times New Roman" w:hAnsi="Arial" w:cs="Arial"/>
        </w:rPr>
      </w:pPr>
      <w:r w:rsidRPr="00B65333">
        <w:rPr>
          <w:rFonts w:ascii="Arial" w:eastAsia="Times New Roman" w:hAnsi="Arial" w:cs="Arial"/>
        </w:rPr>
        <w:t xml:space="preserve">Patient safety, continuity of care and professional accountability are essential to effective administrative practice and accurate record-keeping. The incomplete and inconsistent documentation in the case of </w:t>
      </w:r>
      <w:proofErr w:type="spellStart"/>
      <w:r w:rsidRPr="00B65333">
        <w:rPr>
          <w:rFonts w:ascii="Arial" w:eastAsia="Times New Roman" w:hAnsi="Arial" w:cs="Arial"/>
        </w:rPr>
        <w:t>Mrs</w:t>
      </w:r>
      <w:proofErr w:type="spellEnd"/>
      <w:r w:rsidRPr="00B65333">
        <w:rPr>
          <w:rFonts w:ascii="Arial" w:eastAsia="Times New Roman" w:hAnsi="Arial" w:cs="Arial"/>
        </w:rPr>
        <w:t xml:space="preserve"> Mann resulted in major information gaps that slowed down the process of making changes to medications and created confusion with the responsibility assignments between professionals. These malfunctions directly threaten the well</w:t>
      </w:r>
      <w:r w:rsidR="00AE1AF4" w:rsidRPr="00B65333">
        <w:rPr>
          <w:rFonts w:ascii="Arial" w:eastAsia="Times New Roman" w:hAnsi="Arial" w:cs="Arial"/>
        </w:rPr>
        <w:t>-</w:t>
      </w:r>
      <w:r w:rsidRPr="00B65333">
        <w:rPr>
          <w:rFonts w:ascii="Arial" w:eastAsia="Times New Roman" w:hAnsi="Arial" w:cs="Arial"/>
        </w:rPr>
        <w:t>being of patients and do not meet the anticipated legal and professional standards in the UK health and social care.</w:t>
      </w:r>
    </w:p>
    <w:p w14:paraId="2C38D1B2" w14:textId="77777777" w:rsidR="0001395F" w:rsidRPr="00B65333" w:rsidRDefault="0001395F" w:rsidP="002855DB">
      <w:pPr>
        <w:spacing w:after="0" w:line="480" w:lineRule="auto"/>
        <w:ind w:firstLine="720"/>
        <w:contextualSpacing/>
        <w:rPr>
          <w:rFonts w:ascii="Arial" w:eastAsia="Times New Roman" w:hAnsi="Arial" w:cs="Arial"/>
        </w:rPr>
      </w:pPr>
      <w:r w:rsidRPr="00B65333">
        <w:rPr>
          <w:rFonts w:ascii="Arial" w:eastAsia="Times New Roman" w:hAnsi="Arial" w:cs="Arial"/>
        </w:rPr>
        <w:t xml:space="preserve">The statutory responsibility of health and social care providers is to ensure that their records are accurate, up to date, clear and accessible to the </w:t>
      </w:r>
      <w:proofErr w:type="spellStart"/>
      <w:r w:rsidRPr="00B65333">
        <w:rPr>
          <w:rFonts w:ascii="Arial" w:eastAsia="Times New Roman" w:hAnsi="Arial" w:cs="Arial"/>
        </w:rPr>
        <w:t>authorised</w:t>
      </w:r>
      <w:proofErr w:type="spellEnd"/>
      <w:r w:rsidRPr="00B65333">
        <w:rPr>
          <w:rFonts w:ascii="Arial" w:eastAsia="Times New Roman" w:hAnsi="Arial" w:cs="Arial"/>
        </w:rPr>
        <w:t xml:space="preserve"> professionals. The UK GDPR and Data Protection Act 2018 state that personal health information should be handled in a manner that is lawful, safe and shared to facilitate the provision of safe care (NHS England, 2024). Simultaneously, the Care Quality Commission (CQC) and the Professional Records Standards Body (PRSB) establish articulate anticipations of contemporary, person-</w:t>
      </w:r>
      <w:proofErr w:type="spellStart"/>
      <w:r w:rsidRPr="00B65333">
        <w:rPr>
          <w:rFonts w:ascii="Arial" w:eastAsia="Times New Roman" w:hAnsi="Arial" w:cs="Arial"/>
        </w:rPr>
        <w:t>centred</w:t>
      </w:r>
      <w:proofErr w:type="spellEnd"/>
      <w:r w:rsidRPr="00B65333">
        <w:rPr>
          <w:rFonts w:ascii="Arial" w:eastAsia="Times New Roman" w:hAnsi="Arial" w:cs="Arial"/>
        </w:rPr>
        <w:t xml:space="preserve"> and integrated record-keeping across services (Care Quality Commission, 2024). The fact that documentation in relation to medication changes and physiotherapy input is missing in the case of </w:t>
      </w:r>
      <w:proofErr w:type="spellStart"/>
      <w:r w:rsidRPr="00B65333">
        <w:rPr>
          <w:rFonts w:ascii="Arial" w:eastAsia="Times New Roman" w:hAnsi="Arial" w:cs="Arial"/>
        </w:rPr>
        <w:t>Mrs</w:t>
      </w:r>
      <w:proofErr w:type="spellEnd"/>
      <w:r w:rsidRPr="00B65333">
        <w:rPr>
          <w:rFonts w:ascii="Arial" w:eastAsia="Times New Roman" w:hAnsi="Arial" w:cs="Arial"/>
        </w:rPr>
        <w:t xml:space="preserve"> Mann indicates that they did not achieve these standards, which raises the chances of being overlooked when transferring care.</w:t>
      </w:r>
    </w:p>
    <w:p w14:paraId="1AD16951" w14:textId="3FFA62BD" w:rsidR="0001395F" w:rsidRPr="00B65333" w:rsidRDefault="0001395F" w:rsidP="002855DB">
      <w:pPr>
        <w:spacing w:after="0" w:line="480" w:lineRule="auto"/>
        <w:ind w:firstLine="720"/>
        <w:contextualSpacing/>
        <w:rPr>
          <w:rFonts w:ascii="Arial" w:eastAsia="Times New Roman" w:hAnsi="Arial" w:cs="Arial"/>
        </w:rPr>
      </w:pPr>
      <w:r w:rsidRPr="00B65333">
        <w:rPr>
          <w:rFonts w:ascii="Arial" w:eastAsia="Times New Roman" w:hAnsi="Arial" w:cs="Arial"/>
        </w:rPr>
        <w:t xml:space="preserve">Poor documentation is closely related </w:t>
      </w:r>
      <w:r w:rsidR="00AE1AF4" w:rsidRPr="00B65333">
        <w:rPr>
          <w:rFonts w:ascii="Arial" w:eastAsia="Times New Roman" w:hAnsi="Arial" w:cs="Arial"/>
        </w:rPr>
        <w:t xml:space="preserve">to </w:t>
      </w:r>
      <w:r w:rsidRPr="00B65333">
        <w:rPr>
          <w:rFonts w:ascii="Arial" w:eastAsia="Times New Roman" w:hAnsi="Arial" w:cs="Arial"/>
        </w:rPr>
        <w:t>medication discrepancies</w:t>
      </w:r>
      <w:r w:rsidR="00AE1AF4" w:rsidRPr="00B65333">
        <w:rPr>
          <w:rFonts w:ascii="Arial" w:eastAsia="Times New Roman" w:hAnsi="Arial" w:cs="Arial"/>
        </w:rPr>
        <w:t>,</w:t>
      </w:r>
      <w:r w:rsidRPr="00B65333">
        <w:rPr>
          <w:rFonts w:ascii="Arial" w:eastAsia="Times New Roman" w:hAnsi="Arial" w:cs="Arial"/>
        </w:rPr>
        <w:t xml:space="preserve"> mostly after discharge </w:t>
      </w:r>
      <w:r w:rsidR="00AE1AF4" w:rsidRPr="00B65333">
        <w:rPr>
          <w:rFonts w:ascii="Arial" w:eastAsia="Times New Roman" w:hAnsi="Arial" w:cs="Arial"/>
        </w:rPr>
        <w:t xml:space="preserve">from </w:t>
      </w:r>
      <w:r w:rsidRPr="00B65333">
        <w:rPr>
          <w:rFonts w:ascii="Arial" w:eastAsia="Times New Roman" w:hAnsi="Arial" w:cs="Arial"/>
        </w:rPr>
        <w:t xml:space="preserve">the hospital. Recent findings suggest that imprecise or unavailable drug histories and late updates in care records are the primary factors that contribute to high medication errors, adverse events and readmission among older adults (Park et al., 2024). In the case of </w:t>
      </w:r>
      <w:proofErr w:type="spellStart"/>
      <w:r w:rsidRPr="00B65333">
        <w:rPr>
          <w:rFonts w:ascii="Arial" w:eastAsia="Times New Roman" w:hAnsi="Arial" w:cs="Arial"/>
        </w:rPr>
        <w:t>Mrs</w:t>
      </w:r>
      <w:proofErr w:type="spellEnd"/>
      <w:r w:rsidRPr="00B65333">
        <w:rPr>
          <w:rFonts w:ascii="Arial" w:eastAsia="Times New Roman" w:hAnsi="Arial" w:cs="Arial"/>
        </w:rPr>
        <w:t xml:space="preserve"> Mann, there was no effective sharing of documentation</w:t>
      </w:r>
      <w:r w:rsidR="00AE1AF4" w:rsidRPr="00B65333">
        <w:rPr>
          <w:rFonts w:ascii="Arial" w:eastAsia="Times New Roman" w:hAnsi="Arial" w:cs="Arial"/>
        </w:rPr>
        <w:t>,</w:t>
      </w:r>
      <w:r w:rsidRPr="00B65333">
        <w:rPr>
          <w:rFonts w:ascii="Arial" w:eastAsia="Times New Roman" w:hAnsi="Arial" w:cs="Arial"/>
        </w:rPr>
        <w:t xml:space="preserve"> which led to no </w:t>
      </w:r>
      <w:r w:rsidRPr="00B65333">
        <w:rPr>
          <w:rFonts w:ascii="Arial" w:eastAsia="Times New Roman" w:hAnsi="Arial" w:cs="Arial"/>
        </w:rPr>
        <w:lastRenderedPageBreak/>
        <w:t>professional being in a clear position of medication responsibility</w:t>
      </w:r>
      <w:r w:rsidR="00AE1AF4" w:rsidRPr="00B65333">
        <w:rPr>
          <w:rFonts w:ascii="Arial" w:eastAsia="Times New Roman" w:hAnsi="Arial" w:cs="Arial"/>
        </w:rPr>
        <w:t>,</w:t>
      </w:r>
      <w:r w:rsidRPr="00B65333">
        <w:rPr>
          <w:rFonts w:ascii="Arial" w:eastAsia="Times New Roman" w:hAnsi="Arial" w:cs="Arial"/>
        </w:rPr>
        <w:t xml:space="preserve"> leading to delayed clinical response and unnecessary risk.</w:t>
      </w:r>
    </w:p>
    <w:p w14:paraId="6EC1FF1F" w14:textId="0C95330B" w:rsidR="0001395F" w:rsidRPr="00B65333" w:rsidRDefault="00AE1AF4" w:rsidP="002855DB">
      <w:pPr>
        <w:spacing w:after="0" w:line="480" w:lineRule="auto"/>
        <w:ind w:firstLine="720"/>
        <w:contextualSpacing/>
        <w:rPr>
          <w:rFonts w:ascii="Arial" w:eastAsia="Times New Roman" w:hAnsi="Arial" w:cs="Arial"/>
        </w:rPr>
      </w:pPr>
      <w:proofErr w:type="spellStart"/>
      <w:r w:rsidRPr="00B65333">
        <w:rPr>
          <w:rFonts w:ascii="Arial" w:eastAsia="Times New Roman" w:hAnsi="Arial" w:cs="Arial"/>
        </w:rPr>
        <w:t>Organised</w:t>
      </w:r>
      <w:proofErr w:type="spellEnd"/>
      <w:r w:rsidRPr="00B65333">
        <w:rPr>
          <w:rFonts w:ascii="Arial" w:eastAsia="Times New Roman" w:hAnsi="Arial" w:cs="Arial"/>
        </w:rPr>
        <w:t xml:space="preserve"> </w:t>
      </w:r>
      <w:r w:rsidR="0001395F" w:rsidRPr="00B65333">
        <w:rPr>
          <w:rFonts w:ascii="Arial" w:eastAsia="Times New Roman" w:hAnsi="Arial" w:cs="Arial"/>
        </w:rPr>
        <w:t xml:space="preserve">online solutions will provide a platform </w:t>
      </w:r>
      <w:r w:rsidRPr="00B65333">
        <w:rPr>
          <w:rFonts w:ascii="Arial" w:eastAsia="Times New Roman" w:hAnsi="Arial" w:cs="Arial"/>
        </w:rPr>
        <w:t xml:space="preserve">for </w:t>
      </w:r>
      <w:r w:rsidR="0001395F" w:rsidRPr="00B65333">
        <w:rPr>
          <w:rFonts w:ascii="Arial" w:eastAsia="Times New Roman" w:hAnsi="Arial" w:cs="Arial"/>
        </w:rPr>
        <w:t>enhancing accountability and continuity of information. Interprofessional discharge planning and electronic care record systems evidence show</w:t>
      </w:r>
      <w:r w:rsidRPr="00B65333">
        <w:rPr>
          <w:rFonts w:ascii="Arial" w:eastAsia="Times New Roman" w:hAnsi="Arial" w:cs="Arial"/>
        </w:rPr>
        <w:t>s</w:t>
      </w:r>
      <w:r w:rsidR="0001395F" w:rsidRPr="00B65333">
        <w:rPr>
          <w:rFonts w:ascii="Arial" w:eastAsia="Times New Roman" w:hAnsi="Arial" w:cs="Arial"/>
        </w:rPr>
        <w:t xml:space="preserve"> that documentation errors have decreased and that hospital and community services have become more coordinated (Chance et al., 2024). </w:t>
      </w:r>
      <w:proofErr w:type="spellStart"/>
      <w:r w:rsidR="0001395F" w:rsidRPr="00B65333">
        <w:rPr>
          <w:rFonts w:ascii="Arial" w:eastAsia="Times New Roman" w:hAnsi="Arial" w:cs="Arial"/>
        </w:rPr>
        <w:t>Mrs</w:t>
      </w:r>
      <w:proofErr w:type="spellEnd"/>
      <w:r w:rsidR="0001395F" w:rsidRPr="00B65333">
        <w:rPr>
          <w:rFonts w:ascii="Arial" w:eastAsia="Times New Roman" w:hAnsi="Arial" w:cs="Arial"/>
        </w:rPr>
        <w:t xml:space="preserve"> Mann would receive a </w:t>
      </w:r>
      <w:proofErr w:type="spellStart"/>
      <w:r w:rsidR="0001395F" w:rsidRPr="00B65333">
        <w:rPr>
          <w:rFonts w:ascii="Arial" w:eastAsia="Times New Roman" w:hAnsi="Arial" w:cs="Arial"/>
        </w:rPr>
        <w:t>standardised</w:t>
      </w:r>
      <w:proofErr w:type="spellEnd"/>
      <w:r w:rsidR="0001395F" w:rsidRPr="00B65333">
        <w:rPr>
          <w:rFonts w:ascii="Arial" w:eastAsia="Times New Roman" w:hAnsi="Arial" w:cs="Arial"/>
        </w:rPr>
        <w:t>, shared digital care summary that would facilitate getting consistent access to medication updates, rehabilitation plans and communication needs across agencies.</w:t>
      </w:r>
    </w:p>
    <w:p w14:paraId="23653908" w14:textId="143C2B0B" w:rsidR="00C915A0" w:rsidRPr="00B65333" w:rsidRDefault="0001395F" w:rsidP="002855DB">
      <w:pPr>
        <w:spacing w:after="0" w:line="480" w:lineRule="auto"/>
        <w:ind w:firstLine="720"/>
        <w:contextualSpacing/>
        <w:rPr>
          <w:rFonts w:ascii="Arial" w:eastAsia="Times New Roman" w:hAnsi="Arial" w:cs="Arial"/>
        </w:rPr>
      </w:pPr>
      <w:proofErr w:type="gramStart"/>
      <w:r w:rsidRPr="00B65333">
        <w:rPr>
          <w:rFonts w:ascii="Arial" w:eastAsia="Times New Roman" w:hAnsi="Arial" w:cs="Arial"/>
        </w:rPr>
        <w:t>In order to</w:t>
      </w:r>
      <w:proofErr w:type="gramEnd"/>
      <w:r w:rsidRPr="00B65333">
        <w:rPr>
          <w:rFonts w:ascii="Arial" w:eastAsia="Times New Roman" w:hAnsi="Arial" w:cs="Arial"/>
        </w:rPr>
        <w:t xml:space="preserve"> reinforce the practice, the sections of About me and communication needs must be filled according to the PRSB and CQC directions (CQC, 2023). Pharmacy input to </w:t>
      </w:r>
      <w:proofErr w:type="spellStart"/>
      <w:r w:rsidRPr="00B65333">
        <w:rPr>
          <w:rFonts w:ascii="Arial" w:eastAsia="Times New Roman" w:hAnsi="Arial" w:cs="Arial"/>
        </w:rPr>
        <w:t>standardised</w:t>
      </w:r>
      <w:proofErr w:type="spellEnd"/>
      <w:r w:rsidRPr="00B65333">
        <w:rPr>
          <w:rFonts w:ascii="Arial" w:eastAsia="Times New Roman" w:hAnsi="Arial" w:cs="Arial"/>
        </w:rPr>
        <w:t xml:space="preserve"> medication reconciliation during discharge, including providing domiciliary care providers with updated medication administration records, is in line with NICE best practice (NICE, 2016). Safe and responsible practice would also be ensured by regular audits and the supervision of domiciliary care records, which would be supported </w:t>
      </w:r>
      <w:proofErr w:type="gramStart"/>
      <w:r w:rsidRPr="00B65333">
        <w:rPr>
          <w:rFonts w:ascii="Arial" w:eastAsia="Times New Roman" w:hAnsi="Arial" w:cs="Arial"/>
        </w:rPr>
        <w:t>by the use of</w:t>
      </w:r>
      <w:proofErr w:type="gramEnd"/>
      <w:r w:rsidRPr="00B65333">
        <w:rPr>
          <w:rFonts w:ascii="Arial" w:eastAsia="Times New Roman" w:hAnsi="Arial" w:cs="Arial"/>
        </w:rPr>
        <w:t xml:space="preserve"> escalation prompts to identify missing critical information.</w:t>
      </w:r>
    </w:p>
    <w:p w14:paraId="634C0AD4" w14:textId="6C72224F" w:rsidR="00AE1AF4" w:rsidRPr="00B65333" w:rsidRDefault="00AE1AF4" w:rsidP="002855DB">
      <w:pPr>
        <w:spacing w:after="0" w:line="480" w:lineRule="auto"/>
        <w:ind w:firstLine="720"/>
        <w:contextualSpacing/>
        <w:rPr>
          <w:rFonts w:ascii="Arial" w:eastAsia="Times New Roman" w:hAnsi="Arial" w:cs="Arial"/>
        </w:rPr>
      </w:pPr>
    </w:p>
    <w:p w14:paraId="719B133A" w14:textId="77777777" w:rsidR="00AE1AF4" w:rsidRPr="00B65333" w:rsidRDefault="00AE1AF4" w:rsidP="002855DB">
      <w:pPr>
        <w:spacing w:after="0" w:line="480" w:lineRule="auto"/>
        <w:ind w:firstLine="720"/>
        <w:contextualSpacing/>
        <w:rPr>
          <w:rFonts w:ascii="Arial" w:eastAsia="Times New Roman" w:hAnsi="Arial" w:cs="Arial"/>
        </w:rPr>
      </w:pPr>
    </w:p>
    <w:p w14:paraId="7D49A99D" w14:textId="77777777" w:rsidR="005701DE" w:rsidRPr="00B65333" w:rsidRDefault="005701DE" w:rsidP="002855DB">
      <w:pPr>
        <w:pStyle w:val="NormalWeb"/>
        <w:spacing w:before="0" w:beforeAutospacing="0" w:after="0" w:afterAutospacing="0" w:line="480" w:lineRule="auto"/>
        <w:contextualSpacing/>
        <w:rPr>
          <w:rFonts w:ascii="Arial" w:hAnsi="Arial" w:cs="Arial"/>
          <w:sz w:val="22"/>
          <w:szCs w:val="22"/>
        </w:rPr>
      </w:pPr>
      <w:r w:rsidRPr="00B65333">
        <w:rPr>
          <w:rStyle w:val="Strong"/>
          <w:rFonts w:ascii="Arial" w:hAnsi="Arial" w:cs="Arial"/>
          <w:sz w:val="22"/>
          <w:szCs w:val="22"/>
        </w:rPr>
        <w:t>Section 3: Working Collaboratively with Other Professionals</w:t>
      </w:r>
    </w:p>
    <w:p w14:paraId="0DFCF7B4" w14:textId="52D3F2C1" w:rsidR="009B612B" w:rsidRPr="00B65333" w:rsidRDefault="009B612B" w:rsidP="002855DB">
      <w:pPr>
        <w:pStyle w:val="NormalWeb"/>
        <w:spacing w:before="0" w:beforeAutospacing="0" w:after="0" w:afterAutospacing="0" w:line="480" w:lineRule="auto"/>
        <w:ind w:firstLine="720"/>
        <w:contextualSpacing/>
        <w:rPr>
          <w:rFonts w:ascii="Arial" w:hAnsi="Arial" w:cs="Arial"/>
          <w:sz w:val="22"/>
          <w:szCs w:val="22"/>
        </w:rPr>
      </w:pPr>
      <w:r w:rsidRPr="00B65333">
        <w:rPr>
          <w:rFonts w:ascii="Arial" w:hAnsi="Arial" w:cs="Arial"/>
          <w:sz w:val="22"/>
          <w:szCs w:val="22"/>
        </w:rPr>
        <w:t xml:space="preserve">There should be effective, responsible multi-agency collaboration needed to provide safe rehabilitation and medication management of older adults after their discharge. The case with </w:t>
      </w:r>
      <w:proofErr w:type="spellStart"/>
      <w:r w:rsidRPr="00B65333">
        <w:rPr>
          <w:rFonts w:ascii="Arial" w:hAnsi="Arial" w:cs="Arial"/>
          <w:sz w:val="22"/>
          <w:szCs w:val="22"/>
        </w:rPr>
        <w:t>Mrs</w:t>
      </w:r>
      <w:proofErr w:type="spellEnd"/>
      <w:r w:rsidRPr="00B65333">
        <w:rPr>
          <w:rFonts w:ascii="Arial" w:hAnsi="Arial" w:cs="Arial"/>
          <w:sz w:val="22"/>
          <w:szCs w:val="22"/>
        </w:rPr>
        <w:t xml:space="preserve"> Mann implies that the care was provided by several professionals</w:t>
      </w:r>
      <w:r w:rsidR="00AE1AF4" w:rsidRPr="00B65333">
        <w:rPr>
          <w:rFonts w:ascii="Arial" w:hAnsi="Arial" w:cs="Arial"/>
          <w:sz w:val="22"/>
          <w:szCs w:val="22"/>
        </w:rPr>
        <w:t>,</w:t>
      </w:r>
      <w:r w:rsidRPr="00B65333">
        <w:rPr>
          <w:rFonts w:ascii="Arial" w:hAnsi="Arial" w:cs="Arial"/>
          <w:sz w:val="22"/>
          <w:szCs w:val="22"/>
        </w:rPr>
        <w:t xml:space="preserve"> such as the GP, physiotherapist, domiciliary care staff, and her daughter</w:t>
      </w:r>
      <w:r w:rsidR="00AE1AF4" w:rsidRPr="00B65333">
        <w:rPr>
          <w:rFonts w:ascii="Arial" w:hAnsi="Arial" w:cs="Arial"/>
          <w:sz w:val="22"/>
          <w:szCs w:val="22"/>
        </w:rPr>
        <w:t>,</w:t>
      </w:r>
      <w:r w:rsidRPr="00B65333">
        <w:rPr>
          <w:rFonts w:ascii="Arial" w:hAnsi="Arial" w:cs="Arial"/>
          <w:sz w:val="22"/>
          <w:szCs w:val="22"/>
        </w:rPr>
        <w:t xml:space="preserve"> but the lack of clear coordination and joint responsibility led to the delayed clinical action. Guidance on joint replacement and post-operative rehabilitation by NICE focuses on the use of a multidisciplinary team, early supported discharge and effective handover to achieve a speedy recovery and to avoid complications (NICE, 2016). Follow-up on medication changes </w:t>
      </w:r>
      <w:r w:rsidRPr="00B65333">
        <w:rPr>
          <w:rFonts w:ascii="Arial" w:hAnsi="Arial" w:cs="Arial"/>
          <w:sz w:val="22"/>
          <w:szCs w:val="22"/>
        </w:rPr>
        <w:lastRenderedPageBreak/>
        <w:t xml:space="preserve">and rehabilitation plans could have been made timely with the help of a designated care coordinator or explicit transfer of responsibility at </w:t>
      </w:r>
      <w:r w:rsidR="00AE1AF4" w:rsidRPr="00B65333">
        <w:rPr>
          <w:rFonts w:ascii="Arial" w:hAnsi="Arial" w:cs="Arial"/>
          <w:sz w:val="22"/>
          <w:szCs w:val="22"/>
        </w:rPr>
        <w:t xml:space="preserve">the </w:t>
      </w:r>
      <w:r w:rsidRPr="00B65333">
        <w:rPr>
          <w:rFonts w:ascii="Arial" w:hAnsi="Arial" w:cs="Arial"/>
          <w:sz w:val="22"/>
          <w:szCs w:val="22"/>
        </w:rPr>
        <w:t>discharge point.</w:t>
      </w:r>
    </w:p>
    <w:p w14:paraId="3CB77E0C" w14:textId="3D4D0E33" w:rsidR="009B612B" w:rsidRPr="00B65333" w:rsidRDefault="009B612B" w:rsidP="002855DB">
      <w:pPr>
        <w:pStyle w:val="NormalWeb"/>
        <w:spacing w:before="0" w:beforeAutospacing="0" w:after="0" w:afterAutospacing="0" w:line="480" w:lineRule="auto"/>
        <w:ind w:firstLine="720"/>
        <w:contextualSpacing/>
        <w:rPr>
          <w:rFonts w:ascii="Arial" w:hAnsi="Arial" w:cs="Arial"/>
          <w:sz w:val="22"/>
          <w:szCs w:val="22"/>
        </w:rPr>
      </w:pPr>
      <w:r w:rsidRPr="00B65333">
        <w:rPr>
          <w:rFonts w:ascii="Arial" w:hAnsi="Arial" w:cs="Arial"/>
          <w:sz w:val="22"/>
          <w:szCs w:val="22"/>
        </w:rPr>
        <w:t xml:space="preserve">There are </w:t>
      </w:r>
      <w:proofErr w:type="gramStart"/>
      <w:r w:rsidRPr="00B65333">
        <w:rPr>
          <w:rFonts w:ascii="Arial" w:hAnsi="Arial" w:cs="Arial"/>
          <w:sz w:val="22"/>
          <w:szCs w:val="22"/>
        </w:rPr>
        <w:t>a number of</w:t>
      </w:r>
      <w:proofErr w:type="gramEnd"/>
      <w:r w:rsidRPr="00B65333">
        <w:rPr>
          <w:rFonts w:ascii="Arial" w:hAnsi="Arial" w:cs="Arial"/>
          <w:sz w:val="22"/>
          <w:szCs w:val="22"/>
        </w:rPr>
        <w:t xml:space="preserve"> obstacles that often destroy effective collaborative working within a community </w:t>
      </w:r>
      <w:r w:rsidR="00AE1AF4" w:rsidRPr="00B65333">
        <w:rPr>
          <w:rFonts w:ascii="Arial" w:hAnsi="Arial" w:cs="Arial"/>
          <w:sz w:val="22"/>
          <w:szCs w:val="22"/>
        </w:rPr>
        <w:t>set-</w:t>
      </w:r>
      <w:r w:rsidRPr="00B65333">
        <w:rPr>
          <w:rFonts w:ascii="Arial" w:hAnsi="Arial" w:cs="Arial"/>
          <w:sz w:val="22"/>
          <w:szCs w:val="22"/>
        </w:rPr>
        <w:t>up. Disjointed record systems, time constraints, lack of clarity in escalation channels and communication obstacles associated with language and culture are all barriers to information and accountability (Geese &amp; Schmitt, 2023). Recent scoping reviews have shown that the safe transition of older adults to professionals occurs in settings where professionals are guided by a structured interprofessional model that promotes continuity and shared decision-making (</w:t>
      </w:r>
      <w:proofErr w:type="spellStart"/>
      <w:r w:rsidRPr="00B65333">
        <w:rPr>
          <w:rFonts w:ascii="Arial" w:hAnsi="Arial" w:cs="Arial"/>
          <w:sz w:val="22"/>
          <w:szCs w:val="22"/>
        </w:rPr>
        <w:t>Sehatkarlangrodi</w:t>
      </w:r>
      <w:proofErr w:type="spellEnd"/>
      <w:r w:rsidRPr="00B65333">
        <w:rPr>
          <w:rFonts w:ascii="Arial" w:hAnsi="Arial" w:cs="Arial"/>
          <w:sz w:val="22"/>
          <w:szCs w:val="22"/>
        </w:rPr>
        <w:t xml:space="preserve"> et al., 2025). Such practical strategies as </w:t>
      </w:r>
      <w:r w:rsidR="00AE1AF4" w:rsidRPr="00B65333">
        <w:rPr>
          <w:rFonts w:ascii="Arial" w:hAnsi="Arial" w:cs="Arial"/>
          <w:sz w:val="22"/>
          <w:szCs w:val="22"/>
        </w:rPr>
        <w:t xml:space="preserve">a </w:t>
      </w:r>
      <w:r w:rsidRPr="00B65333">
        <w:rPr>
          <w:rFonts w:ascii="Arial" w:hAnsi="Arial" w:cs="Arial"/>
          <w:sz w:val="22"/>
          <w:szCs w:val="22"/>
        </w:rPr>
        <w:t>common shared care summary, planned multidisciplinary team (MDT) meetings, and assigning a named lead professional to coordinate efforts are used.</w:t>
      </w:r>
    </w:p>
    <w:p w14:paraId="3F906FD1" w14:textId="738C8684" w:rsidR="00C915A0" w:rsidRPr="00B65333" w:rsidRDefault="009B612B" w:rsidP="00FD08CD">
      <w:pPr>
        <w:pStyle w:val="NormalWeb"/>
        <w:spacing w:before="0" w:beforeAutospacing="0" w:after="0" w:afterAutospacing="0" w:line="480" w:lineRule="auto"/>
        <w:ind w:firstLine="720"/>
        <w:contextualSpacing/>
        <w:rPr>
          <w:rFonts w:ascii="Arial" w:hAnsi="Arial" w:cs="Arial"/>
          <w:sz w:val="22"/>
          <w:szCs w:val="22"/>
        </w:rPr>
      </w:pPr>
      <w:r w:rsidRPr="00B65333">
        <w:rPr>
          <w:rFonts w:ascii="Arial" w:hAnsi="Arial" w:cs="Arial"/>
          <w:sz w:val="22"/>
          <w:szCs w:val="22"/>
        </w:rPr>
        <w:t xml:space="preserve">Structured discharge planning and interprofessional electronic tools have been shown to positively affect the outcomes. Recent implementation studies show a decrease in medication errors, length of stay and unplanned readmissions with the use of coordinated discharge systems (Hirani et al., 2025). Although these methods demand </w:t>
      </w:r>
      <w:proofErr w:type="spellStart"/>
      <w:r w:rsidRPr="00B65333">
        <w:rPr>
          <w:rFonts w:ascii="Arial" w:hAnsi="Arial" w:cs="Arial"/>
          <w:sz w:val="22"/>
          <w:szCs w:val="22"/>
        </w:rPr>
        <w:t>organisational</w:t>
      </w:r>
      <w:proofErr w:type="spellEnd"/>
      <w:r w:rsidRPr="00B65333">
        <w:rPr>
          <w:rFonts w:ascii="Arial" w:hAnsi="Arial" w:cs="Arial"/>
          <w:sz w:val="22"/>
          <w:szCs w:val="22"/>
        </w:rPr>
        <w:t xml:space="preserve"> investment, patient safety, efficiency</w:t>
      </w:r>
      <w:r w:rsidR="00AE1AF4" w:rsidRPr="00B65333">
        <w:rPr>
          <w:rFonts w:ascii="Arial" w:hAnsi="Arial" w:cs="Arial"/>
          <w:sz w:val="22"/>
          <w:szCs w:val="22"/>
        </w:rPr>
        <w:t>,</w:t>
      </w:r>
      <w:r w:rsidRPr="00B65333">
        <w:rPr>
          <w:rFonts w:ascii="Arial" w:hAnsi="Arial" w:cs="Arial"/>
          <w:sz w:val="22"/>
          <w:szCs w:val="22"/>
        </w:rPr>
        <w:t xml:space="preserve"> and quality of care are more beneficial than the costs of these methods.</w:t>
      </w:r>
      <w:r w:rsidR="00FD08CD" w:rsidRPr="00B65333">
        <w:rPr>
          <w:rFonts w:ascii="Arial" w:hAnsi="Arial" w:cs="Arial"/>
          <w:sz w:val="22"/>
          <w:szCs w:val="22"/>
        </w:rPr>
        <w:t xml:space="preserve"> </w:t>
      </w:r>
      <w:r w:rsidRPr="00B65333">
        <w:rPr>
          <w:rFonts w:ascii="Arial" w:hAnsi="Arial" w:cs="Arial"/>
          <w:sz w:val="22"/>
          <w:szCs w:val="22"/>
        </w:rPr>
        <w:t xml:space="preserve">In the case of </w:t>
      </w:r>
      <w:proofErr w:type="spellStart"/>
      <w:r w:rsidRPr="00B65333">
        <w:rPr>
          <w:rFonts w:ascii="Arial" w:hAnsi="Arial" w:cs="Arial"/>
          <w:sz w:val="22"/>
          <w:szCs w:val="22"/>
        </w:rPr>
        <w:t>Mrs</w:t>
      </w:r>
      <w:proofErr w:type="spellEnd"/>
      <w:r w:rsidRPr="00B65333">
        <w:rPr>
          <w:rFonts w:ascii="Arial" w:hAnsi="Arial" w:cs="Arial"/>
          <w:sz w:val="22"/>
          <w:szCs w:val="22"/>
        </w:rPr>
        <w:t xml:space="preserve"> Mann, joint practice might be reinforced by the introduction of a designated coordinator, weekly MDT briefings in the first post-discharge weeks, and regular </w:t>
      </w:r>
      <w:proofErr w:type="spellStart"/>
      <w:r w:rsidR="00AE1AF4" w:rsidRPr="00B65333">
        <w:rPr>
          <w:rFonts w:ascii="Arial" w:hAnsi="Arial" w:cs="Arial"/>
          <w:sz w:val="22"/>
          <w:szCs w:val="22"/>
        </w:rPr>
        <w:t>utilisation</w:t>
      </w:r>
      <w:proofErr w:type="spellEnd"/>
      <w:r w:rsidR="00AE1AF4" w:rsidRPr="00B65333">
        <w:rPr>
          <w:rFonts w:ascii="Arial" w:hAnsi="Arial" w:cs="Arial"/>
          <w:sz w:val="22"/>
          <w:szCs w:val="22"/>
        </w:rPr>
        <w:t xml:space="preserve"> </w:t>
      </w:r>
      <w:r w:rsidRPr="00B65333">
        <w:rPr>
          <w:rFonts w:ascii="Arial" w:hAnsi="Arial" w:cs="Arial"/>
          <w:sz w:val="22"/>
          <w:szCs w:val="22"/>
        </w:rPr>
        <w:t>of SBAR models to facilitate the timely continuum between practitioners.</w:t>
      </w:r>
    </w:p>
    <w:p w14:paraId="231E6EF5" w14:textId="77777777" w:rsidR="00992546" w:rsidRPr="00B65333" w:rsidRDefault="00992546" w:rsidP="002855DB">
      <w:pPr>
        <w:pStyle w:val="NormalWeb"/>
        <w:spacing w:before="0" w:beforeAutospacing="0" w:after="0" w:afterAutospacing="0" w:line="480" w:lineRule="auto"/>
        <w:contextualSpacing/>
        <w:rPr>
          <w:rFonts w:ascii="Arial" w:hAnsi="Arial" w:cs="Arial"/>
          <w:sz w:val="22"/>
          <w:szCs w:val="22"/>
        </w:rPr>
      </w:pPr>
      <w:r w:rsidRPr="00B65333">
        <w:rPr>
          <w:rStyle w:val="Strong"/>
          <w:rFonts w:ascii="Arial" w:hAnsi="Arial" w:cs="Arial"/>
          <w:sz w:val="22"/>
          <w:szCs w:val="22"/>
        </w:rPr>
        <w:t>Conclusion</w:t>
      </w:r>
    </w:p>
    <w:p w14:paraId="61937229" w14:textId="71116631" w:rsidR="00000000" w:rsidRPr="00B65333" w:rsidRDefault="005F017F" w:rsidP="002855DB">
      <w:pPr>
        <w:pStyle w:val="NormalWeb"/>
        <w:spacing w:before="0" w:beforeAutospacing="0" w:after="0" w:afterAutospacing="0" w:line="480" w:lineRule="auto"/>
        <w:ind w:firstLine="720"/>
        <w:contextualSpacing/>
        <w:rPr>
          <w:rFonts w:ascii="Arial" w:hAnsi="Arial" w:cs="Arial"/>
          <w:sz w:val="22"/>
          <w:szCs w:val="22"/>
        </w:rPr>
      </w:pPr>
      <w:r w:rsidRPr="00B65333">
        <w:rPr>
          <w:rFonts w:ascii="Arial" w:hAnsi="Arial" w:cs="Arial"/>
          <w:sz w:val="22"/>
          <w:szCs w:val="22"/>
        </w:rPr>
        <w:t xml:space="preserve">The case of </w:t>
      </w:r>
      <w:proofErr w:type="spellStart"/>
      <w:r w:rsidRPr="00B65333">
        <w:rPr>
          <w:rFonts w:ascii="Arial" w:hAnsi="Arial" w:cs="Arial"/>
          <w:sz w:val="22"/>
          <w:szCs w:val="22"/>
        </w:rPr>
        <w:t>Mrs</w:t>
      </w:r>
      <w:proofErr w:type="spellEnd"/>
      <w:r w:rsidRPr="00B65333">
        <w:rPr>
          <w:rFonts w:ascii="Arial" w:hAnsi="Arial" w:cs="Arial"/>
          <w:sz w:val="22"/>
          <w:szCs w:val="22"/>
        </w:rPr>
        <w:t xml:space="preserve"> Mann illustrates the role of language-sensitive and person-</w:t>
      </w:r>
      <w:proofErr w:type="spellStart"/>
      <w:r w:rsidRPr="00B65333">
        <w:rPr>
          <w:rFonts w:ascii="Arial" w:hAnsi="Arial" w:cs="Arial"/>
          <w:sz w:val="22"/>
          <w:szCs w:val="22"/>
        </w:rPr>
        <w:t>centred</w:t>
      </w:r>
      <w:proofErr w:type="spellEnd"/>
      <w:r w:rsidRPr="00B65333">
        <w:rPr>
          <w:rFonts w:ascii="Arial" w:hAnsi="Arial" w:cs="Arial"/>
          <w:sz w:val="22"/>
          <w:szCs w:val="22"/>
        </w:rPr>
        <w:t xml:space="preserve"> communication, correct and legal record-keeping, and multi-agency cooperation as interdependent protective measures in the safe recovery of patients after hospital discharge. Any failure in any of the areas enhances </w:t>
      </w:r>
      <w:r w:rsidR="00AE1AF4" w:rsidRPr="00B65333">
        <w:rPr>
          <w:rFonts w:ascii="Arial" w:hAnsi="Arial" w:cs="Arial"/>
          <w:sz w:val="22"/>
          <w:szCs w:val="22"/>
        </w:rPr>
        <w:t xml:space="preserve">the </w:t>
      </w:r>
      <w:r w:rsidRPr="00B65333">
        <w:rPr>
          <w:rFonts w:ascii="Arial" w:hAnsi="Arial" w:cs="Arial"/>
          <w:sz w:val="22"/>
          <w:szCs w:val="22"/>
        </w:rPr>
        <w:t xml:space="preserve">chances of medication error, postponed intervention and preventable harm. The suggested practical steps, such as a consistent implementation of the Accessible Information Standard, </w:t>
      </w:r>
      <w:proofErr w:type="spellStart"/>
      <w:r w:rsidR="00AE1AF4" w:rsidRPr="00B65333">
        <w:rPr>
          <w:rFonts w:ascii="Arial" w:hAnsi="Arial" w:cs="Arial"/>
          <w:sz w:val="22"/>
          <w:szCs w:val="22"/>
        </w:rPr>
        <w:t>organised</w:t>
      </w:r>
      <w:proofErr w:type="spellEnd"/>
      <w:r w:rsidR="00AE1AF4" w:rsidRPr="00B65333">
        <w:rPr>
          <w:rFonts w:ascii="Arial" w:hAnsi="Arial" w:cs="Arial"/>
          <w:sz w:val="22"/>
          <w:szCs w:val="22"/>
        </w:rPr>
        <w:t xml:space="preserve"> </w:t>
      </w:r>
      <w:r w:rsidRPr="00B65333">
        <w:rPr>
          <w:rFonts w:ascii="Arial" w:hAnsi="Arial" w:cs="Arial"/>
          <w:sz w:val="22"/>
          <w:szCs w:val="22"/>
        </w:rPr>
        <w:t xml:space="preserve">SBAR handovers, effective medication reconciliation and appointment of a named care coordinator, provide a </w:t>
      </w:r>
      <w:r w:rsidRPr="00B65333">
        <w:rPr>
          <w:rFonts w:ascii="Arial" w:hAnsi="Arial" w:cs="Arial"/>
          <w:sz w:val="22"/>
          <w:szCs w:val="22"/>
        </w:rPr>
        <w:lastRenderedPageBreak/>
        <w:t>realistic and evidence-based solution to the issue of continuity, patient autonomy, and rehabilitation outcomes. These interventions must be followed by continuous audit, quality improvement processes to guarantee long-term enhancement by monitoring communication incidences, documentation completeness, and post-discharge medication-related events.</w:t>
      </w:r>
    </w:p>
    <w:p w14:paraId="708F81D5" w14:textId="77777777" w:rsidR="00B159B4" w:rsidRPr="00B65333" w:rsidRDefault="00B159B4" w:rsidP="002855DB">
      <w:pPr>
        <w:spacing w:after="0" w:line="480" w:lineRule="auto"/>
        <w:contextualSpacing/>
        <w:rPr>
          <w:rFonts w:ascii="Arial" w:eastAsia="Times New Roman" w:hAnsi="Arial" w:cs="Arial"/>
        </w:rPr>
      </w:pPr>
      <w:r w:rsidRPr="00B65333">
        <w:rPr>
          <w:rFonts w:ascii="Arial" w:hAnsi="Arial" w:cs="Arial"/>
        </w:rPr>
        <w:br w:type="page"/>
      </w:r>
    </w:p>
    <w:p w14:paraId="4C74BAA5" w14:textId="77777777" w:rsidR="00992546" w:rsidRPr="00B65333" w:rsidRDefault="00992546" w:rsidP="002855DB">
      <w:pPr>
        <w:pStyle w:val="NormalWeb"/>
        <w:spacing w:before="0" w:beforeAutospacing="0" w:after="0" w:afterAutospacing="0" w:line="480" w:lineRule="auto"/>
        <w:contextualSpacing/>
        <w:jc w:val="center"/>
        <w:rPr>
          <w:rFonts w:ascii="Arial" w:hAnsi="Arial" w:cs="Arial"/>
          <w:b/>
          <w:sz w:val="22"/>
          <w:szCs w:val="22"/>
        </w:rPr>
      </w:pPr>
      <w:r w:rsidRPr="00B65333">
        <w:rPr>
          <w:rFonts w:ascii="Arial" w:hAnsi="Arial" w:cs="Arial"/>
          <w:b/>
          <w:sz w:val="22"/>
          <w:szCs w:val="22"/>
        </w:rPr>
        <w:lastRenderedPageBreak/>
        <w:t>References</w:t>
      </w:r>
      <w:r w:rsidR="002810A2" w:rsidRPr="00B65333">
        <w:rPr>
          <w:rFonts w:ascii="Arial" w:hAnsi="Arial" w:cs="Arial"/>
          <w:b/>
          <w:sz w:val="22"/>
          <w:szCs w:val="22"/>
        </w:rPr>
        <w:t xml:space="preserve"> list</w:t>
      </w:r>
    </w:p>
    <w:p w14:paraId="352925EE"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Care Quality Commission (2024). </w:t>
      </w:r>
      <w:r w:rsidRPr="00B65333">
        <w:rPr>
          <w:rFonts w:ascii="Arial" w:hAnsi="Arial" w:cs="Arial"/>
          <w:i/>
          <w:iCs/>
          <w:sz w:val="22"/>
          <w:szCs w:val="22"/>
        </w:rPr>
        <w:t>Sources of best practice and guidance - Care Quality Commission</w:t>
      </w:r>
      <w:r w:rsidRPr="00B65333">
        <w:rPr>
          <w:rFonts w:ascii="Arial" w:hAnsi="Arial" w:cs="Arial"/>
          <w:sz w:val="22"/>
          <w:szCs w:val="22"/>
        </w:rPr>
        <w:t xml:space="preserve">. [online] www.cqc.org.uk. Available at: </w:t>
      </w:r>
      <w:hyperlink r:id="rId8" w:history="1">
        <w:r w:rsidRPr="00B65333">
          <w:rPr>
            <w:rStyle w:val="Hyperlink"/>
            <w:rFonts w:ascii="Arial" w:hAnsi="Arial" w:cs="Arial"/>
            <w:sz w:val="22"/>
            <w:szCs w:val="22"/>
          </w:rPr>
          <w:t>https://www.cqc.org.uk/guidance-providers/adult-social-care/digital-record-systems-adult-social-care-services/best-practice-guidance</w:t>
        </w:r>
      </w:hyperlink>
      <w:r w:rsidRPr="00B65333">
        <w:rPr>
          <w:rFonts w:ascii="Arial" w:hAnsi="Arial" w:cs="Arial"/>
          <w:sz w:val="22"/>
          <w:szCs w:val="22"/>
        </w:rPr>
        <w:t xml:space="preserve">. </w:t>
      </w:r>
    </w:p>
    <w:p w14:paraId="06A0FB13"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Chance, E.A., Florence, D. and Abdoul, I.S. (2024). The effectiveness of checklists and error reporting systems in enhancing patient safety and reducing medical errors in hospital settings-a narrative review. </w:t>
      </w:r>
      <w:r w:rsidRPr="00B65333">
        <w:rPr>
          <w:rFonts w:ascii="Arial" w:hAnsi="Arial" w:cs="Arial"/>
          <w:i/>
          <w:iCs/>
          <w:sz w:val="22"/>
          <w:szCs w:val="22"/>
        </w:rPr>
        <w:t>International Journal of Nursing Sciences</w:t>
      </w:r>
      <w:r w:rsidRPr="00B65333">
        <w:rPr>
          <w:rFonts w:ascii="Arial" w:hAnsi="Arial" w:cs="Arial"/>
          <w:sz w:val="22"/>
          <w:szCs w:val="22"/>
        </w:rPr>
        <w:t xml:space="preserve">, [online] 11(3), pp.387–398.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9" w:history="1">
        <w:r w:rsidRPr="00B65333">
          <w:rPr>
            <w:rStyle w:val="Hyperlink"/>
            <w:rFonts w:ascii="Arial" w:hAnsi="Arial" w:cs="Arial"/>
            <w:sz w:val="22"/>
            <w:szCs w:val="22"/>
          </w:rPr>
          <w:t>https://doi.org/10.1016/j.ijnss.2024.06.003</w:t>
        </w:r>
      </w:hyperlink>
      <w:r w:rsidRPr="00B65333">
        <w:rPr>
          <w:rFonts w:ascii="Arial" w:hAnsi="Arial" w:cs="Arial"/>
          <w:sz w:val="22"/>
          <w:szCs w:val="22"/>
        </w:rPr>
        <w:t xml:space="preserve">. </w:t>
      </w:r>
    </w:p>
    <w:p w14:paraId="68CCB2AF"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Geese, F. and Schmitt, K.-U. (2023). Interprofessional Collaboration in Complex Patient Care Transition: </w:t>
      </w:r>
      <w:proofErr w:type="gramStart"/>
      <w:r w:rsidRPr="00B65333">
        <w:rPr>
          <w:rFonts w:ascii="Arial" w:hAnsi="Arial" w:cs="Arial"/>
          <w:sz w:val="22"/>
          <w:szCs w:val="22"/>
        </w:rPr>
        <w:t>a</w:t>
      </w:r>
      <w:proofErr w:type="gramEnd"/>
      <w:r w:rsidRPr="00B65333">
        <w:rPr>
          <w:rFonts w:ascii="Arial" w:hAnsi="Arial" w:cs="Arial"/>
          <w:sz w:val="22"/>
          <w:szCs w:val="22"/>
        </w:rPr>
        <w:t xml:space="preserve"> Qualitative Multi-Perspective Analysis. </w:t>
      </w:r>
      <w:r w:rsidRPr="00B65333">
        <w:rPr>
          <w:rFonts w:ascii="Arial" w:hAnsi="Arial" w:cs="Arial"/>
          <w:i/>
          <w:iCs/>
          <w:sz w:val="22"/>
          <w:szCs w:val="22"/>
        </w:rPr>
        <w:t>Healthcare</w:t>
      </w:r>
      <w:r w:rsidRPr="00B65333">
        <w:rPr>
          <w:rFonts w:ascii="Arial" w:hAnsi="Arial" w:cs="Arial"/>
          <w:sz w:val="22"/>
          <w:szCs w:val="22"/>
        </w:rPr>
        <w:t xml:space="preserve">, [online] 11(3), pp.1–14.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10" w:history="1">
        <w:r w:rsidRPr="00B65333">
          <w:rPr>
            <w:rStyle w:val="Hyperlink"/>
            <w:rFonts w:ascii="Arial" w:hAnsi="Arial" w:cs="Arial"/>
            <w:sz w:val="22"/>
            <w:szCs w:val="22"/>
          </w:rPr>
          <w:t>https://doi.org/10.3390/healthcare11030359</w:t>
        </w:r>
      </w:hyperlink>
      <w:r w:rsidRPr="00B65333">
        <w:rPr>
          <w:rFonts w:ascii="Arial" w:hAnsi="Arial" w:cs="Arial"/>
          <w:sz w:val="22"/>
          <w:szCs w:val="22"/>
        </w:rPr>
        <w:t xml:space="preserve">. </w:t>
      </w:r>
    </w:p>
    <w:p w14:paraId="0FEFD8EA"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proofErr w:type="spellStart"/>
      <w:r w:rsidRPr="00B65333">
        <w:rPr>
          <w:rFonts w:ascii="Arial" w:hAnsi="Arial" w:cs="Arial"/>
          <w:sz w:val="22"/>
          <w:szCs w:val="22"/>
        </w:rPr>
        <w:t>Halamová</w:t>
      </w:r>
      <w:proofErr w:type="spellEnd"/>
      <w:r w:rsidRPr="00B65333">
        <w:rPr>
          <w:rFonts w:ascii="Arial" w:hAnsi="Arial" w:cs="Arial"/>
          <w:sz w:val="22"/>
          <w:szCs w:val="22"/>
        </w:rPr>
        <w:t xml:space="preserve">, L., </w:t>
      </w:r>
      <w:proofErr w:type="spellStart"/>
      <w:r w:rsidRPr="00B65333">
        <w:rPr>
          <w:rFonts w:ascii="Arial" w:hAnsi="Arial" w:cs="Arial"/>
          <w:sz w:val="22"/>
          <w:szCs w:val="22"/>
        </w:rPr>
        <w:t>Locock</w:t>
      </w:r>
      <w:proofErr w:type="spellEnd"/>
      <w:r w:rsidRPr="00B65333">
        <w:rPr>
          <w:rFonts w:ascii="Arial" w:hAnsi="Arial" w:cs="Arial"/>
          <w:sz w:val="22"/>
          <w:szCs w:val="22"/>
        </w:rPr>
        <w:t xml:space="preserve">, L., Maclaren, A., Makin, S. and Phillips, L. (2025). Involvement of older adults in shared decision-making on care transitions in the UK: an interpretative qualitative systematic review. </w:t>
      </w:r>
      <w:r w:rsidRPr="00B65333">
        <w:rPr>
          <w:rFonts w:ascii="Arial" w:hAnsi="Arial" w:cs="Arial"/>
          <w:i/>
          <w:iCs/>
          <w:sz w:val="22"/>
          <w:szCs w:val="22"/>
        </w:rPr>
        <w:t>Ageing and Society</w:t>
      </w:r>
      <w:r w:rsidRPr="00B65333">
        <w:rPr>
          <w:rFonts w:ascii="Arial" w:hAnsi="Arial" w:cs="Arial"/>
          <w:sz w:val="22"/>
          <w:szCs w:val="22"/>
        </w:rPr>
        <w:t xml:space="preserve">, [online] pp.1–26.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11" w:history="1">
        <w:r w:rsidRPr="00B65333">
          <w:rPr>
            <w:rStyle w:val="Hyperlink"/>
            <w:rFonts w:ascii="Arial" w:hAnsi="Arial" w:cs="Arial"/>
            <w:sz w:val="22"/>
            <w:szCs w:val="22"/>
          </w:rPr>
          <w:t>https://doi.org/10.1017/s0144686x25100123</w:t>
        </w:r>
      </w:hyperlink>
      <w:r w:rsidRPr="00B65333">
        <w:rPr>
          <w:rFonts w:ascii="Arial" w:hAnsi="Arial" w:cs="Arial"/>
          <w:sz w:val="22"/>
          <w:szCs w:val="22"/>
        </w:rPr>
        <w:t xml:space="preserve">. </w:t>
      </w:r>
    </w:p>
    <w:p w14:paraId="7F614DB7"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Hirani, R., Podder, D., Stala, O., </w:t>
      </w:r>
      <w:proofErr w:type="spellStart"/>
      <w:r w:rsidRPr="00B65333">
        <w:rPr>
          <w:rFonts w:ascii="Arial" w:hAnsi="Arial" w:cs="Arial"/>
          <w:sz w:val="22"/>
          <w:szCs w:val="22"/>
        </w:rPr>
        <w:t>Mohebpour</w:t>
      </w:r>
      <w:proofErr w:type="spellEnd"/>
      <w:r w:rsidRPr="00B65333">
        <w:rPr>
          <w:rFonts w:ascii="Arial" w:hAnsi="Arial" w:cs="Arial"/>
          <w:sz w:val="22"/>
          <w:szCs w:val="22"/>
        </w:rPr>
        <w:t xml:space="preserve">, R., Tiwari, R.K. and Etienne, M. (2025). Strategies to Reduce Hospital Length of Stay: Evidence and Challenges. </w:t>
      </w:r>
      <w:r w:rsidRPr="00B65333">
        <w:rPr>
          <w:rFonts w:ascii="Arial" w:hAnsi="Arial" w:cs="Arial"/>
          <w:i/>
          <w:iCs/>
          <w:sz w:val="22"/>
          <w:szCs w:val="22"/>
        </w:rPr>
        <w:t>Medicina</w:t>
      </w:r>
      <w:r w:rsidRPr="00B65333">
        <w:rPr>
          <w:rFonts w:ascii="Arial" w:hAnsi="Arial" w:cs="Arial"/>
          <w:sz w:val="22"/>
          <w:szCs w:val="22"/>
        </w:rPr>
        <w:t xml:space="preserve">, [online] 61(5), pp.922–922.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12" w:history="1">
        <w:r w:rsidRPr="00B65333">
          <w:rPr>
            <w:rStyle w:val="Hyperlink"/>
            <w:rFonts w:ascii="Arial" w:hAnsi="Arial" w:cs="Arial"/>
            <w:sz w:val="22"/>
            <w:szCs w:val="22"/>
          </w:rPr>
          <w:t>https://doi.org/10.3390/medicina61050922</w:t>
        </w:r>
      </w:hyperlink>
      <w:r w:rsidRPr="00B65333">
        <w:rPr>
          <w:rFonts w:ascii="Arial" w:hAnsi="Arial" w:cs="Arial"/>
          <w:sz w:val="22"/>
          <w:szCs w:val="22"/>
        </w:rPr>
        <w:t xml:space="preserve">. </w:t>
      </w:r>
    </w:p>
    <w:p w14:paraId="52EF54F9"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Kwame, A. and </w:t>
      </w:r>
      <w:proofErr w:type="spellStart"/>
      <w:r w:rsidRPr="00B65333">
        <w:rPr>
          <w:rFonts w:ascii="Arial" w:hAnsi="Arial" w:cs="Arial"/>
          <w:sz w:val="22"/>
          <w:szCs w:val="22"/>
        </w:rPr>
        <w:t>Petrucka</w:t>
      </w:r>
      <w:proofErr w:type="spellEnd"/>
      <w:r w:rsidRPr="00B65333">
        <w:rPr>
          <w:rFonts w:ascii="Arial" w:hAnsi="Arial" w:cs="Arial"/>
          <w:sz w:val="22"/>
          <w:szCs w:val="22"/>
        </w:rPr>
        <w:t xml:space="preserve">, P. (2021). A literature-based study of patient-centered care and communication in nurse-patient interactions: Barriers, facilitators, and the way forward. </w:t>
      </w:r>
      <w:r w:rsidRPr="00B65333">
        <w:rPr>
          <w:rFonts w:ascii="Arial" w:hAnsi="Arial" w:cs="Arial"/>
          <w:i/>
          <w:iCs/>
          <w:sz w:val="22"/>
          <w:szCs w:val="22"/>
        </w:rPr>
        <w:t>BMC Nursing</w:t>
      </w:r>
      <w:r w:rsidRPr="00B65333">
        <w:rPr>
          <w:rFonts w:ascii="Arial" w:hAnsi="Arial" w:cs="Arial"/>
          <w:sz w:val="22"/>
          <w:szCs w:val="22"/>
        </w:rPr>
        <w:t xml:space="preserve">, [online] 20(158), pp.1–10.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13" w:history="1">
        <w:r w:rsidRPr="00B65333">
          <w:rPr>
            <w:rStyle w:val="Hyperlink"/>
            <w:rFonts w:ascii="Arial" w:hAnsi="Arial" w:cs="Arial"/>
            <w:sz w:val="22"/>
            <w:szCs w:val="22"/>
          </w:rPr>
          <w:t>https://doi.org/10.1186/s12912-021-00684-2</w:t>
        </w:r>
      </w:hyperlink>
      <w:r w:rsidRPr="00B65333">
        <w:rPr>
          <w:rFonts w:ascii="Arial" w:hAnsi="Arial" w:cs="Arial"/>
          <w:sz w:val="22"/>
          <w:szCs w:val="22"/>
        </w:rPr>
        <w:t xml:space="preserve">. </w:t>
      </w:r>
    </w:p>
    <w:p w14:paraId="429BB916"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NHS England (2024). </w:t>
      </w:r>
      <w:r w:rsidRPr="00B65333">
        <w:rPr>
          <w:rFonts w:ascii="Arial" w:hAnsi="Arial" w:cs="Arial"/>
          <w:i/>
          <w:iCs/>
          <w:sz w:val="22"/>
          <w:szCs w:val="22"/>
        </w:rPr>
        <w:t>Protecting Patient Data - NHS Digital</w:t>
      </w:r>
      <w:r w:rsidRPr="00B65333">
        <w:rPr>
          <w:rFonts w:ascii="Arial" w:hAnsi="Arial" w:cs="Arial"/>
          <w:sz w:val="22"/>
          <w:szCs w:val="22"/>
        </w:rPr>
        <w:t xml:space="preserve">. [online] NHS Digital. Available at: </w:t>
      </w:r>
      <w:hyperlink r:id="rId14" w:history="1">
        <w:r w:rsidRPr="00B65333">
          <w:rPr>
            <w:rStyle w:val="Hyperlink"/>
            <w:rFonts w:ascii="Arial" w:hAnsi="Arial" w:cs="Arial"/>
            <w:sz w:val="22"/>
            <w:szCs w:val="22"/>
          </w:rPr>
          <w:t>https://digital.nhs.uk/services/national-data-opt-out/understanding-the-national-data-opt-out/protecting-patient-data</w:t>
        </w:r>
      </w:hyperlink>
      <w:r w:rsidRPr="00B65333">
        <w:rPr>
          <w:rFonts w:ascii="Arial" w:hAnsi="Arial" w:cs="Arial"/>
          <w:sz w:val="22"/>
          <w:szCs w:val="22"/>
        </w:rPr>
        <w:t xml:space="preserve">. </w:t>
      </w:r>
    </w:p>
    <w:p w14:paraId="6B1858A8"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lastRenderedPageBreak/>
        <w:t xml:space="preserve">NHS England (2025). </w:t>
      </w:r>
      <w:r w:rsidRPr="00B65333">
        <w:rPr>
          <w:rFonts w:ascii="Arial" w:hAnsi="Arial" w:cs="Arial"/>
          <w:i/>
          <w:iCs/>
          <w:sz w:val="22"/>
          <w:szCs w:val="22"/>
        </w:rPr>
        <w:t>NHS England» Accessible Information Standard – implementation guidance</w:t>
      </w:r>
      <w:r w:rsidRPr="00B65333">
        <w:rPr>
          <w:rFonts w:ascii="Arial" w:hAnsi="Arial" w:cs="Arial"/>
          <w:sz w:val="22"/>
          <w:szCs w:val="22"/>
        </w:rPr>
        <w:t xml:space="preserve">. [online] England.nhs.uk. Available at: </w:t>
      </w:r>
      <w:hyperlink r:id="rId15" w:history="1">
        <w:r w:rsidRPr="00B65333">
          <w:rPr>
            <w:rStyle w:val="Hyperlink"/>
            <w:rFonts w:ascii="Arial" w:hAnsi="Arial" w:cs="Arial"/>
            <w:sz w:val="22"/>
            <w:szCs w:val="22"/>
          </w:rPr>
          <w:t>https://www.england.nhs.uk/long-read/accessible-information-standard-implementation-guidance/</w:t>
        </w:r>
      </w:hyperlink>
      <w:r w:rsidRPr="00B65333">
        <w:rPr>
          <w:rFonts w:ascii="Arial" w:hAnsi="Arial" w:cs="Arial"/>
          <w:sz w:val="22"/>
          <w:szCs w:val="22"/>
        </w:rPr>
        <w:t xml:space="preserve">. </w:t>
      </w:r>
    </w:p>
    <w:p w14:paraId="200E12CE"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NICE (2016). </w:t>
      </w:r>
      <w:r w:rsidRPr="00B65333">
        <w:rPr>
          <w:rFonts w:ascii="Arial" w:hAnsi="Arial" w:cs="Arial"/>
          <w:i/>
          <w:iCs/>
          <w:sz w:val="22"/>
          <w:szCs w:val="22"/>
        </w:rPr>
        <w:t xml:space="preserve">Quality statement 5: Medicines reconciliation in primary care | Medicines </w:t>
      </w:r>
      <w:proofErr w:type="spellStart"/>
      <w:r w:rsidRPr="00B65333">
        <w:rPr>
          <w:rFonts w:ascii="Arial" w:hAnsi="Arial" w:cs="Arial"/>
          <w:i/>
          <w:iCs/>
          <w:sz w:val="22"/>
          <w:szCs w:val="22"/>
        </w:rPr>
        <w:t>optimisation</w:t>
      </w:r>
      <w:proofErr w:type="spellEnd"/>
      <w:r w:rsidRPr="00B65333">
        <w:rPr>
          <w:rFonts w:ascii="Arial" w:hAnsi="Arial" w:cs="Arial"/>
          <w:i/>
          <w:iCs/>
          <w:sz w:val="22"/>
          <w:szCs w:val="22"/>
        </w:rPr>
        <w:t xml:space="preserve"> | Quality standards | NICE</w:t>
      </w:r>
      <w:r w:rsidRPr="00B65333">
        <w:rPr>
          <w:rFonts w:ascii="Arial" w:hAnsi="Arial" w:cs="Arial"/>
          <w:sz w:val="22"/>
          <w:szCs w:val="22"/>
        </w:rPr>
        <w:t xml:space="preserve">. [online] www.nice.org.uk. Available at: </w:t>
      </w:r>
      <w:hyperlink r:id="rId16" w:history="1">
        <w:r w:rsidRPr="00B65333">
          <w:rPr>
            <w:rStyle w:val="Hyperlink"/>
            <w:rFonts w:ascii="Arial" w:hAnsi="Arial" w:cs="Arial"/>
            <w:sz w:val="22"/>
            <w:szCs w:val="22"/>
          </w:rPr>
          <w:t>https://www.nice.org.uk/guidance/qs120/chapter/Quality-statement-5-Medicines-reconciliation-in-primary-care</w:t>
        </w:r>
      </w:hyperlink>
      <w:r w:rsidRPr="00B65333">
        <w:rPr>
          <w:rFonts w:ascii="Arial" w:hAnsi="Arial" w:cs="Arial"/>
          <w:sz w:val="22"/>
          <w:szCs w:val="22"/>
        </w:rPr>
        <w:t xml:space="preserve">. </w:t>
      </w:r>
    </w:p>
    <w:p w14:paraId="56F4205B"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Park, J., Kim, A.J., Cho, E.-J., Cho, Y.S., Jun, K., Jung, Y.S. and Lee, J.-Y. (2024). Unintentional medication discrepancies at care transitions: prevalence and their impact on post-discharge emergency visits in critically ill older adults. </w:t>
      </w:r>
      <w:r w:rsidRPr="00B65333">
        <w:rPr>
          <w:rFonts w:ascii="Arial" w:hAnsi="Arial" w:cs="Arial"/>
          <w:i/>
          <w:iCs/>
          <w:sz w:val="22"/>
          <w:szCs w:val="22"/>
        </w:rPr>
        <w:t>BMC geriatrics</w:t>
      </w:r>
      <w:r w:rsidRPr="00B65333">
        <w:rPr>
          <w:rFonts w:ascii="Arial" w:hAnsi="Arial" w:cs="Arial"/>
          <w:sz w:val="22"/>
          <w:szCs w:val="22"/>
        </w:rPr>
        <w:t xml:space="preserve">, [online] 24(1), p.1000.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17" w:history="1">
        <w:r w:rsidRPr="00B65333">
          <w:rPr>
            <w:rStyle w:val="Hyperlink"/>
            <w:rFonts w:ascii="Arial" w:hAnsi="Arial" w:cs="Arial"/>
            <w:sz w:val="22"/>
            <w:szCs w:val="22"/>
          </w:rPr>
          <w:t>https://doi.org/10.1186/s12877-024-05517-w</w:t>
        </w:r>
      </w:hyperlink>
      <w:r w:rsidRPr="00B65333">
        <w:rPr>
          <w:rFonts w:ascii="Arial" w:hAnsi="Arial" w:cs="Arial"/>
          <w:sz w:val="22"/>
          <w:szCs w:val="22"/>
        </w:rPr>
        <w:t xml:space="preserve">. </w:t>
      </w:r>
    </w:p>
    <w:p w14:paraId="6E8A33C0"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Pinto, F., Roberto, P., Ferrario, L., Marotta, L., Montani, D., Auletta, G., </w:t>
      </w:r>
      <w:proofErr w:type="spellStart"/>
      <w:r w:rsidRPr="00B65333">
        <w:rPr>
          <w:rFonts w:ascii="Arial" w:hAnsi="Arial" w:cs="Arial"/>
          <w:sz w:val="22"/>
          <w:szCs w:val="22"/>
        </w:rPr>
        <w:t>Zoppini</w:t>
      </w:r>
      <w:proofErr w:type="spellEnd"/>
      <w:r w:rsidRPr="00B65333">
        <w:rPr>
          <w:rFonts w:ascii="Arial" w:hAnsi="Arial" w:cs="Arial"/>
          <w:sz w:val="22"/>
          <w:szCs w:val="22"/>
        </w:rPr>
        <w:t>, L. and Foglia, E. (2024). Using ‘Situation</w:t>
      </w:r>
      <w:r w:rsidRPr="00B65333">
        <w:rPr>
          <w:rFonts w:ascii="Cambria Math" w:hAnsi="Cambria Math" w:cs="Cambria Math"/>
          <w:sz w:val="22"/>
          <w:szCs w:val="22"/>
        </w:rPr>
        <w:t>‐</w:t>
      </w:r>
      <w:r w:rsidRPr="00B65333">
        <w:rPr>
          <w:rFonts w:ascii="Arial" w:hAnsi="Arial" w:cs="Arial"/>
          <w:sz w:val="22"/>
          <w:szCs w:val="22"/>
        </w:rPr>
        <w:t>Background</w:t>
      </w:r>
      <w:r w:rsidRPr="00B65333">
        <w:rPr>
          <w:rFonts w:ascii="Cambria Math" w:hAnsi="Cambria Math" w:cs="Cambria Math"/>
          <w:sz w:val="22"/>
          <w:szCs w:val="22"/>
        </w:rPr>
        <w:t>‐</w:t>
      </w:r>
      <w:r w:rsidRPr="00B65333">
        <w:rPr>
          <w:rFonts w:ascii="Arial" w:hAnsi="Arial" w:cs="Arial"/>
          <w:sz w:val="22"/>
          <w:szCs w:val="22"/>
        </w:rPr>
        <w:t>Assessment</w:t>
      </w:r>
      <w:r w:rsidRPr="00B65333">
        <w:rPr>
          <w:rFonts w:ascii="Cambria Math" w:hAnsi="Cambria Math" w:cs="Cambria Math"/>
          <w:sz w:val="22"/>
          <w:szCs w:val="22"/>
        </w:rPr>
        <w:t>‐</w:t>
      </w:r>
      <w:r w:rsidRPr="00B65333">
        <w:rPr>
          <w:rFonts w:ascii="Arial" w:hAnsi="Arial" w:cs="Arial"/>
          <w:sz w:val="22"/>
          <w:szCs w:val="22"/>
        </w:rPr>
        <w:t xml:space="preserve">Recommendation’ Method in Palliative Care to Enhance Handover Quality and Nursing Practice: A Mix Method Study. </w:t>
      </w:r>
      <w:r w:rsidRPr="00B65333">
        <w:rPr>
          <w:rFonts w:ascii="Arial" w:hAnsi="Arial" w:cs="Arial"/>
          <w:i/>
          <w:iCs/>
          <w:sz w:val="22"/>
          <w:szCs w:val="22"/>
        </w:rPr>
        <w:t>Journal of Clinical Nursing</w:t>
      </w:r>
      <w:r w:rsidRPr="00B65333">
        <w:rPr>
          <w:rFonts w:ascii="Arial" w:hAnsi="Arial" w:cs="Arial"/>
          <w:sz w:val="22"/>
          <w:szCs w:val="22"/>
        </w:rPr>
        <w:t xml:space="preserve">, 34(1), pp.117–127.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18" w:history="1">
        <w:r w:rsidRPr="00B65333">
          <w:rPr>
            <w:rStyle w:val="Hyperlink"/>
            <w:rFonts w:ascii="Arial" w:hAnsi="Arial" w:cs="Arial"/>
            <w:sz w:val="22"/>
            <w:szCs w:val="22"/>
          </w:rPr>
          <w:t>https://doi.org/10.1111/jocn.17537</w:t>
        </w:r>
      </w:hyperlink>
      <w:r w:rsidRPr="00B65333">
        <w:rPr>
          <w:rFonts w:ascii="Arial" w:hAnsi="Arial" w:cs="Arial"/>
          <w:sz w:val="22"/>
          <w:szCs w:val="22"/>
        </w:rPr>
        <w:t xml:space="preserve">. </w:t>
      </w:r>
    </w:p>
    <w:p w14:paraId="46F02DC8"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proofErr w:type="spellStart"/>
      <w:r w:rsidRPr="00B65333">
        <w:rPr>
          <w:rFonts w:ascii="Arial" w:hAnsi="Arial" w:cs="Arial"/>
          <w:sz w:val="22"/>
          <w:szCs w:val="22"/>
        </w:rPr>
        <w:t>Sehatkarlangrodi</w:t>
      </w:r>
      <w:proofErr w:type="spellEnd"/>
      <w:r w:rsidRPr="00B65333">
        <w:rPr>
          <w:rFonts w:ascii="Arial" w:hAnsi="Arial" w:cs="Arial"/>
          <w:sz w:val="22"/>
          <w:szCs w:val="22"/>
        </w:rPr>
        <w:t xml:space="preserve">, S., </w:t>
      </w:r>
      <w:proofErr w:type="spellStart"/>
      <w:r w:rsidRPr="00B65333">
        <w:rPr>
          <w:rFonts w:ascii="Arial" w:hAnsi="Arial" w:cs="Arial"/>
          <w:sz w:val="22"/>
          <w:szCs w:val="22"/>
        </w:rPr>
        <w:t>Zargoush</w:t>
      </w:r>
      <w:proofErr w:type="spellEnd"/>
      <w:r w:rsidRPr="00B65333">
        <w:rPr>
          <w:rFonts w:ascii="Arial" w:hAnsi="Arial" w:cs="Arial"/>
          <w:sz w:val="22"/>
          <w:szCs w:val="22"/>
        </w:rPr>
        <w:t xml:space="preserve">, M., Longo, C.J. and </w:t>
      </w:r>
      <w:proofErr w:type="spellStart"/>
      <w:r w:rsidRPr="00B65333">
        <w:rPr>
          <w:rFonts w:ascii="Arial" w:hAnsi="Arial" w:cs="Arial"/>
          <w:sz w:val="22"/>
          <w:szCs w:val="22"/>
        </w:rPr>
        <w:t>Ghazalbash</w:t>
      </w:r>
      <w:proofErr w:type="spellEnd"/>
      <w:r w:rsidRPr="00B65333">
        <w:rPr>
          <w:rFonts w:ascii="Arial" w:hAnsi="Arial" w:cs="Arial"/>
          <w:sz w:val="22"/>
          <w:szCs w:val="22"/>
        </w:rPr>
        <w:t xml:space="preserve">, S. (2025). Shaping older adults’ care policy: a scoping review of key determinants in post-acute and community reintegration transitions. </w:t>
      </w:r>
      <w:r w:rsidRPr="00B65333">
        <w:rPr>
          <w:rFonts w:ascii="Arial" w:hAnsi="Arial" w:cs="Arial"/>
          <w:i/>
          <w:iCs/>
          <w:sz w:val="22"/>
          <w:szCs w:val="22"/>
        </w:rPr>
        <w:t>BMC Health Services Research</w:t>
      </w:r>
      <w:r w:rsidRPr="00B65333">
        <w:rPr>
          <w:rFonts w:ascii="Arial" w:hAnsi="Arial" w:cs="Arial"/>
          <w:sz w:val="22"/>
          <w:szCs w:val="22"/>
        </w:rPr>
        <w:t xml:space="preserve">, 25(1).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19" w:history="1">
        <w:r w:rsidRPr="00B65333">
          <w:rPr>
            <w:rStyle w:val="Hyperlink"/>
            <w:rFonts w:ascii="Arial" w:hAnsi="Arial" w:cs="Arial"/>
            <w:sz w:val="22"/>
            <w:szCs w:val="22"/>
          </w:rPr>
          <w:t>https://doi.org/10.1186/s12913-025-13433-x</w:t>
        </w:r>
      </w:hyperlink>
      <w:r w:rsidRPr="00B65333">
        <w:rPr>
          <w:rFonts w:ascii="Arial" w:hAnsi="Arial" w:cs="Arial"/>
          <w:sz w:val="22"/>
          <w:szCs w:val="22"/>
        </w:rPr>
        <w:t xml:space="preserve">. </w:t>
      </w:r>
    </w:p>
    <w:p w14:paraId="07193431" w14:textId="77777777" w:rsidR="002810A2"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Shrivastava, S.R., Chong, S.V. and </w:t>
      </w:r>
      <w:proofErr w:type="spellStart"/>
      <w:r w:rsidRPr="00B65333">
        <w:rPr>
          <w:rFonts w:ascii="Arial" w:hAnsi="Arial" w:cs="Arial"/>
          <w:sz w:val="22"/>
          <w:szCs w:val="22"/>
        </w:rPr>
        <w:t>Bobhate</w:t>
      </w:r>
      <w:proofErr w:type="spellEnd"/>
      <w:r w:rsidRPr="00B65333">
        <w:rPr>
          <w:rFonts w:ascii="Arial" w:hAnsi="Arial" w:cs="Arial"/>
          <w:sz w:val="22"/>
          <w:szCs w:val="22"/>
        </w:rPr>
        <w:t xml:space="preserve">, P.S. (2025). Facilitating effective communication through the adoption of SBAR tool in medical training. </w:t>
      </w:r>
      <w:r w:rsidRPr="00B65333">
        <w:rPr>
          <w:rFonts w:ascii="Arial" w:hAnsi="Arial" w:cs="Arial"/>
          <w:i/>
          <w:iCs/>
          <w:sz w:val="22"/>
          <w:szCs w:val="22"/>
        </w:rPr>
        <w:t>Journal of Education and Health Promotion</w:t>
      </w:r>
      <w:r w:rsidRPr="00B65333">
        <w:rPr>
          <w:rFonts w:ascii="Arial" w:hAnsi="Arial" w:cs="Arial"/>
          <w:sz w:val="22"/>
          <w:szCs w:val="22"/>
        </w:rPr>
        <w:t xml:space="preserve">, 14(1).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20" w:history="1">
        <w:r w:rsidRPr="00B65333">
          <w:rPr>
            <w:rStyle w:val="Hyperlink"/>
            <w:rFonts w:ascii="Arial" w:hAnsi="Arial" w:cs="Arial"/>
            <w:sz w:val="22"/>
            <w:szCs w:val="22"/>
          </w:rPr>
          <w:t>https://doi.org/10.4103/jehp.jehp_1213_24</w:t>
        </w:r>
      </w:hyperlink>
      <w:r w:rsidRPr="00B65333">
        <w:rPr>
          <w:rFonts w:ascii="Arial" w:hAnsi="Arial" w:cs="Arial"/>
          <w:sz w:val="22"/>
          <w:szCs w:val="22"/>
        </w:rPr>
        <w:t xml:space="preserve">. </w:t>
      </w:r>
    </w:p>
    <w:p w14:paraId="6CF3E9CE" w14:textId="77777777" w:rsidR="00B159B4" w:rsidRPr="00B65333" w:rsidRDefault="002810A2" w:rsidP="002855DB">
      <w:pPr>
        <w:pStyle w:val="NormalWeb"/>
        <w:spacing w:before="0" w:beforeAutospacing="0" w:after="0" w:afterAutospacing="0" w:line="480" w:lineRule="auto"/>
        <w:ind w:left="720" w:hanging="720"/>
        <w:contextualSpacing/>
        <w:rPr>
          <w:rFonts w:ascii="Arial" w:hAnsi="Arial" w:cs="Arial"/>
          <w:sz w:val="22"/>
          <w:szCs w:val="22"/>
        </w:rPr>
      </w:pPr>
      <w:r w:rsidRPr="00B65333">
        <w:rPr>
          <w:rFonts w:ascii="Arial" w:hAnsi="Arial" w:cs="Arial"/>
          <w:sz w:val="22"/>
          <w:szCs w:val="22"/>
        </w:rPr>
        <w:t xml:space="preserve">Twersky, S.E., Jefferson, R., Garcia-Ortiz, L., Williams, E. and Pina, C. (2024). The Impact of Limited English Proficiency on Healthcare Access and Outcomes in the U.S.: a Scoping Review. </w:t>
      </w:r>
      <w:r w:rsidRPr="00B65333">
        <w:rPr>
          <w:rFonts w:ascii="Arial" w:hAnsi="Arial" w:cs="Arial"/>
          <w:i/>
          <w:iCs/>
          <w:sz w:val="22"/>
          <w:szCs w:val="22"/>
        </w:rPr>
        <w:t>Healthcare</w:t>
      </w:r>
      <w:r w:rsidRPr="00B65333">
        <w:rPr>
          <w:rFonts w:ascii="Arial" w:hAnsi="Arial" w:cs="Arial"/>
          <w:sz w:val="22"/>
          <w:szCs w:val="22"/>
        </w:rPr>
        <w:t xml:space="preserve">, [online] 12(3), pp.364–364. </w:t>
      </w:r>
      <w:proofErr w:type="spellStart"/>
      <w:r w:rsidRPr="00B65333">
        <w:rPr>
          <w:rFonts w:ascii="Arial" w:hAnsi="Arial" w:cs="Arial"/>
          <w:sz w:val="22"/>
          <w:szCs w:val="22"/>
        </w:rPr>
        <w:t>doi</w:t>
      </w:r>
      <w:proofErr w:type="spellEnd"/>
      <w:r w:rsidRPr="00B65333">
        <w:rPr>
          <w:rFonts w:ascii="Arial" w:hAnsi="Arial" w:cs="Arial"/>
          <w:sz w:val="22"/>
          <w:szCs w:val="22"/>
        </w:rPr>
        <w:t xml:space="preserve">: </w:t>
      </w:r>
      <w:hyperlink r:id="rId21" w:history="1">
        <w:r w:rsidRPr="00B65333">
          <w:rPr>
            <w:rStyle w:val="Hyperlink"/>
            <w:rFonts w:ascii="Arial" w:hAnsi="Arial" w:cs="Arial"/>
            <w:sz w:val="22"/>
            <w:szCs w:val="22"/>
          </w:rPr>
          <w:t>https://doi.org/10.3390/healthcare12030364</w:t>
        </w:r>
      </w:hyperlink>
      <w:r w:rsidRPr="00B65333">
        <w:rPr>
          <w:rFonts w:ascii="Arial" w:hAnsi="Arial" w:cs="Arial"/>
          <w:sz w:val="22"/>
          <w:szCs w:val="22"/>
        </w:rPr>
        <w:t xml:space="preserve"> </w:t>
      </w:r>
    </w:p>
    <w:sectPr w:rsidR="00B159B4" w:rsidRPr="00B65333" w:rsidSect="001E115D">
      <w:headerReference w:type="default" r:id="rId22"/>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28BC1" w14:textId="77777777" w:rsidR="00393185" w:rsidRDefault="00393185" w:rsidP="00FD5BDC">
      <w:pPr>
        <w:spacing w:after="0" w:line="240" w:lineRule="auto"/>
      </w:pPr>
      <w:r>
        <w:separator/>
      </w:r>
    </w:p>
  </w:endnote>
  <w:endnote w:type="continuationSeparator" w:id="0">
    <w:p w14:paraId="350A56A1" w14:textId="77777777" w:rsidR="00393185" w:rsidRDefault="00393185" w:rsidP="00FD5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D53A5" w14:textId="77777777" w:rsidR="00393185" w:rsidRDefault="00393185" w:rsidP="00FD5BDC">
      <w:pPr>
        <w:spacing w:after="0" w:line="240" w:lineRule="auto"/>
      </w:pPr>
      <w:r>
        <w:separator/>
      </w:r>
    </w:p>
  </w:footnote>
  <w:footnote w:type="continuationSeparator" w:id="0">
    <w:p w14:paraId="10FA265D" w14:textId="77777777" w:rsidR="00393185" w:rsidRDefault="00393185" w:rsidP="00FD5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58467579"/>
      <w:docPartObj>
        <w:docPartGallery w:val="Page Numbers (Top of Page)"/>
        <w:docPartUnique/>
      </w:docPartObj>
    </w:sdtPr>
    <w:sdtContent>
      <w:p w14:paraId="5B94510B" w14:textId="77777777" w:rsidR="00FD5BDC" w:rsidRPr="00FD5BDC" w:rsidRDefault="00FD5BDC">
        <w:pPr>
          <w:pStyle w:val="Header"/>
          <w:jc w:val="right"/>
          <w:rPr>
            <w:rFonts w:ascii="Times New Roman" w:hAnsi="Times New Roman" w:cs="Times New Roman"/>
            <w:sz w:val="24"/>
            <w:szCs w:val="24"/>
          </w:rPr>
        </w:pPr>
        <w:r w:rsidRPr="00FD5BDC">
          <w:rPr>
            <w:rFonts w:ascii="Times New Roman" w:eastAsia="Times New Roman" w:hAnsi="Times New Roman" w:cs="Times New Roman"/>
            <w:sz w:val="24"/>
            <w:szCs w:val="24"/>
          </w:rPr>
          <w:t>Improving Safety and Continuity of Care after Hip Replacement</w:t>
        </w:r>
        <w:r w:rsidRPr="00FD5BDC">
          <w:rPr>
            <w:rFonts w:ascii="Times New Roman" w:hAnsi="Times New Roman" w:cs="Times New Roman"/>
            <w:sz w:val="24"/>
            <w:szCs w:val="24"/>
          </w:rPr>
          <w:t xml:space="preserve"> </w:t>
        </w:r>
        <w:r w:rsidRPr="00FD5BDC">
          <w:rPr>
            <w:rFonts w:ascii="Times New Roman" w:hAnsi="Times New Roman" w:cs="Times New Roman"/>
            <w:sz w:val="24"/>
            <w:szCs w:val="24"/>
          </w:rPr>
          <w:fldChar w:fldCharType="begin"/>
        </w:r>
        <w:r w:rsidRPr="00FD5BDC">
          <w:rPr>
            <w:rFonts w:ascii="Times New Roman" w:hAnsi="Times New Roman" w:cs="Times New Roman"/>
            <w:sz w:val="24"/>
            <w:szCs w:val="24"/>
          </w:rPr>
          <w:instrText xml:space="preserve"> PAGE   \* MERGEFORMAT </w:instrText>
        </w:r>
        <w:r w:rsidRPr="00FD5BDC">
          <w:rPr>
            <w:rFonts w:ascii="Times New Roman" w:hAnsi="Times New Roman" w:cs="Times New Roman"/>
            <w:sz w:val="24"/>
            <w:szCs w:val="24"/>
          </w:rPr>
          <w:fldChar w:fldCharType="separate"/>
        </w:r>
        <w:r w:rsidR="002855DB">
          <w:rPr>
            <w:rFonts w:ascii="Times New Roman" w:hAnsi="Times New Roman" w:cs="Times New Roman"/>
            <w:noProof/>
            <w:sz w:val="24"/>
            <w:szCs w:val="24"/>
          </w:rPr>
          <w:t>8</w:t>
        </w:r>
        <w:r w:rsidRPr="00FD5BDC">
          <w:rPr>
            <w:rFonts w:ascii="Times New Roman" w:hAnsi="Times New Roman" w:cs="Times New Roman"/>
            <w:sz w:val="24"/>
            <w:szCs w:val="24"/>
          </w:rPr>
          <w:fldChar w:fldCharType="end"/>
        </w:r>
      </w:p>
    </w:sdtContent>
  </w:sdt>
  <w:p w14:paraId="63F5E6FD" w14:textId="77777777" w:rsidR="00FD5BDC" w:rsidRPr="00FD5BDC" w:rsidRDefault="00FD5BD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5C78"/>
    <w:multiLevelType w:val="multilevel"/>
    <w:tmpl w:val="A52E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2064B"/>
    <w:multiLevelType w:val="multilevel"/>
    <w:tmpl w:val="4912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D672A"/>
    <w:multiLevelType w:val="multilevel"/>
    <w:tmpl w:val="E4EC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246CB"/>
    <w:multiLevelType w:val="multilevel"/>
    <w:tmpl w:val="1980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B856C8"/>
    <w:multiLevelType w:val="multilevel"/>
    <w:tmpl w:val="19BCA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E17CA0"/>
    <w:multiLevelType w:val="multilevel"/>
    <w:tmpl w:val="B060F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14302D"/>
    <w:multiLevelType w:val="multilevel"/>
    <w:tmpl w:val="DE5026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9A4654"/>
    <w:multiLevelType w:val="multilevel"/>
    <w:tmpl w:val="A53E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867B58"/>
    <w:multiLevelType w:val="multilevel"/>
    <w:tmpl w:val="7F4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D95F14"/>
    <w:multiLevelType w:val="multilevel"/>
    <w:tmpl w:val="74F4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670FE"/>
    <w:multiLevelType w:val="multilevel"/>
    <w:tmpl w:val="3C445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554070">
    <w:abstractNumId w:val="0"/>
  </w:num>
  <w:num w:numId="2" w16cid:durableId="894967516">
    <w:abstractNumId w:val="2"/>
  </w:num>
  <w:num w:numId="3" w16cid:durableId="1118253974">
    <w:abstractNumId w:val="6"/>
  </w:num>
  <w:num w:numId="4" w16cid:durableId="387803794">
    <w:abstractNumId w:val="5"/>
  </w:num>
  <w:num w:numId="5" w16cid:durableId="24838856">
    <w:abstractNumId w:val="7"/>
  </w:num>
  <w:num w:numId="6" w16cid:durableId="1958825885">
    <w:abstractNumId w:val="4"/>
  </w:num>
  <w:num w:numId="7" w16cid:durableId="792021978">
    <w:abstractNumId w:val="3"/>
  </w:num>
  <w:num w:numId="8" w16cid:durableId="1079906533">
    <w:abstractNumId w:val="1"/>
  </w:num>
  <w:num w:numId="9" w16cid:durableId="1928808896">
    <w:abstractNumId w:val="10"/>
  </w:num>
  <w:num w:numId="10" w16cid:durableId="1935549898">
    <w:abstractNumId w:val="8"/>
  </w:num>
  <w:num w:numId="11" w16cid:durableId="11129372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1MzM0MjO1tLQwNjBQ0lEKTi0uzszPAykwrAUAAi/AdywAAAA="/>
  </w:docVars>
  <w:rsids>
    <w:rsidRoot w:val="00C915A0"/>
    <w:rsid w:val="0001395F"/>
    <w:rsid w:val="00014341"/>
    <w:rsid w:val="000519A4"/>
    <w:rsid w:val="000614CB"/>
    <w:rsid w:val="000E1712"/>
    <w:rsid w:val="001374EC"/>
    <w:rsid w:val="001576B2"/>
    <w:rsid w:val="001B4EDE"/>
    <w:rsid w:val="001C2A0C"/>
    <w:rsid w:val="001E115D"/>
    <w:rsid w:val="00226D52"/>
    <w:rsid w:val="002810A2"/>
    <w:rsid w:val="002855DB"/>
    <w:rsid w:val="002E53E6"/>
    <w:rsid w:val="003852AD"/>
    <w:rsid w:val="00393185"/>
    <w:rsid w:val="00407DAD"/>
    <w:rsid w:val="00420C47"/>
    <w:rsid w:val="00480181"/>
    <w:rsid w:val="00481E47"/>
    <w:rsid w:val="004863D7"/>
    <w:rsid w:val="00493620"/>
    <w:rsid w:val="004E40FB"/>
    <w:rsid w:val="004E5247"/>
    <w:rsid w:val="004F5B19"/>
    <w:rsid w:val="00537F3B"/>
    <w:rsid w:val="005701DE"/>
    <w:rsid w:val="005F017F"/>
    <w:rsid w:val="006013C3"/>
    <w:rsid w:val="006136C9"/>
    <w:rsid w:val="00686C32"/>
    <w:rsid w:val="00721AB0"/>
    <w:rsid w:val="007335D9"/>
    <w:rsid w:val="007579A1"/>
    <w:rsid w:val="007859DF"/>
    <w:rsid w:val="00805711"/>
    <w:rsid w:val="00825F2D"/>
    <w:rsid w:val="0084768E"/>
    <w:rsid w:val="00860C53"/>
    <w:rsid w:val="00896EDA"/>
    <w:rsid w:val="008E5E87"/>
    <w:rsid w:val="00963353"/>
    <w:rsid w:val="00992546"/>
    <w:rsid w:val="009B612B"/>
    <w:rsid w:val="009C340F"/>
    <w:rsid w:val="00AA32D9"/>
    <w:rsid w:val="00AC22E5"/>
    <w:rsid w:val="00AD574F"/>
    <w:rsid w:val="00AE1AF4"/>
    <w:rsid w:val="00B159B4"/>
    <w:rsid w:val="00B2104A"/>
    <w:rsid w:val="00B24099"/>
    <w:rsid w:val="00B377A5"/>
    <w:rsid w:val="00B650A6"/>
    <w:rsid w:val="00B65333"/>
    <w:rsid w:val="00BB76C4"/>
    <w:rsid w:val="00BC64E5"/>
    <w:rsid w:val="00C915A0"/>
    <w:rsid w:val="00CD3CA9"/>
    <w:rsid w:val="00CE3523"/>
    <w:rsid w:val="00D404FA"/>
    <w:rsid w:val="00DD3B94"/>
    <w:rsid w:val="00E04E91"/>
    <w:rsid w:val="00F35878"/>
    <w:rsid w:val="00F513D9"/>
    <w:rsid w:val="00FC4038"/>
    <w:rsid w:val="00FC702B"/>
    <w:rsid w:val="00FD08CD"/>
    <w:rsid w:val="00FD5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60480"/>
  <w15:docId w15:val="{5BDCD067-5FE1-4094-8784-42BB72B71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711"/>
  </w:style>
  <w:style w:type="paragraph" w:styleId="Heading2">
    <w:name w:val="heading 2"/>
    <w:basedOn w:val="Normal"/>
    <w:link w:val="Heading2Char"/>
    <w:uiPriority w:val="9"/>
    <w:qFormat/>
    <w:rsid w:val="00C915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15A0"/>
    <w:rPr>
      <w:rFonts w:ascii="Times New Roman" w:eastAsia="Times New Roman" w:hAnsi="Times New Roman" w:cs="Times New Roman"/>
      <w:b/>
      <w:bCs/>
      <w:sz w:val="36"/>
      <w:szCs w:val="36"/>
    </w:rPr>
  </w:style>
  <w:style w:type="paragraph" w:styleId="NormalWeb">
    <w:name w:val="Normal (Web)"/>
    <w:basedOn w:val="Normal"/>
    <w:uiPriority w:val="99"/>
    <w:unhideWhenUsed/>
    <w:rsid w:val="00C915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1">
    <w:name w:val="ms-1"/>
    <w:basedOn w:val="DefaultParagraphFont"/>
    <w:rsid w:val="00C915A0"/>
  </w:style>
  <w:style w:type="character" w:customStyle="1" w:styleId="max-w-15ch">
    <w:name w:val="max-w-[15ch]"/>
    <w:basedOn w:val="DefaultParagraphFont"/>
    <w:rsid w:val="00C915A0"/>
  </w:style>
  <w:style w:type="character" w:customStyle="1" w:styleId="-me-1">
    <w:name w:val="-me-1"/>
    <w:basedOn w:val="DefaultParagraphFont"/>
    <w:rsid w:val="00C915A0"/>
  </w:style>
  <w:style w:type="character" w:styleId="Strong">
    <w:name w:val="Strong"/>
    <w:basedOn w:val="DefaultParagraphFont"/>
    <w:uiPriority w:val="22"/>
    <w:qFormat/>
    <w:rsid w:val="00C915A0"/>
    <w:rPr>
      <w:b/>
      <w:bCs/>
    </w:rPr>
  </w:style>
  <w:style w:type="character" w:styleId="Emphasis">
    <w:name w:val="Emphasis"/>
    <w:basedOn w:val="DefaultParagraphFont"/>
    <w:uiPriority w:val="20"/>
    <w:qFormat/>
    <w:rsid w:val="00C915A0"/>
    <w:rPr>
      <w:i/>
      <w:iCs/>
    </w:rPr>
  </w:style>
  <w:style w:type="character" w:styleId="Hyperlink">
    <w:name w:val="Hyperlink"/>
    <w:basedOn w:val="DefaultParagraphFont"/>
    <w:uiPriority w:val="99"/>
    <w:unhideWhenUsed/>
    <w:rsid w:val="002810A2"/>
    <w:rPr>
      <w:color w:val="0000FF" w:themeColor="hyperlink"/>
      <w:u w:val="single"/>
    </w:rPr>
  </w:style>
  <w:style w:type="paragraph" w:styleId="Header">
    <w:name w:val="header"/>
    <w:basedOn w:val="Normal"/>
    <w:link w:val="HeaderChar"/>
    <w:uiPriority w:val="99"/>
    <w:unhideWhenUsed/>
    <w:rsid w:val="00FD5B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BDC"/>
  </w:style>
  <w:style w:type="paragraph" w:styleId="Footer">
    <w:name w:val="footer"/>
    <w:basedOn w:val="Normal"/>
    <w:link w:val="FooterChar"/>
    <w:uiPriority w:val="99"/>
    <w:semiHidden/>
    <w:unhideWhenUsed/>
    <w:rsid w:val="00FD5BD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D5BDC"/>
  </w:style>
  <w:style w:type="paragraph" w:styleId="Revision">
    <w:name w:val="Revision"/>
    <w:hidden/>
    <w:uiPriority w:val="99"/>
    <w:semiHidden/>
    <w:rsid w:val="00AE1A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5328">
      <w:bodyDiv w:val="1"/>
      <w:marLeft w:val="0"/>
      <w:marRight w:val="0"/>
      <w:marTop w:val="0"/>
      <w:marBottom w:val="0"/>
      <w:divBdr>
        <w:top w:val="none" w:sz="0" w:space="0" w:color="auto"/>
        <w:left w:val="none" w:sz="0" w:space="0" w:color="auto"/>
        <w:bottom w:val="none" w:sz="0" w:space="0" w:color="auto"/>
        <w:right w:val="none" w:sz="0" w:space="0" w:color="auto"/>
      </w:divBdr>
    </w:div>
    <w:div w:id="226691774">
      <w:bodyDiv w:val="1"/>
      <w:marLeft w:val="0"/>
      <w:marRight w:val="0"/>
      <w:marTop w:val="0"/>
      <w:marBottom w:val="0"/>
      <w:divBdr>
        <w:top w:val="none" w:sz="0" w:space="0" w:color="auto"/>
        <w:left w:val="none" w:sz="0" w:space="0" w:color="auto"/>
        <w:bottom w:val="none" w:sz="0" w:space="0" w:color="auto"/>
        <w:right w:val="none" w:sz="0" w:space="0" w:color="auto"/>
      </w:divBdr>
      <w:divsChild>
        <w:div w:id="1636452417">
          <w:marLeft w:val="0"/>
          <w:marRight w:val="0"/>
          <w:marTop w:val="0"/>
          <w:marBottom w:val="0"/>
          <w:divBdr>
            <w:top w:val="none" w:sz="0" w:space="0" w:color="auto"/>
            <w:left w:val="none" w:sz="0" w:space="0" w:color="auto"/>
            <w:bottom w:val="none" w:sz="0" w:space="0" w:color="auto"/>
            <w:right w:val="none" w:sz="0" w:space="0" w:color="auto"/>
          </w:divBdr>
        </w:div>
      </w:divsChild>
    </w:div>
    <w:div w:id="321782041">
      <w:bodyDiv w:val="1"/>
      <w:marLeft w:val="0"/>
      <w:marRight w:val="0"/>
      <w:marTop w:val="0"/>
      <w:marBottom w:val="0"/>
      <w:divBdr>
        <w:top w:val="none" w:sz="0" w:space="0" w:color="auto"/>
        <w:left w:val="none" w:sz="0" w:space="0" w:color="auto"/>
        <w:bottom w:val="none" w:sz="0" w:space="0" w:color="auto"/>
        <w:right w:val="none" w:sz="0" w:space="0" w:color="auto"/>
      </w:divBdr>
    </w:div>
    <w:div w:id="343940402">
      <w:bodyDiv w:val="1"/>
      <w:marLeft w:val="0"/>
      <w:marRight w:val="0"/>
      <w:marTop w:val="0"/>
      <w:marBottom w:val="0"/>
      <w:divBdr>
        <w:top w:val="none" w:sz="0" w:space="0" w:color="auto"/>
        <w:left w:val="none" w:sz="0" w:space="0" w:color="auto"/>
        <w:bottom w:val="none" w:sz="0" w:space="0" w:color="auto"/>
        <w:right w:val="none" w:sz="0" w:space="0" w:color="auto"/>
      </w:divBdr>
    </w:div>
    <w:div w:id="441918707">
      <w:bodyDiv w:val="1"/>
      <w:marLeft w:val="0"/>
      <w:marRight w:val="0"/>
      <w:marTop w:val="0"/>
      <w:marBottom w:val="0"/>
      <w:divBdr>
        <w:top w:val="none" w:sz="0" w:space="0" w:color="auto"/>
        <w:left w:val="none" w:sz="0" w:space="0" w:color="auto"/>
        <w:bottom w:val="none" w:sz="0" w:space="0" w:color="auto"/>
        <w:right w:val="none" w:sz="0" w:space="0" w:color="auto"/>
      </w:divBdr>
    </w:div>
    <w:div w:id="459961048">
      <w:bodyDiv w:val="1"/>
      <w:marLeft w:val="0"/>
      <w:marRight w:val="0"/>
      <w:marTop w:val="0"/>
      <w:marBottom w:val="0"/>
      <w:divBdr>
        <w:top w:val="none" w:sz="0" w:space="0" w:color="auto"/>
        <w:left w:val="none" w:sz="0" w:space="0" w:color="auto"/>
        <w:bottom w:val="none" w:sz="0" w:space="0" w:color="auto"/>
        <w:right w:val="none" w:sz="0" w:space="0" w:color="auto"/>
      </w:divBdr>
    </w:div>
    <w:div w:id="615066735">
      <w:bodyDiv w:val="1"/>
      <w:marLeft w:val="0"/>
      <w:marRight w:val="0"/>
      <w:marTop w:val="0"/>
      <w:marBottom w:val="0"/>
      <w:divBdr>
        <w:top w:val="none" w:sz="0" w:space="0" w:color="auto"/>
        <w:left w:val="none" w:sz="0" w:space="0" w:color="auto"/>
        <w:bottom w:val="none" w:sz="0" w:space="0" w:color="auto"/>
        <w:right w:val="none" w:sz="0" w:space="0" w:color="auto"/>
      </w:divBdr>
    </w:div>
    <w:div w:id="635989963">
      <w:bodyDiv w:val="1"/>
      <w:marLeft w:val="0"/>
      <w:marRight w:val="0"/>
      <w:marTop w:val="0"/>
      <w:marBottom w:val="0"/>
      <w:divBdr>
        <w:top w:val="none" w:sz="0" w:space="0" w:color="auto"/>
        <w:left w:val="none" w:sz="0" w:space="0" w:color="auto"/>
        <w:bottom w:val="none" w:sz="0" w:space="0" w:color="auto"/>
        <w:right w:val="none" w:sz="0" w:space="0" w:color="auto"/>
      </w:divBdr>
    </w:div>
    <w:div w:id="653534870">
      <w:bodyDiv w:val="1"/>
      <w:marLeft w:val="0"/>
      <w:marRight w:val="0"/>
      <w:marTop w:val="0"/>
      <w:marBottom w:val="0"/>
      <w:divBdr>
        <w:top w:val="none" w:sz="0" w:space="0" w:color="auto"/>
        <w:left w:val="none" w:sz="0" w:space="0" w:color="auto"/>
        <w:bottom w:val="none" w:sz="0" w:space="0" w:color="auto"/>
        <w:right w:val="none" w:sz="0" w:space="0" w:color="auto"/>
      </w:divBdr>
    </w:div>
    <w:div w:id="799499816">
      <w:bodyDiv w:val="1"/>
      <w:marLeft w:val="0"/>
      <w:marRight w:val="0"/>
      <w:marTop w:val="0"/>
      <w:marBottom w:val="0"/>
      <w:divBdr>
        <w:top w:val="none" w:sz="0" w:space="0" w:color="auto"/>
        <w:left w:val="none" w:sz="0" w:space="0" w:color="auto"/>
        <w:bottom w:val="none" w:sz="0" w:space="0" w:color="auto"/>
        <w:right w:val="none" w:sz="0" w:space="0" w:color="auto"/>
      </w:divBdr>
    </w:div>
    <w:div w:id="906500294">
      <w:bodyDiv w:val="1"/>
      <w:marLeft w:val="0"/>
      <w:marRight w:val="0"/>
      <w:marTop w:val="0"/>
      <w:marBottom w:val="0"/>
      <w:divBdr>
        <w:top w:val="none" w:sz="0" w:space="0" w:color="auto"/>
        <w:left w:val="none" w:sz="0" w:space="0" w:color="auto"/>
        <w:bottom w:val="none" w:sz="0" w:space="0" w:color="auto"/>
        <w:right w:val="none" w:sz="0" w:space="0" w:color="auto"/>
      </w:divBdr>
      <w:divsChild>
        <w:div w:id="156310211">
          <w:marLeft w:val="0"/>
          <w:marRight w:val="0"/>
          <w:marTop w:val="0"/>
          <w:marBottom w:val="0"/>
          <w:divBdr>
            <w:top w:val="none" w:sz="0" w:space="0" w:color="auto"/>
            <w:left w:val="none" w:sz="0" w:space="0" w:color="auto"/>
            <w:bottom w:val="none" w:sz="0" w:space="0" w:color="auto"/>
            <w:right w:val="none" w:sz="0" w:space="0" w:color="auto"/>
          </w:divBdr>
          <w:divsChild>
            <w:div w:id="449738730">
              <w:marLeft w:val="0"/>
              <w:marRight w:val="0"/>
              <w:marTop w:val="0"/>
              <w:marBottom w:val="0"/>
              <w:divBdr>
                <w:top w:val="none" w:sz="0" w:space="0" w:color="auto"/>
                <w:left w:val="none" w:sz="0" w:space="0" w:color="auto"/>
                <w:bottom w:val="none" w:sz="0" w:space="0" w:color="auto"/>
                <w:right w:val="none" w:sz="0" w:space="0" w:color="auto"/>
              </w:divBdr>
              <w:divsChild>
                <w:div w:id="594092519">
                  <w:marLeft w:val="0"/>
                  <w:marRight w:val="0"/>
                  <w:marTop w:val="0"/>
                  <w:marBottom w:val="0"/>
                  <w:divBdr>
                    <w:top w:val="none" w:sz="0" w:space="0" w:color="auto"/>
                    <w:left w:val="none" w:sz="0" w:space="0" w:color="auto"/>
                    <w:bottom w:val="none" w:sz="0" w:space="0" w:color="auto"/>
                    <w:right w:val="none" w:sz="0" w:space="0" w:color="auto"/>
                  </w:divBdr>
                  <w:divsChild>
                    <w:div w:id="541019282">
                      <w:marLeft w:val="0"/>
                      <w:marRight w:val="0"/>
                      <w:marTop w:val="0"/>
                      <w:marBottom w:val="0"/>
                      <w:divBdr>
                        <w:top w:val="none" w:sz="0" w:space="0" w:color="auto"/>
                        <w:left w:val="none" w:sz="0" w:space="0" w:color="auto"/>
                        <w:bottom w:val="none" w:sz="0" w:space="0" w:color="auto"/>
                        <w:right w:val="none" w:sz="0" w:space="0" w:color="auto"/>
                      </w:divBdr>
                      <w:divsChild>
                        <w:div w:id="2065761641">
                          <w:marLeft w:val="0"/>
                          <w:marRight w:val="0"/>
                          <w:marTop w:val="0"/>
                          <w:marBottom w:val="0"/>
                          <w:divBdr>
                            <w:top w:val="none" w:sz="0" w:space="0" w:color="auto"/>
                            <w:left w:val="none" w:sz="0" w:space="0" w:color="auto"/>
                            <w:bottom w:val="none" w:sz="0" w:space="0" w:color="auto"/>
                            <w:right w:val="none" w:sz="0" w:space="0" w:color="auto"/>
                          </w:divBdr>
                          <w:divsChild>
                            <w:div w:id="408424919">
                              <w:marLeft w:val="0"/>
                              <w:marRight w:val="0"/>
                              <w:marTop w:val="0"/>
                              <w:marBottom w:val="0"/>
                              <w:divBdr>
                                <w:top w:val="none" w:sz="0" w:space="0" w:color="auto"/>
                                <w:left w:val="none" w:sz="0" w:space="0" w:color="auto"/>
                                <w:bottom w:val="none" w:sz="0" w:space="0" w:color="auto"/>
                                <w:right w:val="none" w:sz="0" w:space="0" w:color="auto"/>
                              </w:divBdr>
                              <w:divsChild>
                                <w:div w:id="110076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4652104">
      <w:bodyDiv w:val="1"/>
      <w:marLeft w:val="0"/>
      <w:marRight w:val="0"/>
      <w:marTop w:val="0"/>
      <w:marBottom w:val="0"/>
      <w:divBdr>
        <w:top w:val="none" w:sz="0" w:space="0" w:color="auto"/>
        <w:left w:val="none" w:sz="0" w:space="0" w:color="auto"/>
        <w:bottom w:val="none" w:sz="0" w:space="0" w:color="auto"/>
        <w:right w:val="none" w:sz="0" w:space="0" w:color="auto"/>
      </w:divBdr>
    </w:div>
    <w:div w:id="1063482970">
      <w:bodyDiv w:val="1"/>
      <w:marLeft w:val="0"/>
      <w:marRight w:val="0"/>
      <w:marTop w:val="0"/>
      <w:marBottom w:val="0"/>
      <w:divBdr>
        <w:top w:val="none" w:sz="0" w:space="0" w:color="auto"/>
        <w:left w:val="none" w:sz="0" w:space="0" w:color="auto"/>
        <w:bottom w:val="none" w:sz="0" w:space="0" w:color="auto"/>
        <w:right w:val="none" w:sz="0" w:space="0" w:color="auto"/>
      </w:divBdr>
    </w:div>
    <w:div w:id="1242180844">
      <w:bodyDiv w:val="1"/>
      <w:marLeft w:val="0"/>
      <w:marRight w:val="0"/>
      <w:marTop w:val="0"/>
      <w:marBottom w:val="0"/>
      <w:divBdr>
        <w:top w:val="none" w:sz="0" w:space="0" w:color="auto"/>
        <w:left w:val="none" w:sz="0" w:space="0" w:color="auto"/>
        <w:bottom w:val="none" w:sz="0" w:space="0" w:color="auto"/>
        <w:right w:val="none" w:sz="0" w:space="0" w:color="auto"/>
      </w:divBdr>
    </w:div>
    <w:div w:id="1391464744">
      <w:bodyDiv w:val="1"/>
      <w:marLeft w:val="0"/>
      <w:marRight w:val="0"/>
      <w:marTop w:val="0"/>
      <w:marBottom w:val="0"/>
      <w:divBdr>
        <w:top w:val="none" w:sz="0" w:space="0" w:color="auto"/>
        <w:left w:val="none" w:sz="0" w:space="0" w:color="auto"/>
        <w:bottom w:val="none" w:sz="0" w:space="0" w:color="auto"/>
        <w:right w:val="none" w:sz="0" w:space="0" w:color="auto"/>
      </w:divBdr>
    </w:div>
    <w:div w:id="1397167750">
      <w:bodyDiv w:val="1"/>
      <w:marLeft w:val="0"/>
      <w:marRight w:val="0"/>
      <w:marTop w:val="0"/>
      <w:marBottom w:val="0"/>
      <w:divBdr>
        <w:top w:val="none" w:sz="0" w:space="0" w:color="auto"/>
        <w:left w:val="none" w:sz="0" w:space="0" w:color="auto"/>
        <w:bottom w:val="none" w:sz="0" w:space="0" w:color="auto"/>
        <w:right w:val="none" w:sz="0" w:space="0" w:color="auto"/>
      </w:divBdr>
      <w:divsChild>
        <w:div w:id="1548688321">
          <w:marLeft w:val="0"/>
          <w:marRight w:val="0"/>
          <w:marTop w:val="0"/>
          <w:marBottom w:val="0"/>
          <w:divBdr>
            <w:top w:val="none" w:sz="0" w:space="0" w:color="auto"/>
            <w:left w:val="none" w:sz="0" w:space="0" w:color="auto"/>
            <w:bottom w:val="none" w:sz="0" w:space="0" w:color="auto"/>
            <w:right w:val="none" w:sz="0" w:space="0" w:color="auto"/>
          </w:divBdr>
          <w:divsChild>
            <w:div w:id="1025058998">
              <w:marLeft w:val="0"/>
              <w:marRight w:val="0"/>
              <w:marTop w:val="0"/>
              <w:marBottom w:val="0"/>
              <w:divBdr>
                <w:top w:val="none" w:sz="0" w:space="0" w:color="auto"/>
                <w:left w:val="none" w:sz="0" w:space="0" w:color="auto"/>
                <w:bottom w:val="none" w:sz="0" w:space="0" w:color="auto"/>
                <w:right w:val="none" w:sz="0" w:space="0" w:color="auto"/>
              </w:divBdr>
              <w:divsChild>
                <w:div w:id="861433381">
                  <w:marLeft w:val="0"/>
                  <w:marRight w:val="0"/>
                  <w:marTop w:val="0"/>
                  <w:marBottom w:val="0"/>
                  <w:divBdr>
                    <w:top w:val="none" w:sz="0" w:space="0" w:color="auto"/>
                    <w:left w:val="none" w:sz="0" w:space="0" w:color="auto"/>
                    <w:bottom w:val="none" w:sz="0" w:space="0" w:color="auto"/>
                    <w:right w:val="none" w:sz="0" w:space="0" w:color="auto"/>
                  </w:divBdr>
                  <w:divsChild>
                    <w:div w:id="1035303549">
                      <w:marLeft w:val="0"/>
                      <w:marRight w:val="0"/>
                      <w:marTop w:val="0"/>
                      <w:marBottom w:val="0"/>
                      <w:divBdr>
                        <w:top w:val="none" w:sz="0" w:space="0" w:color="auto"/>
                        <w:left w:val="none" w:sz="0" w:space="0" w:color="auto"/>
                        <w:bottom w:val="none" w:sz="0" w:space="0" w:color="auto"/>
                        <w:right w:val="none" w:sz="0" w:space="0" w:color="auto"/>
                      </w:divBdr>
                      <w:divsChild>
                        <w:div w:id="1997996637">
                          <w:marLeft w:val="0"/>
                          <w:marRight w:val="0"/>
                          <w:marTop w:val="0"/>
                          <w:marBottom w:val="0"/>
                          <w:divBdr>
                            <w:top w:val="none" w:sz="0" w:space="0" w:color="auto"/>
                            <w:left w:val="none" w:sz="0" w:space="0" w:color="auto"/>
                            <w:bottom w:val="none" w:sz="0" w:space="0" w:color="auto"/>
                            <w:right w:val="none" w:sz="0" w:space="0" w:color="auto"/>
                          </w:divBdr>
                          <w:divsChild>
                            <w:div w:id="492723873">
                              <w:marLeft w:val="0"/>
                              <w:marRight w:val="0"/>
                              <w:marTop w:val="0"/>
                              <w:marBottom w:val="0"/>
                              <w:divBdr>
                                <w:top w:val="none" w:sz="0" w:space="0" w:color="auto"/>
                                <w:left w:val="none" w:sz="0" w:space="0" w:color="auto"/>
                                <w:bottom w:val="none" w:sz="0" w:space="0" w:color="auto"/>
                                <w:right w:val="none" w:sz="0" w:space="0" w:color="auto"/>
                              </w:divBdr>
                              <w:divsChild>
                                <w:div w:id="21470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672788">
      <w:bodyDiv w:val="1"/>
      <w:marLeft w:val="0"/>
      <w:marRight w:val="0"/>
      <w:marTop w:val="0"/>
      <w:marBottom w:val="0"/>
      <w:divBdr>
        <w:top w:val="none" w:sz="0" w:space="0" w:color="auto"/>
        <w:left w:val="none" w:sz="0" w:space="0" w:color="auto"/>
        <w:bottom w:val="none" w:sz="0" w:space="0" w:color="auto"/>
        <w:right w:val="none" w:sz="0" w:space="0" w:color="auto"/>
      </w:divBdr>
    </w:div>
    <w:div w:id="1460492470">
      <w:bodyDiv w:val="1"/>
      <w:marLeft w:val="0"/>
      <w:marRight w:val="0"/>
      <w:marTop w:val="0"/>
      <w:marBottom w:val="0"/>
      <w:divBdr>
        <w:top w:val="none" w:sz="0" w:space="0" w:color="auto"/>
        <w:left w:val="none" w:sz="0" w:space="0" w:color="auto"/>
        <w:bottom w:val="none" w:sz="0" w:space="0" w:color="auto"/>
        <w:right w:val="none" w:sz="0" w:space="0" w:color="auto"/>
      </w:divBdr>
    </w:div>
    <w:div w:id="1514763943">
      <w:bodyDiv w:val="1"/>
      <w:marLeft w:val="0"/>
      <w:marRight w:val="0"/>
      <w:marTop w:val="0"/>
      <w:marBottom w:val="0"/>
      <w:divBdr>
        <w:top w:val="none" w:sz="0" w:space="0" w:color="auto"/>
        <w:left w:val="none" w:sz="0" w:space="0" w:color="auto"/>
        <w:bottom w:val="none" w:sz="0" w:space="0" w:color="auto"/>
        <w:right w:val="none" w:sz="0" w:space="0" w:color="auto"/>
      </w:divBdr>
    </w:div>
    <w:div w:id="1590895095">
      <w:bodyDiv w:val="1"/>
      <w:marLeft w:val="0"/>
      <w:marRight w:val="0"/>
      <w:marTop w:val="0"/>
      <w:marBottom w:val="0"/>
      <w:divBdr>
        <w:top w:val="none" w:sz="0" w:space="0" w:color="auto"/>
        <w:left w:val="none" w:sz="0" w:space="0" w:color="auto"/>
        <w:bottom w:val="none" w:sz="0" w:space="0" w:color="auto"/>
        <w:right w:val="none" w:sz="0" w:space="0" w:color="auto"/>
      </w:divBdr>
    </w:div>
    <w:div w:id="1602181548">
      <w:bodyDiv w:val="1"/>
      <w:marLeft w:val="0"/>
      <w:marRight w:val="0"/>
      <w:marTop w:val="0"/>
      <w:marBottom w:val="0"/>
      <w:divBdr>
        <w:top w:val="none" w:sz="0" w:space="0" w:color="auto"/>
        <w:left w:val="none" w:sz="0" w:space="0" w:color="auto"/>
        <w:bottom w:val="none" w:sz="0" w:space="0" w:color="auto"/>
        <w:right w:val="none" w:sz="0" w:space="0" w:color="auto"/>
      </w:divBdr>
    </w:div>
    <w:div w:id="1622614886">
      <w:bodyDiv w:val="1"/>
      <w:marLeft w:val="0"/>
      <w:marRight w:val="0"/>
      <w:marTop w:val="0"/>
      <w:marBottom w:val="0"/>
      <w:divBdr>
        <w:top w:val="none" w:sz="0" w:space="0" w:color="auto"/>
        <w:left w:val="none" w:sz="0" w:space="0" w:color="auto"/>
        <w:bottom w:val="none" w:sz="0" w:space="0" w:color="auto"/>
        <w:right w:val="none" w:sz="0" w:space="0" w:color="auto"/>
      </w:divBdr>
      <w:divsChild>
        <w:div w:id="769157747">
          <w:marLeft w:val="0"/>
          <w:marRight w:val="0"/>
          <w:marTop w:val="0"/>
          <w:marBottom w:val="0"/>
          <w:divBdr>
            <w:top w:val="none" w:sz="0" w:space="0" w:color="auto"/>
            <w:left w:val="none" w:sz="0" w:space="0" w:color="auto"/>
            <w:bottom w:val="none" w:sz="0" w:space="0" w:color="auto"/>
            <w:right w:val="none" w:sz="0" w:space="0" w:color="auto"/>
          </w:divBdr>
        </w:div>
      </w:divsChild>
    </w:div>
    <w:div w:id="1695958110">
      <w:bodyDiv w:val="1"/>
      <w:marLeft w:val="0"/>
      <w:marRight w:val="0"/>
      <w:marTop w:val="0"/>
      <w:marBottom w:val="0"/>
      <w:divBdr>
        <w:top w:val="none" w:sz="0" w:space="0" w:color="auto"/>
        <w:left w:val="none" w:sz="0" w:space="0" w:color="auto"/>
        <w:bottom w:val="none" w:sz="0" w:space="0" w:color="auto"/>
        <w:right w:val="none" w:sz="0" w:space="0" w:color="auto"/>
      </w:divBdr>
    </w:div>
    <w:div w:id="1749113182">
      <w:bodyDiv w:val="1"/>
      <w:marLeft w:val="0"/>
      <w:marRight w:val="0"/>
      <w:marTop w:val="0"/>
      <w:marBottom w:val="0"/>
      <w:divBdr>
        <w:top w:val="none" w:sz="0" w:space="0" w:color="auto"/>
        <w:left w:val="none" w:sz="0" w:space="0" w:color="auto"/>
        <w:bottom w:val="none" w:sz="0" w:space="0" w:color="auto"/>
        <w:right w:val="none" w:sz="0" w:space="0" w:color="auto"/>
      </w:divBdr>
    </w:div>
    <w:div w:id="186505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providers/adult-social-care/digital-record-systems-adult-social-care-services/best-practice-guidance" TargetMode="External"/><Relationship Id="rId13" Type="http://schemas.openxmlformats.org/officeDocument/2006/relationships/hyperlink" Target="https://doi.org/10.1186/s12912-021-00684-2" TargetMode="External"/><Relationship Id="rId18" Type="http://schemas.openxmlformats.org/officeDocument/2006/relationships/hyperlink" Target="https://doi.org/10.1111/jocn.17537" TargetMode="External"/><Relationship Id="rId3" Type="http://schemas.openxmlformats.org/officeDocument/2006/relationships/styles" Target="styles.xml"/><Relationship Id="rId21" Type="http://schemas.openxmlformats.org/officeDocument/2006/relationships/hyperlink" Target="https://doi.org/10.3390/healthcare12030364" TargetMode="External"/><Relationship Id="rId7" Type="http://schemas.openxmlformats.org/officeDocument/2006/relationships/endnotes" Target="endnotes.xml"/><Relationship Id="rId12" Type="http://schemas.openxmlformats.org/officeDocument/2006/relationships/hyperlink" Target="https://doi.org/10.3390/medicina61050922" TargetMode="External"/><Relationship Id="rId17" Type="http://schemas.openxmlformats.org/officeDocument/2006/relationships/hyperlink" Target="https://doi.org/10.1186/s12877-024-05517-w" TargetMode="External"/><Relationship Id="rId2" Type="http://schemas.openxmlformats.org/officeDocument/2006/relationships/numbering" Target="numbering.xml"/><Relationship Id="rId16" Type="http://schemas.openxmlformats.org/officeDocument/2006/relationships/hyperlink" Target="https://www.nice.org.uk/guidance/qs120/chapter/Quality-statement-5-Medicines-reconciliation-in-primary-care" TargetMode="External"/><Relationship Id="rId20" Type="http://schemas.openxmlformats.org/officeDocument/2006/relationships/hyperlink" Target="https://doi.org/10.4103/jehp.jehp_1213_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7/s0144686x251001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long-read/accessible-information-standard-implementation-guidance/" TargetMode="External"/><Relationship Id="rId23" Type="http://schemas.openxmlformats.org/officeDocument/2006/relationships/fontTable" Target="fontTable.xml"/><Relationship Id="rId10" Type="http://schemas.openxmlformats.org/officeDocument/2006/relationships/hyperlink" Target="https://doi.org/10.3390/healthcare11030359" TargetMode="External"/><Relationship Id="rId19" Type="http://schemas.openxmlformats.org/officeDocument/2006/relationships/hyperlink" Target="https://doi.org/10.1186/s12913-025-13433-x" TargetMode="External"/><Relationship Id="rId4" Type="http://schemas.openxmlformats.org/officeDocument/2006/relationships/settings" Target="settings.xml"/><Relationship Id="rId9" Type="http://schemas.openxmlformats.org/officeDocument/2006/relationships/hyperlink" Target="https://doi.org/10.1016/j.ijnss.2024.06.003" TargetMode="External"/><Relationship Id="rId14" Type="http://schemas.openxmlformats.org/officeDocument/2006/relationships/hyperlink" Target="https://digital.nhs.uk/services/national-data-opt-out/understanding-the-national-data-opt-out/protecting-patient-data"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8F42C-3B4F-46A9-AFF3-AA3EB5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2462</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Shukri Abdulkhadir Omar (2441430)</cp:lastModifiedBy>
  <cp:revision>7</cp:revision>
  <dcterms:created xsi:type="dcterms:W3CDTF">2025-12-18T21:22:00Z</dcterms:created>
  <dcterms:modified xsi:type="dcterms:W3CDTF">2025-12-19T01:05:00Z</dcterms:modified>
</cp:coreProperties>
</file>