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280425ED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142B1B59" w:rsidR="00301299" w:rsidRPr="004478A0" w:rsidRDefault="004478A0" w:rsidP="00301299">
      <w:pPr>
        <w:jc w:val="center"/>
        <w:rPr>
          <w:sz w:val="72"/>
          <w:szCs w:val="72"/>
        </w:rPr>
      </w:pPr>
      <w:r w:rsidRPr="004478A0">
        <w:rPr>
          <w:sz w:val="72"/>
          <w:szCs w:val="72"/>
        </w:rPr>
        <w:t>Electronics Circuit Testing and Application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5FF69720" w:rsidR="00301299" w:rsidRPr="00301299" w:rsidRDefault="005C549E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Vehicle Electronics </w:t>
      </w:r>
      <w:r w:rsidR="00397298">
        <w:rPr>
          <w:sz w:val="36"/>
          <w:szCs w:val="36"/>
        </w:rPr>
        <w:t>ACHA4031</w:t>
      </w:r>
    </w:p>
    <w:p w14:paraId="53BFEA00" w14:textId="77777777" w:rsidR="00301299" w:rsidRDefault="00301299" w:rsidP="004478A0">
      <w:pPr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59B0463C" w:rsidR="00301299" w:rsidRPr="004478A0" w:rsidRDefault="00536654" w:rsidP="00301299">
      <w:pPr>
        <w:jc w:val="center"/>
        <w:rPr>
          <w:sz w:val="40"/>
          <w:szCs w:val="40"/>
        </w:rPr>
      </w:pPr>
      <w:r w:rsidRPr="004478A0">
        <w:rPr>
          <w:sz w:val="32"/>
          <w:szCs w:val="32"/>
        </w:rPr>
        <w:t>Will McPherson</w:t>
      </w:r>
    </w:p>
    <w:p w14:paraId="6BFE1304" w14:textId="4F437474" w:rsidR="00301299" w:rsidRPr="004478A0" w:rsidRDefault="00536654" w:rsidP="00301299">
      <w:pPr>
        <w:jc w:val="center"/>
      </w:pPr>
      <w:r w:rsidRPr="004478A0">
        <w:rPr>
          <w:sz w:val="24"/>
          <w:szCs w:val="24"/>
        </w:rPr>
        <w:t>2501006</w:t>
      </w:r>
    </w:p>
    <w:p w14:paraId="5E3CE57E" w14:textId="4DAA6802" w:rsidR="00301299" w:rsidRDefault="005C549E" w:rsidP="00301299">
      <w:pPr>
        <w:jc w:val="center"/>
        <w:sectPr w:rsidR="00301299" w:rsidSect="00D26C2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19/04/2026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0E03AE4B" w14:textId="1B3A3AA1" w:rsidR="004138A3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594319" w:history="1">
            <w:r w:rsidR="004138A3" w:rsidRPr="00ED2D6B">
              <w:rPr>
                <w:rStyle w:val="Hyperlink"/>
                <w:noProof/>
              </w:rPr>
              <w:t>1</w:t>
            </w:r>
            <w:r w:rsidR="004138A3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4138A3" w:rsidRPr="00ED2D6B">
              <w:rPr>
                <w:rStyle w:val="Hyperlink"/>
                <w:noProof/>
              </w:rPr>
              <w:t>Task 3</w:t>
            </w:r>
            <w:r w:rsidR="004138A3">
              <w:rPr>
                <w:noProof/>
                <w:webHidden/>
              </w:rPr>
              <w:tab/>
            </w:r>
            <w:r w:rsidR="004138A3">
              <w:rPr>
                <w:noProof/>
                <w:webHidden/>
              </w:rPr>
              <w:fldChar w:fldCharType="begin"/>
            </w:r>
            <w:r w:rsidR="004138A3">
              <w:rPr>
                <w:noProof/>
                <w:webHidden/>
              </w:rPr>
              <w:instrText xml:space="preserve"> PAGEREF _Toc223594319 \h </w:instrText>
            </w:r>
            <w:r w:rsidR="004138A3">
              <w:rPr>
                <w:noProof/>
                <w:webHidden/>
              </w:rPr>
            </w:r>
            <w:r w:rsidR="004138A3"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 w:rsidR="004138A3">
              <w:rPr>
                <w:noProof/>
                <w:webHidden/>
              </w:rPr>
              <w:fldChar w:fldCharType="end"/>
            </w:r>
          </w:hyperlink>
        </w:p>
        <w:p w14:paraId="3E423961" w14:textId="3D517F40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0" w:history="1">
            <w:r w:rsidRPr="00ED2D6B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Scope Time Division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018AE" w14:textId="30E24C70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1" w:history="1">
            <w:r w:rsidRPr="00ED2D6B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Function Generator output square wave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F87E7" w14:textId="59F51E69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2" w:history="1">
            <w:r w:rsidRPr="00ED2D6B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charge and discharge wave marked at correct points.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D87B5" w14:textId="6ADD75CA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3" w:history="1">
            <w:r w:rsidRPr="00ED2D6B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Basic Capacitor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BD59E" w14:textId="2DF2434A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4" w:history="1">
            <w:r w:rsidRPr="00ED2D6B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discharge table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EBDFA" w14:textId="40EE8F65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5" w:history="1">
            <w:r w:rsidRPr="00ED2D6B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Plot log(V) Gradient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B06C6" w14:textId="5E483628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6" w:history="1">
            <w:r w:rsidRPr="00ED2D6B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 and Compare(8)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0FA36F" w14:textId="346B92F1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7" w:history="1">
            <w:r w:rsidRPr="00ED2D6B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DBA6E" w14:textId="38BBFE0E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8" w:history="1">
            <w:r w:rsidRPr="00ED2D6B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5F763" w14:textId="1D1D9074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9" w:history="1">
            <w:r w:rsidRPr="00ED2D6B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05A53" w14:textId="22ADF4B9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0" w:history="1">
            <w:r w:rsidRPr="00ED2D6B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5CEF6" w14:textId="0B999739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1" w:history="1">
            <w:r w:rsidRPr="00ED2D6B">
              <w:rPr>
                <w:rStyle w:val="Hyperlink"/>
                <w:noProof/>
              </w:rPr>
              <w:t>1.10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Risk Question (10)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17EAB" w14:textId="20A139B0" w:rsidR="004138A3" w:rsidRDefault="004138A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2" w:history="1">
            <w:r w:rsidRPr="00ED2D6B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25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B655504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223594319"/>
      <w:r>
        <w:lastRenderedPageBreak/>
        <w:t xml:space="preserve">Task </w:t>
      </w:r>
      <w:r w:rsidR="001728B1">
        <w:t>3</w:t>
      </w:r>
      <w:bookmarkEnd w:id="0"/>
    </w:p>
    <w:p w14:paraId="30BD5770" w14:textId="059D0102" w:rsidR="001728B1" w:rsidRDefault="001728B1" w:rsidP="001728B1">
      <w:pPr>
        <w:pStyle w:val="Heading2"/>
      </w:pPr>
      <w:bookmarkStart w:id="1" w:name="_Toc223594320"/>
      <w:r>
        <w:t>Scope Time Division Calculations</w:t>
      </w:r>
      <w:r w:rsidR="006A4811">
        <w:t xml:space="preserve"> (</w:t>
      </w:r>
      <w:r w:rsidR="004138A3">
        <w:t>6</w:t>
      </w:r>
      <w:r w:rsidR="006A4811">
        <w:t>)</w:t>
      </w:r>
      <w:bookmarkEnd w:id="1"/>
    </w:p>
    <w:p w14:paraId="6AD036B5" w14:textId="77777777" w:rsidR="001728B1" w:rsidRPr="00DB24FE" w:rsidRDefault="001728B1" w:rsidP="001728B1"/>
    <w:p w14:paraId="50CFA17C" w14:textId="6E3DA0A5" w:rsidR="001728B1" w:rsidRDefault="001728B1" w:rsidP="001728B1">
      <w:pPr>
        <w:pStyle w:val="Heading2"/>
      </w:pPr>
      <w:bookmarkStart w:id="2" w:name="_Toc223594321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</w:t>
      </w:r>
      <w:r w:rsidR="004138A3">
        <w:t>6</w:t>
      </w:r>
      <w:r w:rsidR="006A4811">
        <w:t>)</w:t>
      </w:r>
      <w:bookmarkEnd w:id="2"/>
    </w:p>
    <w:p w14:paraId="4872E2E5" w14:textId="79A4E368" w:rsidR="001728B1" w:rsidRPr="00DB24FE" w:rsidRDefault="00CC0C67" w:rsidP="001728B1">
      <w:r w:rsidRPr="00CC0C67">
        <w:drawing>
          <wp:inline distT="0" distB="0" distL="0" distR="0" wp14:anchorId="45B51095" wp14:editId="44976D2E">
            <wp:extent cx="5731510" cy="2907665"/>
            <wp:effectExtent l="0" t="0" r="2540" b="6985"/>
            <wp:docPr id="2082694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69458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44A7" w14:textId="7E5B9564" w:rsidR="001728B1" w:rsidRDefault="005919FC" w:rsidP="001728B1">
      <w:pPr>
        <w:pStyle w:val="Heading2"/>
      </w:pPr>
      <w:bookmarkStart w:id="3" w:name="_Toc223594322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</w:t>
      </w:r>
      <w:r w:rsidR="004138A3">
        <w:t>6</w:t>
      </w:r>
      <w:r w:rsidR="006A4811">
        <w:t>)</w:t>
      </w:r>
      <w:bookmarkEnd w:id="3"/>
    </w:p>
    <w:p w14:paraId="4C91B639" w14:textId="3B04D25A" w:rsidR="001728B1" w:rsidRPr="00DB24FE" w:rsidRDefault="0003475A" w:rsidP="001728B1">
      <w:r>
        <w:rPr>
          <w:noProof/>
        </w:rPr>
        <w:drawing>
          <wp:inline distT="0" distB="0" distL="0" distR="0" wp14:anchorId="408251FF" wp14:editId="09325135">
            <wp:extent cx="5731510" cy="2941320"/>
            <wp:effectExtent l="0" t="0" r="2540" b="0"/>
            <wp:docPr id="1406893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893811" name="Picture 14068938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676" cy="294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583C" w:rsidRPr="0094583C">
        <w:rPr>
          <w:noProof/>
        </w:rPr>
        <w:t xml:space="preserve"> </w:t>
      </w:r>
      <w:r w:rsidR="0094583C" w:rsidRPr="0094583C">
        <w:drawing>
          <wp:inline distT="0" distB="0" distL="0" distR="0" wp14:anchorId="6A32A47A" wp14:editId="7BDA8522">
            <wp:extent cx="5731510" cy="2929890"/>
            <wp:effectExtent l="0" t="0" r="2540" b="3810"/>
            <wp:docPr id="1917765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76532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896C8" w14:textId="1B7CC6A2" w:rsidR="001728B1" w:rsidRDefault="00651E6C" w:rsidP="001728B1">
      <w:pPr>
        <w:pStyle w:val="Heading2"/>
      </w:pPr>
      <w:bookmarkStart w:id="4" w:name="_Toc223594323"/>
      <w:r>
        <w:t xml:space="preserve">Basic Capacitor </w:t>
      </w:r>
      <w:r w:rsidR="002044B2">
        <w:t>Calculations</w:t>
      </w:r>
      <w:r w:rsidR="006A4811">
        <w:t xml:space="preserve"> (</w:t>
      </w:r>
      <w:r w:rsidR="004138A3">
        <w:t>6</w:t>
      </w:r>
      <w:r w:rsidR="00367038">
        <w:t>)</w:t>
      </w:r>
      <w:bookmarkEnd w:id="4"/>
    </w:p>
    <w:p w14:paraId="1D8D239E" w14:textId="5202D18E" w:rsidR="001728B1" w:rsidRPr="00867978" w:rsidRDefault="00331E39" w:rsidP="001728B1">
      <w:r>
        <w:rPr>
          <w:rFonts w:cstheme="minorHAnsi"/>
        </w:rPr>
        <w:t xml:space="preserve">Since the change in voltage is 3.34V, the </w:t>
      </w:r>
      <w:r w:rsidR="002D34B2">
        <w:rPr>
          <w:rFonts w:cstheme="minorHAnsi"/>
        </w:rPr>
        <w:t xml:space="preserve">time constant will be the amount of time it takes to drop to 2.11V which is 63% or </w:t>
      </w:r>
      <w:r w:rsidR="005A121F">
        <w:rPr>
          <w:rFonts w:cstheme="minorHAnsi"/>
        </w:rPr>
        <w:t>1-e</w:t>
      </w:r>
      <w:r w:rsidR="005A121F">
        <w:rPr>
          <w:rFonts w:cstheme="minorHAnsi"/>
          <w:vertAlign w:val="superscript"/>
        </w:rPr>
        <w:t>-1</w:t>
      </w:r>
      <w:r w:rsidR="005A121F">
        <w:rPr>
          <w:rFonts w:cstheme="minorHAnsi"/>
        </w:rPr>
        <w:t>. This is seen in the graph above</w:t>
      </w:r>
      <w:r w:rsidR="00696AFC">
        <w:rPr>
          <w:rFonts w:cstheme="minorHAnsi"/>
        </w:rPr>
        <w:t xml:space="preserve"> with a time reading of 17.7µ</w:t>
      </w:r>
      <w:r w:rsidR="0050241A">
        <w:rPr>
          <w:rFonts w:cstheme="minorHAnsi"/>
        </w:rPr>
        <w:t>s. Since τ=RC 17.7x10</w:t>
      </w:r>
      <w:r w:rsidR="0050241A">
        <w:rPr>
          <w:rFonts w:cstheme="minorHAnsi"/>
          <w:vertAlign w:val="superscript"/>
        </w:rPr>
        <w:t>-6</w:t>
      </w:r>
      <w:r w:rsidR="00867978">
        <w:rPr>
          <w:rFonts w:cstheme="minorHAnsi"/>
        </w:rPr>
        <w:t>/100 gives a value for capacitance of 0.17µF.</w:t>
      </w:r>
    </w:p>
    <w:p w14:paraId="4A9C1746" w14:textId="642834E6" w:rsidR="001728B1" w:rsidRDefault="000C44D0" w:rsidP="001728B1">
      <w:pPr>
        <w:pStyle w:val="Heading2"/>
      </w:pPr>
      <w:bookmarkStart w:id="5" w:name="_Toc223594324"/>
      <w:r>
        <w:t>Capacitor discharge table</w:t>
      </w:r>
      <w:r w:rsidR="00C34C38">
        <w:t xml:space="preserve"> (</w:t>
      </w:r>
      <w:r w:rsidR="004138A3">
        <w:t>5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2126"/>
        <w:gridCol w:w="1985"/>
        <w:gridCol w:w="1224"/>
      </w:tblGrid>
      <w:tr w:rsidR="0045095D" w14:paraId="6AFD5C27" w14:textId="77777777" w:rsidTr="00000ACC">
        <w:tc>
          <w:tcPr>
            <w:tcW w:w="988" w:type="dxa"/>
          </w:tcPr>
          <w:p w14:paraId="4EC22151" w14:textId="1CDC9218" w:rsidR="0045095D" w:rsidRDefault="009D1102" w:rsidP="00156CE0">
            <w:r>
              <w:t>Time (</w:t>
            </w:r>
            <w:r w:rsidR="003852DA">
              <w:rPr>
                <w:rFonts w:cstheme="minorHAnsi"/>
              </w:rPr>
              <w:t>µ</w:t>
            </w:r>
            <w:r>
              <w:t>s)</w:t>
            </w:r>
          </w:p>
        </w:tc>
        <w:tc>
          <w:tcPr>
            <w:tcW w:w="1417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7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26" w:type="dxa"/>
          </w:tcPr>
          <w:p w14:paraId="096BC275" w14:textId="77777777" w:rsidR="00750A67" w:rsidRDefault="00E279FB" w:rsidP="00156CE0">
            <w:r>
              <w:t>dy = y</w:t>
            </w:r>
            <w:r w:rsidR="00750A67">
              <w:t>2 – y1</w:t>
            </w:r>
          </w:p>
          <w:p w14:paraId="4127AFE7" w14:textId="24A845A4" w:rsidR="0045095D" w:rsidRDefault="00750A67" w:rsidP="00156CE0">
            <w:r>
              <w:t xml:space="preserve">dy = ln(V)2-ln(V)1 </w:t>
            </w:r>
          </w:p>
        </w:tc>
        <w:tc>
          <w:tcPr>
            <w:tcW w:w="198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24" w:type="dxa"/>
          </w:tcPr>
          <w:p w14:paraId="0A11E14F" w14:textId="2A9F3F0E" w:rsidR="0045095D" w:rsidRDefault="00000ACC" w:rsidP="00156CE0">
            <w:r>
              <w:t>dy/dx</w:t>
            </w:r>
          </w:p>
        </w:tc>
      </w:tr>
      <w:tr w:rsidR="009B615C" w14:paraId="3197C239" w14:textId="77777777" w:rsidTr="00A802B9">
        <w:tc>
          <w:tcPr>
            <w:tcW w:w="988" w:type="dxa"/>
          </w:tcPr>
          <w:p w14:paraId="0B385707" w14:textId="43160A10" w:rsidR="009B615C" w:rsidRDefault="009B615C" w:rsidP="009B615C">
            <w:r>
              <w:t>0</w:t>
            </w:r>
          </w:p>
        </w:tc>
        <w:tc>
          <w:tcPr>
            <w:tcW w:w="1417" w:type="dxa"/>
            <w:vAlign w:val="bottom"/>
          </w:tcPr>
          <w:p w14:paraId="0B6F4CF0" w14:textId="70DDBADC" w:rsidR="009B615C" w:rsidRDefault="009B615C" w:rsidP="009B615C">
            <w:r>
              <w:rPr>
                <w:rFonts w:ascii="Calibri" w:hAnsi="Calibri" w:cs="Calibri"/>
                <w:color w:val="000000"/>
              </w:rPr>
              <w:t>3.30</w:t>
            </w:r>
          </w:p>
        </w:tc>
        <w:tc>
          <w:tcPr>
            <w:tcW w:w="1276" w:type="dxa"/>
            <w:vAlign w:val="bottom"/>
          </w:tcPr>
          <w:p w14:paraId="47E738CD" w14:textId="2E7CC32E" w:rsidR="009B615C" w:rsidRDefault="009B615C" w:rsidP="009B615C">
            <w:r>
              <w:rPr>
                <w:rFonts w:ascii="Calibri" w:hAnsi="Calibri" w:cs="Calibri"/>
                <w:color w:val="000000"/>
              </w:rPr>
              <w:t>1.193922</w:t>
            </w:r>
          </w:p>
        </w:tc>
        <w:tc>
          <w:tcPr>
            <w:tcW w:w="2126" w:type="dxa"/>
          </w:tcPr>
          <w:p w14:paraId="0C7AF15C" w14:textId="3A42D1A8" w:rsidR="009B615C" w:rsidRDefault="009B615C" w:rsidP="009B615C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638A0493" w14:textId="3071DE24" w:rsidR="009B615C" w:rsidRDefault="009B615C" w:rsidP="009B615C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40DE7769" w14:textId="1B63E931" w:rsidR="009B615C" w:rsidRDefault="009B615C" w:rsidP="009B615C">
            <w:pPr>
              <w:jc w:val="center"/>
            </w:pPr>
            <w:r>
              <w:t>x</w:t>
            </w:r>
          </w:p>
        </w:tc>
      </w:tr>
      <w:tr w:rsidR="00E84DC7" w14:paraId="019825E5" w14:textId="77777777" w:rsidTr="00025E4C">
        <w:tc>
          <w:tcPr>
            <w:tcW w:w="988" w:type="dxa"/>
          </w:tcPr>
          <w:p w14:paraId="385ED802" w14:textId="34A4B635" w:rsidR="00E84DC7" w:rsidRDefault="00E84DC7" w:rsidP="00E84DC7">
            <w:r>
              <w:t>10</w:t>
            </w:r>
          </w:p>
        </w:tc>
        <w:tc>
          <w:tcPr>
            <w:tcW w:w="1417" w:type="dxa"/>
            <w:vAlign w:val="bottom"/>
          </w:tcPr>
          <w:p w14:paraId="29919D25" w14:textId="271878C4" w:rsidR="00E84DC7" w:rsidRDefault="00E84DC7" w:rsidP="00E84DC7">
            <w:r>
              <w:rPr>
                <w:rFonts w:ascii="Calibri" w:hAnsi="Calibri" w:cs="Calibri"/>
                <w:color w:val="000000"/>
              </w:rPr>
              <w:t>2.12</w:t>
            </w:r>
          </w:p>
        </w:tc>
        <w:tc>
          <w:tcPr>
            <w:tcW w:w="1276" w:type="dxa"/>
            <w:vAlign w:val="bottom"/>
          </w:tcPr>
          <w:p w14:paraId="524654CE" w14:textId="035875F0" w:rsidR="00E84DC7" w:rsidRDefault="00E84DC7" w:rsidP="00E84DC7">
            <w:r>
              <w:rPr>
                <w:rFonts w:ascii="Calibri" w:hAnsi="Calibri" w:cs="Calibri"/>
                <w:color w:val="000000"/>
              </w:rPr>
              <w:t>0.75043</w:t>
            </w:r>
          </w:p>
        </w:tc>
        <w:tc>
          <w:tcPr>
            <w:tcW w:w="2126" w:type="dxa"/>
            <w:vAlign w:val="bottom"/>
          </w:tcPr>
          <w:p w14:paraId="6F303DCC" w14:textId="774A6FC6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0.443493</w:t>
            </w:r>
          </w:p>
        </w:tc>
        <w:tc>
          <w:tcPr>
            <w:tcW w:w="1985" w:type="dxa"/>
          </w:tcPr>
          <w:p w14:paraId="28BFA895" w14:textId="16E20541" w:rsidR="00E84DC7" w:rsidRDefault="00E84DC7" w:rsidP="00E84DC7">
            <w:r>
              <w:t>0.00001</w:t>
            </w:r>
          </w:p>
        </w:tc>
        <w:tc>
          <w:tcPr>
            <w:tcW w:w="1224" w:type="dxa"/>
            <w:vAlign w:val="bottom"/>
          </w:tcPr>
          <w:p w14:paraId="5BB31E24" w14:textId="51A0BD56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44349.25</w:t>
            </w:r>
          </w:p>
        </w:tc>
      </w:tr>
      <w:tr w:rsidR="00E84DC7" w14:paraId="45B82FDC" w14:textId="77777777" w:rsidTr="00025E4C">
        <w:tc>
          <w:tcPr>
            <w:tcW w:w="988" w:type="dxa"/>
          </w:tcPr>
          <w:p w14:paraId="14C536D0" w14:textId="231601BE" w:rsidR="00E84DC7" w:rsidRDefault="00E84DC7" w:rsidP="00E84DC7">
            <w:r>
              <w:t>20</w:t>
            </w:r>
          </w:p>
        </w:tc>
        <w:tc>
          <w:tcPr>
            <w:tcW w:w="1417" w:type="dxa"/>
            <w:vAlign w:val="bottom"/>
          </w:tcPr>
          <w:p w14:paraId="6CD479BD" w14:textId="2B53A510" w:rsidR="00E84DC7" w:rsidRDefault="00E84DC7" w:rsidP="00E84DC7">
            <w:r>
              <w:rPr>
                <w:rFonts w:ascii="Calibri" w:hAnsi="Calibri" w:cs="Calibri"/>
                <w:color w:val="000000"/>
              </w:rPr>
              <w:t>1.23</w:t>
            </w:r>
          </w:p>
        </w:tc>
        <w:tc>
          <w:tcPr>
            <w:tcW w:w="1276" w:type="dxa"/>
            <w:vAlign w:val="bottom"/>
          </w:tcPr>
          <w:p w14:paraId="2E4F3FFF" w14:textId="73B12178" w:rsidR="00E84DC7" w:rsidRDefault="00E84DC7" w:rsidP="00E84DC7">
            <w:r>
              <w:rPr>
                <w:rFonts w:ascii="Calibri" w:hAnsi="Calibri" w:cs="Calibri"/>
                <w:color w:val="000000"/>
              </w:rPr>
              <w:t>0.208106</w:t>
            </w:r>
          </w:p>
        </w:tc>
        <w:tc>
          <w:tcPr>
            <w:tcW w:w="2126" w:type="dxa"/>
            <w:vAlign w:val="bottom"/>
          </w:tcPr>
          <w:p w14:paraId="3156E8B0" w14:textId="7DAEE91A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0.542324</w:t>
            </w:r>
          </w:p>
        </w:tc>
        <w:tc>
          <w:tcPr>
            <w:tcW w:w="1985" w:type="dxa"/>
          </w:tcPr>
          <w:p w14:paraId="6E29739D" w14:textId="7682317F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47453968" w14:textId="1E8C5B98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54232.43</w:t>
            </w:r>
          </w:p>
        </w:tc>
      </w:tr>
      <w:tr w:rsidR="00E84DC7" w14:paraId="270791EB" w14:textId="77777777" w:rsidTr="00025E4C">
        <w:tc>
          <w:tcPr>
            <w:tcW w:w="988" w:type="dxa"/>
          </w:tcPr>
          <w:p w14:paraId="4610E609" w14:textId="5FDB075A" w:rsidR="00E84DC7" w:rsidRDefault="00E84DC7" w:rsidP="00E84DC7">
            <w:r>
              <w:t>30</w:t>
            </w:r>
          </w:p>
        </w:tc>
        <w:tc>
          <w:tcPr>
            <w:tcW w:w="1417" w:type="dxa"/>
            <w:vAlign w:val="bottom"/>
          </w:tcPr>
          <w:p w14:paraId="1155BC51" w14:textId="7FAC89B5" w:rsidR="00E84DC7" w:rsidRDefault="00E84DC7" w:rsidP="00E84DC7">
            <w:r>
              <w:rPr>
                <w:rFonts w:ascii="Calibri" w:hAnsi="Calibri" w:cs="Calibri"/>
                <w:color w:val="000000"/>
              </w:rPr>
              <w:t>0.74</w:t>
            </w:r>
          </w:p>
        </w:tc>
        <w:tc>
          <w:tcPr>
            <w:tcW w:w="1276" w:type="dxa"/>
            <w:vAlign w:val="bottom"/>
          </w:tcPr>
          <w:p w14:paraId="2126291F" w14:textId="6D5DFC04" w:rsidR="00E84DC7" w:rsidRDefault="00E84DC7" w:rsidP="00E84DC7">
            <w:r>
              <w:rPr>
                <w:rFonts w:ascii="Calibri" w:hAnsi="Calibri" w:cs="Calibri"/>
                <w:color w:val="000000"/>
              </w:rPr>
              <w:t>-0.30272</w:t>
            </w:r>
          </w:p>
        </w:tc>
        <w:tc>
          <w:tcPr>
            <w:tcW w:w="2126" w:type="dxa"/>
            <w:vAlign w:val="bottom"/>
          </w:tcPr>
          <w:p w14:paraId="50045EDB" w14:textId="3A31731F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0.510826</w:t>
            </w:r>
          </w:p>
        </w:tc>
        <w:tc>
          <w:tcPr>
            <w:tcW w:w="1985" w:type="dxa"/>
          </w:tcPr>
          <w:p w14:paraId="52B7D42B" w14:textId="7BB1DEED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715362F0" w14:textId="09A29769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51082.56</w:t>
            </w:r>
          </w:p>
        </w:tc>
      </w:tr>
      <w:tr w:rsidR="00E84DC7" w14:paraId="49BE7793" w14:textId="77777777" w:rsidTr="00025E4C">
        <w:tc>
          <w:tcPr>
            <w:tcW w:w="988" w:type="dxa"/>
          </w:tcPr>
          <w:p w14:paraId="68759A3E" w14:textId="2D3D52E9" w:rsidR="00E84DC7" w:rsidRDefault="00E84DC7" w:rsidP="00E84DC7">
            <w:r>
              <w:t>40</w:t>
            </w:r>
          </w:p>
        </w:tc>
        <w:tc>
          <w:tcPr>
            <w:tcW w:w="1417" w:type="dxa"/>
            <w:vAlign w:val="bottom"/>
          </w:tcPr>
          <w:p w14:paraId="02AB2D5F" w14:textId="29FB13DA" w:rsidR="00E84DC7" w:rsidRDefault="00E84DC7" w:rsidP="00E84DC7">
            <w:r>
              <w:rPr>
                <w:rFonts w:ascii="Calibri" w:hAnsi="Calibri" w:cs="Calibri"/>
                <w:color w:val="000000"/>
              </w:rPr>
              <w:t>0.44</w:t>
            </w:r>
          </w:p>
        </w:tc>
        <w:tc>
          <w:tcPr>
            <w:tcW w:w="1276" w:type="dxa"/>
            <w:vAlign w:val="bottom"/>
          </w:tcPr>
          <w:p w14:paraId="7BF837C0" w14:textId="499A165F" w:rsidR="00E84DC7" w:rsidRDefault="00E84DC7" w:rsidP="00E84DC7">
            <w:r>
              <w:rPr>
                <w:rFonts w:ascii="Calibri" w:hAnsi="Calibri" w:cs="Calibri"/>
                <w:color w:val="000000"/>
              </w:rPr>
              <w:t>-0.81355</w:t>
            </w:r>
          </w:p>
        </w:tc>
        <w:tc>
          <w:tcPr>
            <w:tcW w:w="2126" w:type="dxa"/>
            <w:vAlign w:val="bottom"/>
          </w:tcPr>
          <w:p w14:paraId="7C7FC153" w14:textId="1EF4AB11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0.510826</w:t>
            </w:r>
          </w:p>
        </w:tc>
        <w:tc>
          <w:tcPr>
            <w:tcW w:w="1985" w:type="dxa"/>
          </w:tcPr>
          <w:p w14:paraId="4C2898BE" w14:textId="71C22BCC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4C789A26" w14:textId="3D974BAB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51082.56</w:t>
            </w:r>
          </w:p>
        </w:tc>
      </w:tr>
      <w:tr w:rsidR="00E84DC7" w14:paraId="322D0060" w14:textId="77777777" w:rsidTr="00025E4C">
        <w:tc>
          <w:tcPr>
            <w:tcW w:w="988" w:type="dxa"/>
          </w:tcPr>
          <w:p w14:paraId="2AFE1F17" w14:textId="6446F799" w:rsidR="00E84DC7" w:rsidRDefault="00E84DC7" w:rsidP="00E84DC7">
            <w:r>
              <w:t>50</w:t>
            </w:r>
          </w:p>
        </w:tc>
        <w:tc>
          <w:tcPr>
            <w:tcW w:w="1417" w:type="dxa"/>
            <w:vAlign w:val="bottom"/>
          </w:tcPr>
          <w:p w14:paraId="71FB8347" w14:textId="4A9DBFAB" w:rsidR="00E84DC7" w:rsidRDefault="00E84DC7" w:rsidP="00E84DC7">
            <w:r>
              <w:rPr>
                <w:rFonts w:ascii="Calibri" w:hAnsi="Calibri" w:cs="Calibri"/>
                <w:color w:val="000000"/>
              </w:rPr>
              <w:t>0.30</w:t>
            </w:r>
          </w:p>
        </w:tc>
        <w:tc>
          <w:tcPr>
            <w:tcW w:w="1276" w:type="dxa"/>
            <w:vAlign w:val="bottom"/>
          </w:tcPr>
          <w:p w14:paraId="58E83766" w14:textId="37590A29" w:rsidR="00E84DC7" w:rsidRDefault="00E84DC7" w:rsidP="00E84DC7">
            <w:r>
              <w:rPr>
                <w:rFonts w:ascii="Calibri" w:hAnsi="Calibri" w:cs="Calibri"/>
                <w:color w:val="000000"/>
              </w:rPr>
              <w:t>-1.21901</w:t>
            </w:r>
          </w:p>
        </w:tc>
        <w:tc>
          <w:tcPr>
            <w:tcW w:w="2126" w:type="dxa"/>
            <w:vAlign w:val="bottom"/>
          </w:tcPr>
          <w:p w14:paraId="5FA22097" w14:textId="2B537090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0.405465</w:t>
            </w:r>
          </w:p>
        </w:tc>
        <w:tc>
          <w:tcPr>
            <w:tcW w:w="1985" w:type="dxa"/>
          </w:tcPr>
          <w:p w14:paraId="69C92735" w14:textId="41171B22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64F1FABD" w14:textId="703EC59F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40546.51</w:t>
            </w:r>
          </w:p>
        </w:tc>
      </w:tr>
      <w:tr w:rsidR="00E84DC7" w14:paraId="6EB270FB" w14:textId="77777777" w:rsidTr="00025E4C">
        <w:tc>
          <w:tcPr>
            <w:tcW w:w="988" w:type="dxa"/>
          </w:tcPr>
          <w:p w14:paraId="037422F1" w14:textId="49020148" w:rsidR="00E84DC7" w:rsidRDefault="00E84DC7" w:rsidP="00E84DC7">
            <w:r>
              <w:lastRenderedPageBreak/>
              <w:t>60</w:t>
            </w:r>
          </w:p>
        </w:tc>
        <w:tc>
          <w:tcPr>
            <w:tcW w:w="1417" w:type="dxa"/>
            <w:vAlign w:val="bottom"/>
          </w:tcPr>
          <w:p w14:paraId="196D36A5" w14:textId="6FB131DE" w:rsidR="00E84DC7" w:rsidRDefault="00E84DC7" w:rsidP="00E84DC7">
            <w:r>
              <w:rPr>
                <w:rFonts w:ascii="Calibri" w:hAnsi="Calibri" w:cs="Calibri"/>
                <w:color w:val="000000"/>
              </w:rPr>
              <w:t>0.20</w:t>
            </w:r>
          </w:p>
        </w:tc>
        <w:tc>
          <w:tcPr>
            <w:tcW w:w="1276" w:type="dxa"/>
            <w:vAlign w:val="bottom"/>
          </w:tcPr>
          <w:p w14:paraId="0DD6092C" w14:textId="6DE7A3F4" w:rsidR="00E84DC7" w:rsidRDefault="00E84DC7" w:rsidP="00E84DC7">
            <w:r>
              <w:rPr>
                <w:rFonts w:ascii="Calibri" w:hAnsi="Calibri" w:cs="Calibri"/>
                <w:color w:val="000000"/>
              </w:rPr>
              <w:t>-1.62448</w:t>
            </w:r>
          </w:p>
        </w:tc>
        <w:tc>
          <w:tcPr>
            <w:tcW w:w="2126" w:type="dxa"/>
            <w:vAlign w:val="bottom"/>
          </w:tcPr>
          <w:p w14:paraId="672A9D6C" w14:textId="3B11FF6E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0.405465</w:t>
            </w:r>
          </w:p>
        </w:tc>
        <w:tc>
          <w:tcPr>
            <w:tcW w:w="1985" w:type="dxa"/>
          </w:tcPr>
          <w:p w14:paraId="68E61A2A" w14:textId="2E78C217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5E86A69B" w14:textId="3330512F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40546.51</w:t>
            </w:r>
          </w:p>
        </w:tc>
      </w:tr>
      <w:tr w:rsidR="00E84DC7" w14:paraId="31FBB34C" w14:textId="77777777" w:rsidTr="00025E4C">
        <w:tc>
          <w:tcPr>
            <w:tcW w:w="988" w:type="dxa"/>
          </w:tcPr>
          <w:p w14:paraId="4EA543DF" w14:textId="2E4662B1" w:rsidR="00E84DC7" w:rsidRDefault="00E84DC7" w:rsidP="00E84DC7">
            <w:r>
              <w:t>70</w:t>
            </w:r>
          </w:p>
        </w:tc>
        <w:tc>
          <w:tcPr>
            <w:tcW w:w="1417" w:type="dxa"/>
            <w:vAlign w:val="bottom"/>
          </w:tcPr>
          <w:p w14:paraId="35299110" w14:textId="30EC4260" w:rsidR="00E84DC7" w:rsidRDefault="00E84DC7" w:rsidP="00E84DC7">
            <w:r>
              <w:rPr>
                <w:rFonts w:ascii="Calibri" w:hAnsi="Calibri" w:cs="Calibri"/>
                <w:color w:val="000000"/>
              </w:rPr>
              <w:t>0.098</w:t>
            </w:r>
          </w:p>
        </w:tc>
        <w:tc>
          <w:tcPr>
            <w:tcW w:w="1276" w:type="dxa"/>
            <w:vAlign w:val="bottom"/>
          </w:tcPr>
          <w:p w14:paraId="16AEDE7E" w14:textId="6A89B868" w:rsidR="00E84DC7" w:rsidRDefault="00E84DC7" w:rsidP="00E84DC7">
            <w:r>
              <w:rPr>
                <w:rFonts w:ascii="Calibri" w:hAnsi="Calibri" w:cs="Calibri"/>
                <w:color w:val="000000"/>
              </w:rPr>
              <w:t>-2.31762</w:t>
            </w:r>
          </w:p>
        </w:tc>
        <w:tc>
          <w:tcPr>
            <w:tcW w:w="2126" w:type="dxa"/>
            <w:vAlign w:val="bottom"/>
          </w:tcPr>
          <w:p w14:paraId="4D9A4CC8" w14:textId="3C8104DD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0.693147</w:t>
            </w:r>
          </w:p>
        </w:tc>
        <w:tc>
          <w:tcPr>
            <w:tcW w:w="1985" w:type="dxa"/>
          </w:tcPr>
          <w:p w14:paraId="338079A9" w14:textId="69BAC4EB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62C81C8A" w14:textId="5FA74B9E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69314.72</w:t>
            </w:r>
          </w:p>
        </w:tc>
      </w:tr>
      <w:tr w:rsidR="00E84DC7" w14:paraId="5A12B386" w14:textId="77777777" w:rsidTr="00025E4C">
        <w:tc>
          <w:tcPr>
            <w:tcW w:w="988" w:type="dxa"/>
          </w:tcPr>
          <w:p w14:paraId="201A4A4C" w14:textId="037E4A25" w:rsidR="00E84DC7" w:rsidRDefault="00E84DC7" w:rsidP="00E84DC7">
            <w:r>
              <w:t>80</w:t>
            </w:r>
          </w:p>
        </w:tc>
        <w:tc>
          <w:tcPr>
            <w:tcW w:w="1417" w:type="dxa"/>
            <w:vAlign w:val="bottom"/>
          </w:tcPr>
          <w:p w14:paraId="2BA0F75D" w14:textId="5139D51F" w:rsidR="00E84DC7" w:rsidRDefault="00E84DC7" w:rsidP="00E84DC7">
            <w:r>
              <w:rPr>
                <w:rFonts w:ascii="Calibri" w:hAnsi="Calibri" w:cs="Calibri"/>
                <w:color w:val="000000"/>
              </w:rPr>
              <w:t>0.049</w:t>
            </w:r>
          </w:p>
        </w:tc>
        <w:tc>
          <w:tcPr>
            <w:tcW w:w="1276" w:type="dxa"/>
            <w:vAlign w:val="bottom"/>
          </w:tcPr>
          <w:p w14:paraId="593E75A3" w14:textId="407455DB" w:rsidR="00E84DC7" w:rsidRDefault="00E84DC7" w:rsidP="00E84DC7">
            <w:r>
              <w:rPr>
                <w:rFonts w:ascii="Calibri" w:hAnsi="Calibri" w:cs="Calibri"/>
                <w:color w:val="000000"/>
              </w:rPr>
              <w:t>-3.01077</w:t>
            </w:r>
          </w:p>
        </w:tc>
        <w:tc>
          <w:tcPr>
            <w:tcW w:w="2126" w:type="dxa"/>
            <w:vAlign w:val="bottom"/>
          </w:tcPr>
          <w:p w14:paraId="4C33D9A9" w14:textId="3CA46D53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0.693147</w:t>
            </w:r>
          </w:p>
        </w:tc>
        <w:tc>
          <w:tcPr>
            <w:tcW w:w="1985" w:type="dxa"/>
          </w:tcPr>
          <w:p w14:paraId="7C32145D" w14:textId="3D216009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28442A2C" w14:textId="300CDA8B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69314.72</w:t>
            </w:r>
          </w:p>
        </w:tc>
      </w:tr>
      <w:tr w:rsidR="00E84DC7" w14:paraId="0F1732C4" w14:textId="77777777" w:rsidTr="00025E4C">
        <w:tc>
          <w:tcPr>
            <w:tcW w:w="988" w:type="dxa"/>
          </w:tcPr>
          <w:p w14:paraId="3BC3FA73" w14:textId="26102386" w:rsidR="00E84DC7" w:rsidRDefault="00E84DC7" w:rsidP="00E84DC7">
            <w:r>
              <w:t>90</w:t>
            </w:r>
          </w:p>
        </w:tc>
        <w:tc>
          <w:tcPr>
            <w:tcW w:w="1417" w:type="dxa"/>
            <w:vAlign w:val="bottom"/>
          </w:tcPr>
          <w:p w14:paraId="686BEE6F" w14:textId="7D644F46" w:rsidR="00E84DC7" w:rsidRDefault="00E84DC7" w:rsidP="00E84DC7">
            <w:r>
              <w:rPr>
                <w:rFonts w:ascii="Calibri" w:hAnsi="Calibri" w:cs="Calibri"/>
                <w:color w:val="000000"/>
              </w:rPr>
              <w:t>0.031</w:t>
            </w:r>
          </w:p>
        </w:tc>
        <w:tc>
          <w:tcPr>
            <w:tcW w:w="1276" w:type="dxa"/>
            <w:vAlign w:val="bottom"/>
          </w:tcPr>
          <w:p w14:paraId="0FA6FE4E" w14:textId="12B70402" w:rsidR="00E84DC7" w:rsidRPr="003852DA" w:rsidRDefault="00E84DC7" w:rsidP="00E84DC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-3.47377</w:t>
            </w:r>
          </w:p>
        </w:tc>
        <w:tc>
          <w:tcPr>
            <w:tcW w:w="2126" w:type="dxa"/>
            <w:vAlign w:val="bottom"/>
          </w:tcPr>
          <w:p w14:paraId="1476B1FB" w14:textId="0B02D73B" w:rsidR="00E84DC7" w:rsidRDefault="004C2001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0.462998</w:t>
            </w:r>
          </w:p>
        </w:tc>
        <w:tc>
          <w:tcPr>
            <w:tcW w:w="1985" w:type="dxa"/>
          </w:tcPr>
          <w:p w14:paraId="2896B424" w14:textId="446E0BFE" w:rsidR="00E84DC7" w:rsidRDefault="00E84DC7" w:rsidP="00E84DC7">
            <w:r w:rsidRPr="00F93592">
              <w:t>0.00001</w:t>
            </w:r>
          </w:p>
        </w:tc>
        <w:tc>
          <w:tcPr>
            <w:tcW w:w="1224" w:type="dxa"/>
            <w:vAlign w:val="bottom"/>
          </w:tcPr>
          <w:p w14:paraId="38898745" w14:textId="7828E0C8" w:rsidR="00E84DC7" w:rsidRDefault="00397E23" w:rsidP="00E84DC7">
            <w:r>
              <w:rPr>
                <w:rFonts w:ascii="Calibri" w:hAnsi="Calibri" w:cs="Calibri"/>
                <w:color w:val="000000"/>
              </w:rPr>
              <w:t>-</w:t>
            </w:r>
            <w:r w:rsidR="00E84DC7">
              <w:rPr>
                <w:rFonts w:ascii="Calibri" w:hAnsi="Calibri" w:cs="Calibri"/>
                <w:color w:val="000000"/>
              </w:rPr>
              <w:t>46299.79</w:t>
            </w:r>
          </w:p>
        </w:tc>
      </w:tr>
    </w:tbl>
    <w:p w14:paraId="0738F9E8" w14:textId="77777777" w:rsidR="00156CE0" w:rsidRPr="00156CE0" w:rsidRDefault="00156CE0" w:rsidP="00156CE0"/>
    <w:p w14:paraId="24153F6F" w14:textId="21218007" w:rsidR="00B030CA" w:rsidRDefault="00E5667C" w:rsidP="001728B1">
      <w:pPr>
        <w:pStyle w:val="Heading2"/>
      </w:pPr>
      <w:bookmarkStart w:id="6" w:name="_Toc223594325"/>
      <w:r>
        <w:t xml:space="preserve">Plot log(V) </w:t>
      </w:r>
      <w:r w:rsidR="008F2254">
        <w:t>Gradient</w:t>
      </w:r>
      <w:r w:rsidR="00915067">
        <w:t xml:space="preserve"> (</w:t>
      </w:r>
      <w:r w:rsidR="004138A3">
        <w:t>5</w:t>
      </w:r>
      <w:r w:rsidR="00915067">
        <w:t>)</w:t>
      </w:r>
      <w:bookmarkEnd w:id="6"/>
    </w:p>
    <w:p w14:paraId="038B4D22" w14:textId="13C76175" w:rsidR="00E5667C" w:rsidRDefault="00524445" w:rsidP="00E5667C">
      <w:r w:rsidRPr="00524445">
        <w:drawing>
          <wp:inline distT="0" distB="0" distL="0" distR="0" wp14:anchorId="245F743C" wp14:editId="57629DE7">
            <wp:extent cx="5163312" cy="2486124"/>
            <wp:effectExtent l="0" t="0" r="0" b="9525"/>
            <wp:docPr id="345289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28947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74660" cy="249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4A0C6" w14:textId="082149AB" w:rsidR="00574C80" w:rsidRPr="002C329F" w:rsidRDefault="00574C80" w:rsidP="00E5667C">
      <w:r>
        <w:t xml:space="preserve">This graph of ln(V) against time </w:t>
      </w:r>
      <w:r w:rsidR="00D21C99">
        <w:t>shows very strong negative correlation with a</w:t>
      </w:r>
      <w:r w:rsidR="004F3EAD">
        <w:t xml:space="preserve"> correlation coefficient (r) of </w:t>
      </w:r>
      <w:r w:rsidR="003F7EF6">
        <w:t>-0.998. T</w:t>
      </w:r>
      <w:r w:rsidR="00BA19D8">
        <w:t xml:space="preserve">he gradient </w:t>
      </w:r>
      <w:r w:rsidR="00847589">
        <w:t xml:space="preserve">(m) is -51719.3927 </w:t>
      </w:r>
      <w:r w:rsidR="00AD5E39">
        <w:t xml:space="preserve">which is equal to -1/RC </w:t>
      </w:r>
      <w:r w:rsidR="00306ACE">
        <w:t xml:space="preserve">and the </w:t>
      </w:r>
      <w:r w:rsidR="00AD5E39">
        <w:t xml:space="preserve">y-intercept </w:t>
      </w:r>
      <w:r w:rsidR="001357BD">
        <w:t xml:space="preserve">(c) </w:t>
      </w:r>
      <w:r w:rsidR="007A7B9C">
        <w:t xml:space="preserve">is </w:t>
      </w:r>
      <w:r w:rsidR="005A3A84">
        <w:t xml:space="preserve">1.26643 which </w:t>
      </w:r>
      <w:r w:rsidR="00C063C5">
        <w:t>equals</w:t>
      </w:r>
      <w:r w:rsidR="005A3A84">
        <w:t xml:space="preserve"> ln(V</w:t>
      </w:r>
      <w:r w:rsidR="002C329F">
        <w:rPr>
          <w:vertAlign w:val="subscript"/>
        </w:rPr>
        <w:t>0</w:t>
      </w:r>
      <w:r w:rsidR="002C329F">
        <w:t>).</w:t>
      </w:r>
    </w:p>
    <w:p w14:paraId="65F05C9F" w14:textId="7AAA39A9" w:rsidR="001728B1" w:rsidRDefault="00915067" w:rsidP="001728B1">
      <w:pPr>
        <w:pStyle w:val="Heading2"/>
      </w:pPr>
      <w:bookmarkStart w:id="7" w:name="_Toc223594326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>and Compare</w:t>
      </w:r>
      <w:r w:rsidR="007C7D1F">
        <w:t>(</w:t>
      </w:r>
      <w:r w:rsidR="004138A3">
        <w:t>8</w:t>
      </w:r>
      <w:r w:rsidR="007C7D1F">
        <w:t>)</w:t>
      </w:r>
      <w:bookmarkEnd w:id="7"/>
    </w:p>
    <w:p w14:paraId="22AD50A2" w14:textId="0EB7F110" w:rsidR="003D3658" w:rsidRDefault="003D3658" w:rsidP="003D3658">
      <w:pPr>
        <w:pStyle w:val="Heading3"/>
      </w:pPr>
      <w:bookmarkStart w:id="8" w:name="_Toc223594327"/>
      <w:r>
        <w:t>Gradient Calculations</w:t>
      </w:r>
      <w:bookmarkEnd w:id="8"/>
    </w:p>
    <w:p w14:paraId="35A1A0CB" w14:textId="5A71D639" w:rsidR="007A1B11" w:rsidRDefault="0091248F" w:rsidP="003D3658">
      <w:r w:rsidRPr="007A1B11">
        <w:drawing>
          <wp:anchor distT="0" distB="0" distL="114300" distR="114300" simplePos="0" relativeHeight="251658240" behindDoc="1" locked="0" layoutInCell="1" allowOverlap="1" wp14:anchorId="7B33C122" wp14:editId="7AFD963E">
            <wp:simplePos x="0" y="0"/>
            <wp:positionH relativeFrom="margin">
              <wp:posOffset>-109220</wp:posOffset>
            </wp:positionH>
            <wp:positionV relativeFrom="paragraph">
              <wp:posOffset>52832</wp:posOffset>
            </wp:positionV>
            <wp:extent cx="1621536" cy="1878211"/>
            <wp:effectExtent l="0" t="0" r="0" b="8255"/>
            <wp:wrapTight wrapText="bothSides">
              <wp:wrapPolygon edited="0">
                <wp:start x="0" y="0"/>
                <wp:lineTo x="0" y="21476"/>
                <wp:lineTo x="21321" y="21476"/>
                <wp:lineTo x="21321" y="0"/>
                <wp:lineTo x="0" y="0"/>
              </wp:wrapPolygon>
            </wp:wrapTight>
            <wp:docPr id="733367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367295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536" cy="1878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DDBDB7" w14:textId="6B90D441" w:rsidR="0091248F" w:rsidRDefault="00485ABC" w:rsidP="003D3658">
      <w:r>
        <w:t xml:space="preserve">The method on the left is to show how the equation for a discharging capacitor can be rearranged to </w:t>
      </w:r>
      <w:r w:rsidR="00A13B10">
        <w:t xml:space="preserve">get a linear equation following y=mx+c where </w:t>
      </w:r>
      <w:r w:rsidR="00B74A38">
        <w:t>the gradient (dy/dx) is equal to -1/RC</w:t>
      </w:r>
      <w:r w:rsidR="00C84114">
        <w:t xml:space="preserve">. </w:t>
      </w:r>
      <w:r w:rsidR="00834341">
        <w:t xml:space="preserve">The value for </w:t>
      </w:r>
      <w:r w:rsidR="00AB6C69">
        <w:t>dy/dx came out as</w:t>
      </w:r>
      <w:r w:rsidR="00AB6C69">
        <w:t xml:space="preserve"> </w:t>
      </w:r>
      <w:r w:rsidR="00AB6C69">
        <w:t>-</w:t>
      </w:r>
      <w:r w:rsidR="00AB6C69">
        <w:t>51719.3927</w:t>
      </w:r>
      <w:r w:rsidR="00AB6C69">
        <w:t xml:space="preserve"> meaning </w:t>
      </w:r>
      <w:r w:rsidR="000B56BE">
        <w:t>the capacitance</w:t>
      </w:r>
      <w:r w:rsidR="00AB6C69">
        <w:t xml:space="preserve"> will equal the negative reciprocal </w:t>
      </w:r>
      <w:r w:rsidR="000431AA">
        <w:t xml:space="preserve">divided by the resistance (100 Ohms in this case). </w:t>
      </w:r>
      <w:r w:rsidR="00E66F04" w:rsidRPr="00E66F04">
        <w:drawing>
          <wp:anchor distT="0" distB="0" distL="114300" distR="114300" simplePos="0" relativeHeight="251659264" behindDoc="1" locked="0" layoutInCell="1" allowOverlap="1" wp14:anchorId="534A12C4" wp14:editId="2539B72A">
            <wp:simplePos x="0" y="0"/>
            <wp:positionH relativeFrom="column">
              <wp:posOffset>1602740</wp:posOffset>
            </wp:positionH>
            <wp:positionV relativeFrom="paragraph">
              <wp:posOffset>922655</wp:posOffset>
            </wp:positionV>
            <wp:extent cx="2559050" cy="743585"/>
            <wp:effectExtent l="0" t="0" r="0" b="0"/>
            <wp:wrapTight wrapText="bothSides">
              <wp:wrapPolygon edited="0">
                <wp:start x="0" y="0"/>
                <wp:lineTo x="0" y="21028"/>
                <wp:lineTo x="21386" y="21028"/>
                <wp:lineTo x="21386" y="0"/>
                <wp:lineTo x="0" y="0"/>
              </wp:wrapPolygon>
            </wp:wrapTight>
            <wp:docPr id="2055787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87445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F04">
        <w:t xml:space="preserve">Therefore, the capacitance </w:t>
      </w:r>
      <w:r w:rsidR="006A552E">
        <w:t xml:space="preserve">calculated was </w:t>
      </w:r>
      <w:r w:rsidR="006A552E">
        <w:rPr>
          <w:rFonts w:cstheme="minorHAnsi"/>
        </w:rPr>
        <w:t>≈</w:t>
      </w:r>
      <w:r w:rsidR="006A552E">
        <w:t xml:space="preserve"> </w:t>
      </w:r>
      <w:r w:rsidR="00E203F6">
        <w:t>0.19</w:t>
      </w:r>
      <w:r w:rsidR="00E203F6">
        <w:rPr>
          <w:rFonts w:cstheme="minorHAnsi"/>
        </w:rPr>
        <w:t>µ</w:t>
      </w:r>
      <w:r w:rsidR="00E203F6">
        <w:t>F</w:t>
      </w:r>
      <w:r w:rsidR="00CD0CC4">
        <w:t>.</w:t>
      </w:r>
    </w:p>
    <w:p w14:paraId="45340CEA" w14:textId="7B590342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9" w:name="_Toc223594328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2"/>
        <w:gridCol w:w="2437"/>
        <w:gridCol w:w="2075"/>
        <w:gridCol w:w="2102"/>
      </w:tblGrid>
      <w:tr w:rsidR="006F12E5" w14:paraId="050FAEAE" w14:textId="77777777" w:rsidTr="00460A92">
        <w:tc>
          <w:tcPr>
            <w:tcW w:w="2492" w:type="dxa"/>
          </w:tcPr>
          <w:p w14:paraId="57097462" w14:textId="77777777" w:rsidR="006F12E5" w:rsidRDefault="006F12E5" w:rsidP="00460A92"/>
        </w:tc>
        <w:tc>
          <w:tcPr>
            <w:tcW w:w="2522" w:type="dxa"/>
          </w:tcPr>
          <w:p w14:paraId="20C2C8A2" w14:textId="77777777" w:rsidR="006F12E5" w:rsidRDefault="006F12E5" w:rsidP="00460A92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460A92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460A92">
            <w:r>
              <w:t>Percentage difference</w:t>
            </w:r>
          </w:p>
        </w:tc>
      </w:tr>
      <w:tr w:rsidR="006F12E5" w14:paraId="42A28B9B" w14:textId="77777777" w:rsidTr="00460A92">
        <w:tc>
          <w:tcPr>
            <w:tcW w:w="2492" w:type="dxa"/>
          </w:tcPr>
          <w:p w14:paraId="45AD08E6" w14:textId="77777777" w:rsidR="006F12E5" w:rsidRDefault="006F12E5" w:rsidP="00460A92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460A92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460A92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460A92">
            <w:r>
              <w:t>X</w:t>
            </w:r>
          </w:p>
        </w:tc>
      </w:tr>
      <w:tr w:rsidR="006F12E5" w14:paraId="79B55629" w14:textId="77777777" w:rsidTr="00460A92">
        <w:tc>
          <w:tcPr>
            <w:tcW w:w="2492" w:type="dxa"/>
          </w:tcPr>
          <w:p w14:paraId="70D29DA3" w14:textId="77777777" w:rsidR="006F12E5" w:rsidRDefault="006F12E5" w:rsidP="00460A92">
            <w:r>
              <w:t>Marker Calculation</w:t>
            </w:r>
          </w:p>
        </w:tc>
        <w:tc>
          <w:tcPr>
            <w:tcW w:w="2522" w:type="dxa"/>
          </w:tcPr>
          <w:p w14:paraId="5AF6585F" w14:textId="0D5DEAB5" w:rsidR="006F12E5" w:rsidRDefault="009F6D17" w:rsidP="00460A92">
            <w:r>
              <w:t>0.17</w:t>
            </w:r>
            <w:r>
              <w:rPr>
                <w:rFonts w:cstheme="minorHAnsi"/>
              </w:rPr>
              <w:t>µF</w:t>
            </w:r>
          </w:p>
        </w:tc>
        <w:tc>
          <w:tcPr>
            <w:tcW w:w="2168" w:type="dxa"/>
          </w:tcPr>
          <w:p w14:paraId="37A90C8E" w14:textId="3D149D21" w:rsidR="006F12E5" w:rsidRDefault="009F6D17" w:rsidP="00460A92">
            <w:r>
              <w:t>0.83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µF</w:t>
            </w:r>
          </w:p>
        </w:tc>
        <w:tc>
          <w:tcPr>
            <w:tcW w:w="2168" w:type="dxa"/>
          </w:tcPr>
          <w:p w14:paraId="6B536778" w14:textId="5AEC454F" w:rsidR="006F12E5" w:rsidRDefault="009F6D17" w:rsidP="00460A92">
            <w:r>
              <w:t>83</w:t>
            </w:r>
            <w:r w:rsidR="00D00A1A">
              <w:t>%</w:t>
            </w:r>
          </w:p>
        </w:tc>
      </w:tr>
      <w:tr w:rsidR="006F12E5" w14:paraId="2DB11235" w14:textId="77777777" w:rsidTr="00460A92">
        <w:tc>
          <w:tcPr>
            <w:tcW w:w="2492" w:type="dxa"/>
          </w:tcPr>
          <w:p w14:paraId="3CB74E91" w14:textId="77777777" w:rsidR="006F12E5" w:rsidRDefault="006F12E5" w:rsidP="00460A92">
            <w:r>
              <w:t>Gradient Calculation</w:t>
            </w:r>
          </w:p>
        </w:tc>
        <w:tc>
          <w:tcPr>
            <w:tcW w:w="2522" w:type="dxa"/>
          </w:tcPr>
          <w:p w14:paraId="5F4DEB43" w14:textId="1C8BC1F7" w:rsidR="006F12E5" w:rsidRDefault="00CD0CC4" w:rsidP="00460A92">
            <w:r>
              <w:t>0.19</w:t>
            </w:r>
            <w:r w:rsidR="00471713">
              <w:rPr>
                <w:rFonts w:cstheme="minorHAnsi"/>
              </w:rPr>
              <w:t>µF</w:t>
            </w:r>
          </w:p>
        </w:tc>
        <w:tc>
          <w:tcPr>
            <w:tcW w:w="2168" w:type="dxa"/>
          </w:tcPr>
          <w:p w14:paraId="4B475A55" w14:textId="3B4408A8" w:rsidR="006F12E5" w:rsidRDefault="00BD787C" w:rsidP="00460A92">
            <w:r>
              <w:t>0.81</w:t>
            </w:r>
            <w:r w:rsidR="009121FC">
              <w:rPr>
                <w:rFonts w:cstheme="minorHAnsi"/>
              </w:rPr>
              <w:t>µF</w:t>
            </w:r>
          </w:p>
        </w:tc>
        <w:tc>
          <w:tcPr>
            <w:tcW w:w="2168" w:type="dxa"/>
          </w:tcPr>
          <w:p w14:paraId="0B61456D" w14:textId="63FC21F0" w:rsidR="006F12E5" w:rsidRPr="00DE5956" w:rsidRDefault="00072C48" w:rsidP="00460A92">
            <w:r>
              <w:t>81</w:t>
            </w:r>
            <w:r w:rsidR="001E0433">
              <w:t>%</w:t>
            </w:r>
            <w:r w:rsidR="00B63897">
              <w:t xml:space="preserve">    </w:t>
            </w:r>
            <w:r w:rsidR="00F64182" w:rsidRPr="00F64182">
              <w:rPr>
                <w:rFonts w:cstheme="minorHAnsi"/>
                <w:u w:val="single"/>
                <w:vertAlign w:val="superscript"/>
              </w:rPr>
              <w:t>ꙭ</w:t>
            </w:r>
          </w:p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223594329"/>
      <w:r>
        <w:t>Capacitor Uses (5)</w:t>
      </w:r>
      <w:bookmarkEnd w:id="10"/>
    </w:p>
    <w:p w14:paraId="511E315A" w14:textId="0D68F9AE" w:rsidR="001728B1" w:rsidRDefault="001757ED" w:rsidP="007322D8">
      <w:pPr>
        <w:pStyle w:val="ListParagraph"/>
        <w:numPr>
          <w:ilvl w:val="0"/>
          <w:numId w:val="2"/>
        </w:numPr>
      </w:pPr>
      <w:r>
        <w:t xml:space="preserve">Power supply smoothing </w:t>
      </w:r>
      <w:r w:rsidR="00F21B93">
        <w:t>–</w:t>
      </w:r>
      <w:r>
        <w:t xml:space="preserve"> </w:t>
      </w:r>
      <w:r w:rsidR="00F21B93">
        <w:t>to smooth voltage spikes from the alternator in a car.</w:t>
      </w:r>
    </w:p>
    <w:p w14:paraId="3F91986A" w14:textId="404B32C7" w:rsidR="009B0265" w:rsidRDefault="009B0265" w:rsidP="00F60C41">
      <w:pPr>
        <w:pStyle w:val="ListParagraph"/>
        <w:numPr>
          <w:ilvl w:val="0"/>
          <w:numId w:val="2"/>
        </w:numPr>
      </w:pPr>
      <w:r>
        <w:lastRenderedPageBreak/>
        <w:t>Decoupling</w:t>
      </w:r>
      <w:r w:rsidR="00E821B7">
        <w:t xml:space="preserve"> </w:t>
      </w:r>
      <w:r w:rsidR="00591C2E">
        <w:t>–</w:t>
      </w:r>
      <w:r w:rsidR="00E821B7">
        <w:t xml:space="preserve"> </w:t>
      </w:r>
      <w:r w:rsidR="00591C2E">
        <w:t xml:space="preserve">placed between the voltage supply and the ground to smooth noise and store </w:t>
      </w:r>
      <w:r w:rsidR="00396C4E">
        <w:t>voltage.</w:t>
      </w:r>
    </w:p>
    <w:p w14:paraId="55F45613" w14:textId="17EFD2E8" w:rsidR="00396C4E" w:rsidRDefault="00B919BF" w:rsidP="00F60C41">
      <w:pPr>
        <w:pStyle w:val="ListParagraph"/>
        <w:numPr>
          <w:ilvl w:val="0"/>
          <w:numId w:val="2"/>
        </w:numPr>
      </w:pPr>
      <w:r>
        <w:t>Ignition systems – capacitors are used to</w:t>
      </w:r>
      <w:r w:rsidR="00CA3648">
        <w:t xml:space="preserve"> improve spark efficiency by reducing </w:t>
      </w:r>
      <w:r w:rsidR="005D4170">
        <w:t>arcing across breaker points.</w:t>
      </w:r>
    </w:p>
    <w:p w14:paraId="6EF7AA96" w14:textId="568C9CD9" w:rsidR="00F037AF" w:rsidRDefault="00F037AF" w:rsidP="00F60C41">
      <w:pPr>
        <w:pStyle w:val="ListParagraph"/>
        <w:numPr>
          <w:ilvl w:val="0"/>
          <w:numId w:val="2"/>
        </w:numPr>
      </w:pPr>
      <w:r>
        <w:t xml:space="preserve">Timing circuits </w:t>
      </w:r>
      <w:r w:rsidR="00810E2F">
        <w:t>–</w:t>
      </w:r>
      <w:r>
        <w:t xml:space="preserve"> </w:t>
      </w:r>
      <w:r w:rsidR="00810E2F">
        <w:t xml:space="preserve">RC circuits </w:t>
      </w:r>
      <w:r w:rsidR="00E8354B">
        <w:t>define a time constant in circuits meaning anything that requires a specific time delay can be set by an RC circuit.</w:t>
      </w:r>
    </w:p>
    <w:p w14:paraId="3DC4C792" w14:textId="30226807" w:rsidR="00254256" w:rsidRDefault="00937398" w:rsidP="00F60C41">
      <w:pPr>
        <w:pStyle w:val="ListParagraph"/>
        <w:numPr>
          <w:ilvl w:val="0"/>
          <w:numId w:val="2"/>
        </w:numPr>
      </w:pPr>
      <w:r>
        <w:t>Regenerative breaking</w:t>
      </w:r>
      <w:r w:rsidR="00FF78F3">
        <w:t xml:space="preserve"> – capacitors store charge </w:t>
      </w:r>
      <w:r w:rsidR="0083635A">
        <w:t xml:space="preserve">meaning electric energy harvested from breaking can be stored and later released </w:t>
      </w:r>
      <w:r w:rsidR="004732C8">
        <w:t>when power is required.</w:t>
      </w:r>
    </w:p>
    <w:p w14:paraId="29EBDC50" w14:textId="19A3F6B7" w:rsidR="007322D8" w:rsidRDefault="00B922F4" w:rsidP="00F60C41">
      <w:pPr>
        <w:pStyle w:val="ListParagraph"/>
        <w:numPr>
          <w:ilvl w:val="0"/>
          <w:numId w:val="2"/>
        </w:numPr>
      </w:pPr>
      <w:r>
        <w:t xml:space="preserve">Snubber circuits </w:t>
      </w:r>
      <w:r w:rsidR="00502E7D">
        <w:t>–</w:t>
      </w:r>
      <w:r>
        <w:t xml:space="preserve"> </w:t>
      </w:r>
      <w:r w:rsidR="00502E7D">
        <w:t>placed across motors to absorb voltage spikes caused by inductive loads</w:t>
      </w:r>
      <w:r w:rsidR="0082206E">
        <w:t xml:space="preserve"> to protect the components.</w:t>
      </w:r>
    </w:p>
    <w:p w14:paraId="2A115FA1" w14:textId="7A850620" w:rsidR="0082206E" w:rsidRDefault="0082206E" w:rsidP="00F60C41">
      <w:pPr>
        <w:pStyle w:val="ListParagraph"/>
        <w:numPr>
          <w:ilvl w:val="0"/>
          <w:numId w:val="2"/>
        </w:numPr>
      </w:pPr>
      <w:r>
        <w:t xml:space="preserve">Fluid level sensors </w:t>
      </w:r>
      <w:r w:rsidR="007D1295">
        <w:t>–</w:t>
      </w:r>
      <w:r>
        <w:t xml:space="preserve"> </w:t>
      </w:r>
      <w:r w:rsidR="00A13080">
        <w:t xml:space="preserve">two </w:t>
      </w:r>
      <w:r w:rsidR="002B1741">
        <w:t xml:space="preserve">conductive surfaces are placed in a </w:t>
      </w:r>
      <w:r w:rsidR="00B60088">
        <w:t>fluid,</w:t>
      </w:r>
      <w:r w:rsidR="002B1741">
        <w:t xml:space="preserve"> and </w:t>
      </w:r>
      <w:r w:rsidR="00B60088">
        <w:t xml:space="preserve">a potential difference is applied. Since the voltage and resistance </w:t>
      </w:r>
      <w:r w:rsidR="0099326A">
        <w:t xml:space="preserve">of the circuit </w:t>
      </w:r>
      <w:r w:rsidR="00B60088">
        <w:t>are known, the capac</w:t>
      </w:r>
      <w:r w:rsidR="0099326A">
        <w:t>itance can be calculated which will correlate to the level of the fluid.</w:t>
      </w:r>
    </w:p>
    <w:p w14:paraId="3259B695" w14:textId="1ED03609" w:rsidR="007546F1" w:rsidRDefault="004E7C49" w:rsidP="007546F1">
      <w:pPr>
        <w:pStyle w:val="ListParagraph"/>
        <w:numPr>
          <w:ilvl w:val="0"/>
          <w:numId w:val="2"/>
        </w:numPr>
      </w:pPr>
      <w:r>
        <w:t>Audio systems – the capacitors</w:t>
      </w:r>
      <w:r w:rsidR="006C3F16">
        <w:t xml:space="preserve"> </w:t>
      </w:r>
      <w:r w:rsidR="007546F1">
        <w:t>stabilise</w:t>
      </w:r>
      <w:r w:rsidR="006C3F16">
        <w:t xml:space="preserve"> the voltage to amplifiers during load spikes like bass</w:t>
      </w:r>
      <w:r w:rsidR="007546F1">
        <w:t>/vocals. This prevents distortion and keeps the sound smooth.</w:t>
      </w:r>
    </w:p>
    <w:p w14:paraId="397DE663" w14:textId="5AE60107" w:rsidR="000904C7" w:rsidRDefault="00486C59" w:rsidP="007546F1">
      <w:pPr>
        <w:pStyle w:val="ListParagraph"/>
        <w:numPr>
          <w:ilvl w:val="0"/>
          <w:numId w:val="2"/>
        </w:numPr>
      </w:pPr>
      <w:r>
        <w:t xml:space="preserve">EMI filtering </w:t>
      </w:r>
      <w:r w:rsidR="00AE3331">
        <w:t>–</w:t>
      </w:r>
      <w:r>
        <w:t xml:space="preserve"> </w:t>
      </w:r>
      <w:r w:rsidR="00AE3331">
        <w:t xml:space="preserve">used across components and wiring to </w:t>
      </w:r>
      <w:r w:rsidR="00C8418B">
        <w:t>suppress electromagnetic interference.</w:t>
      </w:r>
    </w:p>
    <w:p w14:paraId="6DCD7F2F" w14:textId="7C5B8B6D" w:rsidR="00C8418B" w:rsidRDefault="001465CA" w:rsidP="007546F1">
      <w:pPr>
        <w:pStyle w:val="ListParagraph"/>
        <w:numPr>
          <w:ilvl w:val="0"/>
          <w:numId w:val="2"/>
        </w:numPr>
      </w:pPr>
      <w:r>
        <w:t xml:space="preserve">Start capacitors – used in single phase motors to create a phase shift and </w:t>
      </w:r>
      <w:r w:rsidR="002C58D0">
        <w:t>generate a starting force.</w:t>
      </w:r>
    </w:p>
    <w:p w14:paraId="5ADA727A" w14:textId="76AF9469" w:rsidR="00BB184E" w:rsidRPr="00514DC8" w:rsidRDefault="00A42DA6" w:rsidP="00BB184E">
      <w:pPr>
        <w:ind w:left="360"/>
      </w:pPr>
      <w:sdt>
        <w:sdtPr>
          <w:rPr>
            <w:rFonts w:ascii="Calibri" w:hAnsi="Calibri" w:cs="Calibri"/>
            <w:color w:val="000000"/>
          </w:rPr>
          <w:tag w:val="MENDELEY_CITATION_v3_eyJjaXRhdGlvbklEIjoiTUVOREVMRVlfQ0lUQVRJT05fM2MzYTQzN2UtMWQyZi00MDBlLTk5YWUtZmQzNzY0MTcyNzFjIiwicHJvcGVydGllcyI6eyJub3RlSW5kZXgiOjB9LCJpc0VkaXRlZCI6ZmFsc2UsIm1hbnVhbE92ZXJyaWRlIjp7ImlzTWFudWFsbHlPdmVycmlkZGVuIjpmYWxzZSwiY2l0ZXByb2NUZXh0IjoiKE1hdGFuLCAyMDI2KSIsIm1hbnVhbE92ZXJyaWRlVGV4dCI6IiJ9LCJjaXRhdGlvbkl0ZW1zIjpbeyJpZCI6IjAwMmJlYjc2LWVjMmYtMzJlZC1hMzdmLTgxNGU2ZTUzMjA3NSIsIml0ZW1EYXRhIjp7InR5cGUiOiJ3ZWJwYWdlIiwiaWQiOiIwMDJiZWI3Ni1lYzJmLTMyZWQtYTM3Zi04MTRlNmU1MzIwNzUiLCJ0aXRsZSI6IkNhcGFjaXRpdmUgTGlxdWlkIExldmVsIFNlbnNvcnMgfCBIb3cgaXQgd29ya3MsIEFwcGxpY2F0aW9uICYgQWR2YW50YWdlcyIsImF1dGhvciI6W3siZmFtaWx5IjoiTWF0YW4iLCJnaXZlbiI6IiIsInBhcnNlLW5hbWVzIjpmYWxzZSwiZHJvcHBpbmctcGFydGljbGUiOiIiLCJub24tZHJvcHBpbmctcGFydGljbGUiOiIifV0sImFjY2Vzc2VkIjp7ImRhdGUtcGFydHMiOltbMjAyNiw0LDE4XV19LCJVUkwiOiJodHRwczovL3d3dy5lbGVjdHJpY2l0eS1tYWduZXRpc20ub3JnL2NhcGFjaXRpdmUtbGlxdWlkLWxldmVsLXNlbnNvcnMvIiwiaXNzdWVkIjp7ImRhdGUtcGFydHMiOltbMjAyNiwxMCwyNl1dfSwiY29udGFpbmVyLXRpdGxlLXNob3J0IjoiIn0sImlzVGVtcG9yYXJ5IjpmYWxzZX1dfQ=="/>
          <w:id w:val="90285240"/>
          <w:placeholder>
            <w:docPart w:val="DefaultPlaceholder_-1854013440"/>
          </w:placeholder>
        </w:sdtPr>
        <w:sdtContent>
          <w:r w:rsidRPr="00A42DA6">
            <w:rPr>
              <w:rFonts w:ascii="Calibri" w:hAnsi="Calibri" w:cs="Calibri"/>
              <w:color w:val="000000"/>
            </w:rPr>
            <w:t>(Matan, 2026)</w:t>
          </w:r>
        </w:sdtContent>
      </w:sdt>
      <w:r>
        <w:rPr>
          <w:rFonts w:ascii="Calibri" w:hAnsi="Calibri" w:cs="Calibri"/>
          <w:color w:val="000000"/>
        </w:rPr>
        <w:t>.</w:t>
      </w:r>
    </w:p>
    <w:p w14:paraId="0E5831A0" w14:textId="0E77EEB9" w:rsidR="001728B1" w:rsidRDefault="004D5065" w:rsidP="001728B1">
      <w:pPr>
        <w:pStyle w:val="Heading2"/>
      </w:pPr>
      <w:bookmarkStart w:id="11" w:name="_Toc223594330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7EDFE1FA" w14:textId="29B26A0E" w:rsidR="00292B7F" w:rsidRPr="00292B7F" w:rsidRDefault="001F2683" w:rsidP="00292B7F">
      <w:r>
        <w:t xml:space="preserve">The </w:t>
      </w:r>
      <w:r w:rsidR="004F7DF0">
        <w:t xml:space="preserve">capacitance </w:t>
      </w:r>
      <w:r>
        <w:t>value</w:t>
      </w:r>
      <w:r w:rsidR="004F7DF0">
        <w:t xml:space="preserve"> calculated from the gradient of the graph was</w:t>
      </w:r>
      <w:r w:rsidR="00CC723B">
        <w:t xml:space="preserve"> very inaccurate </w:t>
      </w:r>
      <w:r w:rsidR="0093651C">
        <w:t>at on</w:t>
      </w:r>
      <w:r w:rsidR="005E7BDE">
        <w:t>ly 20% of the expected 1</w:t>
      </w:r>
      <w:r w:rsidR="005E7BDE">
        <w:rPr>
          <w:rFonts w:cstheme="minorHAnsi"/>
        </w:rPr>
        <w:t>µF</w:t>
      </w:r>
      <w:r w:rsidR="005E7BDE">
        <w:rPr>
          <w:rFonts w:cstheme="minorHAnsi"/>
        </w:rPr>
        <w:t xml:space="preserve">. This could be due to </w:t>
      </w:r>
      <w:r w:rsidR="00C762D1">
        <w:rPr>
          <w:rFonts w:cstheme="minorHAnsi"/>
        </w:rPr>
        <w:t>several</w:t>
      </w:r>
      <w:r w:rsidR="005E7BDE">
        <w:rPr>
          <w:rFonts w:cstheme="minorHAnsi"/>
        </w:rPr>
        <w:t xml:space="preserve"> things including</w:t>
      </w:r>
      <w:r w:rsidR="006907D4">
        <w:rPr>
          <w:rFonts w:cstheme="minorHAnsi"/>
        </w:rPr>
        <w:t xml:space="preserve">, </w:t>
      </w:r>
      <w:r w:rsidR="005130D8">
        <w:rPr>
          <w:rFonts w:cstheme="minorHAnsi"/>
        </w:rPr>
        <w:t xml:space="preserve">unreliable equipment such as the function generator and the </w:t>
      </w:r>
      <w:r w:rsidR="004F2D92">
        <w:rPr>
          <w:rFonts w:cstheme="minorHAnsi"/>
        </w:rPr>
        <w:t xml:space="preserve">scope, </w:t>
      </w:r>
      <w:r w:rsidR="00231C92">
        <w:rPr>
          <w:rFonts w:cstheme="minorHAnsi"/>
        </w:rPr>
        <w:t xml:space="preserve">tolerance in the resistor making it a smaller </w:t>
      </w:r>
      <w:r w:rsidR="00F02FD6">
        <w:rPr>
          <w:rFonts w:cstheme="minorHAnsi"/>
        </w:rPr>
        <w:t>resistance</w:t>
      </w:r>
      <w:r w:rsidR="009464D7">
        <w:rPr>
          <w:rFonts w:cstheme="minorHAnsi"/>
        </w:rPr>
        <w:t xml:space="preserve">, </w:t>
      </w:r>
      <w:r w:rsidR="00310A9D">
        <w:rPr>
          <w:rFonts w:cstheme="minorHAnsi"/>
        </w:rPr>
        <w:t>but most likely a</w:t>
      </w:r>
      <w:r w:rsidR="000135B6">
        <w:rPr>
          <w:rFonts w:cstheme="minorHAnsi"/>
        </w:rPr>
        <w:t>n error in the method.</w:t>
      </w:r>
    </w:p>
    <w:p w14:paraId="62F8FF46" w14:textId="25EF1F61" w:rsidR="004138A3" w:rsidRPr="004138A3" w:rsidRDefault="004138A3" w:rsidP="004138A3">
      <w:pPr>
        <w:pStyle w:val="Heading2"/>
      </w:pPr>
      <w:bookmarkStart w:id="12" w:name="_Toc223594331"/>
      <w:r w:rsidRPr="004138A3">
        <w:rPr>
          <w:color w:val="FF0000"/>
        </w:rPr>
        <w:t>Risk Question (10)</w:t>
      </w:r>
      <w:bookmarkEnd w:id="12"/>
    </w:p>
    <w:p w14:paraId="4EA02785" w14:textId="0C69A733" w:rsidR="00301299" w:rsidRDefault="00DA494F" w:rsidP="00952BC4">
      <w:pPr>
        <w:rPr>
          <w:rFonts w:ascii="Calibri" w:hAnsi="Calibri" w:cs="Calibri"/>
          <w:color w:val="000000"/>
        </w:rPr>
      </w:pPr>
      <w:r>
        <w:t>The Control Area Network</w:t>
      </w:r>
      <w:r w:rsidR="00D42837">
        <w:t xml:space="preserve"> (CAN) bus is</w:t>
      </w:r>
      <w:r w:rsidR="005B28EF">
        <w:t xml:space="preserve"> </w:t>
      </w:r>
      <w:r w:rsidR="005B28EF" w:rsidRPr="005B28EF">
        <w:t>the electronic communications system that allows different parts of the vehicle to talk to each other, including the engine, the transmission and the brakes. In effect, it’s a car’s central nervous system.</w:t>
      </w:r>
      <w:r w:rsidR="0098675A">
        <w:t xml:space="preserve"> </w:t>
      </w:r>
      <w:sdt>
        <w:sdtPr>
          <w:rPr>
            <w:rFonts w:ascii="Calibri" w:hAnsi="Calibri" w:cs="Calibri"/>
            <w:color w:val="000000"/>
          </w:rPr>
          <w:tag w:val="MENDELEY_CITATION_v3_eyJjaXRhdGlvbklEIjoiTUVOREVMRVlfQ0lUQVRJT05fZjY4NzZiZmYtM2Y0YS00NWY1LTg1NDEtNWUwZTRkNjc5MDFkIiwicHJvcGVydGllcyI6eyJub3RlSW5kZXgiOjB9LCJpc0VkaXRlZCI6ZmFsc2UsIm1hbnVhbE92ZXJyaWRlIjp7ImlzTWFudWFsbHlPdmVycmlkZGVuIjp0cnVlLCJjaXRlcHJvY1RleHQiOiIoPGk+SG93IEl0IFdvcmtzOiBDQU4gQnVzIHwgSW5zdGl0dXRlIG9mIFRoZSBNb3RvciBJbmR1c3RyeTwvaT4sIG4uZC4pIiwibWFudWFsT3ZlcnJpZGVUZXh0IjoiKERlbnRvbiwgMjAyMCkifSwiY2l0YXRpb25JdGVtcyI6W3siaWQiOiI4YTY0YmY0Yy1kOGQ3LTM0ZWUtOGI1Yy1jYjkxMDc4NDdiYjciLCJpdGVtRGF0YSI6eyJ0eXBlIjoid2VicGFnZSIsImlkIjoiOGE2NGJmNGMtZDhkNy0zNGVlLThiNWMtY2I5MTA3ODQ3YmI3IiwidGl0bGUiOiJIb3cgaXQgd29ya3M6IENBTiBidXMgfCBJbnN0aXR1dGUgb2YgVGhlIE1vdG9yIEluZHVzdHJ5IiwiYWNjZXNzZWQiOnsiZGF0ZS1wYXJ0cyI6W1syMDI2LDQsMThdXX0sIlVSTCI6Imh0dHBzOi8vdGlkZS50aGVpbWkub3JnLnVrL2luZHVzdHJ5LWxhdGVzdC9tb3RvcnByby9ob3ctaXQtd29ya3MtY2FuLWJ1cyIsImNvbnRhaW5lci10aXRsZS1zaG9ydCI6IiJ9LCJpc1RlbXBvcmFyeSI6ZmFsc2UsInN1cHByZXNzLWF1dGhvciI6ZmFsc2UsImNvbXBvc2l0ZSI6ZmFsc2UsImF1dGhvci1vbmx5IjpmYWxzZX1dfQ=="/>
          <w:id w:val="1761710605"/>
          <w:placeholder>
            <w:docPart w:val="DefaultPlaceholder_-1854013440"/>
          </w:placeholder>
        </w:sdtPr>
        <w:sdtContent>
          <w:r w:rsidR="004D4C03" w:rsidRPr="004D4C03">
            <w:rPr>
              <w:rFonts w:ascii="Calibri" w:eastAsia="Times New Roman" w:hAnsi="Calibri" w:cs="Calibri"/>
              <w:color w:val="000000"/>
            </w:rPr>
            <w:t>(Denton, 2020)</w:t>
          </w:r>
        </w:sdtContent>
      </w:sdt>
      <w:r w:rsidR="00B8139D">
        <w:rPr>
          <w:rFonts w:ascii="Calibri" w:hAnsi="Calibri" w:cs="Calibri"/>
          <w:color w:val="000000"/>
        </w:rPr>
        <w:t xml:space="preserve">. </w:t>
      </w:r>
      <w:r w:rsidR="00401292">
        <w:rPr>
          <w:rFonts w:ascii="Calibri" w:hAnsi="Calibri" w:cs="Calibri"/>
          <w:color w:val="000000"/>
        </w:rPr>
        <w:t>The CAN</w:t>
      </w:r>
      <w:r w:rsidR="00DF7E95">
        <w:rPr>
          <w:rFonts w:ascii="Calibri" w:hAnsi="Calibri" w:cs="Calibri"/>
          <w:color w:val="000000"/>
        </w:rPr>
        <w:t>BUS</w:t>
      </w:r>
      <w:r w:rsidR="00401292">
        <w:rPr>
          <w:rFonts w:ascii="Calibri" w:hAnsi="Calibri" w:cs="Calibri"/>
          <w:color w:val="000000"/>
        </w:rPr>
        <w:t xml:space="preserve"> system has a lack of built in security which makes it </w:t>
      </w:r>
      <w:r w:rsidR="00DF7E95">
        <w:rPr>
          <w:rFonts w:ascii="Calibri" w:hAnsi="Calibri" w:cs="Calibri"/>
          <w:color w:val="000000"/>
        </w:rPr>
        <w:t xml:space="preserve">venerable to cyber-attacks. </w:t>
      </w:r>
      <w:r w:rsidR="0028252A" w:rsidRPr="0028252A">
        <w:rPr>
          <w:rFonts w:ascii="Calibri" w:hAnsi="Calibri" w:cs="Calibri"/>
          <w:color w:val="000000"/>
        </w:rPr>
        <w:t xml:space="preserve">The standard ISO/SAE 21434:2021 provides a </w:t>
      </w:r>
      <w:r w:rsidR="00EE0728">
        <w:rPr>
          <w:rFonts w:ascii="Calibri" w:hAnsi="Calibri" w:cs="Calibri"/>
          <w:color w:val="000000"/>
        </w:rPr>
        <w:t>guideline</w:t>
      </w:r>
      <w:r w:rsidR="0028252A" w:rsidRPr="0028252A">
        <w:rPr>
          <w:rFonts w:ascii="Calibri" w:hAnsi="Calibri" w:cs="Calibri"/>
          <w:color w:val="000000"/>
        </w:rPr>
        <w:t xml:space="preserve"> for identifying and mitigating risks</w:t>
      </w:r>
      <w:r w:rsidR="00EE0728">
        <w:rPr>
          <w:rFonts w:ascii="Calibri" w:hAnsi="Calibri" w:cs="Calibri"/>
          <w:color w:val="000000"/>
        </w:rPr>
        <w:t xml:space="preserve">. </w:t>
      </w:r>
    </w:p>
    <w:p w14:paraId="17ED6FA5" w14:textId="4144D750" w:rsidR="00133F44" w:rsidRDefault="001E1559" w:rsidP="001E1559">
      <w:r w:rsidRPr="001E1559">
        <w:t xml:space="preserve">ISO/SAE 21434 </w:t>
      </w:r>
      <w:r w:rsidR="00A374AF">
        <w:t>uses</w:t>
      </w:r>
      <w:r w:rsidRPr="001E1559">
        <w:t xml:space="preserve"> a risk-based approach through Threat Analysis and Risk Assessment (TARA), where potential attack</w:t>
      </w:r>
      <w:r w:rsidR="00A374AF">
        <w:t xml:space="preserve">s </w:t>
      </w:r>
      <w:r w:rsidRPr="001E1559">
        <w:t xml:space="preserve">are identified and evaluated based on impact and likelihood. It requires cybersecurity to be integrated throughout the vehicle lifecycle, including concept, development, production, and post-production phases. Security goals are defined early, and controls such as authentication, encryption, and intrusion detection are implemented to reduce risk to acceptable levels </w:t>
      </w:r>
      <w:sdt>
        <w:sdtPr>
          <w:rPr>
            <w:rFonts w:ascii="Calibri" w:hAnsi="Calibri" w:cs="Calibri"/>
            <w:color w:val="000000"/>
          </w:rPr>
          <w:tag w:val="MENDELEY_CITATION_v3_eyJjaXRhdGlvbklEIjoiTUVOREVMRVlfQ0lUQVRJT05fNjFlODAxOTgtOTU0OS00ODFiLThhNTMtZTM4MGY4ODdhMzNmIiwicHJvcGVydGllcyI6eyJub3RlSW5kZXgiOjB9LCJpc0VkaXRlZCI6ZmFsc2UsIm1hbnVhbE92ZXJyaWRlIjp7ImlzTWFudWFsbHlPdmVycmlkZGVuIjp0cnVlLCJjaXRlcHJvY1RleHQiOiIoPGk+SVNPL1NBRSAyMTQzNDoyMDIxIC0gUm9hZCBWZWhpY2xlcyDigJQgQ3liZXJzZWN1cml0eSBFbmdpbmVlcmluZzwvaT4sIG4uZC4pIiwibWFudWFsT3ZlcnJpZGVUZXh0IjoiKElTTy9TQUUsIDIwMjEpIn0sImNpdGF0aW9uSXRlbXMiOlt7ImlkIjoiYjc5MzZkZWMtOWM2OS0zNTExLWJjNzgtM2YyMzA1ZjQ4ZTg3IiwiaXRlbURhdGEiOnsidHlwZSI6IndlYnBhZ2UiLCJpZCI6ImI3OTM2ZGVjLTljNjktMzUxMS1iYzc4LTNmMjMwNWY0OGU4NyIsInRpdGxlIjoiSVNPL1NBRSAyMTQzNDoyMDIxIC0gUm9hZCB2ZWhpY2xlcyDigJQgQ3liZXJzZWN1cml0eSBlbmdpbmVlcmluZyIsImFjY2Vzc2VkIjp7ImRhdGUtcGFydHMiOltbMjAyNiw0LDE4XV19LCJVUkwiOiJodHRwczovL3d3dy5pc28ub3JnL3N0YW5kYXJkLzcwOTE4Lmh0bWwiLCJjb250YWluZXItdGl0bGUtc2hvcnQiOiIifSwiaXNUZW1wb3JhcnkiOmZhbHNlLCJzdXBwcmVzcy1hdXRob3IiOmZhbHNlLCJjb21wb3NpdGUiOmZhbHNlLCJhdXRob3Itb25seSI6ZmFsc2V9XX0="/>
          <w:id w:val="-1600323095"/>
          <w:placeholder>
            <w:docPart w:val="DefaultPlaceholder_-1854013440"/>
          </w:placeholder>
        </w:sdtPr>
        <w:sdtContent>
          <w:r w:rsidR="004D4C03" w:rsidRPr="004D4C03">
            <w:rPr>
              <w:rFonts w:ascii="Calibri" w:eastAsia="Times New Roman" w:hAnsi="Calibri" w:cs="Calibri"/>
              <w:color w:val="000000"/>
            </w:rPr>
            <w:t>(ISO/SAE, 2021)</w:t>
          </w:r>
        </w:sdtContent>
      </w:sdt>
      <w:r w:rsidRPr="001E1559">
        <w:t>.</w:t>
      </w:r>
      <w:r w:rsidR="00314936">
        <w:t xml:space="preserve"> </w:t>
      </w:r>
    </w:p>
    <w:p w14:paraId="03AF219B" w14:textId="30E97E42" w:rsidR="00E702A5" w:rsidRDefault="00F638A7" w:rsidP="001E1559">
      <w:pPr>
        <w:rPr>
          <w:rFonts w:ascii="Calibri" w:hAnsi="Calibri" w:cs="Calibri"/>
          <w:color w:val="000000"/>
        </w:rPr>
      </w:pPr>
      <w:r>
        <w:t xml:space="preserve">The key access points for a cybersecurity attack on the CANBUS system are through the OBD port, or </w:t>
      </w:r>
      <w:r w:rsidR="00E51207">
        <w:t>via Wifi or Bluetooth systems</w:t>
      </w:r>
      <w:r w:rsidR="00BA1FCD">
        <w:t xml:space="preserve">. </w:t>
      </w:r>
      <w:r w:rsidR="001F3BC2">
        <w:t xml:space="preserve">A cyber attacker would need to have access to the physical car to gain </w:t>
      </w:r>
      <w:r w:rsidR="00EF6B53">
        <w:t xml:space="preserve">access via the OBD port making this a less likely attack that through over the air access points. </w:t>
      </w:r>
      <w:r w:rsidR="002A2CFC" w:rsidRPr="002A2CFC">
        <w:t xml:space="preserve">Telematics units and over-the-air (OTA) update systems also present attack vectors, allowing adversaries to inject malicious CAN messages if proper isolation and authentication are not implemented </w:t>
      </w:r>
      <w:sdt>
        <w:sdtPr>
          <w:rPr>
            <w:rFonts w:ascii="Calibri" w:hAnsi="Calibri" w:cs="Calibri"/>
            <w:color w:val="000000"/>
          </w:rPr>
          <w:tag w:val="MENDELEY_CITATION_v3_eyJjaXRhdGlvbklEIjoiTUVOREVMRVlfQ0lUQVRJT05fYWJiYjM1YmEtODEwMS00Y2FjLTg1NjQtN2U1YTI4ZGE5MmNlIiwicHJvcGVydGllcyI6eyJub3RlSW5kZXgiOjB9LCJpc0VkaXRlZCI6ZmFsc2UsIm1hbnVhbE92ZXJyaWRlIjp7ImlzTWFudWFsbHlPdmVycmlkZGVuIjp0cnVlLCJjaXRlcHJvY1RleHQiOiIoPGk+KFBERikgQ29tcHJlaGVuc2l2ZSBFeHBlcmltZW50YWwgQW5hbHlzZXMgb2YgQXV0b21vdGl2ZSBBdHRhY2sgU3VyZmFjZXM8L2k+LCBuLmQuKSIsIm1hbnVhbE92ZXJyaWRlVGV4dCI6IihDaGVja293YXkgZXQgYWwsIDIwMTEpIn0sImNpdGF0aW9uSXRlbXMiOlt7ImlkIjoiMGYzYmY5ZjYtZjAxNC0zMGJiLTkyYWEtYzcyMDdiMTVhODdlIiwiaXRlbURhdGEiOnsidHlwZSI6IndlYnBhZ2UiLCJpZCI6IjBmM2JmOWY2LWYwMTQtMzBiYi05MmFhLWM3MjA3YjE1YTg3ZSIsInRpdGxlIjoiKFBERikgQ29tcHJlaGVuc2l2ZSBFeHBlcmltZW50YWwgQW5hbHlzZXMgb2YgQXV0b21vdGl2ZSBBdHRhY2sgU3VyZmFjZXMiLCJhY2Nlc3NlZCI6eyJkYXRlLXBhcnRzIjpbWzIwMjYsNCwxOF1dfSwiVVJMIjoiaHR0cHM6Ly93d3cucmVzZWFyY2hnYXRlLm5ldC9wdWJsaWNhdGlvbi8yNTk3NTMyNjlfQ29tcHJlaGVuc2l2ZV9FeHBlcmltZW50YWxfQW5hbHlzZXNfb2ZfQXV0b21vdGl2ZV9BdHRhY2tfU3VyZmFjZXMiLCJjb250YWluZXItdGl0bGUtc2hvcnQiOiIifSwiaXNUZW1wb3JhcnkiOmZhbHNlLCJzdXBwcmVzcy1hdXRob3IiOmZhbHNlLCJjb21wb3NpdGUiOmZhbHNlLCJhdXRob3Itb25seSI6ZmFsc2V9XX0="/>
          <w:id w:val="-192386192"/>
          <w:placeholder>
            <w:docPart w:val="DefaultPlaceholder_-1854013440"/>
          </w:placeholder>
        </w:sdtPr>
        <w:sdtContent>
          <w:r w:rsidR="004D4C03" w:rsidRPr="004D4C03">
            <w:rPr>
              <w:rFonts w:ascii="Calibri" w:eastAsia="Times New Roman" w:hAnsi="Calibri" w:cs="Calibri"/>
              <w:color w:val="000000"/>
            </w:rPr>
            <w:t>(Checkoway et al, 2011)</w:t>
          </w:r>
        </w:sdtContent>
      </w:sdt>
      <w:r w:rsidR="00975FC1">
        <w:rPr>
          <w:rFonts w:ascii="Calibri" w:hAnsi="Calibri" w:cs="Calibri"/>
          <w:color w:val="000000"/>
        </w:rPr>
        <w:t>.</w:t>
      </w:r>
    </w:p>
    <w:p w14:paraId="19B23B52" w14:textId="3AD6022C" w:rsidR="00975FC1" w:rsidRDefault="00005AFD" w:rsidP="001E1559">
      <w:r>
        <w:t xml:space="preserve">The CANBUS system has a few inherent weaknesses. </w:t>
      </w:r>
      <w:r w:rsidR="00987014">
        <w:t xml:space="preserve">These </w:t>
      </w:r>
      <w:r>
        <w:t xml:space="preserve">include </w:t>
      </w:r>
      <w:r w:rsidR="000052D9">
        <w:t>a lack of message</w:t>
      </w:r>
      <w:r w:rsidR="00BB0E01">
        <w:t xml:space="preserve"> authentication and encryption meaning any messages </w:t>
      </w:r>
      <w:r w:rsidR="00B52BA3">
        <w:t xml:space="preserve">sent within the network will necessarily be trusted by the </w:t>
      </w:r>
      <w:r w:rsidR="00B52BA3">
        <w:lastRenderedPageBreak/>
        <w:t xml:space="preserve">other vehicle components. </w:t>
      </w:r>
      <w:r w:rsidR="005A22B0">
        <w:t>As well as this, i</w:t>
      </w:r>
      <w:r w:rsidR="00987014" w:rsidRPr="00987014">
        <w:t xml:space="preserve">ts broadcast architecture allows all ECUs to receive all messages, increasing the risk of spoofing and replay attacks. These limitations make CAN particularly susceptible to malicious message injection and denial-of-service attacks </w:t>
      </w:r>
      <w:r w:rsidR="00AD318F">
        <w:t>(Koscher et al, 2011).</w:t>
      </w:r>
      <w:r w:rsidR="005E1A8D">
        <w:t xml:space="preserve"> </w:t>
      </w:r>
    </w:p>
    <w:p w14:paraId="28BF4F0A" w14:textId="79BAEC4A" w:rsidR="00DD1256" w:rsidRDefault="001C6DA2" w:rsidP="001E1559">
      <w:r>
        <w:t xml:space="preserve">Over the air (OTA) systems will be particularly venerable </w:t>
      </w:r>
      <w:r w:rsidR="0034748C">
        <w:t xml:space="preserve">to attacks when updating. Without sufficient authentication and security, </w:t>
      </w:r>
      <w:r w:rsidR="00667DA8">
        <w:t xml:space="preserve">malware will have </w:t>
      </w:r>
      <w:r w:rsidR="00AA2483">
        <w:t>an opportunity to get into the systems when they are rebooted after/during updates. This may</w:t>
      </w:r>
      <w:r w:rsidR="00F25503">
        <w:t xml:space="preserve"> result in data breaches through the infotainment systems, or failures in the electrically operated components of the vehicle.</w:t>
      </w:r>
    </w:p>
    <w:p w14:paraId="0B95CA4B" w14:textId="31EF5861" w:rsidR="00D4320B" w:rsidRDefault="00451FA6" w:rsidP="001E1559">
      <w:r>
        <w:t xml:space="preserve">Some mitigation </w:t>
      </w:r>
      <w:r w:rsidR="00D01DAB">
        <w:t xml:space="preserve">strategies include </w:t>
      </w:r>
      <w:r w:rsidR="00DE16EC">
        <w:t xml:space="preserve">network segmentation which involves </w:t>
      </w:r>
      <w:r w:rsidR="00BF2018">
        <w:t xml:space="preserve">dividing </w:t>
      </w:r>
      <w:r w:rsidR="00A60DAE">
        <w:t>the CANBUS network into smaller segments</w:t>
      </w:r>
      <w:r w:rsidR="00CF5D6B">
        <w:t>, intrusion detection systems and message authentication.</w:t>
      </w:r>
      <w:r w:rsidR="00DB2B27">
        <w:t xml:space="preserve"> These mitigations are outlined in the </w:t>
      </w:r>
      <w:r w:rsidR="00876F30">
        <w:t>ISO/SAE 2143</w:t>
      </w:r>
      <w:r w:rsidR="00C32372">
        <w:t xml:space="preserve">4 meaning manufacturers </w:t>
      </w:r>
      <w:r w:rsidR="00C76996">
        <w:t>can reduce the risk of cyber attacks by adhering to the ISO standards.</w:t>
      </w:r>
    </w:p>
    <w:p w14:paraId="038F8ED0" w14:textId="77777777" w:rsidR="005E1A8D" w:rsidRDefault="005E1A8D" w:rsidP="001E1559"/>
    <w:p w14:paraId="458939AC" w14:textId="5BEE5DF4" w:rsidR="00E76717" w:rsidRPr="00952BC4" w:rsidRDefault="00E76717" w:rsidP="001E1559"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13" w:name="_Toc223594332"/>
      <w:r>
        <w:lastRenderedPageBreak/>
        <w:t>References</w:t>
      </w:r>
      <w:bookmarkEnd w:id="13"/>
    </w:p>
    <w:p w14:paraId="622A0EBC" w14:textId="0DD54418" w:rsid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sdt>
      <w:sdtPr>
        <w:rPr>
          <w:rFonts w:ascii="Calibri" w:hAnsi="Calibri" w:cs="Calibri"/>
          <w:color w:val="000000"/>
        </w:rPr>
        <w:tag w:val="MENDELEY_BIBLIOGRAPHY"/>
        <w:id w:val="-410929870"/>
        <w:placeholder>
          <w:docPart w:val="DefaultPlaceholder_-1854013440"/>
        </w:placeholder>
      </w:sdtPr>
      <w:sdtContent>
        <w:p w14:paraId="26C00066" w14:textId="77777777" w:rsidR="004D4C03" w:rsidRDefault="004D4C03">
          <w:pPr>
            <w:autoSpaceDE w:val="0"/>
            <w:autoSpaceDN w:val="0"/>
            <w:ind w:hanging="480"/>
            <w:divId w:val="1290555505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  <w:i/>
              <w:iCs/>
            </w:rPr>
            <w:t>How it works: CAN bus | Institute of The Motor Industry</w:t>
          </w:r>
          <w:r>
            <w:rPr>
              <w:rFonts w:eastAsia="Times New Roman"/>
            </w:rPr>
            <w:t>. (n.d.). Retrieved April 18, 2026, from https://tide.theimi.org.uk/industry-latest/motorpro/how-it-works-can-bus</w:t>
          </w:r>
        </w:p>
        <w:p w14:paraId="2EDC090B" w14:textId="77777777" w:rsidR="004D4C03" w:rsidRDefault="004D4C03">
          <w:pPr>
            <w:autoSpaceDE w:val="0"/>
            <w:autoSpaceDN w:val="0"/>
            <w:ind w:hanging="480"/>
            <w:divId w:val="1902859101"/>
            <w:rPr>
              <w:rFonts w:eastAsia="Times New Roman"/>
            </w:rPr>
          </w:pPr>
          <w:r>
            <w:rPr>
              <w:rFonts w:eastAsia="Times New Roman"/>
              <w:i/>
              <w:iCs/>
            </w:rPr>
            <w:t>ISO/SAE 21434:2021 - Road vehicles — Cybersecurity engineering</w:t>
          </w:r>
          <w:r>
            <w:rPr>
              <w:rFonts w:eastAsia="Times New Roman"/>
            </w:rPr>
            <w:t>. (n.d.). Retrieved April 18, 2026, from https://www.iso.org/standard/70918.html</w:t>
          </w:r>
        </w:p>
        <w:p w14:paraId="4A53C97B" w14:textId="77777777" w:rsidR="004D4C03" w:rsidRDefault="004D4C03">
          <w:pPr>
            <w:autoSpaceDE w:val="0"/>
            <w:autoSpaceDN w:val="0"/>
            <w:ind w:hanging="480"/>
            <w:divId w:val="1579514937"/>
            <w:rPr>
              <w:rFonts w:eastAsia="Times New Roman"/>
            </w:rPr>
          </w:pPr>
          <w:r>
            <w:rPr>
              <w:rFonts w:eastAsia="Times New Roman"/>
              <w:i/>
              <w:iCs/>
            </w:rPr>
            <w:t>(PDF) Comprehensive Experimental Analyses of Automotive Attack Surfaces</w:t>
          </w:r>
          <w:r>
            <w:rPr>
              <w:rFonts w:eastAsia="Times New Roman"/>
            </w:rPr>
            <w:t>. (n.d.). Retrieved April 18, 2026, from https://www.researchgate.net/publication/259753269_Comprehensive_Experimental_Analyses_of_Automotive_Attack_Surfaces</w:t>
          </w:r>
        </w:p>
        <w:p w14:paraId="0F85FC66" w14:textId="0B654F66" w:rsidR="005D53C9" w:rsidRPr="0004542F" w:rsidRDefault="004D4C03" w:rsidP="0004542F">
          <w:r>
            <w:rPr>
              <w:rFonts w:eastAsia="Times New Roman"/>
            </w:rPr>
            <w:t> </w:t>
          </w:r>
        </w:p>
      </w:sdtContent>
    </w:sdt>
    <w:sectPr w:rsidR="005D53C9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2C35B" w14:textId="77777777" w:rsidR="00A279C0" w:rsidRDefault="00A279C0" w:rsidP="00962E5F">
      <w:pPr>
        <w:spacing w:after="0" w:line="240" w:lineRule="auto"/>
      </w:pPr>
      <w:r>
        <w:separator/>
      </w:r>
    </w:p>
  </w:endnote>
  <w:endnote w:type="continuationSeparator" w:id="0">
    <w:p w14:paraId="3974D3AA" w14:textId="77777777" w:rsidR="00A279C0" w:rsidRDefault="00A279C0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4371" w14:textId="77777777" w:rsidR="00DD1256" w:rsidRDefault="00DD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155AB" w14:textId="77777777" w:rsidR="00DD1256" w:rsidRDefault="00DD12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8688C" w14:textId="77777777" w:rsidR="00A279C0" w:rsidRDefault="00A279C0" w:rsidP="00962E5F">
      <w:pPr>
        <w:spacing w:after="0" w:line="240" w:lineRule="auto"/>
      </w:pPr>
      <w:r>
        <w:separator/>
      </w:r>
    </w:p>
  </w:footnote>
  <w:footnote w:type="continuationSeparator" w:id="0">
    <w:p w14:paraId="1378622D" w14:textId="77777777" w:rsidR="00A279C0" w:rsidRDefault="00A279C0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95232" w14:textId="77777777" w:rsidR="00DD1256" w:rsidRDefault="00DD12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430DF0D7" w:rsidR="000D61BC" w:rsidRDefault="00DD1256">
    <w:pPr>
      <w:pStyle w:val="Header"/>
    </w:pPr>
    <w:r>
      <w:t>Will McPherson</w:t>
    </w:r>
    <w:r w:rsidR="000D61BC">
      <w:ptab w:relativeTo="margin" w:alignment="center" w:leader="none"/>
    </w:r>
    <w:r>
      <w:t>Vehicle Electronics</w:t>
    </w:r>
    <w:r w:rsidR="000D61BC">
      <w:ptab w:relativeTo="margin" w:alignment="right" w:leader="none"/>
    </w:r>
    <w:r>
      <w:t>2501006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0029" w14:textId="77777777" w:rsidR="00DD1256" w:rsidRDefault="00DD12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4157032"/>
    <w:multiLevelType w:val="hybridMultilevel"/>
    <w:tmpl w:val="61EE4B94"/>
    <w:lvl w:ilvl="0" w:tplc="E924905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33849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178A"/>
    <w:rsid w:val="000052D9"/>
    <w:rsid w:val="00005AFD"/>
    <w:rsid w:val="000135B6"/>
    <w:rsid w:val="00015F1C"/>
    <w:rsid w:val="000325AC"/>
    <w:rsid w:val="0003475A"/>
    <w:rsid w:val="000431AA"/>
    <w:rsid w:val="0004542F"/>
    <w:rsid w:val="00060EC0"/>
    <w:rsid w:val="00067C94"/>
    <w:rsid w:val="00072C48"/>
    <w:rsid w:val="000904C7"/>
    <w:rsid w:val="000A4B6D"/>
    <w:rsid w:val="000B56BE"/>
    <w:rsid w:val="000B7871"/>
    <w:rsid w:val="000C44D0"/>
    <w:rsid w:val="000D61BC"/>
    <w:rsid w:val="000D7129"/>
    <w:rsid w:val="000E18AF"/>
    <w:rsid w:val="000F0D22"/>
    <w:rsid w:val="00133F44"/>
    <w:rsid w:val="001357BD"/>
    <w:rsid w:val="001447CB"/>
    <w:rsid w:val="001454FC"/>
    <w:rsid w:val="001465CA"/>
    <w:rsid w:val="00156CE0"/>
    <w:rsid w:val="00166302"/>
    <w:rsid w:val="001728B1"/>
    <w:rsid w:val="00173619"/>
    <w:rsid w:val="001757ED"/>
    <w:rsid w:val="0019332E"/>
    <w:rsid w:val="001A4EB7"/>
    <w:rsid w:val="001C6DA2"/>
    <w:rsid w:val="001D16D3"/>
    <w:rsid w:val="001D34E0"/>
    <w:rsid w:val="001D60EB"/>
    <w:rsid w:val="001E0433"/>
    <w:rsid w:val="001E1559"/>
    <w:rsid w:val="001E3C05"/>
    <w:rsid w:val="001F2683"/>
    <w:rsid w:val="001F3BC2"/>
    <w:rsid w:val="001F466E"/>
    <w:rsid w:val="00201A61"/>
    <w:rsid w:val="00203670"/>
    <w:rsid w:val="002044B2"/>
    <w:rsid w:val="00220F32"/>
    <w:rsid w:val="00226A62"/>
    <w:rsid w:val="00231C92"/>
    <w:rsid w:val="00247B3E"/>
    <w:rsid w:val="00254256"/>
    <w:rsid w:val="002632ED"/>
    <w:rsid w:val="00270878"/>
    <w:rsid w:val="0028252A"/>
    <w:rsid w:val="002841F9"/>
    <w:rsid w:val="00292B7F"/>
    <w:rsid w:val="00296D18"/>
    <w:rsid w:val="002A2C0D"/>
    <w:rsid w:val="002A2CFC"/>
    <w:rsid w:val="002A33B6"/>
    <w:rsid w:val="002A400B"/>
    <w:rsid w:val="002B1741"/>
    <w:rsid w:val="002C2808"/>
    <w:rsid w:val="002C329F"/>
    <w:rsid w:val="002C58D0"/>
    <w:rsid w:val="002D34B2"/>
    <w:rsid w:val="002F0B84"/>
    <w:rsid w:val="00301299"/>
    <w:rsid w:val="00306ACE"/>
    <w:rsid w:val="00310A9D"/>
    <w:rsid w:val="00314936"/>
    <w:rsid w:val="003211F6"/>
    <w:rsid w:val="00324D41"/>
    <w:rsid w:val="00324EDD"/>
    <w:rsid w:val="00331E39"/>
    <w:rsid w:val="00337E35"/>
    <w:rsid w:val="0034748C"/>
    <w:rsid w:val="00352A18"/>
    <w:rsid w:val="00367038"/>
    <w:rsid w:val="0037417D"/>
    <w:rsid w:val="003852DA"/>
    <w:rsid w:val="00395053"/>
    <w:rsid w:val="00396C4E"/>
    <w:rsid w:val="00397298"/>
    <w:rsid w:val="00397E23"/>
    <w:rsid w:val="003A02C3"/>
    <w:rsid w:val="003B1A68"/>
    <w:rsid w:val="003D2A1B"/>
    <w:rsid w:val="003D3658"/>
    <w:rsid w:val="003F7EF6"/>
    <w:rsid w:val="00400DC7"/>
    <w:rsid w:val="00401292"/>
    <w:rsid w:val="00410410"/>
    <w:rsid w:val="0041076A"/>
    <w:rsid w:val="004138A3"/>
    <w:rsid w:val="00436CFC"/>
    <w:rsid w:val="004478A0"/>
    <w:rsid w:val="004506B2"/>
    <w:rsid w:val="0045095D"/>
    <w:rsid w:val="00451FA6"/>
    <w:rsid w:val="00471101"/>
    <w:rsid w:val="00471713"/>
    <w:rsid w:val="004732C8"/>
    <w:rsid w:val="00485ABC"/>
    <w:rsid w:val="00486C59"/>
    <w:rsid w:val="004C2001"/>
    <w:rsid w:val="004D4C03"/>
    <w:rsid w:val="004D5065"/>
    <w:rsid w:val="004E2E7C"/>
    <w:rsid w:val="004E7C49"/>
    <w:rsid w:val="004F2C29"/>
    <w:rsid w:val="004F2D92"/>
    <w:rsid w:val="004F3EAD"/>
    <w:rsid w:val="004F7DF0"/>
    <w:rsid w:val="0050241A"/>
    <w:rsid w:val="00502E7D"/>
    <w:rsid w:val="0050456F"/>
    <w:rsid w:val="00510730"/>
    <w:rsid w:val="005130D8"/>
    <w:rsid w:val="00514DC8"/>
    <w:rsid w:val="0051523A"/>
    <w:rsid w:val="00524445"/>
    <w:rsid w:val="005356C3"/>
    <w:rsid w:val="00536654"/>
    <w:rsid w:val="00574C80"/>
    <w:rsid w:val="005919FC"/>
    <w:rsid w:val="00591C2E"/>
    <w:rsid w:val="005A121F"/>
    <w:rsid w:val="005A22B0"/>
    <w:rsid w:val="005A3A84"/>
    <w:rsid w:val="005B28EF"/>
    <w:rsid w:val="005C549E"/>
    <w:rsid w:val="005D4170"/>
    <w:rsid w:val="005D53C9"/>
    <w:rsid w:val="005D62C6"/>
    <w:rsid w:val="005E1A8D"/>
    <w:rsid w:val="005E4F7B"/>
    <w:rsid w:val="005E7BDE"/>
    <w:rsid w:val="005F4B3F"/>
    <w:rsid w:val="00610089"/>
    <w:rsid w:val="00627879"/>
    <w:rsid w:val="00647B3D"/>
    <w:rsid w:val="00651E6C"/>
    <w:rsid w:val="00660A53"/>
    <w:rsid w:val="00660F42"/>
    <w:rsid w:val="00661A4C"/>
    <w:rsid w:val="00664834"/>
    <w:rsid w:val="0066554A"/>
    <w:rsid w:val="00667DA8"/>
    <w:rsid w:val="00683161"/>
    <w:rsid w:val="00684820"/>
    <w:rsid w:val="006905B7"/>
    <w:rsid w:val="006907D4"/>
    <w:rsid w:val="0069150D"/>
    <w:rsid w:val="00696AFC"/>
    <w:rsid w:val="00697A55"/>
    <w:rsid w:val="006A4811"/>
    <w:rsid w:val="006A552E"/>
    <w:rsid w:val="006C3F16"/>
    <w:rsid w:val="006F12E5"/>
    <w:rsid w:val="007322D8"/>
    <w:rsid w:val="007425E7"/>
    <w:rsid w:val="00746710"/>
    <w:rsid w:val="0075047F"/>
    <w:rsid w:val="00750A67"/>
    <w:rsid w:val="007546F1"/>
    <w:rsid w:val="00771025"/>
    <w:rsid w:val="007861CC"/>
    <w:rsid w:val="007A0C00"/>
    <w:rsid w:val="007A1B11"/>
    <w:rsid w:val="007A7B9C"/>
    <w:rsid w:val="007C7D1F"/>
    <w:rsid w:val="007D1295"/>
    <w:rsid w:val="007D293E"/>
    <w:rsid w:val="007D5B33"/>
    <w:rsid w:val="007E1189"/>
    <w:rsid w:val="007E49F5"/>
    <w:rsid w:val="00805C0E"/>
    <w:rsid w:val="008104B7"/>
    <w:rsid w:val="00810E2F"/>
    <w:rsid w:val="00814DB7"/>
    <w:rsid w:val="00817B0D"/>
    <w:rsid w:val="0082206E"/>
    <w:rsid w:val="00834341"/>
    <w:rsid w:val="0083635A"/>
    <w:rsid w:val="00847589"/>
    <w:rsid w:val="00854A2D"/>
    <w:rsid w:val="00867978"/>
    <w:rsid w:val="00876F30"/>
    <w:rsid w:val="008B05DA"/>
    <w:rsid w:val="008B6BE9"/>
    <w:rsid w:val="008F2254"/>
    <w:rsid w:val="00901BF3"/>
    <w:rsid w:val="0090224E"/>
    <w:rsid w:val="009121FC"/>
    <w:rsid w:val="0091248F"/>
    <w:rsid w:val="00915067"/>
    <w:rsid w:val="0093651C"/>
    <w:rsid w:val="00937398"/>
    <w:rsid w:val="0094583C"/>
    <w:rsid w:val="009464D7"/>
    <w:rsid w:val="00952BC4"/>
    <w:rsid w:val="00962E5F"/>
    <w:rsid w:val="00965787"/>
    <w:rsid w:val="00975FC1"/>
    <w:rsid w:val="0098675A"/>
    <w:rsid w:val="00987014"/>
    <w:rsid w:val="0099326A"/>
    <w:rsid w:val="009A70B8"/>
    <w:rsid w:val="009B0265"/>
    <w:rsid w:val="009B615C"/>
    <w:rsid w:val="009D1102"/>
    <w:rsid w:val="009E5F0D"/>
    <w:rsid w:val="009F6D17"/>
    <w:rsid w:val="009F732A"/>
    <w:rsid w:val="00A026DF"/>
    <w:rsid w:val="00A027FF"/>
    <w:rsid w:val="00A13080"/>
    <w:rsid w:val="00A13B10"/>
    <w:rsid w:val="00A2468A"/>
    <w:rsid w:val="00A25E47"/>
    <w:rsid w:val="00A279C0"/>
    <w:rsid w:val="00A358CC"/>
    <w:rsid w:val="00A374AF"/>
    <w:rsid w:val="00A42DA6"/>
    <w:rsid w:val="00A60DAE"/>
    <w:rsid w:val="00AA2483"/>
    <w:rsid w:val="00AB4271"/>
    <w:rsid w:val="00AB69CA"/>
    <w:rsid w:val="00AB6C69"/>
    <w:rsid w:val="00AD318F"/>
    <w:rsid w:val="00AD5E39"/>
    <w:rsid w:val="00AE0F5E"/>
    <w:rsid w:val="00AE3331"/>
    <w:rsid w:val="00AF1CD2"/>
    <w:rsid w:val="00AF20CA"/>
    <w:rsid w:val="00B0072D"/>
    <w:rsid w:val="00B030CA"/>
    <w:rsid w:val="00B14C99"/>
    <w:rsid w:val="00B25D24"/>
    <w:rsid w:val="00B43617"/>
    <w:rsid w:val="00B44170"/>
    <w:rsid w:val="00B52BA3"/>
    <w:rsid w:val="00B60088"/>
    <w:rsid w:val="00B63897"/>
    <w:rsid w:val="00B74A38"/>
    <w:rsid w:val="00B8139D"/>
    <w:rsid w:val="00B823D0"/>
    <w:rsid w:val="00B919BF"/>
    <w:rsid w:val="00B922F4"/>
    <w:rsid w:val="00BA19D8"/>
    <w:rsid w:val="00BA1FCD"/>
    <w:rsid w:val="00BA4DAA"/>
    <w:rsid w:val="00BB0E01"/>
    <w:rsid w:val="00BB184E"/>
    <w:rsid w:val="00BD787C"/>
    <w:rsid w:val="00BF2018"/>
    <w:rsid w:val="00BF3262"/>
    <w:rsid w:val="00C063C5"/>
    <w:rsid w:val="00C32372"/>
    <w:rsid w:val="00C34C38"/>
    <w:rsid w:val="00C537E6"/>
    <w:rsid w:val="00C675BB"/>
    <w:rsid w:val="00C762D1"/>
    <w:rsid w:val="00C76996"/>
    <w:rsid w:val="00C84114"/>
    <w:rsid w:val="00C8418B"/>
    <w:rsid w:val="00CA3648"/>
    <w:rsid w:val="00CA5F1C"/>
    <w:rsid w:val="00CA75C5"/>
    <w:rsid w:val="00CB5C64"/>
    <w:rsid w:val="00CC0C67"/>
    <w:rsid w:val="00CC723B"/>
    <w:rsid w:val="00CD0CC4"/>
    <w:rsid w:val="00CD63BF"/>
    <w:rsid w:val="00CD6403"/>
    <w:rsid w:val="00CE51D4"/>
    <w:rsid w:val="00CF5D6B"/>
    <w:rsid w:val="00D00A1A"/>
    <w:rsid w:val="00D01DAB"/>
    <w:rsid w:val="00D03AFA"/>
    <w:rsid w:val="00D21C99"/>
    <w:rsid w:val="00D26C24"/>
    <w:rsid w:val="00D42837"/>
    <w:rsid w:val="00D4320B"/>
    <w:rsid w:val="00D574E7"/>
    <w:rsid w:val="00D80299"/>
    <w:rsid w:val="00D82320"/>
    <w:rsid w:val="00D95D78"/>
    <w:rsid w:val="00DA494F"/>
    <w:rsid w:val="00DB24FE"/>
    <w:rsid w:val="00DB2B27"/>
    <w:rsid w:val="00DC25E0"/>
    <w:rsid w:val="00DD1256"/>
    <w:rsid w:val="00DE16EC"/>
    <w:rsid w:val="00DE5956"/>
    <w:rsid w:val="00DF7E95"/>
    <w:rsid w:val="00E0327F"/>
    <w:rsid w:val="00E203F6"/>
    <w:rsid w:val="00E279FB"/>
    <w:rsid w:val="00E44D60"/>
    <w:rsid w:val="00E50BCE"/>
    <w:rsid w:val="00E51207"/>
    <w:rsid w:val="00E5667C"/>
    <w:rsid w:val="00E66F04"/>
    <w:rsid w:val="00E702A5"/>
    <w:rsid w:val="00E76717"/>
    <w:rsid w:val="00E821B7"/>
    <w:rsid w:val="00E829CD"/>
    <w:rsid w:val="00E8354B"/>
    <w:rsid w:val="00E84DC7"/>
    <w:rsid w:val="00E930BA"/>
    <w:rsid w:val="00EC4203"/>
    <w:rsid w:val="00EC69F5"/>
    <w:rsid w:val="00EE0728"/>
    <w:rsid w:val="00EE755C"/>
    <w:rsid w:val="00EE7C07"/>
    <w:rsid w:val="00EF6B53"/>
    <w:rsid w:val="00F02FD6"/>
    <w:rsid w:val="00F037AF"/>
    <w:rsid w:val="00F21B93"/>
    <w:rsid w:val="00F235FE"/>
    <w:rsid w:val="00F25503"/>
    <w:rsid w:val="00F32D0B"/>
    <w:rsid w:val="00F3302A"/>
    <w:rsid w:val="00F60C41"/>
    <w:rsid w:val="00F638A7"/>
    <w:rsid w:val="00F63948"/>
    <w:rsid w:val="00F64182"/>
    <w:rsid w:val="00F72E95"/>
    <w:rsid w:val="00FA11A3"/>
    <w:rsid w:val="00FC3082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7E1189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D03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60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0758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39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1925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943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769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05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63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88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0987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233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5505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58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053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86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93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59101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97D61-DBE2-4650-9510-30CE07856D94}"/>
      </w:docPartPr>
      <w:docPartBody>
        <w:p w:rsidR="00000000" w:rsidRDefault="002A11A5">
          <w:r w:rsidRPr="00DC5AE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A5"/>
    <w:rsid w:val="002A11A5"/>
    <w:rsid w:val="005F0A06"/>
    <w:rsid w:val="00A0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1A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19C5E3-9CA5-4C6D-B804-E48B9E8268C9}">
  <we:reference id="WA104382081" version="1.55.1.0" store="Omex" storeType="OMEX"/>
  <we:alternateReferences>
    <we:reference id="WA104382081" version="1.55.1.0" store="WA104382081" storeType="OMEX"/>
  </we:alternateReferences>
  <we:properties>
    <we:property name="MENDELEY_BIBLIOGRAPHY_IS_DIRTY" value="true"/>
    <we:property name="MENDELEY_BIBLIOGRAPHY_LAST_MODIFIED" value="1776515438249"/>
    <we:property name="MENDELEY_CITATIONS" value="[{&quot;citationID&quot;:&quot;MENDELEY_CITATION_3c3a437e-1d2f-400e-99ae-fd376417271c&quot;,&quot;properties&quot;:{&quot;noteIndex&quot;:0},&quot;isEdited&quot;:false,&quot;manualOverride&quot;:{&quot;isManuallyOverridden&quot;:false,&quot;citeprocText&quot;:&quot;(Matan, 2026)&quot;,&quot;manualOverrideText&quot;:&quot;&quot;},&quot;citationTag&quot;:&quot;MENDELEY_CITATION_v3_eyJjaXRhdGlvbklEIjoiTUVOREVMRVlfQ0lUQVRJT05fM2MzYTQzN2UtMWQyZi00MDBlLTk5YWUtZmQzNzY0MTcyNzFjIiwicHJvcGVydGllcyI6eyJub3RlSW5kZXgiOjB9LCJpc0VkaXRlZCI6ZmFsc2UsIm1hbnVhbE92ZXJyaWRlIjp7ImlzTWFudWFsbHlPdmVycmlkZGVuIjpmYWxzZSwiY2l0ZXByb2NUZXh0IjoiKE1hdGFuLCAyMDI2KSIsIm1hbnVhbE92ZXJyaWRlVGV4dCI6IiJ9LCJjaXRhdGlvbkl0ZW1zIjpbeyJpZCI6IjAwMmJlYjc2LWVjMmYtMzJlZC1hMzdmLTgxNGU2ZTUzMjA3NSIsIml0ZW1EYXRhIjp7InR5cGUiOiJ3ZWJwYWdlIiwiaWQiOiIwMDJiZWI3Ni1lYzJmLTMyZWQtYTM3Zi04MTRlNmU1MzIwNzUiLCJ0aXRsZSI6IkNhcGFjaXRpdmUgTGlxdWlkIExldmVsIFNlbnNvcnMgfCBIb3cgaXQgd29ya3MsIEFwcGxpY2F0aW9uICYgQWR2YW50YWdlcyIsImF1dGhvciI6W3siZmFtaWx5IjoiTWF0YW4iLCJnaXZlbiI6IiIsInBhcnNlLW5hbWVzIjpmYWxzZSwiZHJvcHBpbmctcGFydGljbGUiOiIiLCJub24tZHJvcHBpbmctcGFydGljbGUiOiIifV0sImFjY2Vzc2VkIjp7ImRhdGUtcGFydHMiOltbMjAyNiw0LDE4XV19LCJVUkwiOiJodHRwczovL3d3dy5lbGVjdHJpY2l0eS1tYWduZXRpc20ub3JnL2NhcGFjaXRpdmUtbGlxdWlkLWxldmVsLXNlbnNvcnMvIiwiaXNzdWVkIjp7ImRhdGUtcGFydHMiOltbMjAyNiwxMCwyNl1dfSwiY29udGFpbmVyLXRpdGxlLXNob3J0IjoiIn0sImlzVGVtcG9yYXJ5IjpmYWxzZX1dfQ==&quot;,&quot;citationItems&quot;:[{&quot;id&quot;:&quot;002beb76-ec2f-32ed-a37f-814e6e532075&quot;,&quot;itemData&quot;:{&quot;type&quot;:&quot;webpage&quot;,&quot;id&quot;:&quot;002beb76-ec2f-32ed-a37f-814e6e532075&quot;,&quot;title&quot;:&quot;Capacitive Liquid Level Sensors | How it works, Application &amp; Advantages&quot;,&quot;author&quot;:[{&quot;family&quot;:&quot;Matan&quot;,&quot;given&quot;:&quot;&quot;,&quot;parse-names&quot;:false,&quot;dropping-particle&quot;:&quot;&quot;,&quot;non-dropping-particle&quot;:&quot;&quot;}],&quot;accessed&quot;:{&quot;date-parts&quot;:[[2026,4,18]]},&quot;URL&quot;:&quot;https://www.electricity-magnetism.org/capacitive-liquid-level-sensors/&quot;,&quot;issued&quot;:{&quot;date-parts&quot;:[[2026,10,26]]},&quot;container-title-short&quot;:&quot;&quot;},&quot;isTemporary&quot;:false}]},{&quot;citationID&quot;:&quot;MENDELEY_CITATION_f6876bff-3f4a-45f5-8541-5e0e4d67901d&quot;,&quot;properties&quot;:{&quot;noteIndex&quot;:0},&quot;isEdited&quot;:false,&quot;manualOverride&quot;:{&quot;isManuallyOverridden&quot;:true,&quot;citeprocText&quot;:&quot;(&lt;i&gt;How It Works: CAN Bus | Institute of The Motor Industry&lt;/i&gt;, n.d.)&quot;,&quot;manualOverrideText&quot;:&quot;(Denton, 2020)&quot;},&quot;citationTag&quot;:&quot;MENDELEY_CITATION_v3_eyJjaXRhdGlvbklEIjoiTUVOREVMRVlfQ0lUQVRJT05fZjY4NzZiZmYtM2Y0YS00NWY1LTg1NDEtNWUwZTRkNjc5MDFkIiwicHJvcGVydGllcyI6eyJub3RlSW5kZXgiOjB9LCJpc0VkaXRlZCI6ZmFsc2UsIm1hbnVhbE92ZXJyaWRlIjp7ImlzTWFudWFsbHlPdmVycmlkZGVuIjp0cnVlLCJjaXRlcHJvY1RleHQiOiIoPGk+SG93IEl0IFdvcmtzOiBDQU4gQnVzIHwgSW5zdGl0dXRlIG9mIFRoZSBNb3RvciBJbmR1c3RyeTwvaT4sIG4uZC4pIiwibWFudWFsT3ZlcnJpZGVUZXh0IjoiKERlbnRvbiwgMjAyMCkifSwiY2l0YXRpb25JdGVtcyI6W3siaWQiOiI4YTY0YmY0Yy1kOGQ3LTM0ZWUtOGI1Yy1jYjkxMDc4NDdiYjciLCJpdGVtRGF0YSI6eyJ0eXBlIjoid2VicGFnZSIsImlkIjoiOGE2NGJmNGMtZDhkNy0zNGVlLThiNWMtY2I5MTA3ODQ3YmI3IiwidGl0bGUiOiJIb3cgaXQgd29ya3M6IENBTiBidXMgfCBJbnN0aXR1dGUgb2YgVGhlIE1vdG9yIEluZHVzdHJ5IiwiYWNjZXNzZWQiOnsiZGF0ZS1wYXJ0cyI6W1syMDI2LDQsMThdXX0sIlVSTCI6Imh0dHBzOi8vdGlkZS50aGVpbWkub3JnLnVrL2luZHVzdHJ5LWxhdGVzdC9tb3RvcnByby9ob3ctaXQtd29ya3MtY2FuLWJ1cyIsImNvbnRhaW5lci10aXRsZS1zaG9ydCI6IiJ9LCJpc1RlbXBvcmFyeSI6ZmFsc2UsInN1cHByZXNzLWF1dGhvciI6ZmFsc2UsImNvbXBvc2l0ZSI6ZmFsc2UsImF1dGhvci1vbmx5IjpmYWxzZX1dfQ==&quot;,&quot;citationItems&quot;:[{&quot;id&quot;:&quot;8a64bf4c-d8d7-34ee-8b5c-cb9107847bb7&quot;,&quot;itemData&quot;:{&quot;type&quot;:&quot;webpage&quot;,&quot;id&quot;:&quot;8a64bf4c-d8d7-34ee-8b5c-cb9107847bb7&quot;,&quot;title&quot;:&quot;How it works: CAN bus | Institute of The Motor Industry&quot;,&quot;accessed&quot;:{&quot;date-parts&quot;:[[2026,4,18]]},&quot;URL&quot;:&quot;https://tide.theimi.org.uk/industry-latest/motorpro/how-it-works-can-bus&quot;,&quot;container-title-short&quot;:&quot;&quot;},&quot;isTemporary&quot;:false,&quot;suppress-author&quot;:false,&quot;composite&quot;:false,&quot;author-only&quot;:false}]},{&quot;citationID&quot;:&quot;MENDELEY_CITATION_61e80198-9549-481b-8a53-e380f887a33f&quot;,&quot;properties&quot;:{&quot;noteIndex&quot;:0},&quot;isEdited&quot;:false,&quot;manualOverride&quot;:{&quot;isManuallyOverridden&quot;:true,&quot;citeprocText&quot;:&quot;(&lt;i&gt;ISO/SAE 21434:2021 - Road Vehicles — Cybersecurity Engineering&lt;/i&gt;, n.d.)&quot;,&quot;manualOverrideText&quot;:&quot;(ISO/SAE, 2021)&quot;},&quot;citationTag&quot;:&quot;MENDELEY_CITATION_v3_eyJjaXRhdGlvbklEIjoiTUVOREVMRVlfQ0lUQVRJT05fNjFlODAxOTgtOTU0OS00ODFiLThhNTMtZTM4MGY4ODdhMzNmIiwicHJvcGVydGllcyI6eyJub3RlSW5kZXgiOjB9LCJpc0VkaXRlZCI6ZmFsc2UsIm1hbnVhbE92ZXJyaWRlIjp7ImlzTWFudWFsbHlPdmVycmlkZGVuIjp0cnVlLCJjaXRlcHJvY1RleHQiOiIoPGk+SVNPL1NBRSAyMTQzNDoyMDIxIC0gUm9hZCBWZWhpY2xlcyDigJQgQ3liZXJzZWN1cml0eSBFbmdpbmVlcmluZzwvaT4sIG4uZC4pIiwibWFudWFsT3ZlcnJpZGVUZXh0IjoiKElTTy9TQUUsIDIwMjEpIn0sImNpdGF0aW9uSXRlbXMiOlt7ImlkIjoiYjc5MzZkZWMtOWM2OS0zNTExLWJjNzgtM2YyMzA1ZjQ4ZTg3IiwiaXRlbURhdGEiOnsidHlwZSI6IndlYnBhZ2UiLCJpZCI6ImI3OTM2ZGVjLTljNjktMzUxMS1iYzc4LTNmMjMwNWY0OGU4NyIsInRpdGxlIjoiSVNPL1NBRSAyMTQzNDoyMDIxIC0gUm9hZCB2ZWhpY2xlcyDigJQgQ3liZXJzZWN1cml0eSBlbmdpbmVlcmluZyIsImFjY2Vzc2VkIjp7ImRhdGUtcGFydHMiOltbMjAyNiw0LDE4XV19LCJVUkwiOiJodHRwczovL3d3dy5pc28ub3JnL3N0YW5kYXJkLzcwOTE4Lmh0bWwiLCJjb250YWluZXItdGl0bGUtc2hvcnQiOiIifSwiaXNUZW1wb3JhcnkiOmZhbHNlLCJzdXBwcmVzcy1hdXRob3IiOmZhbHNlLCJjb21wb3NpdGUiOmZhbHNlLCJhdXRob3Itb25seSI6ZmFsc2V9XX0=&quot;,&quot;citationItems&quot;:[{&quot;id&quot;:&quot;b7936dec-9c69-3511-bc78-3f2305f48e87&quot;,&quot;itemData&quot;:{&quot;type&quot;:&quot;webpage&quot;,&quot;id&quot;:&quot;b7936dec-9c69-3511-bc78-3f2305f48e87&quot;,&quot;title&quot;:&quot;ISO/SAE 21434:2021 - Road vehicles — Cybersecurity engineering&quot;,&quot;accessed&quot;:{&quot;date-parts&quot;:[[2026,4,18]]},&quot;URL&quot;:&quot;https://www.iso.org/standard/70918.html&quot;,&quot;container-title-short&quot;:&quot;&quot;},&quot;isTemporary&quot;:false,&quot;suppress-author&quot;:false,&quot;composite&quot;:false,&quot;author-only&quot;:false}]},{&quot;citationID&quot;:&quot;MENDELEY_CITATION_abbb35ba-8101-4cac-8564-7e5a28da92ce&quot;,&quot;properties&quot;:{&quot;noteIndex&quot;:0},&quot;isEdited&quot;:false,&quot;manualOverride&quot;:{&quot;isManuallyOverridden&quot;:true,&quot;citeprocText&quot;:&quot;(&lt;i&gt;(PDF) Comprehensive Experimental Analyses of Automotive Attack Surfaces&lt;/i&gt;, n.d.)&quot;,&quot;manualOverrideText&quot;:&quot;(Checkoway et al, 2011)&quot;},&quot;citationTag&quot;:&quot;MENDELEY_CITATION_v3_eyJjaXRhdGlvbklEIjoiTUVOREVMRVlfQ0lUQVRJT05fYWJiYjM1YmEtODEwMS00Y2FjLTg1NjQtN2U1YTI4ZGE5MmNlIiwicHJvcGVydGllcyI6eyJub3RlSW5kZXgiOjB9LCJpc0VkaXRlZCI6ZmFsc2UsIm1hbnVhbE92ZXJyaWRlIjp7ImlzTWFudWFsbHlPdmVycmlkZGVuIjp0cnVlLCJjaXRlcHJvY1RleHQiOiIoPGk+KFBERikgQ29tcHJlaGVuc2l2ZSBFeHBlcmltZW50YWwgQW5hbHlzZXMgb2YgQXV0b21vdGl2ZSBBdHRhY2sgU3VyZmFjZXM8L2k+LCBuLmQuKSIsIm1hbnVhbE92ZXJyaWRlVGV4dCI6IihDaGVja293YXkgZXQgYWwsIDIwMTEpIn0sImNpdGF0aW9uSXRlbXMiOlt7ImlkIjoiMGYzYmY5ZjYtZjAxNC0zMGJiLTkyYWEtYzcyMDdiMTVhODdlIiwiaXRlbURhdGEiOnsidHlwZSI6IndlYnBhZ2UiLCJpZCI6IjBmM2JmOWY2LWYwMTQtMzBiYi05MmFhLWM3MjA3YjE1YTg3ZSIsInRpdGxlIjoiKFBERikgQ29tcHJlaGVuc2l2ZSBFeHBlcmltZW50YWwgQW5hbHlzZXMgb2YgQXV0b21vdGl2ZSBBdHRhY2sgU3VyZmFjZXMiLCJhY2Nlc3NlZCI6eyJkYXRlLXBhcnRzIjpbWzIwMjYsNCwxOF1dfSwiVVJMIjoiaHR0cHM6Ly93d3cucmVzZWFyY2hnYXRlLm5ldC9wdWJsaWNhdGlvbi8yNTk3NTMyNjlfQ29tcHJlaGVuc2l2ZV9FeHBlcmltZW50YWxfQW5hbHlzZXNfb2ZfQXV0b21vdGl2ZV9BdHRhY2tfU3VyZmFjZXMiLCJjb250YWluZXItdGl0bGUtc2hvcnQiOiIifSwiaXNUZW1wb3JhcnkiOmZhbHNlLCJzdXBwcmVzcy1hdXRob3IiOmZhbHNlLCJjb21wb3NpdGUiOmZhbHNlLCJhdXRob3Itb25seSI6ZmFsc2V9XX0=&quot;,&quot;citationItems&quot;:[{&quot;id&quot;:&quot;0f3bf9f6-f014-30bb-92aa-c7207b15a87e&quot;,&quot;itemData&quot;:{&quot;type&quot;:&quot;webpage&quot;,&quot;id&quot;:&quot;0f3bf9f6-f014-30bb-92aa-c7207b15a87e&quot;,&quot;title&quot;:&quot;(PDF) Comprehensive Experimental Analyses of Automotive Attack Surfaces&quot;,&quot;accessed&quot;:{&quot;date-parts&quot;:[[2026,4,18]]},&quot;URL&quot;:&quot;https://www.researchgate.net/publication/259753269_Comprehensive_Experimental_Analyses_of_Automotive_Attack_Surfaces&quot;,&quot;container-title-short&quot;:&quot;&quot;},&quot;isTemporary&quot;:false,&quot;suppress-author&quot;:false,&quot;composite&quot;:false,&quot;author-only&quot;:false}]}]"/>
    <we:property name="MENDELEY_CITATIONS_STYLE" value="{&quot;id&quot;:&quot;https://www.zotero.org/styles/apa&quot;,&quot;title&quot;:&quot;APA Style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12f1f-c5de-433b-90f0-e30b35783b17">
      <Terms xmlns="http://schemas.microsoft.com/office/infopath/2007/PartnerControls"/>
    </lcf76f155ced4ddcb4097134ff3c332f>
    <TaxCatchAll xmlns="7da2dc2f-10e7-442f-ad91-645aa4b47b8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1" ma:contentTypeDescription="Create a new document." ma:contentTypeScope="" ma:versionID="553faf1450e7892c131fef2f4af9d17b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f795c8a3b3fc5a47b0ff18d50252f80d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3395b2-c014-4cfb-8021-6b40fd02da33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c9412f1f-c5de-433b-90f0-e30b35783b17"/>
    <ds:schemaRef ds:uri="7da2dc2f-10e7-442f-ad91-645aa4b47b8a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2B2CE0-3DF2-4B8B-B725-4EBB951BC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2f1f-c5de-433b-90f0-e30b35783b17"/>
    <ds:schemaRef ds:uri="7da2dc2f-10e7-442f-ad91-645aa4b47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4781</TotalTime>
  <Pages>8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Will McPherson (2501006)</cp:lastModifiedBy>
  <cp:revision>219</cp:revision>
  <cp:lastPrinted>2021-09-30T11:07:00Z</cp:lastPrinted>
  <dcterms:created xsi:type="dcterms:W3CDTF">2026-04-14T15:48:00Z</dcterms:created>
  <dcterms:modified xsi:type="dcterms:W3CDTF">2026-04-19T22:55:00Z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</Properties>
</file>