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pBdr>
          <w:top w:val="none" w:sz="0" w:space="0" w:color="auto"/>
          <w:left w:val="none" w:sz="0" w:space="0" w:color="auto"/>
          <w:bottom w:val="none" w:sz="0" w:space="0" w:color="auto"/>
          <w:right w:val="none" w:sz="0" w:space="0" w:color="auto"/>
          <w:between w:val="none" w:sz="0" w:space="0" w:color="auto"/>
        </w:pBdr>
        <w:jc w:val="center"/>
        <w:rPr>
          <w:b/>
          <w:bCs/>
          <w:sz w:val="32"/>
          <w:szCs w:val="32"/>
        </w:rPr>
      </w:pPr>
    </w:p>
    <w:p>
      <w:pPr>
        <w:pBdr>
          <w:top w:val="none" w:sz="0" w:space="0" w:color="auto"/>
          <w:left w:val="none" w:sz="0" w:space="0" w:color="auto"/>
          <w:bottom w:val="none" w:sz="0" w:space="0" w:color="auto"/>
          <w:right w:val="none" w:sz="0" w:space="0" w:color="auto"/>
          <w:between w:val="none" w:sz="0" w:space="0" w:color="auto"/>
        </w:pBdr>
        <w:jc w:val="center"/>
        <w:rPr>
          <w:b/>
          <w:bCs/>
          <w:sz w:val="32"/>
          <w:szCs w:val="32"/>
        </w:rPr>
      </w:pPr>
      <w:r>
        <w:rPr>
          <w:b/>
          <w:bCs/>
          <w:sz w:val="32"/>
          <w:szCs w:val="32"/>
        </w:rPr>
        <w:drawing>
          <wp:inline distT="0" distB="0" distL="0" distR="0">
            <wp:extent cx="2007891" cy="854421"/>
            <wp:effectExtent l="0" t="0" r="0" b="0"/>
            <wp:docPr id="1" name="图片 1"/>
            <wp:cNvGraphicFramePr>
              <a:graphicFrameLocks noChangeAspect="0"/>
            </wp:cNvGraphicFramePr>
            <a:graphic>
              <a:graphicData uri="http://schemas.openxmlformats.org/drawingml/2006/picture">
                <pic:pic>
                  <pic:nvPicPr>
                    <pic:cNvPr id="3" name="图片 3"/>
                    <pic:cNvPicPr/>
                  </pic:nvPicPr>
                  <pic:blipFill>
                    <a:blip r:embed="rId3"/>
                    <a:stretch>
                      <a:fillRect/>
                    </a:stretch>
                  </pic:blipFill>
                  <pic:spPr>
                    <a:xfrm rot="0">
                      <a:off x="0" y="0"/>
                      <a:ext cx="2007891" cy="854421"/>
                    </a:xfrm>
                    <a:prstGeom prst="rect"/>
                    <a:noFill/>
                    <a:ln w="12700" cmpd="sng" cap="flat">
                      <a:solidFill>
                        <a:srgbClr val="000000"/>
                      </a:solidFill>
                      <a:prstDash val="solid"/>
                      <a:round/>
                    </a:ln>
                  </pic:spPr>
                </pic:pic>
              </a:graphicData>
            </a:graphic>
          </wp:inline>
        </w:drawing>
      </w:r>
    </w:p>
    <w:p>
      <w:pPr>
        <w:pBdr>
          <w:top w:val="none" w:sz="0" w:space="0" w:color="auto"/>
          <w:left w:val="none" w:sz="0" w:space="0" w:color="auto"/>
          <w:bottom w:val="none" w:sz="0" w:space="0" w:color="auto"/>
          <w:right w:val="none" w:sz="0" w:space="0" w:color="auto"/>
          <w:between w:val="none" w:sz="0" w:space="0" w:color="auto"/>
        </w:pBdr>
        <w:jc w:val="center"/>
        <w:rPr>
          <w:b/>
          <w:bCs/>
          <w:sz w:val="32"/>
          <w:szCs w:val="32"/>
        </w:rPr>
      </w:pPr>
    </w:p>
    <w:p>
      <w:pPr>
        <w:pBdr>
          <w:top w:val="none" w:sz="0" w:space="0" w:color="auto"/>
          <w:left w:val="none" w:sz="0" w:space="0" w:color="auto"/>
          <w:bottom w:val="none" w:sz="0" w:space="0" w:color="auto"/>
          <w:right w:val="none" w:sz="0" w:space="0" w:color="auto"/>
          <w:between w:val="none" w:sz="0" w:space="0" w:color="auto"/>
        </w:pBdr>
        <w:jc w:val="left"/>
        <w:rPr>
          <w:b/>
          <w:bCs/>
          <w:sz w:val="32"/>
          <w:szCs w:val="32"/>
        </w:rPr>
      </w:pPr>
    </w:p>
    <w:p>
      <w:pPr>
        <w:pBdr>
          <w:top w:val="none" w:sz="0" w:space="0" w:color="auto"/>
          <w:left w:val="none" w:sz="0" w:space="0" w:color="auto"/>
          <w:bottom w:val="none" w:sz="0" w:space="0" w:color="auto"/>
          <w:right w:val="none" w:sz="0" w:space="0" w:color="auto"/>
          <w:between w:val="none" w:sz="0" w:space="0" w:color="auto"/>
        </w:pBdr>
        <w:jc w:val="center"/>
        <w:rPr>
          <w:b/>
          <w:bCs/>
          <w:sz w:val="32"/>
          <w:szCs w:val="32"/>
        </w:rPr>
      </w:pPr>
    </w:p>
    <w:p>
      <w:pPr>
        <w:pBdr>
          <w:top w:val="none" w:sz="0" w:space="0" w:color="auto"/>
          <w:left w:val="none" w:sz="0" w:space="0" w:color="auto"/>
          <w:bottom w:val="none" w:sz="0" w:space="0" w:color="auto"/>
          <w:right w:val="none" w:sz="0" w:space="0" w:color="auto"/>
          <w:between w:val="none" w:sz="0" w:space="0" w:color="auto"/>
        </w:pBdr>
        <w:jc w:val="center"/>
        <w:rPr>
          <w:b/>
          <w:bCs/>
          <w:sz w:val="32"/>
          <w:szCs w:val="32"/>
        </w:rPr>
      </w:pPr>
    </w:p>
    <w:p>
      <w:pPr>
        <w:pBdr>
          <w:top w:val="none" w:sz="0" w:space="0" w:color="auto"/>
          <w:left w:val="none" w:sz="0" w:space="0" w:color="auto"/>
          <w:bottom w:val="none" w:sz="0" w:space="0" w:color="auto"/>
          <w:right w:val="none" w:sz="0" w:space="0" w:color="auto"/>
          <w:between w:val="none" w:sz="0" w:space="0" w:color="auto"/>
        </w:pBdr>
        <w:jc w:val="center"/>
        <w:rPr>
          <w:b/>
          <w:bCs/>
          <w:sz w:val="32"/>
          <w:szCs w:val="32"/>
        </w:rPr>
      </w:pPr>
      <w:r>
        <w:rPr>
          <w:b/>
          <w:bCs/>
          <w:sz w:val="32"/>
          <w:szCs w:val="32"/>
        </w:rPr>
        <w:t>MSC PUBLIC HEALTH AND SOCIAL CARE IN PRACTICE</w:t>
      </w:r>
    </w:p>
    <w:p>
      <w:pPr>
        <w:pBdr>
          <w:top w:val="none" w:sz="0" w:space="0" w:color="auto"/>
          <w:left w:val="none" w:sz="0" w:space="0" w:color="auto"/>
          <w:bottom w:val="none" w:sz="0" w:space="0" w:color="auto"/>
          <w:right w:val="none" w:sz="0" w:space="0" w:color="auto"/>
          <w:between w:val="none" w:sz="0" w:space="0" w:color="auto"/>
        </w:pBdr>
        <w:jc w:val="center"/>
        <w:rPr>
          <w:b/>
          <w:bCs/>
          <w:sz w:val="32"/>
          <w:szCs w:val="32"/>
        </w:rPr>
      </w:pPr>
      <w:r>
        <w:rPr>
          <w:b/>
          <w:bCs/>
          <w:sz w:val="32"/>
          <w:szCs w:val="32"/>
        </w:rPr>
        <w:t>PRACTICE-BASED RESEARCH</w:t>
      </w:r>
    </w:p>
    <w:p>
      <w:pPr>
        <w:pBdr>
          <w:top w:val="none" w:sz="0" w:space="0" w:color="auto"/>
          <w:left w:val="none" w:sz="0" w:space="0" w:color="auto"/>
          <w:bottom w:val="none" w:sz="0" w:space="0" w:color="auto"/>
          <w:right w:val="none" w:sz="0" w:space="0" w:color="auto"/>
          <w:between w:val="none" w:sz="0" w:space="0" w:color="auto"/>
        </w:pBdr>
        <w:jc w:val="center"/>
        <w:rPr>
          <w:b/>
          <w:bCs/>
          <w:sz w:val="32"/>
          <w:szCs w:val="32"/>
        </w:rPr>
      </w:pPr>
      <w:r>
        <w:rPr>
          <w:b/>
          <w:bCs/>
          <w:sz w:val="32"/>
          <w:szCs w:val="32"/>
        </w:rPr>
        <w:t>LCHS7008</w:t>
      </w:r>
    </w:p>
    <w:p>
      <w:pPr>
        <w:pBdr>
          <w:top w:val="none" w:sz="0" w:space="0" w:color="auto"/>
          <w:left w:val="none" w:sz="0" w:space="0" w:color="auto"/>
          <w:bottom w:val="none" w:sz="0" w:space="0" w:color="auto"/>
          <w:right w:val="none" w:sz="0" w:space="0" w:color="auto"/>
          <w:between w:val="none" w:sz="0" w:space="0" w:color="auto"/>
        </w:pBdr>
        <w:jc w:val="center"/>
        <w:rPr>
          <w:b/>
          <w:bCs/>
          <w:sz w:val="32"/>
          <w:szCs w:val="32"/>
        </w:rPr>
      </w:pPr>
    </w:p>
    <w:p>
      <w:pPr>
        <w:pBdr>
          <w:top w:val="none" w:sz="0" w:space="0" w:color="auto"/>
          <w:left w:val="none" w:sz="0" w:space="0" w:color="auto"/>
          <w:bottom w:val="none" w:sz="0" w:space="0" w:color="auto"/>
          <w:right w:val="none" w:sz="0" w:space="0" w:color="auto"/>
          <w:between w:val="none" w:sz="0" w:space="0" w:color="auto"/>
        </w:pBdr>
        <w:jc w:val="center"/>
        <w:rPr>
          <w:b/>
          <w:bCs/>
          <w:sz w:val="32"/>
          <w:szCs w:val="32"/>
        </w:rPr>
      </w:pPr>
    </w:p>
    <w:p>
      <w:pPr>
        <w:pBdr>
          <w:top w:val="none" w:sz="0" w:space="0" w:color="auto"/>
          <w:left w:val="none" w:sz="0" w:space="0" w:color="auto"/>
          <w:bottom w:val="none" w:sz="0" w:space="0" w:color="auto"/>
          <w:right w:val="none" w:sz="0" w:space="0" w:color="auto"/>
          <w:between w:val="none" w:sz="0" w:space="0" w:color="auto"/>
        </w:pBdr>
        <w:jc w:val="center"/>
        <w:rPr>
          <w:b/>
          <w:bCs/>
          <w:sz w:val="32"/>
          <w:szCs w:val="32"/>
        </w:rPr>
      </w:pPr>
    </w:p>
    <w:p>
      <w:pPr>
        <w:pBdr>
          <w:top w:val="none" w:sz="0" w:space="0" w:color="auto"/>
          <w:left w:val="none" w:sz="0" w:space="0" w:color="auto"/>
          <w:bottom w:val="none" w:sz="0" w:space="0" w:color="auto"/>
          <w:right w:val="none" w:sz="0" w:space="0" w:color="auto"/>
          <w:between w:val="none" w:sz="0" w:space="0" w:color="auto"/>
        </w:pBdr>
        <w:jc w:val="center"/>
        <w:rPr>
          <w:b/>
          <w:bCs/>
          <w:i/>
          <w:iCs/>
          <w:sz w:val="24"/>
          <w:szCs w:val="24"/>
        </w:rPr>
      </w:pPr>
      <w:r>
        <w:rPr>
          <w:b/>
          <w:bCs/>
          <w:i/>
          <w:iCs/>
          <w:sz w:val="24"/>
          <w:szCs w:val="24"/>
        </w:rPr>
        <w:t>KNOWLEDGE OF THE ROLE OF INFORMAL CARERS IN MEDICATION AND BEHAVIOURAL MANAGEMENT IN INDIVIDUAL LIVING DEMENTIA IN UK</w:t>
      </w:r>
    </w:p>
    <w:p>
      <w:pPr>
        <w:pBdr>
          <w:top w:val="none" w:sz="0" w:space="0" w:color="auto"/>
          <w:left w:val="none" w:sz="0" w:space="0" w:color="auto"/>
          <w:bottom w:val="none" w:sz="0" w:space="0" w:color="auto"/>
          <w:right w:val="none" w:sz="0" w:space="0" w:color="auto"/>
          <w:between w:val="none" w:sz="0" w:space="0" w:color="auto"/>
        </w:pBdr>
        <w:jc w:val="center"/>
        <w:rPr>
          <w:b/>
          <w:bCs/>
          <w:i/>
          <w:iCs/>
          <w:sz w:val="24"/>
          <w:szCs w:val="24"/>
        </w:rPr>
      </w:pPr>
      <w:r>
        <w:rPr>
          <w:b/>
          <w:bCs/>
          <w:i/>
          <w:iCs/>
          <w:sz w:val="24"/>
          <w:szCs w:val="24"/>
        </w:rPr>
        <w:t xml:space="preserve">by </w:t>
      </w:r>
    </w:p>
    <w:p>
      <w:pPr>
        <w:pBdr>
          <w:top w:val="none" w:sz="0" w:space="0" w:color="auto"/>
          <w:left w:val="none" w:sz="0" w:space="0" w:color="auto"/>
          <w:bottom w:val="none" w:sz="0" w:space="0" w:color="auto"/>
          <w:right w:val="none" w:sz="0" w:space="0" w:color="auto"/>
          <w:between w:val="none" w:sz="0" w:space="0" w:color="auto"/>
        </w:pBdr>
        <w:jc w:val="center"/>
        <w:rPr>
          <w:b/>
          <w:bCs/>
          <w:i/>
          <w:iCs/>
          <w:sz w:val="24"/>
          <w:szCs w:val="24"/>
        </w:rPr>
      </w:pPr>
      <w:r>
        <w:rPr>
          <w:b/>
          <w:bCs/>
          <w:i/>
          <w:iCs/>
          <w:sz w:val="24"/>
          <w:szCs w:val="24"/>
        </w:rPr>
        <w:t xml:space="preserve">Jay Jignesh Patel </w:t>
      </w:r>
    </w:p>
    <w:p>
      <w:pPr>
        <w:pBdr>
          <w:top w:val="none" w:sz="0" w:space="0" w:color="auto"/>
          <w:left w:val="none" w:sz="0" w:space="0" w:color="auto"/>
          <w:bottom w:val="none" w:sz="0" w:space="0" w:color="auto"/>
          <w:right w:val="none" w:sz="0" w:space="0" w:color="auto"/>
          <w:between w:val="none" w:sz="0" w:space="0" w:color="auto"/>
        </w:pBdr>
        <w:jc w:val="center"/>
        <w:rPr>
          <w:b/>
          <w:bCs/>
          <w:i/>
          <w:iCs/>
          <w:sz w:val="24"/>
          <w:szCs w:val="24"/>
        </w:rPr>
      </w:pPr>
      <w:r>
        <w:rPr>
          <w:b/>
          <w:bCs/>
          <w:i/>
          <w:iCs/>
          <w:sz w:val="24"/>
          <w:szCs w:val="24"/>
        </w:rPr>
        <w:t>2422389</w:t>
      </w:r>
    </w:p>
    <w:p>
      <w:pPr>
        <w:pBdr>
          <w:top w:val="none" w:sz="0" w:space="0" w:color="auto"/>
          <w:left w:val="none" w:sz="0" w:space="0" w:color="auto"/>
          <w:bottom w:val="none" w:sz="0" w:space="0" w:color="auto"/>
          <w:right w:val="none" w:sz="0" w:space="0" w:color="auto"/>
          <w:between w:val="none" w:sz="0" w:space="0" w:color="auto"/>
        </w:pBdr>
        <w:jc w:val="center"/>
        <w:rPr>
          <w:b/>
          <w:bCs/>
          <w:i/>
          <w:iCs/>
          <w:sz w:val="24"/>
          <w:szCs w:val="24"/>
        </w:rPr>
      </w:pPr>
    </w:p>
    <w:p>
      <w:pPr>
        <w:pBdr>
          <w:top w:val="none" w:sz="0" w:space="0" w:color="auto"/>
          <w:left w:val="none" w:sz="0" w:space="0" w:color="auto"/>
          <w:bottom w:val="none" w:sz="0" w:space="0" w:color="auto"/>
          <w:right w:val="none" w:sz="0" w:space="0" w:color="auto"/>
          <w:between w:val="none" w:sz="0" w:space="0" w:color="auto"/>
        </w:pBdr>
        <w:jc w:val="center"/>
        <w:rPr>
          <w:b/>
          <w:bCs/>
          <w:i/>
          <w:iCs/>
          <w:sz w:val="24"/>
          <w:szCs w:val="24"/>
        </w:rPr>
      </w:pPr>
    </w:p>
    <w:p>
      <w:pPr>
        <w:pBdr>
          <w:top w:val="none" w:sz="0" w:space="0" w:color="auto"/>
          <w:left w:val="none" w:sz="0" w:space="0" w:color="auto"/>
          <w:bottom w:val="none" w:sz="0" w:space="0" w:color="auto"/>
          <w:right w:val="none" w:sz="0" w:space="0" w:color="auto"/>
          <w:between w:val="none" w:sz="0" w:space="0" w:color="auto"/>
        </w:pBdr>
        <w:jc w:val="center"/>
        <w:rPr>
          <w:b/>
          <w:bCs/>
          <w:sz w:val="24"/>
          <w:szCs w:val="24"/>
        </w:rPr>
      </w:pPr>
    </w:p>
    <w:p>
      <w:pPr>
        <w:pBdr>
          <w:top w:val="none" w:sz="0" w:space="0" w:color="auto"/>
          <w:left w:val="none" w:sz="0" w:space="0" w:color="auto"/>
          <w:bottom w:val="none" w:sz="0" w:space="0" w:color="auto"/>
          <w:right w:val="none" w:sz="0" w:space="0" w:color="auto"/>
          <w:between w:val="none" w:sz="0" w:space="0" w:color="auto"/>
        </w:pBdr>
        <w:rPr>
          <w:b/>
          <w:bCs/>
        </w:rPr>
      </w:pPr>
    </w:p>
    <w:p>
      <w:pPr>
        <w:pBdr>
          <w:top w:val="none" w:sz="0" w:space="0" w:color="auto"/>
          <w:left w:val="none" w:sz="0" w:space="0" w:color="auto"/>
          <w:bottom w:val="none" w:sz="0" w:space="0" w:color="auto"/>
          <w:right w:val="none" w:sz="0" w:space="0" w:color="auto"/>
          <w:between w:val="none" w:sz="0" w:space="0" w:color="auto"/>
        </w:pBdr>
        <w:rPr>
          <w:b/>
          <w:bCs/>
        </w:rPr>
      </w:pPr>
      <w:bookmarkStart w:id="0" w:name="_GoBack"/>
      <w:bookmarkEnd w:id="0"/>
    </w:p>
    <w:p>
      <w:pPr>
        <w:pBdr>
          <w:top w:val="none" w:sz="0" w:space="0" w:color="auto"/>
          <w:left w:val="none" w:sz="0" w:space="0" w:color="auto"/>
          <w:bottom w:val="none" w:sz="0" w:space="0" w:color="auto"/>
          <w:right w:val="none" w:sz="0" w:space="0" w:color="auto"/>
          <w:between w:val="none" w:sz="0" w:space="0" w:color="auto"/>
        </w:pBdr>
        <w:jc w:val="center"/>
        <w:rPr>
          <w:b/>
          <w:bCs/>
        </w:rPr>
      </w:pPr>
      <w:r>
        <w:rPr>
          <w:b/>
          <w:bCs/>
        </w:rPr>
        <w:t>Acknowledgement</w:t>
      </w:r>
    </w:p>
    <w:p>
      <w:r>
        <w:t xml:space="preserve">I am really grateful for my professor and supervisor who have supported me throughout the research compilation. I also want to thank my entire family and friends who have believed in me and encouraged my will power to complete the research. </w:t>
        <w:br w:type="page"/>
      </w:r>
    </w:p>
    <w:p>
      <w:pPr>
        <w:pBdr>
          <w:top w:val="none" w:sz="0" w:space="0" w:color="auto"/>
          <w:left w:val="none" w:sz="0" w:space="0" w:color="auto"/>
          <w:bottom w:val="none" w:sz="0" w:space="0" w:color="auto"/>
          <w:right w:val="none" w:sz="0" w:space="0" w:color="auto"/>
          <w:between w:val="none" w:sz="0" w:space="0" w:color="auto"/>
        </w:pBdr>
        <w:jc w:val="center"/>
        <w:rPr>
          <w:b/>
          <w:bCs/>
        </w:rPr>
      </w:pPr>
      <w:r>
        <w:rPr>
          <w:b/>
          <w:bCs/>
        </w:rPr>
        <w:t xml:space="preserve">Abstract </w:t>
      </w:r>
    </w:p>
    <w:p>
      <w:pPr>
        <w:pBdr>
          <w:top w:val="none" w:sz="0" w:space="0" w:color="auto"/>
          <w:left w:val="none" w:sz="0" w:space="0" w:color="auto"/>
          <w:bottom w:val="none" w:sz="0" w:space="0" w:color="auto"/>
          <w:right w:val="none" w:sz="0" w:space="0" w:color="auto"/>
          <w:between w:val="none" w:sz="0" w:space="0" w:color="auto"/>
        </w:pBdr>
        <w:rPr>
          <w:b/>
          <w:bCs/>
          <w:i/>
          <w:iCs/>
          <w:u w:val="single"/>
        </w:rPr>
      </w:pPr>
      <w:r>
        <w:rPr>
          <w:b/>
          <w:bCs/>
          <w:i/>
          <w:iCs/>
          <w:u w:val="single"/>
        </w:rPr>
        <w:t xml:space="preserve">Background </w:t>
      </w:r>
    </w:p>
    <w:p>
      <w:pPr>
        <w:pBdr>
          <w:top w:val="none" w:sz="0" w:space="0" w:color="auto"/>
          <w:left w:val="none" w:sz="0" w:space="0" w:color="auto"/>
          <w:bottom w:val="none" w:sz="0" w:space="0" w:color="auto"/>
          <w:right w:val="none" w:sz="0" w:space="0" w:color="auto"/>
          <w:between w:val="none" w:sz="0" w:space="0" w:color="auto"/>
        </w:pBdr>
      </w:pPr>
      <w:r>
        <w:t xml:space="preserve">The research aims to explore the informal carers understanding, practices and the management of medication to focus on behavioural care tasks. Dementia has been a progressive neuro-cognitive disorder that has characterised through impairment within memory, thinking and the ability to perform everyday activities. Apart from this, medication management for people with dementia is about not only ensuring correcting doses as well as timing but has also about monitoring the side effects, dealing with the poly-pharmacy, managing the adherence and also coordinating with the health professionals. The gaps has remained due to lack of knowledge of informal carers regarding care process and resources. </w:t>
      </w:r>
    </w:p>
    <w:p>
      <w:pPr>
        <w:pBdr>
          <w:top w:val="none" w:sz="0" w:space="0" w:color="auto"/>
          <w:left w:val="none" w:sz="0" w:space="0" w:color="auto"/>
          <w:bottom w:val="none" w:sz="0" w:space="0" w:color="auto"/>
          <w:right w:val="none" w:sz="0" w:space="0" w:color="auto"/>
          <w:between w:val="none" w:sz="0" w:space="0" w:color="auto"/>
        </w:pBdr>
        <w:rPr>
          <w:b/>
          <w:bCs/>
          <w:i/>
          <w:iCs/>
          <w:u w:val="single"/>
        </w:rPr>
      </w:pPr>
      <w:r>
        <w:rPr>
          <w:b/>
          <w:bCs/>
          <w:i/>
          <w:iCs/>
          <w:u w:val="single"/>
        </w:rPr>
        <w:t xml:space="preserve">Methods </w:t>
      </w:r>
    </w:p>
    <w:p>
      <w:pPr>
        <w:pBdr>
          <w:top w:val="none" w:sz="0" w:space="0" w:color="auto"/>
          <w:left w:val="none" w:sz="0" w:space="0" w:color="auto"/>
          <w:bottom w:val="none" w:sz="0" w:space="0" w:color="auto"/>
          <w:right w:val="none" w:sz="0" w:space="0" w:color="auto"/>
          <w:between w:val="none" w:sz="0" w:space="0" w:color="auto"/>
        </w:pBdr>
      </w:pPr>
      <w:r>
        <w:t xml:space="preserve">A systematic review was carried out using data bases such as Google scholars, PubMed and CINHAL. The characteristic of the articles has been monitored prior to their selection. Peer-reviewed articles published between the year 2015 to 2025 has been selected within this research. Data collection has focused on gathering qualitative information from predetermined sources on the role of informal carers in implementing medication and behavioural management for improving dementia care. </w:t>
      </w:r>
    </w:p>
    <w:p>
      <w:pPr>
        <w:pBdr>
          <w:top w:val="none" w:sz="0" w:space="0" w:color="auto"/>
          <w:left w:val="none" w:sz="0" w:space="0" w:color="auto"/>
          <w:bottom w:val="none" w:sz="0" w:space="0" w:color="auto"/>
          <w:right w:val="none" w:sz="0" w:space="0" w:color="auto"/>
          <w:between w:val="none" w:sz="0" w:space="0" w:color="auto"/>
        </w:pBdr>
        <w:spacing w:before="240" w:after="240"/>
        <w:rPr>
          <w:b/>
          <w:bCs/>
          <w:i/>
          <w:iCs/>
          <w:u w:val="single"/>
        </w:rPr>
      </w:pPr>
      <w:r>
        <w:rPr>
          <w:b/>
          <w:bCs/>
          <w:i/>
          <w:iCs/>
          <w:u w:val="single"/>
        </w:rPr>
        <w:t xml:space="preserve">Results </w:t>
      </w:r>
    </w:p>
    <w:p>
      <w:pPr>
        <w:pBdr>
          <w:top w:val="none" w:sz="0" w:space="0" w:color="auto"/>
          <w:left w:val="none" w:sz="0" w:space="0" w:color="auto"/>
          <w:bottom w:val="none" w:sz="0" w:space="0" w:color="auto"/>
          <w:right w:val="none" w:sz="0" w:space="0" w:color="auto"/>
          <w:between w:val="none" w:sz="0" w:space="0" w:color="auto"/>
        </w:pBdr>
        <w:spacing w:before="240" w:after="240"/>
      </w:pPr>
      <w:r>
        <w:t>The systematic review has included twelve peer-reviewed articles that were identified from the review. The key findings of the research highlights that  informal carers, often family members or friends, adopt a mix of proactive and reactive, trial-and-error approaches to manage the complex, daily needs of individuals with dementia or long-term conditions.  The informal carers as the becoming experts by the experiential learning that suggested the responsibility as it emerges gradually as the carers adapt to changing type care demands. Additionally, Individualized framing faced risks within normalising the transfer of the complicated responsibilities without even questioning the systemic accountability.</w:t>
      </w:r>
    </w:p>
    <w:p>
      <w:pPr>
        <w:pBdr>
          <w:top w:val="none" w:sz="0" w:space="0" w:color="auto"/>
          <w:left w:val="none" w:sz="0" w:space="0" w:color="auto"/>
          <w:bottom w:val="none" w:sz="0" w:space="0" w:color="auto"/>
          <w:right w:val="none" w:sz="0" w:space="0" w:color="auto"/>
          <w:between w:val="none" w:sz="0" w:space="0" w:color="auto"/>
        </w:pBdr>
        <w:spacing w:before="240" w:after="240"/>
        <w:rPr>
          <w:b/>
          <w:bCs/>
          <w:i/>
          <w:iCs/>
          <w:u w:val="single"/>
        </w:rPr>
      </w:pPr>
      <w:r>
        <w:rPr>
          <w:b/>
          <w:bCs/>
          <w:i/>
          <w:iCs/>
          <w:u w:val="single"/>
        </w:rPr>
        <w:t xml:space="preserve">Conclusion </w:t>
      </w:r>
    </w:p>
    <w:p>
      <w:pPr>
        <w:pBdr>
          <w:top w:val="none" w:sz="0" w:space="0" w:color="auto"/>
          <w:left w:val="none" w:sz="0" w:space="0" w:color="auto"/>
          <w:bottom w:val="none" w:sz="0" w:space="0" w:color="auto"/>
          <w:right w:val="none" w:sz="0" w:space="0" w:color="auto"/>
          <w:between w:val="none" w:sz="0" w:space="0" w:color="auto"/>
        </w:pBdr>
        <w:spacing w:before="240" w:after="240"/>
      </w:pPr>
      <w:r>
        <w:t xml:space="preserve">The research concluded that behavioural management training in health and social care has been determined to focus beyond the didactic lists to teach the adaptive, evidence-based techniques that face personalized activity planning and distressed de-escalation. These are demonstrated based on the strong commitments as well as experimental knowledge, insufficient support as well as key linkage for formal guidance undermining the capacity for managing medication and behavioural challenges. </w:t>
      </w:r>
    </w:p>
    <w:p>
      <w:pPr>
        <w:pBdr>
          <w:top w:val="none" w:sz="0" w:space="0" w:color="auto"/>
          <w:left w:val="none" w:sz="0" w:space="0" w:color="auto"/>
          <w:bottom w:val="none" w:sz="0" w:space="0" w:color="auto"/>
          <w:right w:val="none" w:sz="0" w:space="0" w:color="auto"/>
          <w:between w:val="none" w:sz="0" w:space="0" w:color="auto"/>
        </w:pBdr>
        <w:spacing w:before="240" w:after="240"/>
        <w:rPr>
          <w:b/>
          <w:bCs/>
          <w:i/>
          <w:iCs/>
        </w:rPr>
      </w:pPr>
      <w:r>
        <w:rPr>
          <w:b/>
          <w:bCs/>
        </w:rPr>
        <w:t xml:space="preserve">Key words: </w:t>
      </w:r>
      <w:r>
        <w:rPr>
          <w:b/>
          <w:bCs/>
          <w:i/>
          <w:iCs/>
        </w:rPr>
        <w:t>Informal carers, behaviour management, medication and behaviour management, Dementia</w:t>
      </w:r>
    </w:p>
    <w:p>
      <w:pPr>
        <w:pBdr>
          <w:top w:val="none" w:sz="0" w:space="0" w:color="auto"/>
          <w:left w:val="none" w:sz="0" w:space="0" w:color="auto"/>
          <w:bottom w:val="none" w:sz="0" w:space="0" w:color="auto"/>
          <w:right w:val="none" w:sz="0" w:space="0" w:color="auto"/>
          <w:between w:val="none" w:sz="0" w:space="0" w:color="auto"/>
        </w:pBdr>
      </w:pPr>
    </w:p>
    <w:p>
      <w:pPr>
        <w:rPr>
          <w:b/>
          <w:bCs/>
        </w:rPr>
      </w:pPr>
      <w:r>
        <w:br w:type="page"/>
      </w:r>
    </w:p>
    <w:p>
      <w:pPr>
        <w:keepNext/>
        <w:keepLines/>
        <w:pBdr>
          <w:top w:val="none" w:sz="0" w:space="0" w:color="auto"/>
          <w:left w:val="none" w:sz="0" w:space="0" w:color="auto"/>
          <w:bottom w:val="none" w:sz="0" w:space="0" w:color="auto"/>
          <w:right w:val="none" w:sz="0" w:space="0" w:color="auto"/>
          <w:between w:val="none" w:sz="0" w:space="0" w:color="auto"/>
        </w:pBdr>
        <w:spacing w:before="480" w:line="276" w:lineRule="auto"/>
        <w:jc w:val="center"/>
        <w:rPr>
          <w:rFonts w:ascii="Calibri" w:eastAsia="Calibri" w:cs="Calibri" w:hAnsi="Calibri"/>
          <w:b/>
          <w:bCs/>
          <w:sz w:val="28"/>
          <w:szCs w:val="28"/>
        </w:rPr>
      </w:pPr>
      <w:r>
        <w:rPr>
          <w:b/>
          <w:bCs/>
        </w:rPr>
        <w:t>Table of Contents</w:t>
      </w:r>
    </w:p>
    <w:p>
      <w:pPr>
        <w:pStyle w:val="23"/>
        <w:tabs>
          <w:tab w:val="right" w:leader="dot" w:pos="9350"/>
        </w:tabs>
        <w:rPr>
          <w:rFonts w:ascii="Cambria" w:eastAsia="宋体" w:cs="Arial" w:hAnsi="Cambria"/>
          <w:kern w:val="2"/>
          <w:sz w:val="24"/>
          <w:szCs w:val="24"/>
          <w:lang w:val="en-IN"/>
        </w:rPr>
      </w:pPr>
      <w:r>
        <w:fldChar w:fldCharType="begin"/>
      </w:r>
      <w:r>
        <w:instrText xml:space="preserve"> TOC \h \u \z \t "Heading 1,1,Heading 2,2,Heading 3,3," </w:instrText>
      </w:r>
      <w:r>
        <w:fldChar w:fldCharType="separate"/>
      </w:r>
      <w:r>
        <w:fldChar w:fldCharType="begin"/>
      </w:r>
      <w:r>
        <w:instrText>Hyperlink \l "_Toc220932415"</w:instrText>
      </w:r>
      <w:r>
        <w:fldChar w:fldCharType="separate"/>
      </w:r>
      <w:r>
        <w:rPr>
          <w:color w:val="auto"/>
        </w:rPr>
        <w:t>Chapter 1</w:t>
      </w:r>
      <w:r>
        <w:tab/>
      </w:r>
      <w:r>
        <w:fldChar w:fldCharType="begin"/>
      </w:r>
      <w:r>
        <w:instrText xml:space="preserve"> PAGEREF _Toc220932415 \h </w:instrText>
      </w:r>
      <w:r>
        <w:fldChar w:fldCharType="separate"/>
      </w:r>
      <w:r>
        <w:t>9</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"_Toc220932416"</w:instrText>
      </w:r>
      <w:r>
        <w:fldChar w:fldCharType="separate"/>
      </w:r>
      <w:r>
        <w:rPr>
          <w:color w:val="auto"/>
        </w:rPr>
        <w:t>1.1 Introduction</w:t>
      </w:r>
      <w:r>
        <w:tab/>
      </w:r>
      <w:r>
        <w:fldChar w:fldCharType="begin"/>
      </w:r>
      <w:r>
        <w:instrText xml:space="preserve"> PAGEREF _Toc220932416 \h </w:instrText>
      </w:r>
      <w:r>
        <w:fldChar w:fldCharType="separate"/>
      </w:r>
      <w:r>
        <w:t>9</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"_Toc220932417"</w:instrText>
      </w:r>
      <w:r>
        <w:fldChar w:fldCharType="separate"/>
      </w:r>
      <w:r>
        <w:rPr>
          <w:color w:val="auto"/>
        </w:rPr>
        <w:t>1.2 Background</w:t>
      </w:r>
      <w:r>
        <w:tab/>
      </w:r>
      <w:r>
        <w:fldChar w:fldCharType="begin"/>
      </w:r>
      <w:r>
        <w:instrText xml:space="preserve"> PAGEREF _Toc220932417 \h </w:instrText>
      </w:r>
      <w:r>
        <w:fldChar w:fldCharType="separate"/>
      </w:r>
      <w:r>
        <w:t>9</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"_Toc220932418"</w:instrText>
      </w:r>
      <w:r>
        <w:fldChar w:fldCharType="separate"/>
      </w:r>
      <w:r>
        <w:rPr>
          <w:color w:val="auto"/>
        </w:rPr>
        <w:t>1.3 Problem statement</w:t>
      </w:r>
      <w:r>
        <w:tab/>
      </w:r>
      <w:r>
        <w:fldChar w:fldCharType="begin"/>
      </w:r>
      <w:r>
        <w:instrText xml:space="preserve"> PAGEREF _Toc220932418 \h </w:instrText>
      </w:r>
      <w:r>
        <w:fldChar w:fldCharType="separate"/>
      </w:r>
      <w:r>
        <w:t>11</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"_Toc220932419"</w:instrText>
      </w:r>
      <w:r>
        <w:fldChar w:fldCharType="separate"/>
      </w:r>
      <w:r>
        <w:rPr>
          <w:color w:val="auto"/>
        </w:rPr>
        <w:t>1.4 Rationale of the research</w:t>
      </w:r>
      <w:r>
        <w:tab/>
      </w:r>
      <w:r>
        <w:fldChar w:fldCharType="begin"/>
      </w:r>
      <w:r>
        <w:instrText xml:space="preserve"> PAGEREF _Toc220932419 \h </w:instrText>
      </w:r>
      <w:r>
        <w:fldChar w:fldCharType="separate"/>
      </w:r>
      <w:r>
        <w:t>11</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"_Toc220932420"</w:instrText>
      </w:r>
      <w:r>
        <w:fldChar w:fldCharType="separate"/>
      </w:r>
      <w:r>
        <w:rPr>
          <w:color w:val="auto"/>
        </w:rPr>
        <w:t>1.5 Aims and Objectives</w:t>
      </w:r>
      <w:r>
        <w:tab/>
      </w:r>
      <w:r>
        <w:fldChar w:fldCharType="begin"/>
      </w:r>
      <w:r>
        <w:instrText xml:space="preserve"> PAGEREF _Toc220932420 \h </w:instrText>
      </w:r>
      <w:r>
        <w:fldChar w:fldCharType="separate"/>
      </w:r>
      <w:r>
        <w:t>11</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"_Toc220932421"</w:instrText>
      </w:r>
      <w:r>
        <w:fldChar w:fldCharType="separate"/>
      </w:r>
      <w:r>
        <w:rPr>
          <w:color w:val="auto"/>
        </w:rPr>
        <w:t>1.6 Research Question</w:t>
      </w:r>
      <w:r>
        <w:tab/>
      </w:r>
      <w:r>
        <w:fldChar w:fldCharType="begin"/>
      </w:r>
      <w:r>
        <w:instrText xml:space="preserve"> PAGEREF _Toc220932421 \h </w:instrText>
      </w:r>
      <w:r>
        <w:fldChar w:fldCharType="separate"/>
      </w:r>
      <w:r>
        <w:t>12</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"_Toc220932422"</w:instrText>
      </w:r>
      <w:r>
        <w:fldChar w:fldCharType="separate"/>
      </w:r>
      <w:r>
        <w:rPr>
          <w:color w:val="auto"/>
        </w:rPr>
        <w:t>1.7 Significance of the research</w:t>
      </w:r>
      <w:r>
        <w:tab/>
      </w:r>
      <w:r>
        <w:fldChar w:fldCharType="begin"/>
      </w:r>
      <w:r>
        <w:instrText xml:space="preserve"> PAGEREF _Toc220932422 \h </w:instrText>
      </w:r>
      <w:r>
        <w:fldChar w:fldCharType="separate"/>
      </w:r>
      <w:r>
        <w:t>12</w:t>
      </w:r>
      <w:r>
        <w:fldChar w:fldCharType="end"/>
      </w:r>
      <w:r>
        <w:fldChar w:fldCharType="end"/>
      </w:r>
    </w:p>
    <w:p>
      <w:pPr>
        <w:pStyle w:val="23"/>
        <w:tabs>
          <w:tab w:val="right" w:leader="dot" w:pos="9350"/>
        </w:tabs>
        <w:rPr>
          <w:rFonts w:ascii="Cambria" w:eastAsia="宋体" w:cs="Arial" w:hAnsi="Cambria"/>
          <w:kern w:val="2"/>
          <w:sz w:val="24"/>
          <w:szCs w:val="24"/>
          <w:lang w:val="en-IN"/>
        </w:rPr>
      </w:pPr>
      <w:r>
        <w:fldChar w:fldCharType="begin"/>
      </w:r>
      <w:r>
        <w:instrText>Hyperlink \l "_Toc220932423"</w:instrText>
      </w:r>
      <w:r>
        <w:fldChar w:fldCharType="separate"/>
      </w:r>
      <w:r>
        <w:rPr>
          <w:color w:val="auto"/>
        </w:rPr>
        <w:t>Chapter 2: Literature Review</w:t>
      </w:r>
      <w:r>
        <w:tab/>
      </w:r>
      <w:r>
        <w:fldChar w:fldCharType="begin"/>
      </w:r>
      <w:r>
        <w:instrText xml:space="preserve"> PAGEREF _Toc220932423 \h </w:instrText>
      </w:r>
      <w:r>
        <w:fldChar w:fldCharType="separate"/>
      </w:r>
      <w:r>
        <w:t>14</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"_Toc220932424"</w:instrText>
      </w:r>
      <w:r>
        <w:fldChar w:fldCharType="separate"/>
      </w:r>
      <w:r>
        <w:rPr>
          <w:color w:val="auto"/>
        </w:rPr>
        <w:t>2.1 Introduction</w:t>
      </w:r>
      <w:r>
        <w:tab/>
      </w:r>
      <w:r>
        <w:fldChar w:fldCharType="begin"/>
      </w:r>
      <w:r>
        <w:instrText xml:space="preserve"> PAGEREF _Toc220932424 \h </w:instrText>
      </w:r>
      <w:r>
        <w:fldChar w:fldCharType="separate"/>
      </w:r>
      <w:r>
        <w:t>14</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"_Toc220932425"</w:instrText>
      </w:r>
      <w:r>
        <w:fldChar w:fldCharType="separate"/>
      </w:r>
      <w:r>
        <w:rPr>
          <w:color w:val="auto"/>
        </w:rPr>
        <w:t>2.2 Investigating anticipated responsibilities for informal carers in medication and behaviour management</w:t>
      </w:r>
      <w:r>
        <w:tab/>
      </w:r>
      <w:r>
        <w:fldChar w:fldCharType="begin"/>
      </w:r>
      <w:r>
        <w:instrText xml:space="preserve"> PAGEREF _Toc220932425 \h </w:instrText>
      </w:r>
      <w:r>
        <w:fldChar w:fldCharType="separate"/>
      </w:r>
      <w:r>
        <w:t>14</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"_Toc220932426"</w:instrText>
      </w:r>
      <w:r>
        <w:fldChar w:fldCharType="separate"/>
      </w:r>
      <w:r>
        <w:rPr>
          <w:color w:val="auto"/>
        </w:rPr>
        <w:t>2.3 Examine informal carers’ approaches to behavioural management and medication</w:t>
      </w:r>
      <w:r>
        <w:tab/>
      </w:r>
      <w:r>
        <w:fldChar w:fldCharType="begin"/>
      </w:r>
      <w:r>
        <w:instrText xml:space="preserve"> PAGEREF _Toc220932426 \h </w:instrText>
      </w:r>
      <w:r>
        <w:fldChar w:fldCharType="separate"/>
      </w:r>
      <w:r>
        <w:t>17</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"_Toc220932427"</w:instrText>
      </w:r>
      <w:r>
        <w:fldChar w:fldCharType="separate"/>
      </w:r>
      <w:r>
        <w:rPr>
          <w:color w:val="auto"/>
        </w:rPr>
        <w:t>2.4 Assess future training and resource needs for informal carers</w:t>
      </w:r>
      <w:r>
        <w:tab/>
      </w:r>
      <w:r>
        <w:fldChar w:fldCharType="begin"/>
      </w:r>
      <w:r>
        <w:instrText xml:space="preserve"> PAGEREF _Toc220932427 \h </w:instrText>
      </w:r>
      <w:r>
        <w:fldChar w:fldCharType="separate"/>
      </w:r>
      <w:r>
        <w:t>19</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"_Toc220932428"</w:instrText>
      </w:r>
      <w:r>
        <w:fldChar w:fldCharType="separate"/>
      </w:r>
      <w:r>
        <w:rPr>
          <w:color w:val="auto"/>
        </w:rPr>
        <w:t>2.5 Recommended strategies to support informal carers in the medication and behaviour management role</w:t>
      </w:r>
      <w:r>
        <w:tab/>
      </w:r>
      <w:r>
        <w:fldChar w:fldCharType="begin"/>
      </w:r>
      <w:r>
        <w:instrText xml:space="preserve"> PAGEREF _Toc220932428 \h </w:instrText>
      </w:r>
      <w:r>
        <w:fldChar w:fldCharType="separate"/>
      </w:r>
      <w:r>
        <w:t>21</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"_Toc220932429"</w:instrText>
      </w:r>
      <w:r>
        <w:fldChar w:fldCharType="separate"/>
      </w:r>
      <w:r>
        <w:rPr>
          <w:color w:val="auto"/>
        </w:rPr>
        <w:t>2.6 Application of theory</w:t>
      </w:r>
      <w:r>
        <w:tab/>
      </w:r>
      <w:r>
        <w:fldChar w:fldCharType="begin"/>
      </w:r>
      <w:r>
        <w:instrText xml:space="preserve"> PAGEREF _Toc220932429 \h </w:instrText>
      </w:r>
      <w:r>
        <w:fldChar w:fldCharType="separate"/>
      </w:r>
      <w:r>
        <w:t>22</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"_Toc220932430"</w:instrText>
      </w:r>
      <w:r>
        <w:fldChar w:fldCharType="separate"/>
      </w:r>
      <w:r>
        <w:rPr>
          <w:color w:val="auto"/>
        </w:rPr>
        <w:t>2.7 Conceptual framework</w:t>
      </w:r>
      <w:r>
        <w:tab/>
      </w:r>
      <w:r>
        <w:fldChar w:fldCharType="begin"/>
      </w:r>
      <w:r>
        <w:instrText xml:space="preserve"> PAGEREF _Toc220932430 \h </w:instrText>
      </w:r>
      <w:r>
        <w:fldChar w:fldCharType="separate"/>
      </w:r>
      <w:r>
        <w:t>24</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"_Toc220932431"</w:instrText>
      </w:r>
      <w:r>
        <w:fldChar w:fldCharType="separate"/>
      </w:r>
      <w:r>
        <w:rPr>
          <w:color w:val="auto"/>
        </w:rPr>
        <w:t>2.8 Literature gap</w:t>
      </w:r>
      <w:r>
        <w:tab/>
      </w:r>
      <w:r>
        <w:fldChar w:fldCharType="begin"/>
      </w:r>
      <w:r>
        <w:instrText xml:space="preserve"> PAGEREF _Toc220932431 \h </w:instrText>
      </w:r>
      <w:r>
        <w:fldChar w:fldCharType="separate"/>
      </w:r>
      <w:r>
        <w:t>24</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"_Toc220932432"</w:instrText>
      </w:r>
      <w:r>
        <w:fldChar w:fldCharType="separate"/>
      </w:r>
      <w:r>
        <w:rPr>
          <w:color w:val="auto"/>
        </w:rPr>
        <w:t>2.9 Conclusion</w:t>
      </w:r>
      <w:r>
        <w:tab/>
      </w:r>
      <w:r>
        <w:fldChar w:fldCharType="begin"/>
      </w:r>
      <w:r>
        <w:instrText xml:space="preserve"> PAGEREF _Toc220932432 \h </w:instrText>
      </w:r>
      <w:r>
        <w:fldChar w:fldCharType="separate"/>
      </w:r>
      <w:r>
        <w:t>25</w:t>
      </w:r>
      <w:r>
        <w:fldChar w:fldCharType="end"/>
      </w:r>
      <w:r>
        <w:fldChar w:fldCharType="end"/>
      </w:r>
    </w:p>
    <w:p>
      <w:pPr>
        <w:pStyle w:val="23"/>
        <w:tabs>
          <w:tab w:val="right" w:leader="dot" w:pos="9350"/>
        </w:tabs>
        <w:rPr>
          <w:rFonts w:ascii="Cambria" w:eastAsia="宋体" w:cs="Arial" w:hAnsi="Cambria"/>
          <w:kern w:val="2"/>
          <w:sz w:val="24"/>
          <w:szCs w:val="24"/>
          <w:lang w:val="en-IN"/>
        </w:rPr>
      </w:pPr>
      <w:r>
        <w:fldChar w:fldCharType="begin"/>
      </w:r>
      <w:r>
        <w:instrText>Hyperlink \l "_Toc220932433"</w:instrText>
      </w:r>
      <w:r>
        <w:fldChar w:fldCharType="separate"/>
      </w:r>
      <w:r>
        <w:rPr>
          <w:color w:val="auto"/>
        </w:rPr>
        <w:t>Chapter 3: Methods</w:t>
      </w:r>
      <w:r>
        <w:tab/>
      </w:r>
      <w:r>
        <w:fldChar w:fldCharType="begin"/>
      </w:r>
      <w:r>
        <w:instrText xml:space="preserve"> PAGEREF _Toc220932433 \h </w:instrText>
      </w:r>
      <w:r>
        <w:fldChar w:fldCharType="separate"/>
      </w:r>
      <w:r>
        <w:t>26</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"_Toc220932434"</w:instrText>
      </w:r>
      <w:r>
        <w:fldChar w:fldCharType="separate"/>
      </w:r>
      <w:r>
        <w:rPr>
          <w:color w:val="auto"/>
        </w:rPr>
        <w:t>3.1 Introduction</w:t>
      </w:r>
      <w:r>
        <w:tab/>
      </w:r>
      <w:r>
        <w:fldChar w:fldCharType="begin"/>
      </w:r>
      <w:r>
        <w:instrText xml:space="preserve"> PAGEREF _Toc220932434 \h </w:instrText>
      </w:r>
      <w:r>
        <w:fldChar w:fldCharType="separate"/>
      </w:r>
      <w:r>
        <w:t>26</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"_Toc220932435"</w:instrText>
      </w:r>
      <w:r>
        <w:fldChar w:fldCharType="separate"/>
      </w:r>
      <w:r>
        <w:rPr>
          <w:color w:val="auto"/>
        </w:rPr>
        <w:t>3.2 Research philosophy /paradigm</w:t>
      </w:r>
      <w:r>
        <w:tab/>
      </w:r>
      <w:r>
        <w:fldChar w:fldCharType="begin"/>
      </w:r>
      <w:r>
        <w:instrText xml:space="preserve"> PAGEREF _Toc220932435 \h </w:instrText>
      </w:r>
      <w:r>
        <w:fldChar w:fldCharType="separate"/>
      </w:r>
      <w:r>
        <w:t>26</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"_Toc220932436"</w:instrText>
      </w:r>
      <w:r>
        <w:fldChar w:fldCharType="separate"/>
      </w:r>
      <w:r>
        <w:rPr>
          <w:color w:val="auto"/>
        </w:rPr>
        <w:t>3.3 Ethical considerations</w:t>
      </w:r>
      <w:r>
        <w:tab/>
      </w:r>
      <w:r>
        <w:fldChar w:fldCharType="begin"/>
      </w:r>
      <w:r>
        <w:instrText xml:space="preserve"> PAGEREF _Toc220932436 \h </w:instrText>
      </w:r>
      <w:r>
        <w:fldChar w:fldCharType="separate"/>
      </w:r>
      <w:r>
        <w:t>26</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"_Toc220932437"</w:instrText>
      </w:r>
      <w:r>
        <w:fldChar w:fldCharType="separate"/>
      </w:r>
      <w:r>
        <w:rPr>
          <w:color w:val="auto"/>
        </w:rPr>
        <w:t>3.4 Research approach</w:t>
      </w:r>
      <w:r>
        <w:tab/>
      </w:r>
      <w:r>
        <w:fldChar w:fldCharType="begin"/>
      </w:r>
      <w:r>
        <w:instrText xml:space="preserve"> PAGEREF _Toc220932437 \h </w:instrText>
      </w:r>
      <w:r>
        <w:fldChar w:fldCharType="separate"/>
      </w:r>
      <w:r>
        <w:t>26</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"_Toc220932438"</w:instrText>
      </w:r>
      <w:r>
        <w:fldChar w:fldCharType="separate"/>
      </w:r>
      <w:r>
        <w:rPr>
          <w:color w:val="auto"/>
        </w:rPr>
        <w:t>3.5 Research strategy</w:t>
      </w:r>
      <w:r>
        <w:tab/>
      </w:r>
      <w:r>
        <w:fldChar w:fldCharType="begin"/>
      </w:r>
      <w:r>
        <w:instrText xml:space="preserve"> PAGEREF _Toc220932438 \h </w:instrText>
      </w:r>
      <w:r>
        <w:fldChar w:fldCharType="separate"/>
      </w:r>
      <w:r>
        <w:t>27</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"_Toc220932439"</w:instrText>
      </w:r>
      <w:r>
        <w:fldChar w:fldCharType="separate"/>
      </w:r>
      <w:r>
        <w:rPr>
          <w:color w:val="auto"/>
        </w:rPr>
        <w:t>3.6 Study design-systematic review</w:t>
      </w:r>
      <w:r>
        <w:tab/>
      </w:r>
      <w:r>
        <w:fldChar w:fldCharType="begin"/>
      </w:r>
      <w:r>
        <w:instrText xml:space="preserve"> PAGEREF _Toc220932439 \h </w:instrText>
      </w:r>
      <w:r>
        <w:fldChar w:fldCharType="separate"/>
      </w:r>
      <w:r>
        <w:t>27</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"_Toc220932440"</w:instrText>
      </w:r>
      <w:r>
        <w:fldChar w:fldCharType="separate"/>
      </w:r>
      <w:r>
        <w:rPr>
          <w:color w:val="auto"/>
        </w:rPr>
        <w:t>3.7 Data collection</w:t>
      </w:r>
      <w:r>
        <w:tab/>
      </w:r>
      <w:r>
        <w:fldChar w:fldCharType="begin"/>
      </w:r>
      <w:r>
        <w:instrText xml:space="preserve"> PAGEREF _Toc220932440 \h </w:instrText>
      </w:r>
      <w:r>
        <w:fldChar w:fldCharType="separate"/>
      </w:r>
      <w:r>
        <w:t>27</w:t>
      </w:r>
      <w:r>
        <w:fldChar w:fldCharType="end"/>
      </w:r>
      <w:r>
        <w:fldChar w:fldCharType="end"/>
      </w:r>
    </w:p>
    <w:p>
      <w:pPr>
        <w:pStyle w:val="29"/>
        <w:tabs>
          <w:tab w:val="right" w:leader="dot" w:pos="9350"/>
        </w:tabs>
        <w:rPr>
          <w:rFonts w:ascii="Cambria" w:eastAsia="宋体" w:cs="Arial" w:hAnsi="Cambria"/>
          <w:kern w:val="2"/>
          <w:sz w:val="24"/>
          <w:szCs w:val="24"/>
          <w:lang w:val="en-IN"/>
        </w:rPr>
      </w:pPr>
      <w:r>
        <w:fldChar w:fldCharType="begin"/>
      </w:r>
      <w:r>
        <w:instrText>Hyperlink \l "_Toc220932441"</w:instrText>
      </w:r>
      <w:r>
        <w:fldChar w:fldCharType="separate"/>
      </w:r>
      <w:r>
        <w:rPr>
          <w:color w:val="auto"/>
        </w:rPr>
        <w:t>3.7.1 Search strategy</w:t>
      </w:r>
      <w:r>
        <w:tab/>
      </w:r>
      <w:r>
        <w:fldChar w:fldCharType="begin"/>
      </w:r>
      <w:r>
        <w:instrText xml:space="preserve"> PAGEREF _Toc220932441 \h </w:instrText>
      </w:r>
      <w:r>
        <w:fldChar w:fldCharType="separate"/>
      </w:r>
      <w:r>
        <w:t>28</w:t>
      </w:r>
      <w:r>
        <w:fldChar w:fldCharType="end"/>
      </w:r>
      <w:r>
        <w:fldChar w:fldCharType="end"/>
      </w:r>
    </w:p>
    <w:p>
      <w:pPr>
        <w:pStyle w:val="29"/>
        <w:tabs>
          <w:tab w:val="right" w:leader="dot" w:pos="9350"/>
        </w:tabs>
        <w:rPr>
          <w:rFonts w:ascii="Cambria" w:eastAsia="宋体" w:cs="Arial" w:hAnsi="Cambria"/>
          <w:kern w:val="2"/>
          <w:sz w:val="24"/>
          <w:szCs w:val="24"/>
          <w:lang w:val="en-IN"/>
        </w:rPr>
      </w:pPr>
      <w:r>
        <w:fldChar w:fldCharType="begin"/>
      </w:r>
      <w:r>
        <w:instrText>Hyperlink \l "_Toc220932442"</w:instrText>
      </w:r>
      <w:r>
        <w:fldChar w:fldCharType="separate"/>
      </w:r>
      <w:r>
        <w:rPr>
          <w:color w:val="auto"/>
        </w:rPr>
        <w:t>3.7.2 Framing research question: PICO</w:t>
      </w:r>
      <w:r>
        <w:tab/>
      </w:r>
      <w:r>
        <w:fldChar w:fldCharType="begin"/>
      </w:r>
      <w:r>
        <w:instrText xml:space="preserve"> PAGEREF _Toc220932442 \h </w:instrText>
      </w:r>
      <w:r>
        <w:fldChar w:fldCharType="separate"/>
      </w:r>
      <w:r>
        <w:t>28</w:t>
      </w:r>
      <w:r>
        <w:fldChar w:fldCharType="end"/>
      </w:r>
      <w:r>
        <w:fldChar w:fldCharType="end"/>
      </w:r>
    </w:p>
    <w:p>
      <w:pPr>
        <w:pStyle w:val="29"/>
        <w:tabs>
          <w:tab w:val="right" w:leader="dot" w:pos="9350"/>
        </w:tabs>
        <w:rPr>
          <w:rFonts w:ascii="Cambria" w:eastAsia="宋体" w:cs="Arial" w:hAnsi="Cambria"/>
          <w:kern w:val="2"/>
          <w:sz w:val="24"/>
          <w:szCs w:val="24"/>
          <w:lang w:val="en-IN"/>
        </w:rPr>
      </w:pPr>
      <w:r>
        <w:fldChar w:fldCharType="begin"/>
      </w:r>
      <w:r>
        <w:instrText>Hyperlink \l "_Toc220932443"</w:instrText>
      </w:r>
      <w:r>
        <w:fldChar w:fldCharType="separate"/>
      </w:r>
      <w:r>
        <w:rPr>
          <w:color w:val="auto"/>
        </w:rPr>
        <w:t>3.7.3 Database search procedure</w:t>
      </w:r>
      <w:r>
        <w:tab/>
      </w:r>
      <w:r>
        <w:fldChar w:fldCharType="begin"/>
      </w:r>
      <w:r>
        <w:instrText xml:space="preserve"> PAGEREF _Toc220932443 \h </w:instrText>
      </w:r>
      <w:r>
        <w:fldChar w:fldCharType="separate"/>
      </w:r>
      <w:r>
        <w:t>28</w:t>
      </w:r>
      <w:r>
        <w:fldChar w:fldCharType="end"/>
      </w:r>
      <w:r>
        <w:fldChar w:fldCharType="end"/>
      </w:r>
    </w:p>
    <w:p>
      <w:pPr>
        <w:pStyle w:val="29"/>
        <w:tabs>
          <w:tab w:val="right" w:leader="dot" w:pos="9350"/>
        </w:tabs>
        <w:rPr>
          <w:rFonts w:ascii="Cambria" w:eastAsia="宋体" w:cs="Arial" w:hAnsi="Cambria"/>
          <w:kern w:val="2"/>
          <w:sz w:val="24"/>
          <w:szCs w:val="24"/>
          <w:lang w:val="en-IN"/>
        </w:rPr>
      </w:pPr>
      <w:r>
        <w:fldChar w:fldCharType="begin"/>
      </w:r>
      <w:r>
        <w:instrText>Hyperlink \l "_Toc220932444"</w:instrText>
      </w:r>
      <w:r>
        <w:fldChar w:fldCharType="separate"/>
      </w:r>
      <w:r>
        <w:rPr>
          <w:color w:val="auto"/>
        </w:rPr>
        <w:t>3.7.4 Hand search</w:t>
      </w:r>
      <w:r>
        <w:tab/>
      </w:r>
      <w:r>
        <w:fldChar w:fldCharType="begin"/>
      </w:r>
      <w:r>
        <w:instrText xml:space="preserve"> PAGEREF _Toc220932444 \h </w:instrText>
      </w:r>
      <w:r>
        <w:fldChar w:fldCharType="separate"/>
      </w:r>
      <w:r>
        <w:t>29</w:t>
      </w:r>
      <w:r>
        <w:fldChar w:fldCharType="end"/>
      </w:r>
      <w:r>
        <w:fldChar w:fldCharType="end"/>
      </w:r>
    </w:p>
    <w:p>
      <w:pPr>
        <w:pStyle w:val="29"/>
        <w:tabs>
          <w:tab w:val="right" w:leader="dot" w:pos="9350"/>
        </w:tabs>
        <w:rPr>
          <w:rFonts w:ascii="Cambria" w:eastAsia="宋体" w:cs="Arial" w:hAnsi="Cambria"/>
          <w:kern w:val="2"/>
          <w:sz w:val="24"/>
          <w:szCs w:val="24"/>
          <w:lang w:val="en-IN"/>
        </w:rPr>
      </w:pPr>
      <w:r>
        <w:fldChar w:fldCharType="begin"/>
      </w:r>
      <w:r>
        <w:instrText>Hyperlink \l "_Toc220932445"</w:instrText>
      </w:r>
      <w:r>
        <w:fldChar w:fldCharType="separate"/>
      </w:r>
      <w:r>
        <w:rPr>
          <w:color w:val="auto"/>
        </w:rPr>
        <w:t>3.7.5 Grey literature</w:t>
      </w:r>
      <w:r>
        <w:tab/>
      </w:r>
      <w:r>
        <w:fldChar w:fldCharType="begin"/>
      </w:r>
      <w:r>
        <w:instrText xml:space="preserve"> PAGEREF _Toc220932445 \h </w:instrText>
      </w:r>
      <w:r>
        <w:fldChar w:fldCharType="separate"/>
      </w:r>
      <w:r>
        <w:t>29</w:t>
      </w:r>
      <w:r>
        <w:fldChar w:fldCharType="end"/>
      </w:r>
      <w:r>
        <w:fldChar w:fldCharType="end"/>
      </w:r>
    </w:p>
    <w:p>
      <w:pPr>
        <w:pStyle w:val="29"/>
        <w:tabs>
          <w:tab w:val="right" w:leader="dot" w:pos="9350"/>
        </w:tabs>
        <w:rPr>
          <w:rFonts w:ascii="Cambria" w:eastAsia="宋体" w:cs="Arial" w:hAnsi="Cambria"/>
          <w:kern w:val="2"/>
          <w:sz w:val="24"/>
          <w:szCs w:val="24"/>
          <w:lang w:val="en-IN"/>
        </w:rPr>
      </w:pPr>
      <w:r>
        <w:fldChar w:fldCharType="begin"/>
      </w:r>
      <w:r>
        <w:instrText>Hyperlink \l "_Toc220932446"</w:instrText>
      </w:r>
      <w:r>
        <w:fldChar w:fldCharType="separate"/>
      </w:r>
      <w:r>
        <w:rPr>
          <w:color w:val="auto"/>
        </w:rPr>
        <w:t>3.8.6 Inclusion and Exclusion criteria</w:t>
      </w:r>
      <w:r>
        <w:tab/>
      </w:r>
      <w:r>
        <w:fldChar w:fldCharType="begin"/>
      </w:r>
      <w:r>
        <w:instrText xml:space="preserve"> PAGEREF _Toc220932446 \h </w:instrText>
      </w:r>
      <w:r>
        <w:fldChar w:fldCharType="separate"/>
      </w:r>
      <w:r>
        <w:t>29</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"_Toc220932447"</w:instrText>
      </w:r>
      <w:r>
        <w:fldChar w:fldCharType="separate"/>
      </w:r>
      <w:r>
        <w:rPr>
          <w:color w:val="auto"/>
        </w:rPr>
        <w:t>3.8 Screening results</w:t>
      </w:r>
      <w:r>
        <w:tab/>
      </w:r>
      <w:r>
        <w:fldChar w:fldCharType="begin"/>
      </w:r>
      <w:r>
        <w:instrText xml:space="preserve"> PAGEREF _Toc220932447 \h </w:instrText>
      </w:r>
      <w:r>
        <w:fldChar w:fldCharType="separate"/>
      </w:r>
      <w:r>
        <w:t>29</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"_Toc220932448"</w:instrText>
      </w:r>
      <w:r>
        <w:fldChar w:fldCharType="separate"/>
      </w:r>
      <w:r>
        <w:rPr>
          <w:color w:val="auto"/>
        </w:rPr>
        <w:t>3.9 Study selection</w:t>
      </w:r>
      <w:r>
        <w:tab/>
      </w:r>
      <w:r>
        <w:fldChar w:fldCharType="begin"/>
      </w:r>
      <w:r>
        <w:instrText xml:space="preserve"> PAGEREF _Toc220932448 \h </w:instrText>
      </w:r>
      <w:r>
        <w:fldChar w:fldCharType="separate"/>
      </w:r>
      <w:r>
        <w:t>30</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"_Toc220932449"</w:instrText>
      </w:r>
      <w:r>
        <w:fldChar w:fldCharType="separate"/>
      </w:r>
      <w:r>
        <w:rPr>
          <w:color w:val="auto"/>
        </w:rPr>
        <w:t>3.10 Retained articles</w:t>
      </w:r>
      <w:r>
        <w:tab/>
      </w:r>
      <w:r>
        <w:fldChar w:fldCharType="begin"/>
      </w:r>
      <w:r>
        <w:instrText xml:space="preserve"> PAGEREF _Toc220932449 \h </w:instrText>
      </w:r>
      <w:r>
        <w:fldChar w:fldCharType="separate"/>
      </w:r>
      <w:r>
        <w:t>30</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"_Toc220932450"</w:instrText>
      </w:r>
      <w:r>
        <w:fldChar w:fldCharType="separate"/>
      </w:r>
      <w:r>
        <w:rPr>
          <w:color w:val="auto"/>
        </w:rPr>
        <w:t>3.11 PRISMA chart</w:t>
      </w:r>
      <w:r>
        <w:tab/>
      </w:r>
      <w:r>
        <w:fldChar w:fldCharType="begin"/>
      </w:r>
      <w:r>
        <w:instrText xml:space="preserve"> PAGEREF _Toc220932450 \h </w:instrText>
      </w:r>
      <w:r>
        <w:fldChar w:fldCharType="separate"/>
      </w:r>
      <w:r>
        <w:t>30</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"_Toc220932451"</w:instrText>
      </w:r>
      <w:r>
        <w:fldChar w:fldCharType="separate"/>
      </w:r>
      <w:r>
        <w:rPr>
          <w:color w:val="auto"/>
        </w:rPr>
        <w:t>3.12 Quality assessment (QA)</w:t>
      </w:r>
      <w:r>
        <w:tab/>
      </w:r>
      <w:r>
        <w:fldChar w:fldCharType="begin"/>
      </w:r>
      <w:r>
        <w:instrText xml:space="preserve"> PAGEREF _Toc220932451 \h </w:instrText>
      </w:r>
      <w:r>
        <w:fldChar w:fldCharType="separate"/>
      </w:r>
      <w:r>
        <w:t>31</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"_Toc220932452"</w:instrText>
      </w:r>
      <w:r>
        <w:fldChar w:fldCharType="separate"/>
      </w:r>
      <w:r>
        <w:rPr>
          <w:color w:val="auto"/>
        </w:rPr>
        <w:t>3.13 Data characteristics and data extraction</w:t>
      </w:r>
      <w:r>
        <w:tab/>
      </w:r>
      <w:r>
        <w:fldChar w:fldCharType="begin"/>
      </w:r>
      <w:r>
        <w:instrText xml:space="preserve"> PAGEREF _Toc220932452 \h </w:instrText>
      </w:r>
      <w:r>
        <w:fldChar w:fldCharType="separate"/>
      </w:r>
      <w:r>
        <w:t>31</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"_Toc220932453"</w:instrText>
      </w:r>
      <w:r>
        <w:fldChar w:fldCharType="separate"/>
      </w:r>
      <w:r>
        <w:rPr>
          <w:color w:val="auto"/>
        </w:rPr>
        <w:t>3.14 Data synthesis</w:t>
      </w:r>
      <w:r>
        <w:tab/>
      </w:r>
      <w:r>
        <w:fldChar w:fldCharType="begin"/>
      </w:r>
      <w:r>
        <w:instrText xml:space="preserve"> PAGEREF _Toc220932453 \h </w:instrText>
      </w:r>
      <w:r>
        <w:fldChar w:fldCharType="separate"/>
      </w:r>
      <w:r>
        <w:t>31</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"_Toc220932454"</w:instrText>
      </w:r>
      <w:r>
        <w:fldChar w:fldCharType="separate"/>
      </w:r>
      <w:r>
        <w:rPr>
          <w:color w:val="auto"/>
        </w:rPr>
        <w:t>3.15 Limitation of the methods</w:t>
      </w:r>
      <w:r>
        <w:tab/>
      </w:r>
      <w:r>
        <w:fldChar w:fldCharType="begin"/>
      </w:r>
      <w:r>
        <w:instrText xml:space="preserve"> PAGEREF _Toc220932454 \h </w:instrText>
      </w:r>
      <w:r>
        <w:fldChar w:fldCharType="separate"/>
      </w:r>
      <w:r>
        <w:t>32</w:t>
      </w:r>
      <w:r>
        <w:fldChar w:fldCharType="end"/>
      </w:r>
      <w:r>
        <w:fldChar w:fldCharType="end"/>
      </w:r>
    </w:p>
    <w:p>
      <w:pPr>
        <w:pStyle w:val="23"/>
        <w:tabs>
          <w:tab w:val="right" w:leader="dot" w:pos="9350"/>
        </w:tabs>
        <w:rPr>
          <w:rFonts w:ascii="Cambria" w:eastAsia="宋体" w:cs="Arial" w:hAnsi="Cambria"/>
          <w:kern w:val="2"/>
          <w:sz w:val="24"/>
          <w:szCs w:val="24"/>
          <w:lang w:val="en-IN"/>
        </w:rPr>
      </w:pPr>
      <w:r>
        <w:fldChar w:fldCharType="begin"/>
      </w:r>
      <w:r>
        <w:instrText>Hyperlink \l "_Toc220932455"</w:instrText>
      </w:r>
      <w:r>
        <w:fldChar w:fldCharType="separate"/>
      </w:r>
      <w:r>
        <w:rPr>
          <w:color w:val="auto"/>
        </w:rPr>
        <w:t>Chapter 4: Results</w:t>
      </w:r>
      <w:r>
        <w:tab/>
      </w:r>
      <w:r>
        <w:fldChar w:fldCharType="begin"/>
      </w:r>
      <w:r>
        <w:instrText xml:space="preserve"> PAGEREF _Toc220932455 \h </w:instrText>
      </w:r>
      <w:r>
        <w:fldChar w:fldCharType="separate"/>
      </w:r>
      <w:r>
        <w:t>33</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"_Toc220932456"</w:instrText>
      </w:r>
      <w:r>
        <w:fldChar w:fldCharType="separate"/>
      </w:r>
      <w:r>
        <w:rPr>
          <w:color w:val="auto"/>
        </w:rPr>
        <w:t>4.1 Introduction</w:t>
      </w:r>
      <w:r>
        <w:tab/>
      </w:r>
      <w:r>
        <w:fldChar w:fldCharType="begin"/>
      </w:r>
      <w:r>
        <w:instrText xml:space="preserve"> PAGEREF _Toc220932456 \h </w:instrText>
      </w:r>
      <w:r>
        <w:fldChar w:fldCharType="separate"/>
      </w:r>
      <w:r>
        <w:t>33</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"_Toc220932457"</w:instrText>
      </w:r>
      <w:r>
        <w:fldChar w:fldCharType="separate"/>
      </w:r>
      <w:r>
        <w:rPr>
          <w:color w:val="auto"/>
        </w:rPr>
        <w:t>4.2 Systematic search databases</w:t>
      </w:r>
      <w:r>
        <w:tab/>
      </w:r>
      <w:r>
        <w:fldChar w:fldCharType="begin"/>
      </w:r>
      <w:r>
        <w:instrText xml:space="preserve"> PAGEREF _Toc220932457 \h </w:instrText>
      </w:r>
      <w:r>
        <w:fldChar w:fldCharType="separate"/>
      </w:r>
      <w:r>
        <w:t>33</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"_Toc220932458"</w:instrText>
      </w:r>
      <w:r>
        <w:fldChar w:fldCharType="separate"/>
      </w:r>
      <w:r>
        <w:rPr>
          <w:color w:val="auto"/>
        </w:rPr>
        <w:t>4.3 Prisma table</w:t>
      </w:r>
      <w:r>
        <w:tab/>
      </w:r>
      <w:r>
        <w:fldChar w:fldCharType="begin"/>
      </w:r>
      <w:r>
        <w:instrText xml:space="preserve"> PAGEREF _Toc220932458 \h </w:instrText>
      </w:r>
      <w:r>
        <w:fldChar w:fldCharType="separate"/>
      </w:r>
      <w:r>
        <w:t>34</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"_Toc220932459"</w:instrText>
      </w:r>
      <w:r>
        <w:fldChar w:fldCharType="separate"/>
      </w:r>
      <w:r>
        <w:rPr>
          <w:color w:val="auto"/>
        </w:rPr>
        <w:t>4.4 Characteristics of all table</w:t>
      </w:r>
      <w:r>
        <w:tab/>
      </w:r>
      <w:r>
        <w:fldChar w:fldCharType="begin"/>
      </w:r>
      <w:r>
        <w:instrText xml:space="preserve"> PAGEREF _Toc220932459 \h </w:instrText>
      </w:r>
      <w:r>
        <w:fldChar w:fldCharType="separate"/>
      </w:r>
      <w:r>
        <w:t>35</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"_Toc220932460"</w:instrText>
      </w:r>
      <w:r>
        <w:fldChar w:fldCharType="separate"/>
      </w:r>
      <w:r>
        <w:rPr>
          <w:color w:val="auto"/>
        </w:rPr>
        <w:t>4.5 Data synthesis</w:t>
      </w:r>
      <w:r>
        <w:tab/>
      </w:r>
      <w:r>
        <w:fldChar w:fldCharType="begin"/>
      </w:r>
      <w:r>
        <w:instrText xml:space="preserve"> PAGEREF _Toc220932460 \h </w:instrText>
      </w:r>
      <w:r>
        <w:fldChar w:fldCharType="separate"/>
      </w:r>
      <w:r>
        <w:t>49</w:t>
      </w:r>
      <w:r>
        <w:fldChar w:fldCharType="end"/>
      </w:r>
      <w:r>
        <w:fldChar w:fldCharType="end"/>
      </w:r>
    </w:p>
    <w:p>
      <w:pPr>
        <w:pStyle w:val="29"/>
        <w:tabs>
          <w:tab w:val="right" w:leader="dot" w:pos="9350"/>
        </w:tabs>
        <w:rPr>
          <w:rFonts w:ascii="Cambria" w:eastAsia="宋体" w:cs="Arial" w:hAnsi="Cambria"/>
          <w:kern w:val="2"/>
          <w:sz w:val="24"/>
          <w:szCs w:val="24"/>
          <w:lang w:val="en-IN"/>
        </w:rPr>
      </w:pPr>
      <w:r>
        <w:fldChar w:fldCharType="begin"/>
      </w:r>
      <w:r>
        <w:instrText>Hyperlink \l "_Toc220932461"</w:instrText>
      </w:r>
      <w:r>
        <w:fldChar w:fldCharType="separate"/>
      </w:r>
      <w:r>
        <w:rPr>
          <w:color w:val="auto"/>
        </w:rPr>
        <w:t>4.5.1 Theme 1: Anticipated responsibilities for informal carers in medication &amp; behaviour management</w:t>
      </w:r>
      <w:r>
        <w:tab/>
      </w:r>
      <w:r>
        <w:fldChar w:fldCharType="begin"/>
      </w:r>
      <w:r>
        <w:instrText xml:space="preserve"> PAGEREF _Toc220932461 \h </w:instrText>
      </w:r>
      <w:r>
        <w:fldChar w:fldCharType="separate"/>
      </w:r>
      <w:r>
        <w:t>49</w:t>
      </w:r>
      <w:r>
        <w:fldChar w:fldCharType="end"/>
      </w:r>
      <w:r>
        <w:fldChar w:fldCharType="end"/>
      </w:r>
    </w:p>
    <w:p>
      <w:pPr>
        <w:pStyle w:val="29"/>
        <w:tabs>
          <w:tab w:val="right" w:leader="dot" w:pos="9350"/>
        </w:tabs>
        <w:rPr>
          <w:rFonts w:ascii="Cambria" w:eastAsia="宋体" w:cs="Arial" w:hAnsi="Cambria"/>
          <w:kern w:val="2"/>
          <w:sz w:val="24"/>
          <w:szCs w:val="24"/>
          <w:lang w:val="en-IN"/>
        </w:rPr>
      </w:pPr>
      <w:r>
        <w:fldChar w:fldCharType="begin"/>
      </w:r>
      <w:r>
        <w:instrText>Hyperlink \l "_Toc220932462"</w:instrText>
      </w:r>
      <w:r>
        <w:fldChar w:fldCharType="separate"/>
      </w:r>
      <w:r>
        <w:rPr>
          <w:color w:val="auto"/>
        </w:rPr>
        <w:t>4.5.2 Theme 2: Informal carer’s approaches for behavioural, management &amp; medication</w:t>
      </w:r>
      <w:r>
        <w:tab/>
      </w:r>
      <w:r>
        <w:fldChar w:fldCharType="begin"/>
      </w:r>
      <w:r>
        <w:instrText xml:space="preserve"> PAGEREF _Toc220932462 \h </w:instrText>
      </w:r>
      <w:r>
        <w:fldChar w:fldCharType="separate"/>
      </w:r>
      <w:r>
        <w:t>50</w:t>
      </w:r>
      <w:r>
        <w:fldChar w:fldCharType="end"/>
      </w:r>
      <w:r>
        <w:fldChar w:fldCharType="end"/>
      </w:r>
    </w:p>
    <w:p>
      <w:pPr>
        <w:pStyle w:val="29"/>
        <w:tabs>
          <w:tab w:val="right" w:leader="dot" w:pos="9350"/>
        </w:tabs>
        <w:rPr>
          <w:rFonts w:ascii="Cambria" w:eastAsia="宋体" w:cs="Arial" w:hAnsi="Cambria"/>
          <w:kern w:val="2"/>
          <w:sz w:val="24"/>
          <w:szCs w:val="24"/>
          <w:lang w:val="en-IN"/>
        </w:rPr>
      </w:pPr>
      <w:r>
        <w:fldChar w:fldCharType="begin"/>
      </w:r>
      <w:r>
        <w:instrText>Hyperlink \l "_Toc220932463"</w:instrText>
      </w:r>
      <w:r>
        <w:fldChar w:fldCharType="separate"/>
      </w:r>
      <w:r>
        <w:rPr>
          <w:color w:val="auto"/>
        </w:rPr>
        <w:t>4.5.3 Theme 3: Future training and resource requirements for informal carers to enhance dementia care quality</w:t>
      </w:r>
      <w:r>
        <w:tab/>
      </w:r>
      <w:r>
        <w:fldChar w:fldCharType="begin"/>
      </w:r>
      <w:r>
        <w:instrText xml:space="preserve"> PAGEREF _Toc220932463 \h </w:instrText>
      </w:r>
      <w:r>
        <w:fldChar w:fldCharType="separate"/>
      </w:r>
      <w:r>
        <w:t>50</w:t>
      </w:r>
      <w:r>
        <w:fldChar w:fldCharType="end"/>
      </w:r>
      <w:r>
        <w:fldChar w:fldCharType="end"/>
      </w:r>
    </w:p>
    <w:p>
      <w:pPr>
        <w:pStyle w:val="29"/>
        <w:tabs>
          <w:tab w:val="right" w:leader="dot" w:pos="9350"/>
        </w:tabs>
        <w:rPr>
          <w:rFonts w:ascii="Cambria" w:eastAsia="宋体" w:cs="Arial" w:hAnsi="Cambria"/>
          <w:kern w:val="2"/>
          <w:sz w:val="24"/>
          <w:szCs w:val="24"/>
          <w:lang w:val="en-IN"/>
        </w:rPr>
      </w:pPr>
      <w:r>
        <w:fldChar w:fldCharType="begin"/>
      </w:r>
      <w:r>
        <w:instrText>Hyperlink \l "_Toc220932464"</w:instrText>
      </w:r>
      <w:r>
        <w:fldChar w:fldCharType="separate"/>
      </w:r>
      <w:r>
        <w:rPr>
          <w:color w:val="auto"/>
        </w:rPr>
        <w:t>4.5.4 Theme 4: Evidence-based strategies to support informal carers in medication and behavioural management roles</w:t>
      </w:r>
      <w:r>
        <w:tab/>
      </w:r>
      <w:r>
        <w:fldChar w:fldCharType="begin"/>
      </w:r>
      <w:r>
        <w:instrText xml:space="preserve"> PAGEREF _Toc220932464 \h </w:instrText>
      </w:r>
      <w:r>
        <w:fldChar w:fldCharType="separate"/>
      </w:r>
      <w:r>
        <w:t>51</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"_Toc220932465"</w:instrText>
      </w:r>
      <w:r>
        <w:fldChar w:fldCharType="separate"/>
      </w:r>
      <w:r>
        <w:rPr>
          <w:color w:val="auto"/>
        </w:rPr>
        <w:t>4.6 Summary</w:t>
      </w:r>
      <w:r>
        <w:tab/>
      </w:r>
      <w:r>
        <w:fldChar w:fldCharType="begin"/>
      </w:r>
      <w:r>
        <w:instrText xml:space="preserve"> PAGEREF _Toc220932465 \h </w:instrText>
      </w:r>
      <w:r>
        <w:fldChar w:fldCharType="separate"/>
      </w:r>
      <w:r>
        <w:t>53</w:t>
      </w:r>
      <w:r>
        <w:fldChar w:fldCharType="end"/>
      </w:r>
      <w:r>
        <w:fldChar w:fldCharType="end"/>
      </w:r>
    </w:p>
    <w:p>
      <w:pPr>
        <w:pStyle w:val="23"/>
        <w:tabs>
          <w:tab w:val="right" w:leader="dot" w:pos="9350"/>
        </w:tabs>
        <w:rPr>
          <w:rFonts w:ascii="Cambria" w:eastAsia="宋体" w:cs="Arial" w:hAnsi="Cambria"/>
          <w:kern w:val="2"/>
          <w:sz w:val="24"/>
          <w:szCs w:val="24"/>
          <w:lang w:val="en-IN"/>
        </w:rPr>
      </w:pPr>
      <w:r>
        <w:fldChar w:fldCharType="begin"/>
      </w:r>
      <w:r>
        <w:instrText>Hyperlink \l "_Toc220932466"</w:instrText>
      </w:r>
      <w:r>
        <w:fldChar w:fldCharType="separate"/>
      </w:r>
      <w:r>
        <w:rPr>
          <w:color w:val="auto"/>
        </w:rPr>
        <w:t>Chapter 5: Discussion</w:t>
      </w:r>
      <w:r>
        <w:tab/>
      </w:r>
      <w:r>
        <w:fldChar w:fldCharType="begin"/>
      </w:r>
      <w:r>
        <w:instrText xml:space="preserve"> PAGEREF _Toc220932466 \h </w:instrText>
      </w:r>
      <w:r>
        <w:fldChar w:fldCharType="separate"/>
      </w:r>
      <w:r>
        <w:t>55</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"_Toc220932467"</w:instrText>
      </w:r>
      <w:r>
        <w:fldChar w:fldCharType="separate"/>
      </w:r>
      <w:r>
        <w:rPr>
          <w:color w:val="auto"/>
        </w:rPr>
        <w:t>5.1 Introduction</w:t>
      </w:r>
      <w:r>
        <w:tab/>
      </w:r>
      <w:r>
        <w:fldChar w:fldCharType="begin"/>
      </w:r>
      <w:r>
        <w:instrText xml:space="preserve"> PAGEREF _Toc220932467 \h </w:instrText>
      </w:r>
      <w:r>
        <w:fldChar w:fldCharType="separate"/>
      </w:r>
      <w:r>
        <w:t>55</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"_Toc220932468"</w:instrText>
      </w:r>
      <w:r>
        <w:fldChar w:fldCharType="separate"/>
      </w:r>
      <w:r>
        <w:rPr>
          <w:color w:val="auto"/>
        </w:rPr>
        <w:t>5.2 Critical Discussion of Thematic Findings</w:t>
      </w:r>
      <w:r>
        <w:tab/>
      </w:r>
      <w:r>
        <w:fldChar w:fldCharType="begin"/>
      </w:r>
      <w:r>
        <w:instrText xml:space="preserve"> PAGEREF _Toc220932468 \h </w:instrText>
      </w:r>
      <w:r>
        <w:fldChar w:fldCharType="separate"/>
      </w:r>
      <w:r>
        <w:t>56</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"_Toc220932469"</w:instrText>
      </w:r>
      <w:r>
        <w:fldChar w:fldCharType="separate"/>
      </w:r>
      <w:r>
        <w:rPr>
          <w:color w:val="auto"/>
        </w:rPr>
        <w:t>5.3 Discussion of Findings in Relation to Research Objectives</w:t>
      </w:r>
      <w:r>
        <w:tab/>
      </w:r>
      <w:r>
        <w:fldChar w:fldCharType="begin"/>
      </w:r>
      <w:r>
        <w:instrText xml:space="preserve"> PAGEREF _Toc220932469 \h </w:instrText>
      </w:r>
      <w:r>
        <w:fldChar w:fldCharType="separate"/>
      </w:r>
      <w:r>
        <w:t>56</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"_Toc220932470"</w:instrText>
      </w:r>
      <w:r>
        <w:fldChar w:fldCharType="separate"/>
      </w:r>
      <w:r>
        <w:rPr>
          <w:color w:val="auto"/>
        </w:rPr>
        <w:t>5.4 Comparison with Existing Literature and Theoretical Context</w:t>
      </w:r>
      <w:r>
        <w:tab/>
      </w:r>
      <w:r>
        <w:fldChar w:fldCharType="begin"/>
      </w:r>
      <w:r>
        <w:instrText xml:space="preserve"> PAGEREF _Toc220932470 \h </w:instrText>
      </w:r>
      <w:r>
        <w:fldChar w:fldCharType="separate"/>
      </w:r>
      <w:r>
        <w:t>57</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"_Toc220932471"</w:instrText>
      </w:r>
      <w:r>
        <w:fldChar w:fldCharType="separate"/>
      </w:r>
      <w:r>
        <w:rPr>
          <w:color w:val="auto"/>
        </w:rPr>
        <w:t>5.5 Implications for Practice, Policy, and Research</w:t>
      </w:r>
      <w:r>
        <w:tab/>
      </w:r>
      <w:r>
        <w:fldChar w:fldCharType="begin"/>
      </w:r>
      <w:r>
        <w:instrText xml:space="preserve"> PAGEREF _Toc220932471 \h </w:instrText>
      </w:r>
      <w:r>
        <w:fldChar w:fldCharType="separate"/>
      </w:r>
      <w:r>
        <w:t>58</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"_Toc220932472"</w:instrText>
      </w:r>
      <w:r>
        <w:fldChar w:fldCharType="separate"/>
      </w:r>
      <w:r>
        <w:rPr>
          <w:color w:val="auto"/>
        </w:rPr>
        <w:t>5.6 Strengths and Limitations</w:t>
      </w:r>
      <w:r>
        <w:tab/>
      </w:r>
      <w:r>
        <w:fldChar w:fldCharType="begin"/>
      </w:r>
      <w:r>
        <w:instrText xml:space="preserve"> PAGEREF _Toc220932472 \h </w:instrText>
      </w:r>
      <w:r>
        <w:fldChar w:fldCharType="separate"/>
      </w:r>
      <w:r>
        <w:t>58</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"_Toc220932473"</w:instrText>
      </w:r>
      <w:r>
        <w:fldChar w:fldCharType="separate"/>
      </w:r>
      <w:r>
        <w:rPr>
          <w:color w:val="auto"/>
        </w:rPr>
        <w:t>5.7 Conclusion</w:t>
      </w:r>
      <w:r>
        <w:tab/>
      </w:r>
      <w:r>
        <w:fldChar w:fldCharType="begin"/>
      </w:r>
      <w:r>
        <w:instrText xml:space="preserve"> PAGEREF _Toc220932473 \h </w:instrText>
      </w:r>
      <w:r>
        <w:fldChar w:fldCharType="separate"/>
      </w:r>
      <w:r>
        <w:t>58</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"_Toc220932474"</w:instrText>
      </w:r>
      <w:r>
        <w:fldChar w:fldCharType="separate"/>
      </w:r>
      <w:r>
        <w:rPr>
          <w:color w:val="auto"/>
        </w:rPr>
        <w:t>5.8 Conclusion and Recommendation</w:t>
      </w:r>
      <w:r>
        <w:tab/>
      </w:r>
      <w:r>
        <w:fldChar w:fldCharType="begin"/>
      </w:r>
      <w:r>
        <w:instrText xml:space="preserve"> PAGEREF _Toc220932474 \h </w:instrText>
      </w:r>
      <w:r>
        <w:fldChar w:fldCharType="separate"/>
      </w:r>
      <w:r>
        <w:t>59</w:t>
      </w:r>
      <w:r>
        <w:fldChar w:fldCharType="end"/>
      </w:r>
      <w:r>
        <w:fldChar w:fldCharType="end"/>
      </w:r>
    </w:p>
    <w:p>
      <w:pPr>
        <w:pStyle w:val="29"/>
        <w:tabs>
          <w:tab w:val="right" w:leader="dot" w:pos="9350"/>
        </w:tabs>
        <w:rPr>
          <w:rFonts w:ascii="Cambria" w:eastAsia="宋体" w:cs="Arial" w:hAnsi="Cambria"/>
          <w:kern w:val="2"/>
          <w:sz w:val="24"/>
          <w:szCs w:val="24"/>
          <w:lang w:val="en-IN"/>
        </w:rPr>
      </w:pPr>
      <w:r>
        <w:fldChar w:fldCharType="begin"/>
      </w:r>
      <w:r>
        <w:instrText>Hyperlink \l "_Toc220932475"</w:instrText>
      </w:r>
      <w:r>
        <w:fldChar w:fldCharType="separate"/>
      </w:r>
      <w:r>
        <w:rPr>
          <w:color w:val="auto"/>
        </w:rPr>
        <w:t>5.8.1 Main research question</w:t>
      </w:r>
      <w:r>
        <w:tab/>
      </w:r>
      <w:r>
        <w:fldChar w:fldCharType="begin"/>
      </w:r>
      <w:r>
        <w:instrText xml:space="preserve"> PAGEREF _Toc220932475 \h </w:instrText>
      </w:r>
      <w:r>
        <w:fldChar w:fldCharType="separate"/>
      </w:r>
      <w:r>
        <w:t>59</w:t>
      </w:r>
      <w:r>
        <w:fldChar w:fldCharType="end"/>
      </w:r>
      <w:r>
        <w:fldChar w:fldCharType="end"/>
      </w:r>
    </w:p>
    <w:p>
      <w:pPr>
        <w:pStyle w:val="29"/>
        <w:tabs>
          <w:tab w:val="right" w:leader="dot" w:pos="9350"/>
        </w:tabs>
        <w:rPr>
          <w:rFonts w:ascii="Cambria" w:eastAsia="宋体" w:cs="Arial" w:hAnsi="Cambria"/>
          <w:kern w:val="2"/>
          <w:sz w:val="24"/>
          <w:szCs w:val="24"/>
          <w:lang w:val="en-IN"/>
        </w:rPr>
      </w:pPr>
      <w:r>
        <w:fldChar w:fldCharType="begin"/>
      </w:r>
      <w:r>
        <w:instrText>Hyperlink \l "_Toc220932476"</w:instrText>
      </w:r>
      <w:r>
        <w:fldChar w:fldCharType="separate"/>
      </w:r>
      <w:r>
        <w:rPr>
          <w:color w:val="auto"/>
        </w:rPr>
        <w:t>5.8.1.1 Overall conclusion</w:t>
      </w:r>
      <w:r>
        <w:tab/>
      </w:r>
      <w:r>
        <w:fldChar w:fldCharType="begin"/>
      </w:r>
      <w:r>
        <w:instrText xml:space="preserve"> PAGEREF _Toc220932476 \h </w:instrText>
      </w:r>
      <w:r>
        <w:fldChar w:fldCharType="separate"/>
      </w:r>
      <w:r>
        <w:t>59</w:t>
      </w:r>
      <w:r>
        <w:fldChar w:fldCharType="end"/>
      </w:r>
      <w:r>
        <w:fldChar w:fldCharType="end"/>
      </w:r>
    </w:p>
    <w:p>
      <w:pPr>
        <w:pStyle w:val="29"/>
        <w:tabs>
          <w:tab w:val="right" w:leader="dot" w:pos="9350"/>
        </w:tabs>
        <w:rPr>
          <w:rFonts w:ascii="Cambria" w:eastAsia="宋体" w:cs="Arial" w:hAnsi="Cambria"/>
          <w:kern w:val="2"/>
          <w:sz w:val="24"/>
          <w:szCs w:val="24"/>
          <w:lang w:val="en-IN"/>
        </w:rPr>
      </w:pPr>
      <w:r>
        <w:fldChar w:fldCharType="begin"/>
      </w:r>
      <w:r>
        <w:instrText>Hyperlink \l "_Toc220932477"</w:instrText>
      </w:r>
      <w:r>
        <w:fldChar w:fldCharType="separate"/>
      </w:r>
      <w:r>
        <w:rPr>
          <w:color w:val="auto"/>
        </w:rPr>
        <w:t>5.8.2 Reflecting on the research</w:t>
      </w:r>
      <w:r>
        <w:tab/>
      </w:r>
      <w:r>
        <w:fldChar w:fldCharType="begin"/>
      </w:r>
      <w:r>
        <w:instrText xml:space="preserve"> PAGEREF _Toc220932477 \h </w:instrText>
      </w:r>
      <w:r>
        <w:fldChar w:fldCharType="separate"/>
      </w:r>
      <w:r>
        <w:t>60</w:t>
      </w:r>
      <w:r>
        <w:fldChar w:fldCharType="end"/>
      </w:r>
      <w:r>
        <w:fldChar w:fldCharType="end"/>
      </w:r>
    </w:p>
    <w:p>
      <w:pPr>
        <w:pStyle w:val="29"/>
        <w:tabs>
          <w:tab w:val="right" w:leader="dot" w:pos="9350"/>
        </w:tabs>
        <w:rPr>
          <w:rFonts w:ascii="Cambria" w:eastAsia="宋体" w:cs="Arial" w:hAnsi="Cambria"/>
          <w:kern w:val="2"/>
          <w:sz w:val="24"/>
          <w:szCs w:val="24"/>
          <w:lang w:val="en-IN"/>
        </w:rPr>
      </w:pPr>
      <w:r>
        <w:fldChar w:fldCharType="begin"/>
      </w:r>
      <w:r>
        <w:instrText>Hyperlink \l "_Toc220932478"</w:instrText>
      </w:r>
      <w:r>
        <w:fldChar w:fldCharType="separate"/>
      </w:r>
      <w:r>
        <w:rPr>
          <w:color w:val="auto"/>
        </w:rPr>
        <w:t>5.8.2.1 Your effective approach</w:t>
      </w:r>
      <w:r>
        <w:tab/>
      </w:r>
      <w:r>
        <w:fldChar w:fldCharType="begin"/>
      </w:r>
      <w:r>
        <w:instrText xml:space="preserve"> PAGEREF _Toc220932478 \h </w:instrText>
      </w:r>
      <w:r>
        <w:fldChar w:fldCharType="separate"/>
      </w:r>
      <w:r>
        <w:t>60</w:t>
      </w:r>
      <w:r>
        <w:fldChar w:fldCharType="end"/>
      </w:r>
      <w:r>
        <w:fldChar w:fldCharType="end"/>
      </w:r>
    </w:p>
    <w:p>
      <w:pPr>
        <w:pStyle w:val="29"/>
        <w:tabs>
          <w:tab w:val="right" w:leader="dot" w:pos="9350"/>
        </w:tabs>
        <w:rPr>
          <w:rFonts w:ascii="Cambria" w:eastAsia="宋体" w:cs="Arial" w:hAnsi="Cambria"/>
          <w:kern w:val="2"/>
          <w:sz w:val="24"/>
          <w:szCs w:val="24"/>
          <w:lang w:val="en-IN"/>
        </w:rPr>
      </w:pPr>
      <w:r>
        <w:fldChar w:fldCharType="begin"/>
      </w:r>
      <w:r>
        <w:instrText>Hyperlink \l "_Toc220932479"</w:instrText>
      </w:r>
      <w:r>
        <w:fldChar w:fldCharType="separate"/>
      </w:r>
      <w:r>
        <w:rPr>
          <w:color w:val="auto"/>
        </w:rPr>
        <w:t>5.8.2.2 Raising new questions or unexpected insights</w:t>
      </w:r>
      <w:r>
        <w:tab/>
      </w:r>
      <w:r>
        <w:fldChar w:fldCharType="begin"/>
      </w:r>
      <w:r>
        <w:instrText xml:space="preserve"> PAGEREF _Toc220932479 \h </w:instrText>
      </w:r>
      <w:r>
        <w:fldChar w:fldCharType="separate"/>
      </w:r>
      <w:r>
        <w:t>60</w:t>
      </w:r>
      <w:r>
        <w:fldChar w:fldCharType="end"/>
      </w:r>
      <w:r>
        <w:fldChar w:fldCharType="end"/>
      </w:r>
    </w:p>
    <w:p>
      <w:pPr>
        <w:pStyle w:val="29"/>
        <w:tabs>
          <w:tab w:val="right" w:leader="dot" w:pos="9350"/>
        </w:tabs>
        <w:rPr>
          <w:rFonts w:ascii="Cambria" w:eastAsia="宋体" w:cs="Arial" w:hAnsi="Cambria"/>
          <w:kern w:val="2"/>
          <w:sz w:val="24"/>
          <w:szCs w:val="24"/>
          <w:lang w:val="en-IN"/>
        </w:rPr>
      </w:pPr>
      <w:r>
        <w:fldChar w:fldCharType="begin"/>
      </w:r>
      <w:r>
        <w:instrText>Hyperlink \l "_Toc220932480"</w:instrText>
      </w:r>
      <w:r>
        <w:fldChar w:fldCharType="separate"/>
      </w:r>
      <w:r>
        <w:rPr>
          <w:color w:val="auto"/>
        </w:rPr>
        <w:t>5.8.3 Recommendations</w:t>
      </w:r>
      <w:r>
        <w:tab/>
      </w:r>
      <w:r>
        <w:fldChar w:fldCharType="begin"/>
      </w:r>
      <w:r>
        <w:instrText xml:space="preserve"> PAGEREF _Toc220932480 \h </w:instrText>
      </w:r>
      <w:r>
        <w:fldChar w:fldCharType="separate"/>
      </w:r>
      <w:r>
        <w:t>61</w:t>
      </w:r>
      <w:r>
        <w:fldChar w:fldCharType="end"/>
      </w:r>
      <w:r>
        <w:fldChar w:fldCharType="end"/>
      </w:r>
    </w:p>
    <w:p>
      <w:pPr>
        <w:pStyle w:val="29"/>
        <w:tabs>
          <w:tab w:val="right" w:leader="dot" w:pos="9350"/>
        </w:tabs>
        <w:rPr>
          <w:rFonts w:ascii="Cambria" w:eastAsia="宋体" w:cs="Arial" w:hAnsi="Cambria"/>
          <w:kern w:val="2"/>
          <w:sz w:val="24"/>
          <w:szCs w:val="24"/>
          <w:lang w:val="en-IN"/>
        </w:rPr>
      </w:pPr>
      <w:r>
        <w:fldChar w:fldCharType="begin"/>
      </w:r>
      <w:r>
        <w:instrText>Hyperlink \l "_Toc220932481"</w:instrText>
      </w:r>
      <w:r>
        <w:fldChar w:fldCharType="separate"/>
      </w:r>
      <w:r>
        <w:rPr>
          <w:color w:val="auto"/>
        </w:rPr>
        <w:t>5.8.3.1 Making recommendations for practice or future</w:t>
      </w:r>
      <w:r>
        <w:tab/>
      </w:r>
      <w:r>
        <w:fldChar w:fldCharType="begin"/>
      </w:r>
      <w:r>
        <w:instrText xml:space="preserve"> PAGEREF _Toc220932481 \h </w:instrText>
      </w:r>
      <w:r>
        <w:fldChar w:fldCharType="separate"/>
      </w:r>
      <w:r>
        <w:t>61</w:t>
      </w:r>
      <w:r>
        <w:fldChar w:fldCharType="end"/>
      </w:r>
      <w:r>
        <w:fldChar w:fldCharType="end"/>
      </w:r>
    </w:p>
    <w:p>
      <w:pPr>
        <w:pStyle w:val="29"/>
        <w:tabs>
          <w:tab w:val="right" w:leader="dot" w:pos="9350"/>
        </w:tabs>
        <w:rPr>
          <w:rFonts w:ascii="Cambria" w:eastAsia="宋体" w:cs="Arial" w:hAnsi="Cambria"/>
          <w:kern w:val="2"/>
          <w:sz w:val="24"/>
          <w:szCs w:val="24"/>
          <w:lang w:val="en-IN"/>
        </w:rPr>
      </w:pPr>
      <w:r>
        <w:fldChar w:fldCharType="begin"/>
      </w:r>
      <w:r>
        <w:instrText>Hyperlink \l "_Toc220932482"</w:instrText>
      </w:r>
      <w:r>
        <w:fldChar w:fldCharType="separate"/>
      </w:r>
      <w:r>
        <w:rPr>
          <w:color w:val="auto"/>
        </w:rPr>
        <w:t>5.8.3.2 Framing practical recommendations</w:t>
      </w:r>
      <w:r>
        <w:tab/>
      </w:r>
      <w:r>
        <w:fldChar w:fldCharType="begin"/>
      </w:r>
      <w:r>
        <w:instrText xml:space="preserve"> PAGEREF _Toc220932482 \h </w:instrText>
      </w:r>
      <w:r>
        <w:fldChar w:fldCharType="separate"/>
      </w:r>
      <w:r>
        <w:t>61</w:t>
      </w:r>
      <w:r>
        <w:fldChar w:fldCharType="end"/>
      </w:r>
      <w:r>
        <w:fldChar w:fldCharType="end"/>
      </w:r>
    </w:p>
    <w:p>
      <w:pPr>
        <w:pStyle w:val="29"/>
        <w:tabs>
          <w:tab w:val="right" w:leader="dot" w:pos="9350"/>
        </w:tabs>
        <w:rPr>
          <w:rFonts w:ascii="Cambria" w:eastAsia="宋体" w:cs="Arial" w:hAnsi="Cambria"/>
          <w:kern w:val="2"/>
          <w:sz w:val="24"/>
          <w:szCs w:val="24"/>
          <w:lang w:val="en-IN"/>
        </w:rPr>
      </w:pPr>
      <w:r>
        <w:fldChar w:fldCharType="begin"/>
      </w:r>
      <w:r>
        <w:instrText>Hyperlink \l "_Toc220932483"</w:instrText>
      </w:r>
      <w:r>
        <w:fldChar w:fldCharType="separate"/>
      </w:r>
      <w:r>
        <w:rPr>
          <w:color w:val="auto"/>
        </w:rPr>
        <w:t>5.8.3.3 Research recommendations explaining future studies</w:t>
      </w:r>
      <w:r>
        <w:tab/>
      </w:r>
      <w:r>
        <w:fldChar w:fldCharType="begin"/>
      </w:r>
      <w:r>
        <w:instrText xml:space="preserve"> PAGEREF _Toc220932483 \h </w:instrText>
      </w:r>
      <w:r>
        <w:fldChar w:fldCharType="separate"/>
      </w:r>
      <w:r>
        <w:t>61</w:t>
      </w:r>
      <w:r>
        <w:fldChar w:fldCharType="end"/>
      </w:r>
      <w:r>
        <w:fldChar w:fldCharType="end"/>
      </w:r>
    </w:p>
    <w:p>
      <w:pPr>
        <w:pStyle w:val="29"/>
        <w:tabs>
          <w:tab w:val="right" w:leader="dot" w:pos="9350"/>
        </w:tabs>
        <w:rPr>
          <w:rFonts w:ascii="Cambria" w:eastAsia="宋体" w:cs="Arial" w:hAnsi="Cambria"/>
          <w:kern w:val="2"/>
          <w:sz w:val="24"/>
          <w:szCs w:val="24"/>
          <w:lang w:val="en-IN"/>
        </w:rPr>
      </w:pPr>
      <w:r>
        <w:fldChar w:fldCharType="begin"/>
      </w:r>
      <w:r>
        <w:instrText>Hyperlink \l "_Toc220932484"</w:instrText>
      </w:r>
      <w:r>
        <w:fldChar w:fldCharType="separate"/>
      </w:r>
      <w:r>
        <w:rPr>
          <w:color w:val="auto"/>
        </w:rPr>
        <w:t>5.8.4 Emphasizing your contribution</w:t>
      </w:r>
      <w:r>
        <w:tab/>
      </w:r>
      <w:r>
        <w:fldChar w:fldCharType="begin"/>
      </w:r>
      <w:r>
        <w:instrText xml:space="preserve"> PAGEREF _Toc220932484 \h </w:instrText>
      </w:r>
      <w:r>
        <w:fldChar w:fldCharType="separate"/>
      </w:r>
      <w:r>
        <w:t>62</w:t>
      </w:r>
      <w:r>
        <w:fldChar w:fldCharType="end"/>
      </w:r>
      <w:r>
        <w:fldChar w:fldCharType="end"/>
      </w:r>
    </w:p>
    <w:p>
      <w:pPr>
        <w:pStyle w:val="29"/>
        <w:tabs>
          <w:tab w:val="right" w:leader="dot" w:pos="9350"/>
        </w:tabs>
        <w:rPr>
          <w:rFonts w:ascii="Cambria" w:eastAsia="宋体" w:cs="Arial" w:hAnsi="Cambria"/>
          <w:kern w:val="2"/>
          <w:sz w:val="24"/>
          <w:szCs w:val="24"/>
          <w:lang w:val="en-IN"/>
        </w:rPr>
      </w:pPr>
      <w:r>
        <w:fldChar w:fldCharType="begin"/>
      </w:r>
      <w:r>
        <w:instrText>Hyperlink \l "_Toc220932485"</w:instrText>
      </w:r>
      <w:r>
        <w:fldChar w:fldCharType="separate"/>
      </w:r>
      <w:r>
        <w:rPr>
          <w:color w:val="auto"/>
        </w:rPr>
        <w:t>5.8.4.1 New knowledge have been contributed</w:t>
      </w:r>
      <w:r>
        <w:tab/>
      </w:r>
      <w:r>
        <w:fldChar w:fldCharType="begin"/>
      </w:r>
      <w:r>
        <w:instrText xml:space="preserve"> PAGEREF _Toc220932485 \h </w:instrText>
      </w:r>
      <w:r>
        <w:fldChar w:fldCharType="separate"/>
      </w:r>
      <w:r>
        <w:t>62</w:t>
      </w:r>
      <w:r>
        <w:fldChar w:fldCharType="end"/>
      </w:r>
      <w:r>
        <w:fldChar w:fldCharType="end"/>
      </w:r>
    </w:p>
    <w:p>
      <w:pPr>
        <w:pStyle w:val="29"/>
        <w:tabs>
          <w:tab w:val="right" w:leader="dot" w:pos="9350"/>
        </w:tabs>
        <w:rPr>
          <w:rFonts w:ascii="Cambria" w:eastAsia="宋体" w:cs="Arial" w:hAnsi="Cambria"/>
          <w:kern w:val="2"/>
          <w:sz w:val="24"/>
          <w:szCs w:val="24"/>
          <w:lang w:val="en-IN"/>
        </w:rPr>
      </w:pPr>
      <w:r>
        <w:fldChar w:fldCharType="begin"/>
      </w:r>
      <w:r>
        <w:instrText>Hyperlink \l "_Toc220932486"</w:instrText>
      </w:r>
      <w:r>
        <w:fldChar w:fldCharType="separate"/>
      </w:r>
      <w:r>
        <w:rPr>
          <w:color w:val="auto"/>
        </w:rPr>
        <w:t>5.8.4.2 Clear impression of why research matters</w:t>
      </w:r>
      <w:r>
        <w:tab/>
      </w:r>
      <w:r>
        <w:fldChar w:fldCharType="begin"/>
      </w:r>
      <w:r>
        <w:instrText xml:space="preserve"> PAGEREF _Toc220932486 \h </w:instrText>
      </w:r>
      <w:r>
        <w:fldChar w:fldCharType="separate"/>
      </w:r>
      <w:r>
        <w:t>62</w:t>
      </w:r>
      <w:r>
        <w:fldChar w:fldCharType="end"/>
      </w:r>
      <w:r>
        <w:fldChar w:fldCharType="end"/>
      </w:r>
    </w:p>
    <w:p>
      <w:pPr>
        <w:pStyle w:val="23"/>
        <w:tabs>
          <w:tab w:val="right" w:leader="dot" w:pos="9350"/>
        </w:tabs>
        <w:rPr>
          <w:rFonts w:ascii="Cambria" w:eastAsia="宋体" w:cs="Arial" w:hAnsi="Cambria"/>
          <w:kern w:val="2"/>
          <w:sz w:val="24"/>
          <w:szCs w:val="24"/>
          <w:lang w:val="en-IN"/>
        </w:rPr>
      </w:pPr>
      <w:r>
        <w:fldChar w:fldCharType="begin"/>
      </w:r>
      <w:r>
        <w:instrText>Hyperlink \l "_Toc220932487"</w:instrText>
      </w:r>
      <w:r>
        <w:fldChar w:fldCharType="separate"/>
      </w:r>
      <w:r>
        <w:rPr>
          <w:color w:val="auto"/>
        </w:rPr>
        <w:t>References</w:t>
      </w:r>
      <w:r>
        <w:tab/>
      </w:r>
      <w:r>
        <w:fldChar w:fldCharType="begin"/>
      </w:r>
      <w:r>
        <w:instrText xml:space="preserve"> PAGEREF _Toc220932487 \h </w:instrText>
      </w:r>
      <w:r>
        <w:fldChar w:fldCharType="separate"/>
      </w:r>
      <w:r>
        <w:t>63</w:t>
      </w:r>
      <w:r>
        <w:fldChar w:fldCharType="end"/>
      </w:r>
      <w:r>
        <w:fldChar w:fldCharType="end"/>
      </w:r>
    </w:p>
    <w:p>
      <w:pPr>
        <w:pStyle w:val="23"/>
        <w:tabs>
          <w:tab w:val="right" w:leader="dot" w:pos="9350"/>
        </w:tabs>
        <w:rPr>
          <w:rFonts w:ascii="Cambria" w:eastAsia="宋体" w:cs="Arial" w:hAnsi="Cambria"/>
          <w:kern w:val="2"/>
          <w:sz w:val="24"/>
          <w:szCs w:val="24"/>
          <w:lang w:val="en-IN"/>
        </w:rPr>
      </w:pPr>
      <w:r>
        <w:fldChar w:fldCharType="begin"/>
      </w:r>
      <w:r>
        <w:instrText>Hyperlink \l "_Toc220932488"</w:instrText>
      </w:r>
      <w:r>
        <w:fldChar w:fldCharType="separate"/>
      </w:r>
      <w:r>
        <w:rPr>
          <w:color w:val="auto"/>
        </w:rPr>
        <w:t>Appendix</w:t>
      </w:r>
      <w:r>
        <w:tab/>
      </w:r>
      <w:r>
        <w:fldChar w:fldCharType="begin"/>
      </w:r>
      <w:r>
        <w:instrText xml:space="preserve"> PAGEREF _Toc220932488 \h </w:instrText>
      </w:r>
      <w:r>
        <w:fldChar w:fldCharType="separate"/>
      </w:r>
      <w:r>
        <w:t>75</w:t>
      </w:r>
      <w:r>
        <w:fldChar w:fldCharType="end"/>
      </w:r>
      <w:r>
        <w:fldChar w:fldCharType="end"/>
      </w:r>
    </w:p>
    <w:p>
      <w:pPr>
        <w:pStyle w:val="24"/>
        <w:tabs>
          <w:tab w:val="right" w:leader="dot" w:pos="9350"/>
        </w:tabs>
        <w:rPr>
          <w:rFonts w:ascii="Cambria" w:eastAsia="宋体" w:cs="Arial" w:hAnsi="Cambria"/>
          <w:kern w:val="2"/>
          <w:sz w:val="24"/>
          <w:szCs w:val="24"/>
          <w:lang w:val="en-IN"/>
        </w:rPr>
      </w:pPr>
      <w:r>
        <w:fldChar w:fldCharType="begin"/>
      </w:r>
      <w:r>
        <w:instrText>Hyperlink \l "_Toc220932489"</w:instrText>
      </w:r>
      <w:r>
        <w:fldChar w:fldCharType="separate"/>
      </w:r>
      <w:r>
        <w:rPr>
          <w:color w:val="auto"/>
        </w:rPr>
        <w:t>Appendix 1: CASP tool in Appraisal</w:t>
      </w:r>
      <w:r>
        <w:tab/>
      </w:r>
      <w:r>
        <w:fldChar w:fldCharType="begin"/>
      </w:r>
      <w:r>
        <w:instrText xml:space="preserve"> PAGEREF _Toc220932489 \h </w:instrText>
      </w:r>
      <w:r>
        <w:fldChar w:fldCharType="separate"/>
      </w:r>
      <w:r>
        <w:t>75</w:t>
      </w:r>
      <w:r>
        <w:fldChar w:fldCharType="end"/>
      </w:r>
      <w:r>
        <w:fldChar w:fldCharType="end"/>
      </w:r>
    </w:p>
    <w:p>
      <w:pPr>
        <w:pBdr>
          <w:top w:val="none" w:sz="0" w:space="0" w:color="auto"/>
          <w:left w:val="none" w:sz="0" w:space="0" w:color="auto"/>
          <w:bottom w:val="none" w:sz="0" w:space="0" w:color="auto"/>
          <w:right w:val="none" w:sz="0" w:space="0" w:color="auto"/>
          <w:between w:val="none" w:sz="0" w:space="0" w:color="auto"/>
        </w:pBdr>
        <w:tabs>
          <w:tab w:val="right" w:leader="dot" w:pos="9350"/>
        </w:tabs>
        <w:spacing w:after="100"/>
        <w:ind w:left="220"/>
        <w:rPr>
          <w:rFonts w:ascii="Cambria" w:eastAsia="Cambria" w:cs="Cambria" w:hAnsi="Cambria"/>
        </w:rPr>
      </w:pPr>
      <w:r>
        <w:fldChar w:fldCharType="end"/>
      </w:r>
    </w:p>
    <w:p/>
    <w:p>
      <w:pPr>
        <w:spacing w:line="276" w:lineRule="auto"/>
        <w:jc w:val="center"/>
        <w:rPr>
          <w:b/>
          <w:bCs/>
        </w:rPr>
      </w:pPr>
      <w:r>
        <w:rPr>
          <w:b/>
          <w:bCs/>
        </w:rPr>
        <w:t>List of Figures</w:t>
      </w:r>
    </w:p>
    <w:p>
      <w:pPr>
        <w:spacing w:line="276" w:lineRule="auto"/>
        <w:jc w:val="center"/>
        <w:rPr>
          <w:b/>
          <w:bCs/>
        </w:rPr>
      </w:pPr>
    </w:p>
    <w:p>
      <w:pPr>
        <w:pBdr>
          <w:top w:val="none" w:sz="0" w:space="0" w:color="auto"/>
          <w:left w:val="none" w:sz="0" w:space="0" w:color="auto"/>
          <w:bottom w:val="none" w:sz="0" w:space="0" w:color="auto"/>
          <w:right w:val="none" w:sz="0" w:space="0" w:color="auto"/>
          <w:between w:val="none" w:sz="0" w:space="0" w:color="auto"/>
        </w:pBdr>
        <w:tabs>
          <w:tab w:val="right" w:pos="9350"/>
        </w:tabs>
        <w:spacing w:after="100"/>
        <w:rPr>
          <w:rFonts w:ascii="Cambria" w:eastAsia="Cambria" w:cs="Cambria" w:hAnsi="Cambria"/>
          <w:sz w:val="24"/>
          <w:szCs w:val="24"/>
        </w:rPr>
      </w:pPr>
      <w:r>
        <w:fldChar w:fldCharType="begin"/>
      </w:r>
      <w:r>
        <w:instrText xml:space="preserve"> TOC \h \u \z \t "Heading 1,1,Heading 2,2,Heading 3,3,Heading 4,4,Heading 5,5,Heading 6,6,"</w:instrText>
      </w:r>
      <w:r>
        <w:fldChar w:fldCharType="separate"/>
      </w:r>
      <w:r>
        <w:fldChar w:fldCharType="begin"/>
      </w:r>
      <w:r>
        <w:instrText>Hyperlink \l "_heading=h.d2amx1gqqsn0"</w:instrText>
      </w:r>
      <w:r>
        <w:fldChar w:fldCharType="separate"/>
      </w:r>
      <w:r>
        <w:t>Figure 1.1: Social care and dementia</w:t>
        <w:tab/>
        <w:t>11</w:t>
      </w:r>
      <w:r>
        <w:fldChar w:fldCharType="end"/>
      </w:r>
    </w:p>
    <w:p>
      <w:pPr>
        <w:pBdr>
          <w:top w:val="none" w:sz="0" w:space="0" w:color="auto"/>
          <w:left w:val="none" w:sz="0" w:space="0" w:color="auto"/>
          <w:bottom w:val="none" w:sz="0" w:space="0" w:color="auto"/>
          <w:right w:val="none" w:sz="0" w:space="0" w:color="auto"/>
          <w:between w:val="none" w:sz="0" w:space="0" w:color="auto"/>
        </w:pBdr>
        <w:tabs>
          <w:tab w:val="right" w:pos="9350"/>
        </w:tabs>
        <w:spacing w:after="100"/>
      </w:pPr>
      <w:r>
        <w:fldChar w:fldCharType="begin"/>
      </w:r>
      <w:r>
        <w:instrText>Hyperlink \l "_heading=h.17707l9p1zvm"</w:instrText>
      </w:r>
      <w:r>
        <w:fldChar w:fldCharType="separate"/>
      </w:r>
      <w:r>
        <w:t>Figure 1.2: UK’s ageing population facing dementia</w:t>
        <w:tab/>
        <w:t>12</w:t>
      </w:r>
      <w:r>
        <w:fldChar w:fldCharType="end"/>
      </w:r>
    </w:p>
    <w:p>
      <w:pPr>
        <w:pBdr>
          <w:top w:val="none" w:sz="0" w:space="0" w:color="auto"/>
          <w:left w:val="none" w:sz="0" w:space="0" w:color="auto"/>
          <w:bottom w:val="none" w:sz="0" w:space="0" w:color="auto"/>
          <w:right w:val="none" w:sz="0" w:space="0" w:color="auto"/>
          <w:between w:val="none" w:sz="0" w:space="0" w:color="auto"/>
        </w:pBdr>
        <w:tabs>
          <w:tab w:val="right" w:pos="9350"/>
        </w:tabs>
        <w:spacing w:after="100"/>
      </w:pPr>
      <w:r>
        <w:fldChar w:fldCharType="begin"/>
      </w:r>
      <w:r>
        <w:instrText>Hyperlink \l "_heading=h.wnmf336b7307"</w:instrText>
      </w:r>
      <w:r>
        <w:fldChar w:fldCharType="separate"/>
      </w:r>
      <w:r>
        <w:t>Figure 1.3: Economic costs account for a reduction in consumption</w:t>
        <w:tab/>
        <w:t>13</w:t>
      </w:r>
      <w:r>
        <w:fldChar w:fldCharType="end"/>
      </w:r>
    </w:p>
    <w:p>
      <w:pPr>
        <w:pBdr>
          <w:top w:val="none" w:sz="0" w:space="0" w:color="auto"/>
          <w:left w:val="none" w:sz="0" w:space="0" w:color="auto"/>
          <w:bottom w:val="none" w:sz="0" w:space="0" w:color="auto"/>
          <w:right w:val="none" w:sz="0" w:space="0" w:color="auto"/>
          <w:between w:val="none" w:sz="0" w:space="0" w:color="auto"/>
        </w:pBdr>
        <w:tabs>
          <w:tab w:val="right" w:pos="9350"/>
        </w:tabs>
        <w:spacing w:after="100"/>
      </w:pPr>
      <w:r>
        <w:fldChar w:fldCharType="begin"/>
      </w:r>
      <w:r>
        <w:instrText>Hyperlink \l "_heading=h.re7xf773lzph"</w:instrText>
      </w:r>
      <w:r>
        <w:fldChar w:fldCharType="separate"/>
      </w:r>
      <w:r>
        <w:t>Figure 1.4: Total estimated worldwide cost of dementia</w:t>
        <w:tab/>
        <w:t>14</w:t>
      </w:r>
      <w:r>
        <w:fldChar w:fldCharType="end"/>
      </w:r>
    </w:p>
    <w:p>
      <w:pPr>
        <w:pBdr>
          <w:top w:val="none" w:sz="0" w:space="0" w:color="auto"/>
          <w:left w:val="none" w:sz="0" w:space="0" w:color="auto"/>
          <w:bottom w:val="none" w:sz="0" w:space="0" w:color="auto"/>
          <w:right w:val="none" w:sz="0" w:space="0" w:color="auto"/>
          <w:between w:val="none" w:sz="0" w:space="0" w:color="auto"/>
        </w:pBdr>
        <w:tabs>
          <w:tab w:val="right" w:pos="9350"/>
        </w:tabs>
        <w:spacing w:after="100"/>
      </w:pPr>
      <w:r>
        <w:fldChar w:fldCharType="begin"/>
      </w:r>
      <w:r>
        <w:instrText>Hyperlink \l "_heading=h.yjva3yobr642"</w:instrText>
      </w:r>
      <w:r>
        <w:fldChar w:fldCharType="separate"/>
      </w:r>
      <w:r>
        <w:t>Figure 1.5: 64% low dementia knowledge</w:t>
        <w:tab/>
        <w:t>15</w:t>
      </w:r>
      <w:r>
        <w:fldChar w:fldCharType="end"/>
      </w:r>
    </w:p>
    <w:p>
      <w:pPr>
        <w:pBdr>
          <w:top w:val="none" w:sz="0" w:space="0" w:color="auto"/>
          <w:left w:val="none" w:sz="0" w:space="0" w:color="auto"/>
          <w:bottom w:val="none" w:sz="0" w:space="0" w:color="auto"/>
          <w:right w:val="none" w:sz="0" w:space="0" w:color="auto"/>
          <w:between w:val="none" w:sz="0" w:space="0" w:color="auto"/>
        </w:pBdr>
        <w:tabs>
          <w:tab w:val="right" w:pos="9350"/>
        </w:tabs>
        <w:spacing w:after="100"/>
      </w:pPr>
      <w:r>
        <w:fldChar w:fldCharType="begin"/>
      </w:r>
      <w:r>
        <w:instrText>Hyperlink \l "_heading=h.cwcuwwgq0sg1"</w:instrText>
      </w:r>
      <w:r>
        <w:fldChar w:fldCharType="separate"/>
      </w:r>
      <w:r>
        <w:t>Figure 2.1: Application of Bandura’s Social Learning Theory</w:t>
        <w:tab/>
        <w:t>26</w:t>
      </w:r>
      <w:r>
        <w:fldChar w:fldCharType="end"/>
      </w:r>
    </w:p>
    <w:p>
      <w:pPr>
        <w:pBdr>
          <w:top w:val="none" w:sz="0" w:space="0" w:color="auto"/>
          <w:left w:val="none" w:sz="0" w:space="0" w:color="auto"/>
          <w:bottom w:val="none" w:sz="0" w:space="0" w:color="auto"/>
          <w:right w:val="none" w:sz="0" w:space="0" w:color="auto"/>
          <w:between w:val="none" w:sz="0" w:space="0" w:color="auto"/>
        </w:pBdr>
        <w:tabs>
          <w:tab w:val="right" w:pos="9350"/>
        </w:tabs>
        <w:spacing w:after="100"/>
      </w:pPr>
      <w:r>
        <w:fldChar w:fldCharType="begin"/>
      </w:r>
      <w:r>
        <w:instrText>Hyperlink \l "_heading=h.s0b7czq8jj9w"</w:instrText>
      </w:r>
      <w:r>
        <w:fldChar w:fldCharType="separate"/>
      </w:r>
      <w:r>
        <w:t>Figure 2.2: Application of system theory</w:t>
        <w:tab/>
        <w:t>27</w:t>
      </w:r>
      <w:r>
        <w:fldChar w:fldCharType="end"/>
      </w:r>
    </w:p>
    <w:p>
      <w:pPr>
        <w:pBdr>
          <w:top w:val="none" w:sz="0" w:space="0" w:color="auto"/>
          <w:left w:val="none" w:sz="0" w:space="0" w:color="auto"/>
          <w:bottom w:val="none" w:sz="0" w:space="0" w:color="auto"/>
          <w:right w:val="none" w:sz="0" w:space="0" w:color="auto"/>
          <w:between w:val="none" w:sz="0" w:space="0" w:color="auto"/>
        </w:pBdr>
        <w:tabs>
          <w:tab w:val="right" w:pos="9350"/>
        </w:tabs>
        <w:spacing w:after="100"/>
      </w:pPr>
      <w:r>
        <w:fldChar w:fldCharType="begin"/>
      </w:r>
      <w:r>
        <w:instrText>Hyperlink \l "_heading=h.vplebdmy3ez9"</w:instrText>
      </w:r>
      <w:r>
        <w:fldChar w:fldCharType="separate"/>
      </w:r>
      <w:r>
        <w:t>Figure 2.3: Conceptual framework</w:t>
        <w:tab/>
        <w:t>28</w:t>
      </w:r>
      <w:r>
        <w:fldChar w:fldCharType="end"/>
      </w:r>
    </w:p>
    <w:p>
      <w:pPr>
        <w:pBdr>
          <w:top w:val="none" w:sz="0" w:space="0" w:color="auto"/>
          <w:left w:val="none" w:sz="0" w:space="0" w:color="auto"/>
          <w:bottom w:val="none" w:sz="0" w:space="0" w:color="auto"/>
          <w:right w:val="none" w:sz="0" w:space="0" w:color="auto"/>
          <w:between w:val="none" w:sz="0" w:space="0" w:color="auto"/>
        </w:pBdr>
        <w:tabs>
          <w:tab w:val="right" w:pos="9350"/>
        </w:tabs>
        <w:spacing w:after="100"/>
      </w:pPr>
      <w:r>
        <w:fldChar w:fldCharType="begin"/>
      </w:r>
      <w:r>
        <w:instrText>Hyperlink \l "_heading=h.6x60boimfak7"</w:instrText>
      </w:r>
      <w:r>
        <w:fldChar w:fldCharType="separate"/>
      </w:r>
      <w:r>
        <w:t>Figure 3.1: PRISMA Framework</w:t>
        <w:tab/>
        <w:t>36</w:t>
      </w:r>
      <w:r>
        <w:fldChar w:fldCharType="end"/>
      </w:r>
    </w:p>
    <w:p>
      <w:pPr>
        <w:pBdr>
          <w:top w:val="none" w:sz="0" w:space="0" w:color="auto"/>
          <w:left w:val="none" w:sz="0" w:space="0" w:color="auto"/>
          <w:bottom w:val="none" w:sz="0" w:space="0" w:color="auto"/>
          <w:right w:val="none" w:sz="0" w:space="0" w:color="auto"/>
          <w:between w:val="none" w:sz="0" w:space="0" w:color="auto"/>
        </w:pBdr>
        <w:tabs>
          <w:tab w:val="right" w:pos="9350"/>
        </w:tabs>
        <w:spacing w:after="100"/>
      </w:pPr>
      <w:r>
        <w:fldChar w:fldCharType="begin"/>
      </w:r>
      <w:r>
        <w:instrText>Hyperlink \l "_heading=h.13senis4m2xu"</w:instrText>
      </w:r>
      <w:r>
        <w:fldChar w:fldCharType="separate"/>
      </w:r>
      <w:r>
        <w:t>Figure 4.1: PRISMA framework</w:t>
        <w:tab/>
        <w:t>42</w:t>
      </w:r>
      <w:r>
        <w:fldChar w:fldCharType="end"/>
      </w:r>
      <w:r>
        <w:fldChar w:fldCharType="end"/>
      </w:r>
    </w:p>
    <w:p>
      <w:pPr>
        <w:spacing w:line="276" w:lineRule="auto"/>
        <w:jc w:val="left"/>
      </w:pPr>
      <w:r>
        <w:br w:type="page"/>
      </w:r>
    </w:p>
    <w:p>
      <w:pPr>
        <w:spacing w:line="276" w:lineRule="auto"/>
        <w:jc w:val="center"/>
        <w:rPr>
          <w:b/>
          <w:bCs/>
        </w:rPr>
      </w:pPr>
      <w:r>
        <w:rPr>
          <w:b/>
          <w:bCs/>
        </w:rPr>
        <w:t>List of Tables</w:t>
      </w:r>
    </w:p>
    <w:p>
      <w:pPr>
        <w:pBdr>
          <w:top w:val="none" w:sz="0" w:space="0" w:color="auto"/>
          <w:left w:val="none" w:sz="0" w:space="0" w:color="auto"/>
          <w:bottom w:val="none" w:sz="0" w:space="0" w:color="auto"/>
          <w:right w:val="none" w:sz="0" w:space="0" w:color="auto"/>
          <w:between w:val="none" w:sz="0" w:space="0" w:color="auto"/>
        </w:pBdr>
        <w:tabs>
          <w:tab w:val="right" w:pos="9350"/>
        </w:tabs>
        <w:spacing w:after="100"/>
        <w:rPr>
          <w:rFonts w:ascii="Cambria" w:eastAsia="Cambria" w:cs="Cambria" w:hAnsi="Cambria"/>
          <w:sz w:val="24"/>
          <w:szCs w:val="24"/>
        </w:rPr>
      </w:pPr>
      <w:r>
        <w:fldChar w:fldCharType="begin"/>
      </w:r>
      <w:r>
        <w:instrText xml:space="preserve"> TOC \h \u \z \t "Heading 1,1,Heading 2,2,Heading 3,3,Heading 4,4,Heading 5,5,Heading 6,6,"</w:instrText>
      </w:r>
      <w:r>
        <w:fldChar w:fldCharType="separate"/>
      </w:r>
      <w:r>
        <w:fldChar w:fldCharType="begin"/>
      </w:r>
      <w:r>
        <w:instrText>Hyperlink \l "_heading=h.dgtgwcehkzwi"</w:instrText>
      </w:r>
      <w:r>
        <w:fldChar w:fldCharType="separate"/>
      </w:r>
      <w:r>
        <w:t>Table 1.1: PICO framework</w:t>
        <w:tab/>
        <w:t>16</w:t>
      </w:r>
      <w:r>
        <w:fldChar w:fldCharType="end"/>
      </w:r>
    </w:p>
    <w:p>
      <w:pPr>
        <w:pBdr>
          <w:top w:val="none" w:sz="0" w:space="0" w:color="auto"/>
          <w:left w:val="none" w:sz="0" w:space="0" w:color="auto"/>
          <w:bottom w:val="none" w:sz="0" w:space="0" w:color="auto"/>
          <w:right w:val="none" w:sz="0" w:space="0" w:color="auto"/>
          <w:between w:val="none" w:sz="0" w:space="0" w:color="auto"/>
        </w:pBdr>
        <w:tabs>
          <w:tab w:val="right" w:pos="9350"/>
        </w:tabs>
        <w:spacing w:after="100"/>
        <w:rPr>
          <w:rFonts w:ascii="Cambria" w:eastAsia="Cambria" w:cs="Cambria" w:hAnsi="Cambria"/>
          <w:sz w:val="24"/>
          <w:szCs w:val="24"/>
        </w:rPr>
      </w:pPr>
      <w:r>
        <w:fldChar w:fldCharType="begin"/>
      </w:r>
      <w:r>
        <w:instrText>Hyperlink \l "_heading=h.iiof5qz8nki"</w:instrText>
      </w:r>
      <w:r>
        <w:fldChar w:fldCharType="separate"/>
      </w:r>
      <w:r>
        <w:t>Table 3.1: Boolean Operator</w:t>
        <w:tab/>
        <w:t>34</w:t>
      </w:r>
      <w:r>
        <w:fldChar w:fldCharType="end"/>
      </w:r>
    </w:p>
    <w:p>
      <w:pPr>
        <w:pBdr>
          <w:top w:val="none" w:sz="0" w:space="0" w:color="auto"/>
          <w:left w:val="none" w:sz="0" w:space="0" w:color="auto"/>
          <w:bottom w:val="none" w:sz="0" w:space="0" w:color="auto"/>
          <w:right w:val="none" w:sz="0" w:space="0" w:color="auto"/>
          <w:between w:val="none" w:sz="0" w:space="0" w:color="auto"/>
        </w:pBdr>
        <w:tabs>
          <w:tab w:val="right" w:pos="9350"/>
        </w:tabs>
        <w:spacing w:after="100"/>
        <w:rPr>
          <w:rFonts w:ascii="Cambria" w:eastAsia="Cambria" w:cs="Cambria" w:hAnsi="Cambria"/>
          <w:sz w:val="24"/>
          <w:szCs w:val="24"/>
        </w:rPr>
      </w:pPr>
      <w:r>
        <w:fldChar w:fldCharType="begin"/>
      </w:r>
      <w:r>
        <w:instrText>Hyperlink \l "_heading=h.n18957lx4cfk"</w:instrText>
      </w:r>
      <w:r>
        <w:fldChar w:fldCharType="separate"/>
      </w:r>
      <w:r>
        <w:t>Table 3.2: CAPS Table</w:t>
        <w:tab/>
        <w:t>38</w:t>
      </w:r>
      <w:r>
        <w:fldChar w:fldCharType="end"/>
      </w:r>
    </w:p>
    <w:p>
      <w:pPr>
        <w:pBdr>
          <w:top w:val="none" w:sz="0" w:space="0" w:color="auto"/>
          <w:left w:val="none" w:sz="0" w:space="0" w:color="auto"/>
          <w:bottom w:val="none" w:sz="0" w:space="0" w:color="auto"/>
          <w:right w:val="none" w:sz="0" w:space="0" w:color="auto"/>
          <w:between w:val="none" w:sz="0" w:space="0" w:color="auto"/>
        </w:pBdr>
        <w:tabs>
          <w:tab w:val="right" w:pos="9350"/>
        </w:tabs>
        <w:spacing w:after="100"/>
        <w:rPr>
          <w:rFonts w:ascii="Cambria" w:eastAsia="Cambria" w:cs="Cambria" w:hAnsi="Cambria"/>
          <w:sz w:val="24"/>
          <w:szCs w:val="24"/>
        </w:rPr>
      </w:pPr>
      <w:r>
        <w:fldChar w:fldCharType="begin"/>
      </w:r>
      <w:r>
        <w:instrText>Hyperlink \l "_heading=h.a17ad3ipcxjj"</w:instrText>
      </w:r>
      <w:r>
        <w:fldChar w:fldCharType="separate"/>
      </w:r>
      <w:r>
        <w:t>Table 4.1: Results</w:t>
        <w:tab/>
        <w:t>50</w:t>
      </w:r>
      <w:r>
        <w:fldChar w:fldCharType="end"/>
      </w:r>
    </w:p>
    <w:p>
      <w:pPr>
        <w:pBdr>
          <w:top w:val="none" w:sz="0" w:space="0" w:color="auto"/>
          <w:left w:val="none" w:sz="0" w:space="0" w:color="auto"/>
          <w:bottom w:val="none" w:sz="0" w:space="0" w:color="auto"/>
          <w:right w:val="none" w:sz="0" w:space="0" w:color="auto"/>
          <w:between w:val="none" w:sz="0" w:space="0" w:color="auto"/>
        </w:pBdr>
        <w:tabs>
          <w:tab w:val="right" w:pos="9350"/>
        </w:tabs>
        <w:spacing w:after="100"/>
        <w:rPr>
          <w:rFonts w:ascii="Cambria" w:eastAsia="Cambria" w:cs="Cambria" w:hAnsi="Cambria"/>
          <w:sz w:val="24"/>
          <w:szCs w:val="24"/>
        </w:rPr>
      </w:pPr>
      <w:r>
        <w:fldChar w:fldCharType="begin"/>
      </w:r>
      <w:r>
        <w:instrText>Hyperlink \l "_heading=h.us18cbvufcxz"</w:instrText>
      </w:r>
      <w:r>
        <w:fldChar w:fldCharType="separate"/>
      </w:r>
      <w:r>
        <w:t>Table 4.2: Data Outcomes</w:t>
        <w:tab/>
        <w:t>57</w:t>
      </w:r>
      <w:r>
        <w:fldChar w:fldCharType="end"/>
      </w:r>
      <w:r>
        <w:fldChar w:fldCharType="end"/>
      </w:r>
    </w:p>
    <w:p>
      <w:pPr>
        <w:spacing w:before="240"/>
      </w:pPr>
      <w:r>
        <w:br w:type="page"/>
      </w:r>
    </w:p>
    <w:p>
      <w:pPr>
        <w:pStyle w:val="1"/>
        <w:rPr>
          <w:color w:val="auto"/>
        </w:rPr>
      </w:pPr>
      <w:bookmarkStart w:id="1" w:name="_Toc220932415"/>
      <w:r>
        <w:rPr>
          <w:color w:val="auto"/>
        </w:rPr>
        <w:t>Chapter 1</w:t>
      </w:r>
      <w:bookmarkEnd w:id="1"/>
    </w:p>
    <w:p>
      <w:pPr>
        <w:pStyle w:val="2"/>
        <w:rPr>
          <w:color w:val="auto"/>
        </w:rPr>
      </w:pPr>
      <w:bookmarkStart w:id="2" w:name="_Toc220932416"/>
      <w:r>
        <w:rPr>
          <w:color w:val="auto"/>
        </w:rPr>
        <w:t>1.1 Introduction</w:t>
      </w:r>
      <w:bookmarkEnd w:id="2"/>
    </w:p>
    <w:p>
      <w:pPr>
        <w:pBdr>
          <w:top w:val="none" w:sz="0" w:space="0" w:color="auto"/>
          <w:left w:val="none" w:sz="0" w:space="0" w:color="auto"/>
          <w:bottom w:val="none" w:sz="0" w:space="0" w:color="auto"/>
          <w:right w:val="none" w:sz="0" w:space="0" w:color="auto"/>
          <w:between w:val="none" w:sz="0" w:space="0" w:color="auto"/>
        </w:pBdr>
      </w:pPr>
      <w:r>
        <w:t xml:space="preserve">Dementia is a progressive neuro-cognitive disorder that is characterised through impairment within memory, thinking and the ability to perform everyday activities (Hur </w:t>
      </w:r>
      <w:r>
        <w:rPr>
          <w:i/>
          <w:iCs/>
        </w:rPr>
        <w:t xml:space="preserve">et al. </w:t>
      </w:r>
      <w:r>
        <w:t xml:space="preserve">2026). In the UK, 57 million dementia patients represent a growing public health challenge as the population ages with almost 70% of the informal carers (World Health Organization, 2025). The informal carers that are family members, friends and the neighbours provide unpaid care but play a critical role within the care continuum. These carers are often assisting with among several tasks, medication management and the behavioural or the psychological symptoms management. Thus, these are complex but can significantly affect the quality of life with safety and care outcomes. </w:t>
      </w:r>
    </w:p>
    <w:p>
      <w:pPr>
        <w:pBdr>
          <w:top w:val="none" w:sz="0" w:space="0" w:color="auto"/>
          <w:left w:val="none" w:sz="0" w:space="0" w:color="auto"/>
          <w:bottom w:val="none" w:sz="0" w:space="0" w:color="auto"/>
          <w:right w:val="none" w:sz="0" w:space="0" w:color="auto"/>
          <w:between w:val="none" w:sz="0" w:space="0" w:color="auto"/>
        </w:pBdr>
      </w:pPr>
      <w:r>
        <w:t>Medication management for people with dementia is about not only ensuring correcting doses as well as timing but is also about monitoring the side effects, dealing with the poly-pharmacy, managing the adherence and also coordinating with the health professionals. Meanwhile the behavioural management includes mitigating the symptoms such as agitation, aggression, sleep disturbances and also depression that needs skills, patience and knowledge of non-pharmacological interventions (NHS, 2023). Thus, this is determined to make responsibilities psychological, physically and also financially burdensome.</w:t>
      </w:r>
    </w:p>
    <w:p>
      <w:pPr>
        <w:pBdr>
          <w:top w:val="none" w:sz="0" w:space="0" w:color="auto"/>
          <w:left w:val="none" w:sz="0" w:space="0" w:color="auto"/>
          <w:bottom w:val="none" w:sz="0" w:space="0" w:color="auto"/>
          <w:right w:val="none" w:sz="0" w:space="0" w:color="auto"/>
          <w:between w:val="none" w:sz="0" w:space="0" w:color="auto"/>
        </w:pBdr>
      </w:pPr>
      <w:r>
        <w:t xml:space="preserve">The several essential trends that are diagnosis rates, the increasing number of the recorded dementia cases is ensured with the rates of medication review with care plan under primary settings. However, the gaps remain due to lack of knowledge of informal carers regarding care process and resources. Understanding the carer’s approaches, behavioural and the medication management ensures the training for better resources that are essential for developing dementia care (Alzheimers, 2024). It further reduces risks of medication errors that improves patient safety and wellbeing with reducing strain or burnout among the carers. Therefore, the research aims to systematically review the literature on the informal carers’ knowledge, practices and the resource needs within medication and the behavioural management for the individual living with dementia in the UK. </w:t>
      </w:r>
    </w:p>
    <w:p>
      <w:pPr>
        <w:pStyle w:val="2"/>
        <w:rPr>
          <w:color w:val="auto"/>
        </w:rPr>
      </w:pPr>
      <w:bookmarkStart w:id="3" w:name="_Toc220932417"/>
      <w:r>
        <w:rPr>
          <w:color w:val="auto"/>
        </w:rPr>
        <w:t>1.2 Background</w:t>
      </w:r>
      <w:bookmarkEnd w:id="3"/>
    </w:p>
    <w:p>
      <w:pPr>
        <w:pBdr>
          <w:top w:val="none" w:sz="0" w:space="0" w:color="auto"/>
          <w:left w:val="none" w:sz="0" w:space="0" w:color="auto"/>
          <w:bottom w:val="none" w:sz="0" w:space="0" w:color="auto"/>
          <w:right w:val="none" w:sz="0" w:space="0" w:color="auto"/>
          <w:between w:val="none" w:sz="0" w:space="0" w:color="auto"/>
        </w:pBdr>
      </w:pPr>
      <w:r>
        <w:t xml:space="preserve">Dementia prevalence within the UK is increasing with 481,783 patients with a recorded diagnosis of due to lack of care (Nhs, 2025). The aged 65 and over are estimated to have dementia about 64.6% that had a formal recorded diagnosis with the date (Alzheimers, 2024). The diagnosis rate slight fluctuations month-to-month for instance within 2024 it was about 65.2%. The number further formally diagnosed patient’s increases that needs for ongoing care and the management. The primary care data is also determined to show that medication reviews are not always universal. In 2024, almost 86,434 individuals with the recorded dementia diagnoses are representing almost 17.7% of such patients who had a medication review proceeding within 12 months (NHS England, 2024). The care plan is more common with 67.2% of those diagnosed by that time that had an inadequate care strategy or care review. In 2023, 110,442 had medication reviews with almost 65.3% having care plan reviews (NHS England, 2023). Therefore, suggesting that several patients are receiving care plans with medication reviews with key safety measures in compared to those are having less consistently delivered. </w:t>
      </w:r>
    </w:p>
    <w:p>
      <w:pPr>
        <w:pBdr>
          <w:top w:val="none" w:sz="0" w:space="0" w:color="auto"/>
          <w:left w:val="none" w:sz="0" w:space="0" w:color="auto"/>
          <w:bottom w:val="none" w:sz="0" w:space="0" w:color="auto"/>
          <w:right w:val="none" w:sz="0" w:space="0" w:color="auto"/>
          <w:between w:val="none" w:sz="0" w:space="0" w:color="auto"/>
        </w:pBdr>
        <w:jc w:val="center"/>
      </w:pPr>
      <w:r>
        <w:drawing>
          <wp:inline distT="114300" distB="114300" distL="114300" distR="114300">
            <wp:extent cx="3986755" cy="1899665"/>
            <wp:effectExtent l="0" t="0" r="0" b="0"/>
            <wp:docPr id="4" name="图片 4"/>
            <wp:cNvGraphicFramePr>
              <a:graphicFrameLocks noChangeAspect="0"/>
            </wp:cNvGraphicFramePr>
            <a:graphic>
              <a:graphicData uri="http://schemas.openxmlformats.org/drawingml/2006/picture">
                <pic:pic>
                  <pic:nvPicPr>
                    <pic:cNvPr id="6" name="图片 6"/>
                    <pic:cNvPicPr/>
                  </pic:nvPicPr>
                  <pic:blipFill>
                    <a:blip r:embed="rId4"/>
                    <a:stretch>
                      <a:fillRect/>
                    </a:stretch>
                  </pic:blipFill>
                  <pic:spPr>
                    <a:xfrm rot="0">
                      <a:off x="0" y="0"/>
                      <a:ext cx="3986755" cy="1899665"/>
                    </a:xfrm>
                    <a:prstGeom prst="rect"/>
                    <a:noFill/>
                    <a:ln w="25400" cmpd="sng" cap="flat">
                      <a:solidFill>
                        <a:srgbClr val="000000"/>
                      </a:solidFill>
                      <a:prstDash val="solid"/>
                      <a:round/>
                    </a:ln>
                  </pic:spPr>
                </pic:pic>
              </a:graphicData>
            </a:graphic>
          </wp:inline>
        </w:drawing>
      </w:r>
    </w:p>
    <w:p>
      <w:pPr>
        <w:pStyle w:val="4"/>
        <w:rPr>
          <w:color w:val="auto"/>
        </w:rPr>
      </w:pPr>
      <w:bookmarkStart w:id="4" w:name="_heading=h.17707l9p1zvm"/>
      <w:bookmarkEnd w:id="4"/>
      <w:r>
        <w:rPr>
          <w:color w:val="auto"/>
        </w:rPr>
        <w:t>Figure 1.1: UK’s ageing population facing dementia</w:t>
      </w:r>
    </w:p>
    <w:p>
      <w:pPr>
        <w:pBdr>
          <w:top w:val="none" w:sz="0" w:space="0" w:color="auto"/>
          <w:left w:val="none" w:sz="0" w:space="0" w:color="auto"/>
          <w:bottom w:val="none" w:sz="0" w:space="0" w:color="auto"/>
          <w:right w:val="none" w:sz="0" w:space="0" w:color="auto"/>
          <w:between w:val="none" w:sz="0" w:space="0" w:color="auto"/>
        </w:pBdr>
        <w:jc w:val="center"/>
      </w:pPr>
      <w:r>
        <w:t>(Source: Alzheimers, 2024)</w:t>
      </w:r>
    </w:p>
    <w:p>
      <w:pPr>
        <w:pBdr>
          <w:top w:val="none" w:sz="0" w:space="0" w:color="auto"/>
          <w:left w:val="none" w:sz="0" w:space="0" w:color="auto"/>
          <w:bottom w:val="none" w:sz="0" w:space="0" w:color="auto"/>
          <w:right w:val="none" w:sz="0" w:space="0" w:color="auto"/>
          <w:between w:val="none" w:sz="0" w:space="0" w:color="auto"/>
        </w:pBdr>
      </w:pPr>
      <w:r>
        <w:t xml:space="preserve">Fig. 1.1 states that the informal carers involved within the UK are about 670,000 individuals as these are all carers for dementia patients. Dementia carers within the UK experiences a significant caregiving burden, this ensures particular among informal carers. The evidence indicates that the approx. 70.4% of informal dementia carers are females as well as 64% are able to demonstrate the limited knowledge of dementia. These are adversely being affected with care quality and also coping capacity (Wammes </w:t>
      </w:r>
      <w:r>
        <w:rPr>
          <w:i/>
          <w:iCs/>
        </w:rPr>
        <w:t xml:space="preserve">et al. </w:t>
      </w:r>
      <w:r>
        <w:t xml:space="preserve">2021). Furthermore, the individuals who are determined to live witty dementia experiences at least one behavioural as well as psychological symptoms of dementia (BPSD) are able to increase the complexity and the intensity of caregiving demands. The economic impacts within the families of the caregiving demands. Moreover, the economic impact of the families is aligned well with considerable. The total cost of dementia within the UK is further projected to reach up to £42 billion in 2024 with 63% of families shouldering the burden as per Fig. 1.2 (Alzheimer's Research UK, 2024). Consequently, the existing literature is able to highlight the informal carers facing substantial challenges particularly within managing medication regimes and also responding effectiveness for behavioural and the psychological symptoms. Therefore, both of these are contributed based on significance as to caregiver stress and burden. </w:t>
      </w:r>
    </w:p>
    <w:p>
      <w:pPr>
        <w:pBdr>
          <w:top w:val="none" w:sz="0" w:space="0" w:color="auto"/>
          <w:left w:val="none" w:sz="0" w:space="0" w:color="auto"/>
          <w:bottom w:val="none" w:sz="0" w:space="0" w:color="auto"/>
          <w:right w:val="none" w:sz="0" w:space="0" w:color="auto"/>
          <w:between w:val="none" w:sz="0" w:space="0" w:color="auto"/>
        </w:pBdr>
      </w:pPr>
      <w:r>
        <w:t xml:space="preserve">The confidence as well as knowledge resources is the kind of training used for the support are effective. Moreover, the recent policy documents emphasize career support, for instance, the "Support. Campaign. Sustain. Dementia Carers Count Strategy” aims to strengthen and support dementia carers (Dementiacarers, 2025). This includes practical advice, emotional support and also policy influence for the best outcomes for the dementia patients. Therefore, the study focuses on knowledge, experiences, practices and the needs for informal carers within the UK to manage both medication and behavioural symptoms in dementia. </w:t>
      </w:r>
    </w:p>
    <w:p>
      <w:pPr>
        <w:pStyle w:val="2"/>
        <w:rPr>
          <w:color w:val="auto"/>
        </w:rPr>
      </w:pPr>
      <w:bookmarkStart w:id="5" w:name="_Toc220932418"/>
      <w:r>
        <w:rPr>
          <w:color w:val="auto"/>
        </w:rPr>
        <w:t>1.3 Problem statement</w:t>
      </w:r>
      <w:bookmarkEnd w:id="5"/>
    </w:p>
    <w:p>
      <w:pPr>
        <w:pBdr>
          <w:top w:val="none" w:sz="0" w:space="0" w:color="auto"/>
          <w:left w:val="none" w:sz="0" w:space="0" w:color="auto"/>
          <w:bottom w:val="none" w:sz="0" w:space="0" w:color="auto"/>
          <w:right w:val="none" w:sz="0" w:space="0" w:color="auto"/>
          <w:between w:val="none" w:sz="0" w:space="0" w:color="auto"/>
        </w:pBdr>
        <w:rPr>
          <w:i/>
          <w:iCs/>
        </w:rPr>
      </w:pPr>
      <w:r>
        <w:rPr>
          <w:i/>
          <w:iCs/>
        </w:rPr>
        <w:t>“Recent UK data indicates that almost 41.9% dementia patients did not receive comprehensive medication reviews, care plan reviews or any adequate support despite the crucial role of informal carers in medication management (Alzheimer's disease International, 2025)”.</w:t>
      </w:r>
    </w:p>
    <w:p>
      <w:pPr>
        <w:pBdr>
          <w:top w:val="none" w:sz="0" w:space="0" w:color="auto"/>
          <w:left w:val="none" w:sz="0" w:space="0" w:color="auto"/>
          <w:bottom w:val="none" w:sz="0" w:space="0" w:color="auto"/>
          <w:right w:val="none" w:sz="0" w:space="0" w:color="auto"/>
          <w:between w:val="none" w:sz="0" w:space="0" w:color="auto"/>
        </w:pBdr>
      </w:pPr>
      <w:r>
        <w:t xml:space="preserve">The lack of clarity around almost 41.9% dementia patients not receiving adequate medication those are required within the preceding 12 months (Alzheimer's disease International, 2025). The UK facility needs to follow the health services that can better support them; this gap in evidence impedes development of effective interventions and the policy to enhance care quality, and carer’s wellbeing. </w:t>
      </w:r>
    </w:p>
    <w:p>
      <w:pPr>
        <w:pStyle w:val="2"/>
        <w:rPr>
          <w:color w:val="auto"/>
        </w:rPr>
      </w:pPr>
      <w:bookmarkStart w:id="6" w:name="_Toc220932419"/>
      <w:r>
        <w:rPr>
          <w:color w:val="auto"/>
        </w:rPr>
        <w:t>1.4 Rationale of the research</w:t>
      </w:r>
      <w:bookmarkEnd w:id="6"/>
    </w:p>
    <w:p>
      <w:pPr>
        <w:pBdr>
          <w:top w:val="none" w:sz="0" w:space="0" w:color="auto"/>
          <w:left w:val="none" w:sz="0" w:space="0" w:color="auto"/>
          <w:bottom w:val="none" w:sz="0" w:space="0" w:color="auto"/>
          <w:right w:val="none" w:sz="0" w:space="0" w:color="auto"/>
          <w:between w:val="none" w:sz="0" w:space="0" w:color="auto"/>
        </w:pBdr>
      </w:pPr>
      <w:r>
        <w:t xml:space="preserve">Informal carers are the backbone of dementia care within the UK. In 2024, approx. half a million individuals in England have a recorded diagnoses of dementia yet only around 2/5th of the one-quarter is consistently getting medication reviews every year. The discrepancy between the care plan review rates (60-70%) and the medication reviews rates (below 25%) suggests that the mismatch within support for carers within safety critical tasks (GOV.UK, 2024). The medication management and the behavioural symptoms are able to control the complicated and potentially risky domains involving poly-pharmacy, drug side effects and the management of symptoms such as agitation and sleep disturbances. Therefore, the informal carers require adequate knowledge, skills as well as support for managing these effectively. </w:t>
      </w:r>
    </w:p>
    <w:p>
      <w:pPr>
        <w:pBdr>
          <w:top w:val="none" w:sz="0" w:space="0" w:color="auto"/>
          <w:left w:val="none" w:sz="0" w:space="0" w:color="auto"/>
          <w:bottom w:val="none" w:sz="0" w:space="0" w:color="auto"/>
          <w:right w:val="none" w:sz="0" w:space="0" w:color="auto"/>
          <w:between w:val="none" w:sz="0" w:space="0" w:color="auto"/>
        </w:pBdr>
      </w:pPr>
      <w:r>
        <w:t xml:space="preserve">Carers' burden is well documented, as studies show that carers frequently report high levels of the stress, emotional and psychological strain that are associated with the behavioural symptoms within individuals with dementia. For instance, a UK survey stated that 203 informal carers were related to the management of behavioural and psychological symptoms of dementia. Due to this, carers have manifested high burden (that is 35%), low dementia knowledge (that is 64%) and all the care recipients with one BPSD (Carers UK, 2023). These findings have highlighted the fact that behavioural management is a chief source of burden. Therefore, the medication management is too posing significant challenges that ensure correct administration with understanding the side effects of organising multiple medications. </w:t>
      </w:r>
    </w:p>
    <w:p>
      <w:pPr>
        <w:pStyle w:val="2"/>
        <w:rPr>
          <w:color w:val="auto"/>
        </w:rPr>
      </w:pPr>
      <w:bookmarkStart w:id="7" w:name="_Toc220932420"/>
      <w:r>
        <w:rPr>
          <w:color w:val="auto"/>
        </w:rPr>
        <w:t>1.5 Aims and Objectives</w:t>
      </w:r>
      <w:bookmarkEnd w:id="7"/>
    </w:p>
    <w:p>
      <w:pPr>
        <w:pBdr>
          <w:top w:val="none" w:sz="0" w:space="0" w:color="auto"/>
          <w:left w:val="none" w:sz="0" w:space="0" w:color="auto"/>
          <w:bottom w:val="none" w:sz="0" w:space="0" w:color="auto"/>
          <w:right w:val="none" w:sz="0" w:space="0" w:color="auto"/>
          <w:between w:val="none" w:sz="0" w:space="0" w:color="auto"/>
        </w:pBdr>
      </w:pPr>
      <w:r>
        <w:rPr>
          <w:b/>
          <w:bCs/>
          <w:i/>
          <w:iCs/>
        </w:rPr>
        <w:t xml:space="preserve">Aim: </w:t>
      </w:r>
      <w:r>
        <w:t xml:space="preserve">The aim of the research explores and evaluates the role of informal carers for providing support and medication, behaviour management for the individuals with dementia in the UK, with the view to inform targeted support strategies and policy development. </w:t>
      </w:r>
    </w:p>
    <w:p>
      <w:pPr>
        <w:pBdr>
          <w:top w:val="none" w:sz="0" w:space="0" w:color="auto"/>
          <w:left w:val="none" w:sz="0" w:space="0" w:color="auto"/>
          <w:bottom w:val="none" w:sz="0" w:space="0" w:color="auto"/>
          <w:right w:val="none" w:sz="0" w:space="0" w:color="auto"/>
          <w:between w:val="none" w:sz="0" w:space="0" w:color="auto"/>
        </w:pBdr>
        <w:rPr>
          <w:b/>
          <w:bCs/>
          <w:i/>
          <w:iCs/>
        </w:rPr>
      </w:pPr>
      <w:r>
        <w:rPr>
          <w:b/>
          <w:bCs/>
          <w:i/>
          <w:iCs/>
        </w:rPr>
        <w:t>Objectives:</w:t>
      </w:r>
    </w:p>
    <w:p>
      <w:pPr>
        <w:numPr>
          <w:ilvl w:val="0"/>
          <w:numId w:val="1"/>
        </w:numPr>
        <w:pBdr>
          <w:top w:val="none" w:sz="0" w:space="0" w:color="auto"/>
          <w:left w:val="none" w:sz="0" w:space="0" w:color="auto"/>
          <w:bottom w:val="none" w:sz="0" w:space="0" w:color="auto"/>
          <w:right w:val="none" w:sz="0" w:space="0" w:color="auto"/>
          <w:between w:val="none" w:sz="0" w:space="0" w:color="auto"/>
        </w:pBdr>
      </w:pPr>
      <w:r>
        <w:t>To investigate the anticipated responsibilities for informal carer’s within medication and the behaviour management</w:t>
      </w:r>
    </w:p>
    <w:p>
      <w:pPr>
        <w:numPr>
          <w:ilvl w:val="0"/>
          <w:numId w:val="1"/>
        </w:numPr>
        <w:pBdr>
          <w:top w:val="none" w:sz="0" w:space="0" w:color="auto"/>
          <w:left w:val="none" w:sz="0" w:space="0" w:color="auto"/>
          <w:bottom w:val="none" w:sz="0" w:space="0" w:color="auto"/>
          <w:right w:val="none" w:sz="0" w:space="0" w:color="auto"/>
          <w:between w:val="none" w:sz="0" w:space="0" w:color="auto"/>
        </w:pBdr>
      </w:pPr>
      <w:r>
        <w:t>To examine the informal carers’ approaches to behavioural, management and medication</w:t>
      </w:r>
    </w:p>
    <w:p>
      <w:pPr>
        <w:numPr>
          <w:ilvl w:val="0"/>
          <w:numId w:val="1"/>
        </w:numPr>
        <w:pBdr>
          <w:top w:val="none" w:sz="0" w:space="0" w:color="auto"/>
          <w:left w:val="none" w:sz="0" w:space="0" w:color="auto"/>
          <w:bottom w:val="none" w:sz="0" w:space="0" w:color="auto"/>
          <w:right w:val="none" w:sz="0" w:space="0" w:color="auto"/>
          <w:between w:val="none" w:sz="0" w:space="0" w:color="auto"/>
        </w:pBdr>
      </w:pPr>
      <w:r>
        <w:t>To assess the future training and resource needs for informal carers that enhances dementia care quality</w:t>
      </w:r>
    </w:p>
    <w:p>
      <w:pPr>
        <w:numPr>
          <w:ilvl w:val="0"/>
          <w:numId w:val="1"/>
        </w:numPr>
        <w:pBdr>
          <w:top w:val="none" w:sz="0" w:space="0" w:color="auto"/>
          <w:left w:val="none" w:sz="0" w:space="0" w:color="auto"/>
          <w:bottom w:val="none" w:sz="0" w:space="0" w:color="auto"/>
          <w:right w:val="none" w:sz="0" w:space="0" w:color="auto"/>
          <w:between w:val="none" w:sz="0" w:space="0" w:color="auto"/>
        </w:pBdr>
      </w:pPr>
      <w:r>
        <w:t xml:space="preserve">To recommend evidence-based strategies for supporting informal carers within medication and the behavioural management roles </w:t>
      </w:r>
    </w:p>
    <w:p>
      <w:pPr>
        <w:pStyle w:val="2"/>
        <w:rPr>
          <w:color w:val="auto"/>
        </w:rPr>
      </w:pPr>
      <w:bookmarkStart w:id="8" w:name="_Toc220932421"/>
      <w:r>
        <w:rPr>
          <w:color w:val="auto"/>
        </w:rPr>
        <w:t>1.6 Research Question</w:t>
      </w:r>
      <w:bookmarkEnd w:id="8"/>
    </w:p>
    <w:p>
      <w:pPr>
        <w:pBdr>
          <w:top w:val="none" w:sz="0" w:space="0" w:color="auto"/>
          <w:left w:val="none" w:sz="0" w:space="0" w:color="auto"/>
          <w:bottom w:val="none" w:sz="0" w:space="0" w:color="auto"/>
          <w:right w:val="none" w:sz="0" w:space="0" w:color="auto"/>
          <w:between w:val="none" w:sz="0" w:space="0" w:color="auto"/>
        </w:pBdr>
        <w:rPr>
          <w:b/>
          <w:bCs/>
        </w:rPr>
      </w:pPr>
      <w:r>
        <w:t>What are the informal carer’s approaches to behavioural and medication management with supporting individuals with dementia and which recommended strategies are best for supporting informal carers?</w:t>
      </w:r>
    </w:p>
    <w:tbl>
      <w:tblPr>
        <w:jc w:val="left"/>
        <w:tblInd w:w="-200" w:type="dx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115" w:type="dxa"/>
          <w:bottom w:w="0" w:type="dxa"/>
          <w:right w:w="115" w:type="dxa"/>
        </w:tblCellMar>
      </w:tblPr>
      <w:tblGrid>
        <w:gridCol w:w="2340"/>
        <w:gridCol w:w="2340"/>
        <w:gridCol w:w="2340"/>
        <w:gridCol w:w="2340"/>
      </w:tblGrid>
      <w:tr>
        <w:trPr>
          <w:cantSplit/>
          <w:trHeight w:val="440"/>
          <w:tblHeader/>
        </w:trPr>
        <w:tc>
          <w:tcPr>
            <w:tcW w:w="9360" w:type="dxa"/>
            <w:gridSpan w:val="4"/>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jc w:val="center"/>
              <w:rPr>
                <w:b/>
                <w:bCs/>
                <w:u w:val="single"/>
              </w:rPr>
            </w:pPr>
            <w:r>
              <w:rPr>
                <w:b/>
                <w:bCs/>
                <w:u w:val="single"/>
              </w:rPr>
              <w:t>Application of PICO</w:t>
            </w:r>
          </w:p>
        </w:tc>
      </w:tr>
      <w:tr>
        <w:trPr>
          <w:cantSplit/>
          <w:tblHeader/>
        </w:trPr>
        <w:tc>
          <w:tcPr>
            <w:tcW w:w="2340"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jc w:val="center"/>
              <w:rPr>
                <w:b/>
                <w:bCs/>
                <w:i/>
                <w:iCs/>
              </w:rPr>
            </w:pPr>
            <w:r>
              <w:rPr>
                <w:b/>
                <w:bCs/>
                <w:i/>
                <w:iCs/>
              </w:rPr>
              <w:t>P</w:t>
            </w:r>
          </w:p>
        </w:tc>
        <w:tc>
          <w:tcPr>
            <w:tcW w:w="2340"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jc w:val="center"/>
              <w:rPr>
                <w:b/>
                <w:bCs/>
                <w:i/>
                <w:iCs/>
              </w:rPr>
            </w:pPr>
            <w:r>
              <w:rPr>
                <w:b/>
                <w:bCs/>
                <w:i/>
                <w:iCs/>
              </w:rPr>
              <w:t xml:space="preserve">I </w:t>
            </w:r>
          </w:p>
        </w:tc>
        <w:tc>
          <w:tcPr>
            <w:tcW w:w="2340"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jc w:val="center"/>
              <w:rPr>
                <w:b/>
                <w:bCs/>
                <w:i/>
                <w:iCs/>
              </w:rPr>
            </w:pPr>
            <w:r>
              <w:rPr>
                <w:b/>
                <w:bCs/>
                <w:i/>
                <w:iCs/>
              </w:rPr>
              <w:t xml:space="preserve">C </w:t>
            </w:r>
          </w:p>
        </w:tc>
        <w:tc>
          <w:tcPr>
            <w:tcW w:w="2340"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jc w:val="center"/>
              <w:rPr>
                <w:b/>
                <w:bCs/>
                <w:i/>
                <w:iCs/>
              </w:rPr>
            </w:pPr>
            <w:r>
              <w:rPr>
                <w:b/>
                <w:bCs/>
                <w:i/>
                <w:iCs/>
              </w:rPr>
              <w:t>O</w:t>
            </w:r>
          </w:p>
        </w:tc>
      </w:tr>
      <w:tr>
        <w:trPr>
          <w:cantSplit/>
          <w:tblHeader/>
        </w:trPr>
        <w:tc>
          <w:tcPr>
            <w:tcW w:w="2340"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pPr>
            <w:r>
              <w:t xml:space="preserve">Informal carers of the individuals living with dementia in the UK </w:t>
            </w:r>
          </w:p>
        </w:tc>
        <w:tc>
          <w:tcPr>
            <w:tcW w:w="2340"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pPr>
            <w:r>
              <w:t>The current approaches or strategies to manage medication and behavioural symptoms, and the support or training patients receive</w:t>
            </w:r>
          </w:p>
        </w:tc>
        <w:tc>
          <w:tcPr>
            <w:tcW w:w="2340"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pPr>
            <w:r>
              <w:t xml:space="preserve">Perhaps compared to formal carers or to carers with high versus low knowledge or training </w:t>
            </w:r>
          </w:p>
        </w:tc>
        <w:tc>
          <w:tcPr>
            <w:tcW w:w="2340"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pPr>
            <w:r>
              <w:t xml:space="preserve">Knowledge practices and labels of burden with outcomes such as medication adherence </w:t>
            </w:r>
          </w:p>
        </w:tc>
      </w:tr>
    </w:tbl>
    <w:p>
      <w:pPr>
        <w:pStyle w:val="5"/>
        <w:rPr>
          <w:color w:val="auto"/>
        </w:rPr>
      </w:pPr>
      <w:bookmarkStart w:id="9" w:name="_heading=h.dgtgwcehkzwi"/>
      <w:bookmarkEnd w:id="9"/>
      <w:r>
        <w:rPr>
          <w:color w:val="auto"/>
        </w:rPr>
        <w:t>Table 1.1: PICO framework</w:t>
      </w:r>
    </w:p>
    <w:p>
      <w:pPr>
        <w:pBdr>
          <w:top w:val="none" w:sz="0" w:space="0" w:color="auto"/>
          <w:left w:val="none" w:sz="0" w:space="0" w:color="auto"/>
          <w:bottom w:val="none" w:sz="0" w:space="0" w:color="auto"/>
          <w:right w:val="none" w:sz="0" w:space="0" w:color="auto"/>
          <w:between w:val="none" w:sz="0" w:space="0" w:color="auto"/>
        </w:pBdr>
        <w:jc w:val="center"/>
      </w:pPr>
      <w:r>
        <w:t>(Source: Developed by the Author)</w:t>
      </w:r>
    </w:p>
    <w:p>
      <w:pPr>
        <w:pStyle w:val="2"/>
        <w:rPr>
          <w:color w:val="auto"/>
        </w:rPr>
      </w:pPr>
      <w:bookmarkStart w:id="10" w:name="_Toc220932422"/>
      <w:r>
        <w:rPr>
          <w:color w:val="auto"/>
        </w:rPr>
        <w:t>1.7 Significance of the research</w:t>
      </w:r>
      <w:bookmarkEnd w:id="10"/>
    </w:p>
    <w:p>
      <w:pPr>
        <w:pBdr>
          <w:top w:val="none" w:sz="0" w:space="0" w:color="auto"/>
          <w:left w:val="none" w:sz="0" w:space="0" w:color="auto"/>
          <w:bottom w:val="none" w:sz="0" w:space="0" w:color="auto"/>
          <w:right w:val="none" w:sz="0" w:space="0" w:color="auto"/>
          <w:between w:val="none" w:sz="0" w:space="0" w:color="auto"/>
        </w:pBdr>
      </w:pPr>
      <w:r>
        <w:t>Dementia prevalence claims, the reliance on the informal carers for the medication administration and also behavioural symptoms management in case. The dementia patients are required to focus on making the core competencies, knowledge and the support symptoms more critical for safe and effective home-based care (Alzheimer's Society, 2022). The inconsistencies are involved based on the medication review rates and also care pains review rates that are aligned well with the review rates within UK data suggests with current systems that might not adequately support carers without medication safety or behavioural symptom control. The informal carers are often reported with low knowledge and high burden, especially aligned with the behavioural and the psychological symptoms that further lead to adverse outcomes for the person suffering from dementia (NHS, 2023). Furthermore, by systematically revealing that the carers’ practices, knowledge, gaps as well as best support strategies are determined to inform the policy, healthcare practices, carer training programmes and also resource allocation. Therefore, the informal carers within these roles are able to focus on potential for developing patient safety to enhance quality of life.</w:t>
      </w:r>
    </w:p>
    <w:p>
      <w:pPr>
        <w:jc w:val="left"/>
      </w:pPr>
      <w:r>
        <w:br w:type="page"/>
      </w:r>
    </w:p>
    <w:p>
      <w:pPr>
        <w:pStyle w:val="1"/>
        <w:rPr>
          <w:color w:val="auto"/>
        </w:rPr>
      </w:pPr>
      <w:bookmarkStart w:id="11" w:name="_Toc220932423"/>
      <w:r>
        <w:rPr>
          <w:color w:val="auto"/>
        </w:rPr>
        <w:t>Chapter 2: Literature Review</w:t>
      </w:r>
      <w:bookmarkEnd w:id="11"/>
    </w:p>
    <w:p>
      <w:pPr>
        <w:pStyle w:val="2"/>
        <w:rPr>
          <w:color w:val="auto"/>
        </w:rPr>
      </w:pPr>
      <w:bookmarkStart w:id="12" w:name="_Toc220932424"/>
      <w:r>
        <w:rPr>
          <w:color w:val="auto"/>
        </w:rPr>
        <w:t>2.1 Introduction</w:t>
      </w:r>
      <w:bookmarkEnd w:id="12"/>
    </w:p>
    <w:p>
      <w:pPr>
        <w:pBdr>
          <w:top w:val="none" w:sz="0" w:space="0" w:color="auto"/>
          <w:left w:val="none" w:sz="0" w:space="0" w:color="auto"/>
          <w:bottom w:val="none" w:sz="0" w:space="0" w:color="auto"/>
          <w:right w:val="none" w:sz="0" w:space="0" w:color="auto"/>
          <w:between w:val="none" w:sz="0" w:space="0" w:color="auto"/>
        </w:pBdr>
      </w:pPr>
      <w:r>
        <w:t>This chapter will provide context for the research and identify gaps in existing knowledge to prevent duplication of existing work. The evaluation of this chapter can help the research to gain an existing body of knowledge as well as show its contributions to the topic.</w:t>
      </w:r>
    </w:p>
    <w:p>
      <w:pPr>
        <w:pBdr>
          <w:top w:val="none" w:sz="0" w:space="0" w:color="auto"/>
          <w:left w:val="none" w:sz="0" w:space="0" w:color="auto"/>
          <w:bottom w:val="none" w:sz="0" w:space="0" w:color="auto"/>
          <w:right w:val="none" w:sz="0" w:space="0" w:color="auto"/>
          <w:between w:val="none" w:sz="0" w:space="0" w:color="auto"/>
        </w:pBdr>
      </w:pPr>
      <w:r>
        <w:t>Dementia is a neurodegenerative disease with a progressive nature that impairs memory, cognition, and behaviour to cause considerable problems to both individuals and families (</w:t>
      </w:r>
      <w:r>
        <w:rPr>
          <w:highlight w:val="white"/>
        </w:rPr>
        <w:t>Błaszczyk, 2022</w:t>
      </w:r>
      <w:r>
        <w:t xml:space="preserve">). More than one million individuals in the United Kingdom are projected to be living with dementia by 2030, and the situation is already beyond one million today (944,000) and growing (National Health Service, 2023). Most of them are overly dependent on the informal carers who often happen to be family members or friends and offer round-the-clock support with no pay. These carers are important in administering drugs, monitoring the symptoms, and behavioural control. Their tasks are rather complicated, emotionally challenging, and insufficiently covered by official healthcare systems. Inadequate training and poor communication between medical staff and the caregiver have been linked with medication errors and burnout (National Health Service, 2023). </w:t>
      </w:r>
    </w:p>
    <w:p>
      <w:pPr>
        <w:pStyle w:val="2"/>
        <w:rPr>
          <w:color w:val="auto"/>
        </w:rPr>
      </w:pPr>
      <w:bookmarkStart w:id="13" w:name="_Toc220932425"/>
      <w:r>
        <w:rPr>
          <w:color w:val="auto"/>
        </w:rPr>
        <w:t>2.2 Investigating anticipated responsibilities for informal carers in medication and behaviour management</w:t>
      </w:r>
      <w:bookmarkEnd w:id="13"/>
    </w:p>
    <w:p>
      <w:pPr>
        <w:pBdr>
          <w:top w:val="none" w:sz="0" w:space="0" w:color="auto"/>
          <w:left w:val="none" w:sz="0" w:space="0" w:color="auto"/>
          <w:bottom w:val="none" w:sz="0" w:space="0" w:color="auto"/>
          <w:right w:val="none" w:sz="0" w:space="0" w:color="auto"/>
          <w:between w:val="none" w:sz="0" w:space="0" w:color="auto"/>
        </w:pBdr>
      </w:pPr>
      <w:r>
        <w:t xml:space="preserve">Informal carers have extensive responsibilities in medication and behaviour management, ranging from direct physical tasks to complex cognitive and emotional support. As mentioned by Alkhaldi </w:t>
      </w:r>
      <w:r>
        <w:rPr>
          <w:i/>
          <w:iCs/>
        </w:rPr>
        <w:t xml:space="preserve">et al. </w:t>
      </w:r>
      <w:r>
        <w:t xml:space="preserve">(2025), the increasing long-term condition among the majority of the population has posed a challenging phase to the International Alliance of carer organisations. It has been recognised that a higher probability of medication is related to various issues such as drug interaction and medication misuse. In this respect, the informal carers are considered to be one of the effective service providers who care for an individual's positive health outcome. On the other hand, Sitges-Maciá </w:t>
      </w:r>
      <w:r>
        <w:rPr>
          <w:i/>
          <w:iCs/>
        </w:rPr>
        <w:t xml:space="preserve">et al. </w:t>
      </w:r>
      <w:r>
        <w:t>(2021) have argued those informal carers' responsibilities are extensive, evolving from simple reminders to full management, as the care recipient's needs increase. This signifies that the duties of informal carers often require adapting tools as well as strategies in terms of fitting specific caregiving situations, without formal training. Thus, informal carers typically manage the entire medication process for a care recipient, especially if the person has cognitive decline from dementia or other conditions.</w:t>
      </w:r>
    </w:p>
    <w:p>
      <w:pPr>
        <w:pBdr>
          <w:top w:val="none" w:sz="0" w:space="0" w:color="auto"/>
          <w:left w:val="none" w:sz="0" w:space="0" w:color="auto"/>
          <w:bottom w:val="none" w:sz="0" w:space="0" w:color="auto"/>
          <w:right w:val="none" w:sz="0" w:space="0" w:color="auto"/>
          <w:between w:val="none" w:sz="0" w:space="0" w:color="auto"/>
        </w:pBdr>
      </w:pPr>
      <w:r>
        <w:t xml:space="preserve">Ordering and picking up prescriptions are considered to be the key responsibilities of informal carers within medication as well as behavioural management. As per the argument of Cai </w:t>
      </w:r>
      <w:r>
        <w:rPr>
          <w:i/>
          <w:iCs/>
        </w:rPr>
        <w:t xml:space="preserve">et al. </w:t>
      </w:r>
      <w:r>
        <w:t xml:space="preserve">(2021), the responsibilities of informal carers within medication management are to ensure all medications are stored appropriately as well as securely. This includes refrigerating certain items as well as keeping them out of reach of children or other vulnerable people. On the contrary, Newbould </w:t>
      </w:r>
      <w:r>
        <w:rPr>
          <w:i/>
          <w:iCs/>
        </w:rPr>
        <w:t xml:space="preserve">et al. </w:t>
      </w:r>
      <w:r>
        <w:t xml:space="preserve">(2022) have argued that informal carers have responsibilities in managing behaviour that range from identifying triggers and modifying the environment to using communication strategies and providing emotional support. These responsibilities are considered to be particularly acute when caring for individuals with dementia, severe mental health conditions, or developmental disabilities, where challenging behaviours can be a regular occurrence. Apart from this, Pollock </w:t>
      </w:r>
      <w:r>
        <w:rPr>
          <w:i/>
          <w:iCs/>
        </w:rPr>
        <w:t xml:space="preserve">et al. </w:t>
      </w:r>
      <w:r>
        <w:t xml:space="preserve">(2021) have argued that an informal carer within medication management is responsible for ensuring that care seekers take their medication as prescribed by the practitioners. This signifies that informal carers play a pivotal role in both medication and behavioural management while treating patients with dementia. </w:t>
      </w:r>
    </w:p>
    <w:p>
      <w:pPr>
        <w:pBdr>
          <w:top w:val="none" w:sz="0" w:space="0" w:color="auto"/>
          <w:left w:val="none" w:sz="0" w:space="0" w:color="auto"/>
          <w:bottom w:val="none" w:sz="0" w:space="0" w:color="auto"/>
          <w:right w:val="none" w:sz="0" w:space="0" w:color="auto"/>
          <w:between w:val="none" w:sz="0" w:space="0" w:color="auto"/>
        </w:pBdr>
      </w:pPr>
      <w:r>
        <w:t xml:space="preserve">Informal carers within behavioural management are responsible for noticing as well as documenting certain changes within behaviour, as well as prompting reports towards healthcare professionals. As per the opinion of Cipolletta </w:t>
      </w:r>
      <w:r>
        <w:rPr>
          <w:i/>
          <w:iCs/>
        </w:rPr>
        <w:t xml:space="preserve">et al. </w:t>
      </w:r>
      <w:r>
        <w:t xml:space="preserve">(2023), providing consistent emotional support and reinforcing the behaviours that the care recipient is trying to change or maintain. This signifies that informal carers often act as advocates as well as navigators of the healthcare system through influencing the behavioural aspects of both practitioners and care seekers. On the other hand, Gench </w:t>
      </w:r>
      <w:r>
        <w:rPr>
          <w:i/>
          <w:iCs/>
        </w:rPr>
        <w:t xml:space="preserve">et al. </w:t>
      </w:r>
      <w:r>
        <w:t>(2021) have argued that informal carers within medication management play a pivotal role in monitoring for any side effects, adverse reactions, or changes in health and reporting them to healthcare providers. It has been recognised that informal carers monitor the strategy implementation that is suggested by practitioners or therapists.</w:t>
      </w:r>
    </w:p>
    <w:p>
      <w:pPr>
        <w:pBdr>
          <w:top w:val="none" w:sz="0" w:space="0" w:color="auto"/>
          <w:left w:val="none" w:sz="0" w:space="0" w:color="auto"/>
          <w:bottom w:val="none" w:sz="0" w:space="0" w:color="auto"/>
          <w:right w:val="none" w:sz="0" w:space="0" w:color="auto"/>
          <w:between w:val="none" w:sz="0" w:space="0" w:color="auto"/>
        </w:pBdr>
      </w:pPr>
      <w:r>
        <w:t xml:space="preserve">The UK informal carers are supposed to take up significant roles in pharmaceutical and behavioural control in individuals with dementia. One qualitative study has determined that carers frequently have complicated medication schedules, and are usually involved in giving out doses, ordering medication, and communicating with pharmacies or surgical operations (LiezeThielemans </w:t>
      </w:r>
      <w:r>
        <w:rPr>
          <w:i/>
          <w:iCs/>
        </w:rPr>
        <w:t>et al.</w:t>
      </w:r>
      <w:r>
        <w:t xml:space="preserve"> 2023). Carers keep track of side-effects of dementia, symptom changes, and make decisions regarding when clinical intervention is required. Four out of five unpaid dementia carers report having assumed most practical and emotional support roles, sometimes 25 hours per week (Luker, 2023). The carer role also involves liaising with the health professionals, negotiating on behalf of the person with dementia, and capacity or decisions related to decisions when the person loses his or her capacity.</w:t>
      </w:r>
    </w:p>
    <w:p>
      <w:pPr>
        <w:pBdr>
          <w:top w:val="none" w:sz="0" w:space="0" w:color="auto"/>
          <w:left w:val="none" w:sz="0" w:space="0" w:color="auto"/>
          <w:bottom w:val="none" w:sz="0" w:space="0" w:color="auto"/>
          <w:right w:val="none" w:sz="0" w:space="0" w:color="auto"/>
          <w:between w:val="none" w:sz="0" w:space="0" w:color="auto"/>
        </w:pBdr>
      </w:pPr>
      <w:r>
        <w:t xml:space="preserve">The responsibilities expected of informal carers in supporting individuals living with dementia within the UK go far beyond basic supervision, as well as entering the complicated domains of medication or behavioural management. </w:t>
      </w:r>
      <w:r>
        <w:rPr>
          <w:highlight w:val="white"/>
        </w:rPr>
        <w:t xml:space="preserve">Yates </w:t>
      </w:r>
      <w:r>
        <w:rPr>
          <w:i/>
          <w:iCs/>
          <w:highlight w:val="white"/>
        </w:rPr>
        <w:t xml:space="preserve">et al. </w:t>
      </w:r>
      <w:r>
        <w:rPr>
          <w:highlight w:val="white"/>
        </w:rPr>
        <w:t>(2021</w:t>
      </w:r>
      <w:r>
        <w:t xml:space="preserve">) explained that the policy narratives and the health service structures often implicitly assume that the family carers can seamlessly adopt the care roles that need clinical knowledge as well as psychological expertise. However, the assumption demands critical scrutiny, for informal careers, which are frequently responsible for administering several medications, monitoring side effects as well as keeping tracking the dosage schedules, as tasks that even trained professionals find challenging. </w:t>
      </w:r>
      <w:r>
        <w:rPr>
          <w:highlight w:val="white"/>
        </w:rPr>
        <w:t xml:space="preserve">Arora </w:t>
      </w:r>
      <w:r>
        <w:rPr>
          <w:i/>
          <w:iCs/>
          <w:highlight w:val="white"/>
        </w:rPr>
        <w:t>et al.</w:t>
      </w:r>
      <w:r>
        <w:rPr>
          <w:highlight w:val="white"/>
        </w:rPr>
        <w:t xml:space="preserve"> (2023</w:t>
      </w:r>
      <w:r>
        <w:t>) argued that the progressive nature of dementia further complicates medication adherence as the individuals might resist taking the medication, forget that they have taken it or develop swallowing difficulties. Therefore, the expectation placed on the carers is not merely supportive but is clinically significant.</w:t>
      </w:r>
    </w:p>
    <w:p>
      <w:pPr>
        <w:pBdr>
          <w:top w:val="none" w:sz="0" w:space="0" w:color="auto"/>
          <w:left w:val="none" w:sz="0" w:space="0" w:color="auto"/>
          <w:bottom w:val="none" w:sz="0" w:space="0" w:color="auto"/>
          <w:right w:val="none" w:sz="0" w:space="0" w:color="auto"/>
          <w:between w:val="none" w:sz="0" w:space="0" w:color="auto"/>
        </w:pBdr>
      </w:pPr>
      <w:r>
        <w:t xml:space="preserve">Subsequently, in terms of the behavioural management, informal carers who are increasingly positioned as the primary agents are considered for mitigating aggressive behaviours, wandering, sleep disturbances, and agitation. Furthermore, </w:t>
      </w:r>
      <w:r>
        <w:rPr>
          <w:highlight w:val="white"/>
        </w:rPr>
        <w:t xml:space="preserve">Brown </w:t>
      </w:r>
      <w:r>
        <w:rPr>
          <w:i/>
          <w:iCs/>
          <w:highlight w:val="white"/>
        </w:rPr>
        <w:t xml:space="preserve">et al. </w:t>
      </w:r>
      <w:r>
        <w:rPr>
          <w:highlight w:val="white"/>
        </w:rPr>
        <w:t>(2024</w:t>
      </w:r>
      <w:r>
        <w:t xml:space="preserve">) stated that the expectation mirrors professional roles within dementia-specialist settings, yet it is often assigned without adequate training or systemic support. The proponents of the carer-led management argued that carers have deep personal knowledge of the individuals' history, preferences, and triggers. </w:t>
      </w:r>
      <w:r>
        <w:rPr>
          <w:highlight w:val="white"/>
        </w:rPr>
        <w:t xml:space="preserve">Spencer </w:t>
      </w:r>
      <w:r>
        <w:rPr>
          <w:i/>
          <w:iCs/>
          <w:highlight w:val="white"/>
        </w:rPr>
        <w:t>et al.</w:t>
      </w:r>
      <w:r>
        <w:rPr>
          <w:highlight w:val="white"/>
        </w:rPr>
        <w:t xml:space="preserve"> (2024</w:t>
      </w:r>
      <w:r>
        <w:t xml:space="preserve">) maintained that familiarity is believed to facilitate personalised care, reducing the reliance on institutional services as well as enhancing the continuity of support. Thus, the argument has merit, as it also risks romanticising the emotional labour involved and also downplaying the psychological burden that behaviour-related responsibilities impose. </w:t>
      </w:r>
    </w:p>
    <w:p>
      <w:pPr>
        <w:pBdr>
          <w:top w:val="none" w:sz="0" w:space="0" w:color="auto"/>
          <w:left w:val="none" w:sz="0" w:space="0" w:color="auto"/>
          <w:bottom w:val="none" w:sz="0" w:space="0" w:color="auto"/>
          <w:right w:val="none" w:sz="0" w:space="0" w:color="auto"/>
          <w:between w:val="none" w:sz="0" w:space="0" w:color="auto"/>
        </w:pBdr>
      </w:pPr>
      <w:r>
        <w:t xml:space="preserve">Critically, the informal carers are shouldering the responsibilities in the health and social care systems that are experiencing chronic understaffing as well as resource limitations. Furthermore, </w:t>
      </w:r>
      <w:r>
        <w:rPr>
          <w:highlight w:val="white"/>
        </w:rPr>
        <w:t xml:space="preserve">Donnelly </w:t>
      </w:r>
      <w:r>
        <w:rPr>
          <w:i/>
          <w:iCs/>
          <w:highlight w:val="white"/>
        </w:rPr>
        <w:t>et al.</w:t>
      </w:r>
      <w:r>
        <w:rPr>
          <w:highlight w:val="white"/>
        </w:rPr>
        <w:t xml:space="preserve"> (2024</w:t>
      </w:r>
      <w:r>
        <w:t xml:space="preserve">) focused on the anticipated roles for addressing to shape less than the patient-centred logics as well as institutional necessity. The careers are also expected to address the behavioural crises that are the home for preventing hospital admissions as well as ease the pressure on dementia care services. Therefore, the systematic dependence blurs the boundary between the formal and informal care, which positions family carers as substitutes rather than partners. </w:t>
      </w:r>
    </w:p>
    <w:p>
      <w:pPr>
        <w:pBdr>
          <w:top w:val="none" w:sz="0" w:space="0" w:color="auto"/>
          <w:left w:val="none" w:sz="0" w:space="0" w:color="auto"/>
          <w:bottom w:val="none" w:sz="0" w:space="0" w:color="auto"/>
          <w:right w:val="none" w:sz="0" w:space="0" w:color="auto"/>
          <w:between w:val="none" w:sz="0" w:space="0" w:color="auto"/>
        </w:pBdr>
      </w:pPr>
      <w:r>
        <w:t xml:space="preserve">The informal carers can play an undeniable crucial role within dementia care, as the expectations surrounding medication as well as behavioural management raise concerns about the fairness, competency and also safety. As opined by </w:t>
      </w:r>
      <w:r>
        <w:rPr>
          <w:highlight w:val="white"/>
        </w:rPr>
        <w:t xml:space="preserve">Caulfield </w:t>
      </w:r>
      <w:r>
        <w:rPr>
          <w:i/>
          <w:iCs/>
          <w:highlight w:val="white"/>
        </w:rPr>
        <w:t xml:space="preserve">et al. </w:t>
      </w:r>
      <w:r>
        <w:rPr>
          <w:highlight w:val="white"/>
        </w:rPr>
        <w:t>(2022</w:t>
      </w:r>
      <w:r>
        <w:t xml:space="preserve">), the anticipated responsibilities are expanding too rapidly without any corresponding training, respite or financial support. Therefore, a more ethical model would be required for recognising the informal carers who are not merely extensions of the healthcare workforce but as individuals who are willing to provide care. </w:t>
      </w:r>
    </w:p>
    <w:p>
      <w:pPr>
        <w:pStyle w:val="2"/>
        <w:rPr>
          <w:color w:val="auto"/>
        </w:rPr>
      </w:pPr>
      <w:bookmarkStart w:id="14" w:name="_Toc220932426"/>
      <w:r>
        <w:rPr>
          <w:color w:val="auto"/>
        </w:rPr>
        <w:t>2.3 Examine informal carers’ approaches to behavioural management and medication</w:t>
      </w:r>
      <w:bookmarkEnd w:id="14"/>
    </w:p>
    <w:p>
      <w:pPr>
        <w:pBdr>
          <w:top w:val="none" w:sz="0" w:space="0" w:color="auto"/>
          <w:left w:val="none" w:sz="0" w:space="0" w:color="auto"/>
          <w:bottom w:val="none" w:sz="0" w:space="0" w:color="auto"/>
          <w:right w:val="none" w:sz="0" w:space="0" w:color="auto"/>
          <w:between w:val="none" w:sz="0" w:space="0" w:color="auto"/>
        </w:pBdr>
      </w:pPr>
      <w:r>
        <w:t xml:space="preserve">Informal carers often manage challenging behaviours by focusing on the individual's needs, adapting the environment and employing communication and distraction techniques. Kuluski </w:t>
      </w:r>
      <w:r>
        <w:rPr>
          <w:i/>
          <w:iCs/>
        </w:rPr>
        <w:t xml:space="preserve">et al. </w:t>
      </w:r>
      <w:r>
        <w:t xml:space="preserve">(2021) have argued that informal caregivers within behavioural management are considered to be typically rooted within trial and error, as well as gain a deeper understanding of person-centred care, especially while treating patients with dementia. This signifies that care seekers suffering from dementia are well treated by informal carers through establishing clear communication between them. On the other hand, Forma </w:t>
      </w:r>
      <w:r>
        <w:rPr>
          <w:i/>
          <w:iCs/>
        </w:rPr>
        <w:t xml:space="preserve">et al. </w:t>
      </w:r>
      <w:r>
        <w:t>(2022) have contradicted that informal carers manage medications through a combination of direct activities, such as physically administering pills, and indirect, cognitive tasks like tracking and organising. This signifies that informal carers learn to identify the triggers behind challenging behaviours through keeping logs of when and how outbursts happen.</w:t>
      </w:r>
    </w:p>
    <w:p>
      <w:pPr>
        <w:pBdr>
          <w:top w:val="none" w:sz="0" w:space="0" w:color="auto"/>
          <w:left w:val="none" w:sz="0" w:space="0" w:color="auto"/>
          <w:bottom w:val="none" w:sz="0" w:space="0" w:color="auto"/>
          <w:right w:val="none" w:sz="0" w:space="0" w:color="auto"/>
          <w:between w:val="none" w:sz="0" w:space="0" w:color="auto"/>
        </w:pBdr>
      </w:pPr>
      <w:r>
        <w:t xml:space="preserve">Validating emotion is considered to be one of the pivotal roles of informal carers operating within the behaviour management segment. As per the analysis of Nguyen </w:t>
      </w:r>
      <w:r>
        <w:rPr>
          <w:i/>
          <w:iCs/>
        </w:rPr>
        <w:t xml:space="preserve">et al. </w:t>
      </w:r>
      <w:r>
        <w:t xml:space="preserve">(2025), the key approaches of informal caregivers are considered to be rooted in trial and error, especially while treating patients with dementia. This signifies that the approach performed by informal caregivers is crucial for understanding individual perspectives as well as redefining them in connectedness. Similar to the context, González-Fraile </w:t>
      </w:r>
      <w:r>
        <w:rPr>
          <w:i/>
          <w:iCs/>
        </w:rPr>
        <w:t xml:space="preserve">et al. </w:t>
      </w:r>
      <w:r>
        <w:t>(2021) have argued that informal carers within the medication segment use wide ranges of strategies such as pills organising, tracking as well as reminders in terms of treating patients with dementia. The approach held by informal caregivers operating within behavioural management is considered to be empathic as well as crucial in understanding individuals’ perspectives, particularly in the cases of dementia. Thus, the approach of informal caregivers includes physical aggression; carers prioritise safety by staying calm, creating space, and removing potential hazards from the environment.</w:t>
      </w:r>
    </w:p>
    <w:p>
      <w:pPr>
        <w:pBdr>
          <w:top w:val="none" w:sz="0" w:space="0" w:color="auto"/>
          <w:left w:val="none" w:sz="0" w:space="0" w:color="auto"/>
          <w:bottom w:val="none" w:sz="0" w:space="0" w:color="auto"/>
          <w:right w:val="none" w:sz="0" w:space="0" w:color="auto"/>
          <w:between w:val="none" w:sz="0" w:space="0" w:color="auto"/>
        </w:pBdr>
      </w:pPr>
      <w:r>
        <w:t xml:space="preserve">Careers adapt tasks to the person's current abilities in terms of breaking them down into smaller, simpler steps for preventing from becoming overwhelmed. As per the opinion of Munzesheimer </w:t>
      </w:r>
      <w:r>
        <w:rPr>
          <w:i/>
          <w:iCs/>
        </w:rPr>
        <w:t>et al</w:t>
      </w:r>
      <w:r>
        <w:t xml:space="preserve">. (2025), informal carers within behavioural management use adaptive equipment such as collared plates for visibility in terms of making tasks easier while treating patients with dementia. On the other hand, Ozavci </w:t>
      </w:r>
      <w:r>
        <w:rPr>
          <w:i/>
          <w:iCs/>
        </w:rPr>
        <w:t xml:space="preserve">et al. </w:t>
      </w:r>
      <w:r>
        <w:t xml:space="preserve">(2022) have stated that informal carers within medication management are responsible for keeping a detailed list of medication schedules as well as dosages by using a spreadsheet or paper forms. It has been recognised that informal caregivers within medication management play pivotal roles in consulting with doctors about medication side effects while treating patients with dementia. Thus, the approaches held by informal caregivers within medication as well as behavioural management are considered to be effective for treating patients with dementia. </w:t>
      </w:r>
    </w:p>
    <w:p>
      <w:pPr>
        <w:pBdr>
          <w:top w:val="none" w:sz="0" w:space="0" w:color="auto"/>
          <w:left w:val="none" w:sz="0" w:space="0" w:color="auto"/>
          <w:bottom w:val="none" w:sz="0" w:space="0" w:color="auto"/>
          <w:right w:val="none" w:sz="0" w:space="0" w:color="auto"/>
          <w:between w:val="none" w:sz="0" w:space="0" w:color="auto"/>
        </w:pBdr>
      </w:pPr>
      <w:r>
        <w:t xml:space="preserve">Informal carers of people with dementia often implement non-pharmacological behavioural strategies before or in place of medicine. In a study in the United Kingdom, carers preferred person-centred routines, environment modification, distraction, and structured activities as a way to alleviate agitation or anxiety (Ross </w:t>
      </w:r>
      <w:r>
        <w:rPr>
          <w:i/>
          <w:iCs/>
        </w:rPr>
        <w:t xml:space="preserve">et al. </w:t>
      </w:r>
      <w:r>
        <w:t>2025). Such measures were useful in saving face and reducing the need to use any kind of sedatives. In drug management, carers regularly help in the organisation of pills, compliance aids, alarms, or reminder apps (Lim</w:t>
      </w:r>
      <w:r>
        <w:rPr>
          <w:i/>
          <w:iCs/>
        </w:rPr>
        <w:t xml:space="preserve"> et al.</w:t>
      </w:r>
      <w:r>
        <w:t xml:space="preserve"> 2024). Carers monitor side effects and communicate with pharmacists or GPs when regimens are complicated. Carers often report emotional loading in the management of medications, especially when the prescription is altered frequently or the side effects are noticed (Clough </w:t>
      </w:r>
      <w:r>
        <w:rPr>
          <w:i/>
          <w:iCs/>
        </w:rPr>
        <w:t>et al.</w:t>
      </w:r>
      <w:r>
        <w:t xml:space="preserve"> 2024). The practice of carers falls into the behavioural and the pharmacological spectrum, with safety, autonomy, and relational respect as its three core principles.</w:t>
      </w:r>
    </w:p>
    <w:p>
      <w:pPr>
        <w:pBdr>
          <w:top w:val="none" w:sz="0" w:space="0" w:color="auto"/>
          <w:left w:val="none" w:sz="0" w:space="0" w:color="auto"/>
          <w:bottom w:val="none" w:sz="0" w:space="0" w:color="auto"/>
          <w:right w:val="none" w:sz="0" w:space="0" w:color="auto"/>
          <w:between w:val="none" w:sz="0" w:space="0" w:color="auto"/>
        </w:pBdr>
      </w:pPr>
      <w:r>
        <w:t xml:space="preserve">Informal carers can adopt a diverse range of approaches to managing the medication as well as behavioural issues that are aligned well with individuals who are living with dementia, shaped largely by experimental learning rather than any professional training. </w:t>
      </w:r>
      <w:r>
        <w:rPr>
          <w:highlight w:val="white"/>
        </w:rPr>
        <w:t>Eweda (2025</w:t>
      </w:r>
      <w:r>
        <w:t xml:space="preserve">) experienced that medication management frequently relies on routine-based strategies, for example, integrating doses within daily activities or the use of pill dispensers or reminders for maintaining adherence. The main approaches still highlight the carer's pragmatic problem-solving capabilities. However, these tend to expose the systemic gaps as the carers compensate for the limited access towards formal pharmaceutical guidance. </w:t>
      </w:r>
      <w:r>
        <w:rPr>
          <w:highlight w:val="white"/>
        </w:rPr>
        <w:t xml:space="preserve">Woodward </w:t>
      </w:r>
      <w:r>
        <w:rPr>
          <w:i/>
          <w:iCs/>
          <w:highlight w:val="white"/>
        </w:rPr>
        <w:t xml:space="preserve">et al. </w:t>
      </w:r>
      <w:r>
        <w:rPr>
          <w:highlight w:val="white"/>
        </w:rPr>
        <w:t>(2025</w:t>
      </w:r>
      <w:r>
        <w:t xml:space="preserve">) argued that several carers are determined to adjust to education schedules or administer over-the-counter calming agents without consulting with professionals, as delayed medical appointments or inadequate support often drives these. Therefore, the actions emerge from necessity rather than negligence, as these highlight a tension between independent decision-making and patient safety conditions. </w:t>
      </w:r>
    </w:p>
    <w:p>
      <w:pPr>
        <w:pBdr>
          <w:top w:val="none" w:sz="0" w:space="0" w:color="auto"/>
          <w:left w:val="none" w:sz="0" w:space="0" w:color="auto"/>
          <w:bottom w:val="none" w:sz="0" w:space="0" w:color="auto"/>
          <w:right w:val="none" w:sz="0" w:space="0" w:color="auto"/>
          <w:between w:val="none" w:sz="0" w:space="0" w:color="auto"/>
        </w:pBdr>
      </w:pPr>
      <w:r>
        <w:t xml:space="preserve">The behavioural management focused on the carers, typically prioritising non-pharmacological approaches that involved frustration techniques, validation therapies, and environmental adjustments, as well as personalised engagements rooted within the individual’s identities. As opined by </w:t>
      </w:r>
      <w:r>
        <w:rPr>
          <w:highlight w:val="white"/>
        </w:rPr>
        <w:t xml:space="preserve">Murfield </w:t>
      </w:r>
      <w:r>
        <w:rPr>
          <w:i/>
          <w:iCs/>
          <w:highlight w:val="white"/>
        </w:rPr>
        <w:t>et al.</w:t>
      </w:r>
      <w:r>
        <w:rPr>
          <w:highlight w:val="white"/>
        </w:rPr>
        <w:t xml:space="preserve"> (2022</w:t>
      </w:r>
      <w:r>
        <w:t xml:space="preserve">), carers reflect that compassion-based care giving is often more effective than the emaciation within preventing the behavioural escalation. However, these tend to need considerable emotional labour, patience and also continuous availability. </w:t>
      </w:r>
      <w:r>
        <w:rPr>
          <w:highlight w:val="white"/>
        </w:rPr>
        <w:t>Obasogie and Zaret (2021</w:t>
      </w:r>
      <w:r>
        <w:t xml:space="preserve">) explained that the behavioural crises further escalate certain carers' resort to sedative medication or requesting antipsychotic prescriptions as a last resort. Thus, the tendency does not reflect on the lack of empathy; it underscores the absence of the timely professional support that is needed for an immediate risk reduction within domestic settings. </w:t>
      </w:r>
    </w:p>
    <w:p>
      <w:pPr>
        <w:pStyle w:val="2"/>
        <w:rPr>
          <w:color w:val="auto"/>
        </w:rPr>
      </w:pPr>
      <w:bookmarkStart w:id="15" w:name="_Toc220932427"/>
      <w:r>
        <w:rPr>
          <w:color w:val="auto"/>
        </w:rPr>
        <w:t>2.4 Assess future training and resource needs for informal carers</w:t>
      </w:r>
      <w:bookmarkEnd w:id="15"/>
    </w:p>
    <w:p>
      <w:pPr>
        <w:pBdr>
          <w:top w:val="none" w:sz="0" w:space="0" w:color="auto"/>
          <w:left w:val="none" w:sz="0" w:space="0" w:color="auto"/>
          <w:bottom w:val="none" w:sz="0" w:space="0" w:color="auto"/>
          <w:right w:val="none" w:sz="0" w:space="0" w:color="auto"/>
          <w:between w:val="none" w:sz="0" w:space="0" w:color="auto"/>
        </w:pBdr>
      </w:pPr>
      <w:r>
        <w:t xml:space="preserve">Carers in the UK working with dementia patients are informal and in need of improved training and resources to deliver safe and effective care. They frequently deal with complicated medication regimes without organised instructions that put risks of error in administering doses and side effects. According to recent research, more than 60% of carers are not ready to perform medication-associated activities as well as behavioural management duties (Vaismoradi </w:t>
      </w:r>
      <w:r>
        <w:rPr>
          <w:i/>
          <w:iCs/>
        </w:rPr>
        <w:t>et al.</w:t>
      </w:r>
      <w:r>
        <w:t xml:space="preserve"> 2021). Systematic training on pharmacologic administration, side effects identification, and a combination of different medications should be promoted. Online modules and workshops by the pharmacists can enhance the competence and confidence of the carers (Carlqvist </w:t>
      </w:r>
      <w:r>
        <w:rPr>
          <w:i/>
          <w:iCs/>
        </w:rPr>
        <w:t>et al.</w:t>
      </w:r>
      <w:r>
        <w:t xml:space="preserve"> 2024). The carers should be trained on non-pharmacological methods, including communication skills, sensory stimulation, and environmental modification to alleviate agitation (Meng </w:t>
      </w:r>
      <w:r>
        <w:rPr>
          <w:i/>
          <w:iCs/>
        </w:rPr>
        <w:t>et al.</w:t>
      </w:r>
      <w:r>
        <w:t xml:space="preserve"> 2021). Accessibility and safety can be improved by providing mobile reminder applications, easy-to-read medication charts, and help lines. The support system involving training, digital, and professional collaboration will enable informal carers to be empowered, and this will enhance medication adherence and behavioural results of persons with dementia.</w:t>
      </w:r>
    </w:p>
    <w:p>
      <w:pPr>
        <w:pBdr>
          <w:top w:val="none" w:sz="0" w:space="0" w:color="auto"/>
          <w:left w:val="none" w:sz="0" w:space="0" w:color="auto"/>
          <w:bottom w:val="none" w:sz="0" w:space="0" w:color="auto"/>
          <w:right w:val="none" w:sz="0" w:space="0" w:color="auto"/>
          <w:between w:val="none" w:sz="0" w:space="0" w:color="auto"/>
        </w:pBdr>
      </w:pPr>
      <w:r>
        <w:t xml:space="preserve">It has been recognised that informal carers play an important role in the medication management of persons living with dementia. Based on the views of Rutkowski </w:t>
      </w:r>
      <w:r>
        <w:rPr>
          <w:i/>
          <w:iCs/>
        </w:rPr>
        <w:t xml:space="preserve">et al. </w:t>
      </w:r>
      <w:r>
        <w:t xml:space="preserve">(2021), participating in a skill-based training and developing knowledge on dementia related management, the informal carers deliver an effective performance. Involving in specialised training sessions, informal caregivers can cope with diseases like dementia. Teichmann </w:t>
      </w:r>
      <w:r>
        <w:rPr>
          <w:i/>
          <w:iCs/>
        </w:rPr>
        <w:t xml:space="preserve">et al. </w:t>
      </w:r>
      <w:r>
        <w:t xml:space="preserve">(2022) have stated that advanced management in medication management, along with handling the symptoms of dementia, requires informal care and must have knowledge of psychology. Equipment management and nursing procedures are two important segments that need to be learnt by informal carers to promote the medical management for individuals living with dementia. On the other hand, Askarizadeh </w:t>
      </w:r>
      <w:r>
        <w:rPr>
          <w:i/>
          <w:iCs/>
        </w:rPr>
        <w:t xml:space="preserve">et al. </w:t>
      </w:r>
      <w:r>
        <w:t>(2025) have stated that self-care and stress management are the areas which have combated depression and anxiety of patients. Therefore, informal carers gather a major level of knowledge through training sessions and ensure an active participation of patients with dementia in medical management.</w:t>
      </w:r>
    </w:p>
    <w:p>
      <w:pPr>
        <w:pBdr>
          <w:top w:val="none" w:sz="0" w:space="0" w:color="auto"/>
          <w:left w:val="none" w:sz="0" w:space="0" w:color="auto"/>
          <w:bottom w:val="none" w:sz="0" w:space="0" w:color="auto"/>
          <w:right w:val="none" w:sz="0" w:space="0" w:color="auto"/>
          <w:between w:val="none" w:sz="0" w:space="0" w:color="auto"/>
        </w:pBdr>
      </w:pPr>
      <w:r>
        <w:t xml:space="preserve">Conducting an effective interaction between caregivers and patients is significant to address the problem of dementia through the right medical management. Accessing training, informal carers are commonly provided with the guidelines of conducting interaction with patients (Allen </w:t>
      </w:r>
      <w:r>
        <w:rPr>
          <w:i/>
          <w:iCs/>
        </w:rPr>
        <w:t xml:space="preserve">et al. </w:t>
      </w:r>
      <w:r>
        <w:t xml:space="preserve">2023). In critical times, the database of interaction is used for patient management, and it also leads disease progression towards the right track. On the other hand, Soares </w:t>
      </w:r>
      <w:r>
        <w:rPr>
          <w:i/>
          <w:iCs/>
        </w:rPr>
        <w:t xml:space="preserve">et al. </w:t>
      </w:r>
      <w:r>
        <w:t xml:space="preserve">(2024) have stated that the informal caregivers are required to be provided with digital technological knowledge in terms of enhancing their performance. It has been recognised that wearable devices and in-home sensors can track vital signs, activity levels, and location, provide peace of mind and enable early intervention for carers. On the contrary, Amjad </w:t>
      </w:r>
      <w:r>
        <w:rPr>
          <w:i/>
          <w:iCs/>
        </w:rPr>
        <w:t xml:space="preserve">et al. </w:t>
      </w:r>
      <w:r>
        <w:t xml:space="preserve">(2023) have argued that the advent of AI-powered technologies can assist with coordinating care, setting reminders for medications and appointments, and improving access to telehealth services. This signifies that the informal caregivers are required to be provided with digital training in terms of enhancing their working potential, especially while treating patients with dementia. </w:t>
      </w:r>
    </w:p>
    <w:p>
      <w:pPr>
        <w:pBdr>
          <w:top w:val="none" w:sz="0" w:space="0" w:color="auto"/>
          <w:left w:val="none" w:sz="0" w:space="0" w:color="auto"/>
          <w:bottom w:val="none" w:sz="0" w:space="0" w:color="auto"/>
          <w:right w:val="none" w:sz="0" w:space="0" w:color="auto"/>
          <w:between w:val="none" w:sz="0" w:space="0" w:color="auto"/>
        </w:pBdr>
      </w:pPr>
      <w:r>
        <w:t xml:space="preserve">Carers require integrated digital platforms that facilitate communication with other family members, peers, healthcare providers, and community support organisations. As per the opinion of Wright </w:t>
      </w:r>
      <w:r>
        <w:rPr>
          <w:i/>
          <w:iCs/>
        </w:rPr>
        <w:t xml:space="preserve">et al. </w:t>
      </w:r>
      <w:r>
        <w:t xml:space="preserve">(2023), accessible online resources as well as apps can provide carers with condition-specific information and coping strategies. This can help to reduce feelings of burden. It has been recognised that training based on Safety and emergency response is required to be provided to the informal caregivers in terms of managing as well as recognising crises such as falling and choking, especially among patients with dementia. Apart from this, Tijsen </w:t>
      </w:r>
      <w:r>
        <w:rPr>
          <w:i/>
          <w:iCs/>
        </w:rPr>
        <w:t xml:space="preserve">et al. </w:t>
      </w:r>
      <w:r>
        <w:t xml:space="preserve">(2023) have argued that informal carers need training in cognitive and physical exercises to help with their care recipient's rehabilitation. Thus, high rates of stress as well as burnout, training in relaxation techniques and developing care plans are considered to be essential for caregiver well-being. </w:t>
      </w:r>
    </w:p>
    <w:p>
      <w:pPr>
        <w:pBdr>
          <w:top w:val="none" w:sz="0" w:space="0" w:color="auto"/>
          <w:left w:val="none" w:sz="0" w:space="0" w:color="auto"/>
          <w:bottom w:val="none" w:sz="0" w:space="0" w:color="auto"/>
          <w:right w:val="none" w:sz="0" w:space="0" w:color="auto"/>
          <w:between w:val="none" w:sz="0" w:space="0" w:color="auto"/>
        </w:pBdr>
      </w:pPr>
      <w:r>
        <w:t xml:space="preserve">Anticipating future training as well as resource needs for the informal carers of people living with dementia needs confronting two uncomfortable truths. Firstly, the clinical complexity of the dementia rate is increasing; secondary policy and the service provision still treat several carers as optional extras rather than existential patterns. </w:t>
      </w:r>
      <w:r>
        <w:rPr>
          <w:highlight w:val="white"/>
        </w:rPr>
        <w:t xml:space="preserve">Brown </w:t>
      </w:r>
      <w:r>
        <w:rPr>
          <w:i/>
          <w:iCs/>
          <w:highlight w:val="white"/>
        </w:rPr>
        <w:t>et al.</w:t>
      </w:r>
      <w:r>
        <w:rPr>
          <w:highlight w:val="white"/>
        </w:rPr>
        <w:t xml:space="preserve"> (2024</w:t>
      </w:r>
      <w:r>
        <w:t xml:space="preserve">) measured that the leaders would need more than the basic orientation for future training that is competency-based, modular and clinically informed for covering medication management and also recognition of adverse effects. Thus, the national guidance already acknowledges that it needs structured support for carers that imply guidance for the unpaid family members has lagged. </w:t>
      </w:r>
    </w:p>
    <w:p>
      <w:pPr>
        <w:pBdr>
          <w:top w:val="none" w:sz="0" w:space="0" w:color="auto"/>
          <w:left w:val="none" w:sz="0" w:space="0" w:color="auto"/>
          <w:bottom w:val="none" w:sz="0" w:space="0" w:color="auto"/>
          <w:right w:val="none" w:sz="0" w:space="0" w:color="auto"/>
          <w:between w:val="none" w:sz="0" w:space="0" w:color="auto"/>
        </w:pBdr>
      </w:pPr>
      <w:r>
        <w:t xml:space="preserve">Training should be further designed around the realistic home contexts. The practical modules are on safe medication building that needs to be paired with the decision-making frameworks that tell carers that escalates to the clinicians. The evidence shows that carers frequently undertake medication tasks without formal training, exposing patients to avoidable risks in training. Therefore, emphasis on safety measures is determined to monitor for the side effects as well as legal or consent issues. </w:t>
      </w:r>
    </w:p>
    <w:p>
      <w:pPr>
        <w:pBdr>
          <w:top w:val="none" w:sz="0" w:space="0" w:color="auto"/>
          <w:left w:val="none" w:sz="0" w:space="0" w:color="auto"/>
          <w:bottom w:val="none" w:sz="0" w:space="0" w:color="auto"/>
          <w:right w:val="none" w:sz="0" w:space="0" w:color="auto"/>
          <w:between w:val="none" w:sz="0" w:space="0" w:color="auto"/>
        </w:pBdr>
      </w:pPr>
      <w:r>
        <w:t xml:space="preserve">The behavioural management training is determined to focus beyond the didactic lists to teach the adaptive, evidence-based techniques that face personalized activity planning and distressed de-escalation. These are considered the best learned through the blended methods, shortly iterate online units for the therapy, coupled with the face-to-face coaching or peer-mentoring for the product and relative feedback. As opined by </w:t>
      </w:r>
      <w:r>
        <w:rPr>
          <w:highlight w:val="white"/>
        </w:rPr>
        <w:t xml:space="preserve">Flanagan </w:t>
      </w:r>
      <w:r>
        <w:rPr>
          <w:i/>
          <w:iCs/>
          <w:highlight w:val="white"/>
        </w:rPr>
        <w:t xml:space="preserve">et al. </w:t>
      </w:r>
      <w:r>
        <w:rPr>
          <w:highlight w:val="white"/>
        </w:rPr>
        <w:t>(2025</w:t>
      </w:r>
      <w:r>
        <w:t xml:space="preserve">), the carers can learn most effectively from experiential and content-rich learning. The resources are determined to involve the system-level support, those guaranteed access towards rapid advice from multidisciplinary teams, and reports of the provision and financial support reduce the isolation or the burnouts. Therefore, the Dementia Training Standards, as well as the national frameworks, are able to provide a blueprint for the workforce's training, as these must be adapted or extended for informal carers so the learning outcomes align with professional standards. </w:t>
      </w:r>
    </w:p>
    <w:p>
      <w:pPr>
        <w:pStyle w:val="2"/>
        <w:rPr>
          <w:color w:val="auto"/>
        </w:rPr>
      </w:pPr>
      <w:bookmarkStart w:id="16" w:name="_Toc220932428"/>
      <w:r>
        <w:rPr>
          <w:color w:val="auto"/>
        </w:rPr>
        <w:t>2.5 Recommended strategies to support informal carers in the medication and behaviour management role</w:t>
      </w:r>
      <w:bookmarkEnd w:id="16"/>
    </w:p>
    <w:p>
      <w:pPr>
        <w:pBdr>
          <w:top w:val="none" w:sz="0" w:space="0" w:color="auto"/>
          <w:left w:val="none" w:sz="0" w:space="0" w:color="auto"/>
          <w:bottom w:val="none" w:sz="0" w:space="0" w:color="auto"/>
          <w:right w:val="none" w:sz="0" w:space="0" w:color="auto"/>
          <w:between w:val="none" w:sz="0" w:space="0" w:color="auto"/>
        </w:pBdr>
      </w:pPr>
      <w:r>
        <w:t xml:space="preserve">Collaborative pharmacist-led medication reviews should be incorporated into UK dementia care to ensure better support of informal carers. Careers also require simplified, customised information regarding medications- indications, side effects, safe administration, that is simple and relevant, and can be provided easily by pharmacists. A systematic review of the pharmacist-led reviews in residential aged care showed that when pharmacists work with physicians and carers, there were decreases in medication use and an increase in the appropriateness of psychotropic prescription (McDerby </w:t>
      </w:r>
      <w:r>
        <w:rPr>
          <w:i/>
          <w:iCs/>
        </w:rPr>
        <w:t>et al.</w:t>
      </w:r>
      <w:r>
        <w:t xml:space="preserve"> 2020). Scoping review 2024 has also shown that patients with dementia and their carers do not have access to critical medication education and desire information that is clear, customised, and delivered early to identify triggers, non-pharmacological interventions, and distress communication (Vickerstaff </w:t>
      </w:r>
      <w:r>
        <w:rPr>
          <w:i/>
          <w:iCs/>
        </w:rPr>
        <w:t>et al.</w:t>
      </w:r>
      <w:r>
        <w:t xml:space="preserve"> 2025). Brief workshops or web-based modules on triggers, non-pharmacological interventions, and communication of distress should be used to combine theory with practice. Web-based interventions maintain approximately 70% of the carers when these treatments comprise behaviour change strategies and corresponding support elements (Wu </w:t>
      </w:r>
      <w:r>
        <w:rPr>
          <w:i/>
          <w:iCs/>
        </w:rPr>
        <w:t>et al.</w:t>
      </w:r>
      <w:r>
        <w:t xml:space="preserve"> 2022). The interventions must create system-level support integrating clinical pharmacists into GP practices, creating shared care plans, providing unproblematic continuity of care, and facilitating communications among professionals and carers.</w:t>
      </w:r>
    </w:p>
    <w:p>
      <w:pPr>
        <w:pBdr>
          <w:top w:val="none" w:sz="0" w:space="0" w:color="auto"/>
          <w:left w:val="none" w:sz="0" w:space="0" w:color="auto"/>
          <w:bottom w:val="none" w:sz="0" w:space="0" w:color="auto"/>
          <w:right w:val="none" w:sz="0" w:space="0" w:color="auto"/>
          <w:between w:val="none" w:sz="0" w:space="0" w:color="auto"/>
        </w:pBdr>
      </w:pPr>
      <w:r>
        <w:t xml:space="preserve">Informal carers managing medication as well as behavioural management require the combination of practical strategies, education tools and access to supportive services. As per the opinion of Pereira </w:t>
      </w:r>
      <w:r>
        <w:rPr>
          <w:i/>
          <w:iCs/>
        </w:rPr>
        <w:t xml:space="preserve">et al. </w:t>
      </w:r>
      <w:r>
        <w:t xml:space="preserve">(2022), medication management is considered to be one of the most common as well as complex tasks for informal carers, with over half assisting with multiple medications daily. It has been recognised that smart medication dispensers can be programmed to release the correct dose at the scheduled time and issue visual or auditory alerts. This signifies that some models can even notify the caregiver or pharmacist if a dose is missed. Apart from this, Oravainen </w:t>
      </w:r>
      <w:r>
        <w:rPr>
          <w:i/>
          <w:iCs/>
        </w:rPr>
        <w:t xml:space="preserve">et al. </w:t>
      </w:r>
      <w:r>
        <w:t>(2021) have contradicted that by creating as well as maintaining a detailed medication list that includes the drug name, dosage, time, purpose, and prescribing doctor. Additionally, healthcare providers should offer clear, personalised medication instructions using simple terms as well as methods that fit the carer's literacy and capacity.</w:t>
      </w:r>
    </w:p>
    <w:p>
      <w:pPr>
        <w:pBdr>
          <w:top w:val="none" w:sz="0" w:space="0" w:color="auto"/>
          <w:left w:val="none" w:sz="0" w:space="0" w:color="auto"/>
          <w:bottom w:val="none" w:sz="0" w:space="0" w:color="auto"/>
          <w:right w:val="none" w:sz="0" w:space="0" w:color="auto"/>
          <w:between w:val="none" w:sz="0" w:space="0" w:color="auto"/>
        </w:pBdr>
      </w:pPr>
      <w:r>
        <w:t>Informal carers can sometimes be asked to report any changes in the care recipient's health to their healthcare team. This can help the informal care giver to providers to address problems proactively, particularly in the case of dementia. As per the analysis of Nwagwu and Akanji (2024), informal carers within medication management are required to regularly assess the care seeker’s understanding of the medication plan in terms of enhancing their working potential. Apart from this, managing challenging behaviours, often associated with conditions such as dementia, requires understanding, patience, and specific coping techniques. These programs provide carers with practical information and problem-solving skills to manage specific patient problems. Thus, establishing clear, predictable daily routines helps in creating a sense of security and can minimise confusion and frustration for the care recipient.</w:t>
      </w:r>
    </w:p>
    <w:p>
      <w:pPr>
        <w:pBdr>
          <w:top w:val="none" w:sz="0" w:space="0" w:color="auto"/>
          <w:left w:val="none" w:sz="0" w:space="0" w:color="auto"/>
          <w:bottom w:val="none" w:sz="0" w:space="0" w:color="auto"/>
          <w:right w:val="none" w:sz="0" w:space="0" w:color="auto"/>
          <w:between w:val="none" w:sz="0" w:space="0" w:color="auto"/>
        </w:pBdr>
      </w:pPr>
      <w:r>
        <w:t xml:space="preserve">The shifts within the responsibilities are alien from the risky improvisation towards supported competency, policies and practices that are able to adopt the strategies that integrate the training, systemic backups, as well as carers’ wellbeing. Firstly, delivering tiered, competency-based training for the carers that helps in mapping to specific, measurable outcomes. </w:t>
      </w:r>
      <w:r>
        <w:rPr>
          <w:highlight w:val="white"/>
        </w:rPr>
        <w:t>Bolger</w:t>
      </w:r>
      <w:r>
        <w:rPr>
          <w:i/>
          <w:iCs/>
          <w:highlight w:val="white"/>
        </w:rPr>
        <w:t xml:space="preserve"> et al.</w:t>
      </w:r>
      <w:r>
        <w:rPr>
          <w:highlight w:val="white"/>
        </w:rPr>
        <w:t xml:space="preserve"> (2023</w:t>
      </w:r>
      <w:r>
        <w:t>) stated that scaffolding the approaches that recognise varied career capabilities provides a clear escalation pathway. The national guidance and the training frameworks are already providing foundations. Therefore, the innovation needed is commissioning for the unpaid careers that help in measuring the competency attainment.</w:t>
      </w:r>
    </w:p>
    <w:p>
      <w:pPr>
        <w:pStyle w:val="2"/>
        <w:rPr>
          <w:color w:val="auto"/>
        </w:rPr>
      </w:pPr>
      <w:bookmarkStart w:id="17" w:name="_Toc220932429"/>
      <w:r>
        <w:rPr>
          <w:color w:val="auto"/>
        </w:rPr>
        <w:t>2.6 Application of theory</w:t>
      </w:r>
      <w:bookmarkEnd w:id="17"/>
    </w:p>
    <w:p>
      <w:pPr>
        <w:pBdr>
          <w:top w:val="none" w:sz="0" w:space="0" w:color="auto"/>
          <w:left w:val="none" w:sz="0" w:space="0" w:color="auto"/>
          <w:bottom w:val="none" w:sz="0" w:space="0" w:color="auto"/>
          <w:right w:val="none" w:sz="0" w:space="0" w:color="auto"/>
          <w:between w:val="none" w:sz="0" w:space="0" w:color="auto"/>
        </w:pBdr>
        <w:rPr>
          <w:b/>
          <w:bCs/>
        </w:rPr>
      </w:pPr>
      <w:r>
        <w:rPr>
          <w:b/>
          <w:bCs/>
        </w:rPr>
        <w:t>Application of the Theories</w:t>
      </w:r>
    </w:p>
    <w:p>
      <w:pPr>
        <w:pBdr>
          <w:top w:val="none" w:sz="0" w:space="0" w:color="auto"/>
          <w:left w:val="none" w:sz="0" w:space="0" w:color="auto"/>
          <w:bottom w:val="none" w:sz="0" w:space="0" w:color="auto"/>
          <w:right w:val="none" w:sz="0" w:space="0" w:color="auto"/>
          <w:between w:val="none" w:sz="0" w:space="0" w:color="auto"/>
        </w:pBdr>
      </w:pPr>
      <w:r>
        <w:t>The application of Bandura’s social learning is considered to be a crucial theoretical perspective that can be used for evaluating the role of informal carers within medication as well as behavioural management. As per the opinion of Firmansyah and Saepuloh (2022), “Bandura's Social Learning Theory” proposes that individuals learn new behaviours by observing and imitating others, rather than through direct experience alone. Adopting the key concept of such a theoretical perspective, informal caregivers can learn complex caregiving behaviours as well as manage challenging situations through observing others and building confidence in their own abilities. This signifies that carers often learn medical tasks, such as injections or wound care, by carefully observing and imitating nurses or doctors.</w:t>
      </w:r>
    </w:p>
    <w:p>
      <w:pPr>
        <w:pBdr>
          <w:top w:val="none" w:sz="0" w:space="0" w:color="auto"/>
          <w:left w:val="none" w:sz="0" w:space="0" w:color="auto"/>
          <w:bottom w:val="none" w:sz="0" w:space="0" w:color="auto"/>
          <w:right w:val="none" w:sz="0" w:space="0" w:color="auto"/>
          <w:between w:val="none" w:sz="0" w:space="0" w:color="auto"/>
        </w:pBdr>
      </w:pPr>
      <w:r>
        <w:t xml:space="preserve">The evaluation of this theoretical perspective has been beneficial in evaluating the key strategies used by informal caregivers within medication as well as behavioural management, especially while treating patients with dementia. As per the analysis of Koutroubas and Galanakis (2022), Bandura’s Social Learning Theory acts as a bridge between behaviourist and cognitive theories through highlighting the role of mental processes such as attention and memory in learning. Understanding the key fundamentals of these theoretical perspectives, informal carers can also learn effective strategies through observing peers in support groups or by sharing advice with other family carers. </w:t>
      </w:r>
    </w:p>
    <w:p>
      <w:pPr>
        <w:pBdr>
          <w:top w:val="none" w:sz="0" w:space="0" w:color="auto"/>
          <w:left w:val="none" w:sz="0" w:space="0" w:color="auto"/>
          <w:bottom w:val="none" w:sz="0" w:space="0" w:color="auto"/>
          <w:right w:val="none" w:sz="0" w:space="0" w:color="auto"/>
          <w:between w:val="none" w:sz="0" w:space="0" w:color="auto"/>
        </w:pBdr>
      </w:pPr>
      <w:r>
        <w:t xml:space="preserve">The Social Learning Theory by Bandura puts much emphasis on learning through observing models, reinforcing behaviour, and self-efficacy. The UK Ideal research found that the greater the self-efficacy of the informal dementia carers, the greater the living well outcomes of life satisfaction, quality of life, and wellbeing (Martyr </w:t>
      </w:r>
      <w:r>
        <w:rPr>
          <w:i/>
          <w:iCs/>
        </w:rPr>
        <w:t>et al.</w:t>
      </w:r>
      <w:r>
        <w:t xml:space="preserve"> 2023). Carers who observe other patients adapting the medication/behavioural outbursts successfully become confident to emulate those techniques. Observational learning assists informal carers in embracing non-pharmacological behavioural control and safe drugs. Greater self-efficacy sustains tenacity in the light of a challenge.</w:t>
      </w:r>
    </w:p>
    <w:p>
      <w:pPr>
        <w:pBdr>
          <w:top w:val="none" w:sz="0" w:space="0" w:color="auto"/>
          <w:left w:val="none" w:sz="0" w:space="0" w:color="auto"/>
          <w:bottom w:val="none" w:sz="0" w:space="0" w:color="auto"/>
          <w:right w:val="none" w:sz="0" w:space="0" w:color="auto"/>
          <w:between w:val="none" w:sz="0" w:space="0" w:color="auto"/>
        </w:pBdr>
        <w:rPr>
          <w:b/>
          <w:bCs/>
          <w:i/>
          <w:iCs/>
        </w:rPr>
      </w:pPr>
      <w:r>
        <w:rPr>
          <w:b/>
          <w:bCs/>
          <w:i/>
          <w:iCs/>
        </w:rPr>
        <w:t>System theory</w:t>
      </w:r>
    </w:p>
    <w:p>
      <w:pPr>
        <w:jc w:val="center"/>
      </w:pPr>
      <w:r>
        <w:drawing>
          <wp:inline distT="114300" distB="114300" distL="114300" distR="114300">
            <wp:extent cx="5050561" cy="1184337"/>
            <wp:effectExtent l="0" t="0" r="0" b="0"/>
            <wp:docPr id="7" name="图片 7"/>
            <wp:cNvGraphicFramePr>
              <a:graphicFrameLocks noChangeAspect="0"/>
            </wp:cNvGraphicFramePr>
            <a:graphic>
              <a:graphicData uri="http://schemas.openxmlformats.org/drawingml/2006/picture">
                <pic:pic>
                  <pic:nvPicPr>
                    <pic:cNvPr id="9" name="图片 9"/>
                    <pic:cNvPicPr/>
                  </pic:nvPicPr>
                  <pic:blipFill>
                    <a:blip r:embed="rId5"/>
                    <a:stretch>
                      <a:fillRect/>
                    </a:stretch>
                  </pic:blipFill>
                  <pic:spPr>
                    <a:xfrm rot="0">
                      <a:off x="0" y="0"/>
                      <a:ext cx="5050561" cy="1184337"/>
                    </a:xfrm>
                    <a:prstGeom prst="rect"/>
                    <a:noFill/>
                    <a:ln w="12700" cmpd="sng" cap="flat">
                      <a:solidFill>
                        <a:srgbClr val="000000"/>
                      </a:solidFill>
                      <a:prstDash val="solid"/>
                      <a:round/>
                    </a:ln>
                  </pic:spPr>
                </pic:pic>
              </a:graphicData>
            </a:graphic>
          </wp:inline>
        </w:drawing>
      </w:r>
    </w:p>
    <w:p>
      <w:pPr>
        <w:pStyle w:val="4"/>
        <w:rPr>
          <w:color w:val="auto"/>
        </w:rPr>
      </w:pPr>
      <w:bookmarkStart w:id="18" w:name="_heading=h.ch3gfxg27ibu"/>
      <w:bookmarkEnd w:id="18"/>
      <w:r>
        <w:rPr>
          <w:color w:val="auto"/>
        </w:rPr>
        <w:t xml:space="preserve">Figure 2.2: Application of system theory </w:t>
      </w:r>
    </w:p>
    <w:p>
      <w:pPr>
        <w:jc w:val="center"/>
        <w:rPr>
          <w:b/>
          <w:bCs/>
          <w:i/>
          <w:iCs/>
        </w:rPr>
      </w:pPr>
      <w:r>
        <w:t>(Source: Influenced by Larocca, 2025)</w:t>
      </w:r>
    </w:p>
    <w:p>
      <w:pPr>
        <w:pBdr>
          <w:top w:val="none" w:sz="0" w:space="0" w:color="auto"/>
          <w:left w:val="none" w:sz="0" w:space="0" w:color="auto"/>
          <w:bottom w:val="none" w:sz="0" w:space="0" w:color="auto"/>
          <w:right w:val="none" w:sz="0" w:space="0" w:color="auto"/>
          <w:between w:val="none" w:sz="0" w:space="0" w:color="auto"/>
        </w:pBdr>
      </w:pPr>
      <w:r>
        <w:t xml:space="preserve">The application of system theory is considered to be a pivotal aspect in analysing the effectiveness of medication and behavioural management within the healthcare system in treating patients with dementia. As per the opinion of Larocca (2025), Systems theory is considered to be the transdisciplinary study of systems, which are cohesive groups of interrelated, interdependent components. Systems theory explains the role of informal carers in medication and behavioural management by viewing the family and caregiving relationships as complex, interconnected, and adaptive systems. Apart from this, a patient's medication-induced side effects or behavioural issues can trigger emotional reactions in the carer, who may become stressed or anxious. Thus, the implication of such theoretical perspectives has been beneficial in evaluating the role of informal carers within medication and behavioural management while treating patients with dementia. </w:t>
      </w:r>
    </w:p>
    <w:p>
      <w:pPr>
        <w:pStyle w:val="2"/>
        <w:rPr>
          <w:color w:val="auto"/>
        </w:rPr>
      </w:pPr>
      <w:bookmarkStart w:id="19" w:name="_Toc220932430"/>
      <w:r>
        <w:rPr>
          <w:color w:val="auto"/>
        </w:rPr>
        <w:t>2.7 Conceptual framework</w:t>
      </w:r>
      <w:bookmarkEnd w:id="19"/>
    </w:p>
    <w:p>
      <w:pPr>
        <w:pBdr>
          <w:top w:val="none" w:sz="0" w:space="0" w:color="auto"/>
          <w:left w:val="none" w:sz="0" w:space="0" w:color="auto"/>
          <w:bottom w:val="none" w:sz="0" w:space="0" w:color="auto"/>
          <w:right w:val="none" w:sz="0" w:space="0" w:color="auto"/>
          <w:between w:val="none" w:sz="0" w:space="0" w:color="auto"/>
        </w:pBdr>
        <w:jc w:val="center"/>
        <w:rPr>
          <w:b/>
          <w:bCs/>
        </w:rPr>
      </w:pPr>
      <w:r>
        <w:rPr>
          <w:b/>
          <w:bCs/>
        </w:rPr>
        <w:drawing>
          <wp:inline distT="114300" distB="114300" distL="114300" distR="114300">
            <wp:extent cx="4121877" cy="3731009"/>
            <wp:effectExtent l="0" t="0" r="0" b="0"/>
            <wp:docPr id="10" name="图片 10"/>
            <wp:cNvGraphicFramePr>
              <a:graphicFrameLocks noChangeAspect="0"/>
            </wp:cNvGraphicFramePr>
            <a:graphic>
              <a:graphicData uri="http://schemas.openxmlformats.org/drawingml/2006/picture">
                <pic:pic>
                  <pic:nvPicPr>
                    <pic:cNvPr id="12" name="图片 12"/>
                    <pic:cNvPicPr/>
                  </pic:nvPicPr>
                  <pic:blipFill>
                    <a:blip r:embed="rId6"/>
                    <a:stretch>
                      <a:fillRect/>
                    </a:stretch>
                  </pic:blipFill>
                  <pic:spPr>
                    <a:xfrm rot="0">
                      <a:off x="0" y="0"/>
                      <a:ext cx="4121877" cy="3731009"/>
                    </a:xfrm>
                    <a:prstGeom prst="rect"/>
                    <a:noFill/>
                    <a:ln w="12700" cmpd="sng" cap="flat">
                      <a:solidFill>
                        <a:srgbClr val="000000"/>
                      </a:solidFill>
                      <a:prstDash val="solid"/>
                      <a:round/>
                    </a:ln>
                  </pic:spPr>
                </pic:pic>
              </a:graphicData>
            </a:graphic>
          </wp:inline>
        </w:drawing>
      </w:r>
    </w:p>
    <w:p>
      <w:pPr>
        <w:pStyle w:val="4"/>
        <w:rPr>
          <w:color w:val="auto"/>
        </w:rPr>
      </w:pPr>
      <w:r>
        <w:rPr>
          <w:color w:val="auto"/>
        </w:rPr>
        <w:t xml:space="preserve">Figure 2.3: Conceptual framework </w:t>
      </w:r>
    </w:p>
    <w:p>
      <w:pPr>
        <w:pBdr>
          <w:top w:val="none" w:sz="0" w:space="0" w:color="auto"/>
          <w:left w:val="none" w:sz="0" w:space="0" w:color="auto"/>
          <w:bottom w:val="none" w:sz="0" w:space="0" w:color="auto"/>
          <w:right w:val="none" w:sz="0" w:space="0" w:color="auto"/>
          <w:between w:val="none" w:sz="0" w:space="0" w:color="auto"/>
        </w:pBdr>
        <w:jc w:val="center"/>
      </w:pPr>
      <w:r>
        <w:t>(Source: Self-developed)</w:t>
      </w:r>
    </w:p>
    <w:p>
      <w:pPr>
        <w:pBdr>
          <w:top w:val="none" w:sz="0" w:space="0" w:color="auto"/>
          <w:left w:val="none" w:sz="0" w:space="0" w:color="auto"/>
          <w:bottom w:val="none" w:sz="0" w:space="0" w:color="auto"/>
          <w:right w:val="none" w:sz="0" w:space="0" w:color="auto"/>
          <w:between w:val="none" w:sz="0" w:space="0" w:color="auto"/>
        </w:pBdr>
      </w:pPr>
      <w:r>
        <w:t xml:space="preserve">The above-mentioned figure highlights the relationship between the independent and dependent variables of the research that are supported by key theoretical perspectives. It has been recognised that the key role of informal carers in medication provides cognitive and emotional support. The above statement is considered to be supported by social learning theory. Similar to the context, the role of informal carers also advocates for the healthcare system. This statement is considered to be supported by system theory. </w:t>
      </w:r>
    </w:p>
    <w:p>
      <w:pPr>
        <w:pStyle w:val="2"/>
        <w:rPr>
          <w:color w:val="auto"/>
        </w:rPr>
      </w:pPr>
      <w:bookmarkStart w:id="20" w:name="_Toc220932431"/>
      <w:r>
        <w:rPr>
          <w:color w:val="auto"/>
        </w:rPr>
        <w:t>2.8 Literature gap</w:t>
      </w:r>
      <w:bookmarkEnd w:id="20"/>
    </w:p>
    <w:p>
      <w:pPr>
        <w:pBdr>
          <w:top w:val="none" w:sz="0" w:space="0" w:color="auto"/>
          <w:left w:val="none" w:sz="0" w:space="0" w:color="auto"/>
          <w:bottom w:val="none" w:sz="0" w:space="0" w:color="auto"/>
          <w:right w:val="none" w:sz="0" w:space="0" w:color="auto"/>
          <w:between w:val="none" w:sz="0" w:space="0" w:color="auto"/>
        </w:pBdr>
      </w:pPr>
      <w:r>
        <w:t xml:space="preserve">The literature that is available focuses on clinical management of dementia as opposed to the lived experiences of informal carers. There is a paucity of studies in which behavioural strategies of carers are associated with medication safety. Not many recent studies in the UK are investigating the gaps in career training and theory-based behavioural interventions. It has been recognised that informal carers often report feeling burdened and isolated, and healthcare professionals are frequently unaware of the full scope of challenges carers face in managing medications at home. However, there is a significant gap in the way health information is communicated. Carers' information needs often go unmet, not due to a complete absence of resources. </w:t>
      </w:r>
    </w:p>
    <w:p>
      <w:pPr>
        <w:pStyle w:val="2"/>
        <w:rPr>
          <w:color w:val="auto"/>
        </w:rPr>
      </w:pPr>
      <w:bookmarkStart w:id="21" w:name="_Toc220932432"/>
      <w:r>
        <w:rPr>
          <w:color w:val="auto"/>
        </w:rPr>
        <w:t>2.9 Conclusion</w:t>
      </w:r>
      <w:bookmarkEnd w:id="21"/>
    </w:p>
    <w:p>
      <w:pPr>
        <w:pBdr>
          <w:top w:val="none" w:sz="0" w:space="0" w:color="auto"/>
          <w:left w:val="none" w:sz="0" w:space="0" w:color="auto"/>
          <w:bottom w:val="none" w:sz="0" w:space="0" w:color="auto"/>
          <w:right w:val="none" w:sz="0" w:space="0" w:color="auto"/>
          <w:between w:val="none" w:sz="0" w:space="0" w:color="auto"/>
        </w:pBdr>
      </w:pPr>
      <w:r>
        <w:t>The above-mentioned chapter concludes that validating emotion is one of the pivotal roles of informal carers operating within the behaviour management segment. Additionally, carers adapt tasks to the person's current abilities in terms of breaking them down into smaller, simpler steps for preventing from becoming overwhelmed. It has been recognised that informal caregivers within medication management play pivotal roles in consulting with doctors about medication side effects while treating patients with dementia. Thus, the approaches held by informal caregivers within medication as well as behavioural management are considered to be effective for treating patients with dementia. Dementia medication and behaviour management rely greatly on informal carers. Their performance can be improved with better training and systematic assistance. Enhancing partnership and evidence-based leadership, safer and more human-centred dementia care will be guaranteed in the communities of the UK.</w:t>
      </w:r>
    </w:p>
    <w:p>
      <w:r>
        <w:br w:type="page"/>
      </w:r>
    </w:p>
    <w:p>
      <w:pPr>
        <w:pStyle w:val="1"/>
        <w:rPr>
          <w:color w:val="auto"/>
        </w:rPr>
      </w:pPr>
      <w:bookmarkStart w:id="22" w:name="_Toc220932433"/>
      <w:r>
        <w:rPr>
          <w:color w:val="auto"/>
        </w:rPr>
        <w:t>Chapter 3: Methods</w:t>
      </w:r>
      <w:bookmarkEnd w:id="22"/>
    </w:p>
    <w:p>
      <w:pPr>
        <w:pStyle w:val="2"/>
        <w:rPr>
          <w:color w:val="auto"/>
        </w:rPr>
      </w:pPr>
      <w:bookmarkStart w:id="23" w:name="_Toc220932434"/>
      <w:r>
        <w:rPr>
          <w:color w:val="auto"/>
        </w:rPr>
        <w:t>3.1 Introduction</w:t>
      </w:r>
      <w:bookmarkEnd w:id="23"/>
    </w:p>
    <w:p>
      <w:r>
        <w:t xml:space="preserve">The chapter discusses the techniques and methods that have been utilised for obtaining the required and useful information for supporting the analysis of research topics. The philosophical implication along with research design and approaches is discussed in the chapters for efficient data analysis to gather relevant information on informal carers’ roles in the UK for handling dementia among individuals. </w:t>
      </w:r>
    </w:p>
    <w:p>
      <w:pPr>
        <w:pStyle w:val="2"/>
        <w:rPr>
          <w:color w:val="auto"/>
        </w:rPr>
      </w:pPr>
      <w:bookmarkStart w:id="24" w:name="_Toc220932435"/>
      <w:r>
        <w:rPr>
          <w:color w:val="auto"/>
        </w:rPr>
        <w:t>3.2 Research philosophy /paradigm</w:t>
      </w:r>
      <w:bookmarkEnd w:id="24"/>
    </w:p>
    <w:p>
      <w:pPr>
        <w:rPr>
          <w:b/>
          <w:bCs/>
        </w:rPr>
      </w:pPr>
      <w:r>
        <w:t xml:space="preserve">The philosophy in the research provides a fundamental basis for conducting the research that has been ensured through the application of interpretivism research philosophy for understanding the informal carers’ role. Mustofa (2023) has argued that the Interpretivism paradigm is being leveraged widely due to its effectiveness in highlighting contextual understanding of research areas through analysing societal beliefs and assumptions. Accordingly, the interpretivism philosophical paradigm is beneficial in the current study for understanding the general and basic assumptions regarding the role of informal carers in the management of individuals experiencing dementia. Saliya (2023) has outlined that philosophical paradigms used in the research are diverse, including interpretivism, positivism and constructivism used for analysing the link between social construction and individual experience. </w:t>
      </w:r>
    </w:p>
    <w:p>
      <w:pPr>
        <w:pStyle w:val="2"/>
        <w:rPr>
          <w:color w:val="auto"/>
        </w:rPr>
      </w:pPr>
      <w:bookmarkStart w:id="25" w:name="_Toc220932436"/>
      <w:r>
        <w:rPr>
          <w:color w:val="auto"/>
        </w:rPr>
        <w:t>3.3 Ethical considerations</w:t>
      </w:r>
      <w:bookmarkEnd w:id="25"/>
    </w:p>
    <w:p>
      <w:r>
        <w:t>There is no direct threat of harm, privacy invasion, or distress since no primary data is to be taken involving human subjects. Ethical approval was sought from the University of Wales Trinity Saint David Ethics Committee. Approval was granted on November 2025. Plagiarism, falsification, or forgery of original authors' findings will not be allowed. According to the “UK Data Protection Act 2018” and the “UK General Data Protection Regulation (UK GDPR)”, information obtained in the published works will be dealt with responsibly and kept in a safe place (Gov, 2025). Even though no personal and identifiable data of the participants will be accessed, it will be ensured that the anonymity of people mentioned in the reviewed studies would be kept. The researcher makes sure that the synthesis is reflective of the overall evidence without being selective, which is followed by manipulated results. These ethical principles enable the study to uphold the principles of respect, beneficence, and justice by observing the accepted ethics of research in the field of public health and social care.</w:t>
      </w:r>
    </w:p>
    <w:p>
      <w:pPr>
        <w:pStyle w:val="2"/>
        <w:rPr>
          <w:color w:val="auto"/>
        </w:rPr>
      </w:pPr>
      <w:bookmarkStart w:id="26" w:name="_Toc220932437"/>
      <w:r>
        <w:rPr>
          <w:color w:val="auto"/>
        </w:rPr>
        <w:t>3.4 Research approach</w:t>
      </w:r>
      <w:bookmarkEnd w:id="26"/>
    </w:p>
    <w:p>
      <w:r>
        <w:t xml:space="preserve">The research leverages the implications of a deductive research approach for establishing a basic understanding of dementia care in the UK and the role of informal carers through analysing theories and frameworks. The report of Barroga </w:t>
      </w:r>
      <w:r>
        <w:rPr>
          <w:i/>
          <w:iCs/>
        </w:rPr>
        <w:t>et al.</w:t>
      </w:r>
      <w:r>
        <w:t xml:space="preserve"> (2023) outlines that deductive research assists in investigating research phenomena and makes observations based on the analysis to improve understanding of the issues. The deductive reasoning assisted in deducing information from vast sources of informal care plans in dementia care and strengthened the healthcare outcome.</w:t>
      </w:r>
    </w:p>
    <w:p>
      <w:pPr>
        <w:pStyle w:val="2"/>
        <w:rPr>
          <w:color w:val="auto"/>
        </w:rPr>
      </w:pPr>
      <w:bookmarkStart w:id="27" w:name="_Toc220932438"/>
      <w:r>
        <w:rPr>
          <w:color w:val="auto"/>
        </w:rPr>
        <w:t>3.5 Research strategy</w:t>
      </w:r>
      <w:bookmarkEnd w:id="27"/>
    </w:p>
    <w:p>
      <w:pPr>
        <w:rPr>
          <w:b/>
          <w:bCs/>
        </w:rPr>
      </w:pPr>
      <w:r>
        <w:t xml:space="preserve">Deductive research approaches have been beneficial in the study for developing basic assumptions regarding the role informal carers play in dementia care and using the gathered information to validate the assumptions. The report of Gamage (2025) emphasised that the deductive research approach entails deduction of the basic assumption regarding the research topic and moves from general perception to a particular through data validation. </w:t>
      </w:r>
    </w:p>
    <w:p>
      <w:pPr>
        <w:pStyle w:val="2"/>
        <w:rPr>
          <w:color w:val="auto"/>
        </w:rPr>
      </w:pPr>
      <w:bookmarkStart w:id="28" w:name="_Toc220932439"/>
      <w:r>
        <w:rPr>
          <w:color w:val="auto"/>
        </w:rPr>
        <w:t>3.6 Study design-systematic review</w:t>
      </w:r>
      <w:bookmarkEnd w:id="28"/>
    </w:p>
    <w:p>
      <w:r>
        <w:t xml:space="preserve">The research design in the study provides a clear overview of the approaches that have been utilised for gathering and conducting the research through a descriptive design. The report of Ghanad (2023) argued that descriptive research design is utilised for conducting data collection methods for gaining comprehensive understanding of the research issues. The utilisation of descriptive design is efficient as it allows the accurate description of the characteristics of a situation such as informal carers’ role in dementia patient management in the UK. Similarly, Kekeya (2021) has also emphasised that descriptive design of the research is associated with the financial outcome and end product of data analysis, containing a rich description of research phenomena. In this context, descriptive design is useful for efficiently defining the role of informal carers in the care management of people living with dementia in the UK. Ansari </w:t>
      </w:r>
      <w:r>
        <w:rPr>
          <w:i/>
          <w:iCs/>
        </w:rPr>
        <w:t>et al.</w:t>
      </w:r>
      <w:r>
        <w:t xml:space="preserve"> (2022) have highlighted research designs that have different forms and variance, used based on research requirements such as experimental, diagnostic, explanatory and correlational. Descriptive design assists in analysing different perspectives and perceptions from the existing information regarding the effectiveness of the research variables for effectively addressing the research issues through analysing diverse databases (Ansari </w:t>
      </w:r>
      <w:r>
        <w:rPr>
          <w:i/>
          <w:iCs/>
        </w:rPr>
        <w:t>et al.</w:t>
      </w:r>
      <w:r>
        <w:t xml:space="preserve"> 2022). Hence, emphasis on descriptive design has been ensured in the study for describing the information systematically to fulfil the research objectives and aim. </w:t>
      </w:r>
    </w:p>
    <w:p>
      <w:pPr>
        <w:pStyle w:val="2"/>
        <w:rPr>
          <w:color w:val="auto"/>
        </w:rPr>
      </w:pPr>
      <w:bookmarkStart w:id="29" w:name="_Toc220932440"/>
      <w:r>
        <w:rPr>
          <w:color w:val="auto"/>
        </w:rPr>
        <w:t>3.7 Data collection</w:t>
      </w:r>
      <w:bookmarkEnd w:id="29"/>
    </w:p>
    <w:p>
      <w:r>
        <w:t>Data collection has focused on gathering qualitative information from predetermined sources on the role of informal carers in implementing medication and behavioural management for improving dementia care. Taherdoost</w:t>
      </w:r>
      <w:r>
        <w:rPr>
          <w:i/>
          <w:iCs/>
        </w:rPr>
        <w:t xml:space="preserve">et al. </w:t>
      </w:r>
      <w:r>
        <w:t>(2021) analysed a secondary data collection method as an approach to gather secondary and contextual information from published sources, including books, magazines, peer-reviewed articles, journals and government records. Moreover, Midamba</w:t>
      </w:r>
      <w:r>
        <w:rPr>
          <w:i/>
          <w:iCs/>
        </w:rPr>
        <w:t xml:space="preserve">et al. </w:t>
      </w:r>
      <w:r>
        <w:t>(2025) have analysed that primary data collection methods contain information obtained through interviews, surveys and structured questionnaires, assisting in gathering updated information directly from the field. Secondary data collection from different online and existing data sources is efficient as this information is easily accessible and reduces the risks of biases in analysing the gathered data (Taherdoost</w:t>
      </w:r>
      <w:r>
        <w:rPr>
          <w:i/>
          <w:iCs/>
        </w:rPr>
        <w:t xml:space="preserve">et al. </w:t>
      </w:r>
      <w:r>
        <w:t xml:space="preserve">2021). Thus, the research on informal carers’ role in strengthening dementia management in the UK has been done through utilising and leveraging secondary methods of data collection. </w:t>
      </w:r>
    </w:p>
    <w:p>
      <w:pPr>
        <w:pStyle w:val="3"/>
        <w:rPr>
          <w:color w:val="auto"/>
        </w:rPr>
      </w:pPr>
      <w:bookmarkStart w:id="30" w:name="_Toc220932441"/>
      <w:r>
        <w:rPr>
          <w:color w:val="auto"/>
        </w:rPr>
        <w:t>3.7.1 Search strategy</w:t>
      </w:r>
      <w:bookmarkEnd w:id="30"/>
    </w:p>
    <w:p>
      <w:r>
        <w:t xml:space="preserve">The keywords utilised for gathering relevant and precise information from the secondary sources include “Informal Carers”, “Dementia Behavioural Management”, “Behavioural Management”, “Medication” and “UK”. Grando </w:t>
      </w:r>
      <w:r>
        <w:rPr>
          <w:i/>
          <w:iCs/>
        </w:rPr>
        <w:t>et al.</w:t>
      </w:r>
      <w:r>
        <w:t xml:space="preserve"> (2025) have outlined that keyword strategy is an efficient approach for gathering information through utilising relevant information regarding the research to improve data gathering accuracy. Google Scholar, PubMed, ResearchGate, are relevant to research on informal carers’ roles in providing required care to dementia patients. The keywords such as “Informal carers” “Dementia Behavioural Management”, and “Behavioural Management” are effective for conducting a Boolean strategy through using Boolean operators such as “AND” and “OR”. Caçador</w:t>
      </w:r>
      <w:r>
        <w:rPr>
          <w:i/>
          <w:iCs/>
        </w:rPr>
        <w:t>et al.</w:t>
      </w:r>
      <w:r>
        <w:t xml:space="preserve"> (2024) have outlined that Boolean operators are an efficient tool that can be leveraged for conducting analysis of the database to gather valuable information regarding research topics. </w:t>
      </w:r>
    </w:p>
    <w:p>
      <w:pPr>
        <w:pStyle w:val="3"/>
        <w:rPr>
          <w:color w:val="auto"/>
        </w:rPr>
      </w:pPr>
      <w:bookmarkStart w:id="31" w:name="_Toc220932442"/>
      <w:r>
        <w:rPr>
          <w:color w:val="auto"/>
        </w:rPr>
        <w:t>3.7.2 Framing research question: PICO</w:t>
      </w:r>
      <w:bookmarkEnd w:id="31"/>
    </w:p>
    <w:tbl>
      <w:tblPr>
        <w:jc w:val="left"/>
        <w:tblInd w:w="110" w:type="dxa"/>
        <w:tblW w:w="86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15" w:type="dxa"/>
          <w:bottom w:w="0" w:type="dxa"/>
          <w:right w:w="115" w:type="dxa"/>
        </w:tblCellMar>
      </w:tblPr>
      <w:tblGrid>
        <w:gridCol w:w="2595"/>
        <w:gridCol w:w="6090"/>
      </w:tblGrid>
      <w:tr>
        <w:trPr>
          <w:trHeight w:val="275"/>
        </w:trPr>
        <w:tc>
          <w:tcPr>
            <w:tcW w:w="2595" w:type="dxa"/>
          </w:tcPr>
          <w:p>
            <w:pPr>
              <w:jc w:val="center"/>
              <w:rPr>
                <w:b/>
                <w:bCs/>
              </w:rPr>
            </w:pPr>
            <w:r>
              <w:rPr>
                <w:b/>
                <w:bCs/>
              </w:rPr>
              <w:t>PICO</w:t>
            </w:r>
          </w:p>
        </w:tc>
        <w:tc>
          <w:tcPr>
            <w:tcW w:w="6090" w:type="dxa"/>
          </w:tcPr>
          <w:p>
            <w:pPr>
              <w:jc w:val="center"/>
              <w:rPr>
                <w:b/>
                <w:bCs/>
              </w:rPr>
            </w:pPr>
            <w:r>
              <w:rPr>
                <w:b/>
                <w:bCs/>
              </w:rPr>
              <w:t>Search Terms</w:t>
            </w:r>
          </w:p>
        </w:tc>
      </w:tr>
      <w:tr>
        <w:trPr>
          <w:trHeight w:val="360"/>
        </w:trPr>
        <w:tc>
          <w:tcPr>
            <w:tcW w:w="2595" w:type="dxa"/>
          </w:tcPr>
          <w:p>
            <w:pPr>
              <w:jc w:val="center"/>
              <w:rPr>
                <w:b/>
                <w:bCs/>
              </w:rPr>
            </w:pPr>
            <w:r>
              <w:rPr>
                <w:b/>
                <w:bCs/>
              </w:rPr>
              <w:t>Population</w:t>
            </w:r>
          </w:p>
        </w:tc>
        <w:tc>
          <w:tcPr>
            <w:tcW w:w="6090" w:type="dxa"/>
          </w:tcPr>
          <w:p>
            <w:pPr>
              <w:jc w:val="left"/>
            </w:pPr>
            <w:r>
              <w:t>Informal carers of people with dementia.</w:t>
            </w:r>
          </w:p>
        </w:tc>
      </w:tr>
      <w:tr>
        <w:trPr>
          <w:trHeight w:val="345"/>
        </w:trPr>
        <w:tc>
          <w:tcPr>
            <w:tcW w:w="2595" w:type="dxa"/>
          </w:tcPr>
          <w:p>
            <w:pPr>
              <w:jc w:val="center"/>
              <w:rPr>
                <w:b/>
                <w:bCs/>
              </w:rPr>
            </w:pPr>
            <w:r>
              <w:rPr>
                <w:b/>
                <w:bCs/>
              </w:rPr>
              <w:t>Intervention</w:t>
            </w:r>
          </w:p>
        </w:tc>
        <w:tc>
          <w:tcPr>
            <w:tcW w:w="6090" w:type="dxa"/>
          </w:tcPr>
          <w:p>
            <w:pPr>
              <w:jc w:val="left"/>
            </w:pPr>
            <w:r>
              <w:t xml:space="preserve">Behavioural management and medication by informal carers </w:t>
            </w:r>
          </w:p>
        </w:tc>
      </w:tr>
      <w:tr>
        <w:trPr>
          <w:trHeight w:val="275"/>
        </w:trPr>
        <w:tc>
          <w:tcPr>
            <w:tcW w:w="2595" w:type="dxa"/>
          </w:tcPr>
          <w:p>
            <w:pPr>
              <w:jc w:val="center"/>
              <w:rPr>
                <w:b/>
                <w:bCs/>
              </w:rPr>
            </w:pPr>
            <w:r>
              <w:rPr>
                <w:b/>
                <w:bCs/>
              </w:rPr>
              <w:t>Comparison</w:t>
            </w:r>
          </w:p>
        </w:tc>
        <w:tc>
          <w:tcPr>
            <w:tcW w:w="6090" w:type="dxa"/>
          </w:tcPr>
          <w:p>
            <w:pPr>
              <w:jc w:val="left"/>
            </w:pPr>
            <w:r>
              <w:t xml:space="preserve">Personalised and customer-centric plan for dementia </w:t>
            </w:r>
          </w:p>
        </w:tc>
      </w:tr>
      <w:tr>
        <w:trPr>
          <w:trHeight w:val="1528"/>
        </w:trPr>
        <w:tc>
          <w:tcPr>
            <w:tcW w:w="2595" w:type="dxa"/>
          </w:tcPr>
          <w:p>
            <w:pPr>
              <w:jc w:val="center"/>
              <w:rPr>
                <w:b/>
                <w:bCs/>
              </w:rPr>
            </w:pPr>
            <w:r>
              <w:rPr>
                <w:b/>
                <w:bCs/>
              </w:rPr>
              <w:t>Outcome</w:t>
            </w:r>
          </w:p>
        </w:tc>
        <w:tc>
          <w:tcPr>
            <w:tcW w:w="6090" w:type="dxa"/>
          </w:tcPr>
          <w:p>
            <w:pPr>
              <w:jc w:val="left"/>
            </w:pPr>
            <w:r>
              <w:t xml:space="preserve">An effective behavioural management and medication by informal carers can improve the lifestyle of people who are living with dementia </w:t>
            </w:r>
          </w:p>
        </w:tc>
      </w:tr>
    </w:tbl>
    <w:p>
      <w:pPr>
        <w:jc w:val="center"/>
        <w:rPr>
          <w:b/>
          <w:bCs/>
        </w:rPr>
      </w:pPr>
      <w:r>
        <w:rPr>
          <w:b/>
          <w:bCs/>
        </w:rPr>
        <w:t>Table 3.1: PICO search terms</w:t>
      </w:r>
    </w:p>
    <w:p>
      <w:pPr>
        <w:jc w:val="center"/>
        <w:rPr>
          <w:b/>
          <w:bCs/>
        </w:rPr>
      </w:pPr>
      <w:r>
        <w:rPr>
          <w:b/>
          <w:bCs/>
        </w:rPr>
        <w:t>(Source: Self-made)</w:t>
      </w:r>
    </w:p>
    <w:p>
      <w:pPr>
        <w:pStyle w:val="3"/>
        <w:jc w:val="left"/>
        <w:rPr>
          <w:color w:val="auto"/>
        </w:rPr>
      </w:pPr>
      <w:bookmarkStart w:id="32" w:name="_Toc220932443"/>
      <w:r>
        <w:rPr>
          <w:color w:val="auto"/>
        </w:rPr>
        <w:t>3.7.3 Database search procedure</w:t>
      </w:r>
      <w:bookmarkEnd w:id="32"/>
    </w:p>
    <w:p>
      <w:r>
        <w:t xml:space="preserve">The purposive sampling has been integrated for analysing a specific set of information and data for analysing its characteristics for evaluating the concept of informal caring in dementia management in the UK. Thomas (2022) analysed that purposive sampling assists in gathering quality samples of information based on the data characteristics without biases to enhance information reliability and trustworthiness. Accordingly, 12 peer-reviewed qualitative articles have been gathered for the systematic LR to evaluate the informal carers’ role in utilising behavioural management and medication for strengthening the management of Dementia. </w:t>
      </w:r>
    </w:p>
    <w:p>
      <w:pPr>
        <w:pStyle w:val="3"/>
        <w:jc w:val="left"/>
        <w:rPr>
          <w:color w:val="auto"/>
        </w:rPr>
      </w:pPr>
      <w:bookmarkStart w:id="33" w:name="_Toc220932444"/>
      <w:r>
        <w:rPr>
          <w:color w:val="auto"/>
        </w:rPr>
        <w:t>3.7.4 Hand search</w:t>
      </w:r>
      <w:bookmarkEnd w:id="33"/>
    </w:p>
    <w:p>
      <w:r>
        <w:t xml:space="preserve">Hand searching in systematic reviews is a manual method of checking key journals, conference proceedings, and reference lists to find relevant studies missed by electronic database searches. Basd on this aspect, the hand searching approach has been done manually by examining the selected article page-by-page and ensuring a comprehensive literature review that catches studies missed by electronic databases. It has been crucial for identifying articles not indexed electronically, uncovering items in abstracts or letters, and finding non-English studies. </w:t>
      </w:r>
    </w:p>
    <w:p>
      <w:pPr>
        <w:pStyle w:val="3"/>
        <w:jc w:val="left"/>
        <w:rPr>
          <w:color w:val="auto"/>
        </w:rPr>
      </w:pPr>
      <w:bookmarkStart w:id="34" w:name="_Toc220932445"/>
      <w:r>
        <w:rPr>
          <w:color w:val="auto"/>
        </w:rPr>
        <w:t>3.7.5 Grey literature</w:t>
      </w:r>
      <w:bookmarkEnd w:id="34"/>
    </w:p>
    <w:p>
      <w:r>
        <w:t xml:space="preserve">Grey literature in systematic reviews refers to non-commercially published research crucial for reducing publication bias, increasing comprehensiveness, and providing timely, balanced evidence not found in traditional databases. </w:t>
      </w:r>
    </w:p>
    <w:p>
      <w:pPr>
        <w:pStyle w:val="3"/>
        <w:jc w:val="left"/>
        <w:rPr>
          <w:color w:val="auto"/>
        </w:rPr>
      </w:pPr>
      <w:bookmarkStart w:id="35" w:name="_Toc220932446"/>
      <w:r>
        <w:rPr>
          <w:color w:val="auto"/>
        </w:rPr>
        <w:t>3.8.6 Inclusion and Exclusion criteria</w:t>
      </w:r>
      <w:bookmarkEnd w:id="35"/>
    </w:p>
    <w:p>
      <w:r>
        <w:t xml:space="preserve">The inclusion and exclusion criteria help select the final sample of articles. This is very strict to ensure that the final sample of articles meets the goals of the research and offers high-quality and synthesizable qualitative data. These criteria are relevant to the peer-reviewed articles chosen to analyse, as they make up the purposive sample since the study is a secondary one. The research has to directly examine their knowledge, experiences or methods concerning both medication management, such as medication adherence, administration, medication side effects and behavioural management of BPSD. BPSD mainly guides clinicians supporting carers, RACF, and community care staff (Dementia research, 2025). </w:t>
      </w:r>
    </w:p>
    <w:p>
      <w:pPr>
        <w:pStyle w:val="2"/>
        <w:rPr>
          <w:color w:val="auto"/>
        </w:rPr>
      </w:pPr>
      <w:bookmarkStart w:id="36" w:name="_Toc220932447"/>
      <w:r>
        <w:rPr>
          <w:color w:val="auto"/>
        </w:rPr>
        <w:t>3.8 Screening results</w:t>
      </w:r>
      <w:bookmarkEnd w:id="36"/>
    </w:p>
    <w:tbl>
      <w:tblPr>
        <w:jc w:val="center"/>
        <w:tblW w:w="93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15" w:type="dxa"/>
          <w:bottom w:w="0" w:type="dxa"/>
          <w:right w:w="115" w:type="dxa"/>
        </w:tblCellMar>
      </w:tblPr>
      <w:tblGrid>
        <w:gridCol w:w="1983"/>
        <w:gridCol w:w="1541"/>
        <w:gridCol w:w="1419"/>
        <w:gridCol w:w="1788"/>
        <w:gridCol w:w="1359"/>
        <w:gridCol w:w="1260"/>
      </w:tblGrid>
      <w:tr>
        <w:trPr>
          <w:trHeight w:val="810"/>
        </w:trPr>
        <w:tc>
          <w:tcPr>
            <w:tcW w:w="1983" w:type="dxa"/>
          </w:tcPr>
          <w:p>
            <w:pPr>
              <w:rPr>
                <w:b/>
                <w:bCs/>
              </w:rPr>
            </w:pPr>
            <w:r>
              <w:rPr>
                <w:b/>
                <w:bCs/>
              </w:rPr>
              <w:t>Database</w:t>
            </w:r>
          </w:p>
        </w:tc>
        <w:tc>
          <w:tcPr>
            <w:tcW w:w="1541" w:type="dxa"/>
          </w:tcPr>
          <w:p>
            <w:pPr>
              <w:rPr>
                <w:b/>
                <w:bCs/>
              </w:rPr>
            </w:pPr>
            <w:r>
              <w:rPr>
                <w:b/>
                <w:bCs/>
              </w:rPr>
              <w:t>Search Dates</w:t>
            </w:r>
          </w:p>
        </w:tc>
        <w:tc>
          <w:tcPr>
            <w:tcW w:w="1419" w:type="dxa"/>
          </w:tcPr>
          <w:p>
            <w:pPr>
              <w:rPr>
                <w:b/>
                <w:bCs/>
              </w:rPr>
            </w:pPr>
            <w:r>
              <w:rPr>
                <w:b/>
                <w:bCs/>
              </w:rPr>
              <w:t>Inclusion Year</w:t>
            </w:r>
          </w:p>
        </w:tc>
        <w:tc>
          <w:tcPr>
            <w:tcW w:w="1788" w:type="dxa"/>
          </w:tcPr>
          <w:p>
            <w:pPr>
              <w:rPr>
                <w:b/>
                <w:bCs/>
              </w:rPr>
            </w:pPr>
            <w:r>
              <w:rPr>
                <w:b/>
                <w:bCs/>
              </w:rPr>
              <w:t>Search Results</w:t>
            </w:r>
          </w:p>
        </w:tc>
        <w:tc>
          <w:tcPr>
            <w:tcW w:w="1359" w:type="dxa"/>
          </w:tcPr>
          <w:p>
            <w:pPr>
              <w:rPr>
                <w:b/>
                <w:bCs/>
              </w:rPr>
            </w:pPr>
            <w:r>
              <w:rPr>
                <w:b/>
                <w:bCs/>
              </w:rPr>
              <w:t>Excluded</w:t>
            </w:r>
          </w:p>
        </w:tc>
        <w:tc>
          <w:tcPr>
            <w:tcW w:w="1260" w:type="dxa"/>
          </w:tcPr>
          <w:p>
            <w:pPr>
              <w:rPr>
                <w:b/>
                <w:bCs/>
              </w:rPr>
            </w:pPr>
            <w:r>
              <w:rPr>
                <w:b/>
                <w:bCs/>
              </w:rPr>
              <w:t>Included</w:t>
            </w:r>
          </w:p>
        </w:tc>
      </w:tr>
      <w:tr>
        <w:trPr>
          <w:trHeight w:val="275"/>
        </w:trPr>
        <w:tc>
          <w:tcPr>
            <w:tcW w:w="1983" w:type="dxa"/>
          </w:tcPr>
          <w:p>
            <w:pPr>
              <w:rPr>
                <w:b/>
                <w:bCs/>
              </w:rPr>
            </w:pPr>
            <w:r>
              <w:rPr>
                <w:b/>
                <w:bCs/>
              </w:rPr>
              <w:t>EMBASE</w:t>
            </w:r>
          </w:p>
        </w:tc>
        <w:tc>
          <w:tcPr>
            <w:tcW w:w="1541" w:type="dxa"/>
          </w:tcPr>
          <w:p>
            <w:pPr>
              <w:widowControl w:val="0"/>
              <w:ind w:right="88"/>
            </w:pPr>
            <w:r>
              <w:t>1</w:t>
            </w:r>
          </w:p>
        </w:tc>
        <w:tc>
          <w:tcPr>
            <w:tcW w:w="1419" w:type="dxa"/>
          </w:tcPr>
          <w:p>
            <w:pPr>
              <w:widowControl w:val="0"/>
              <w:ind w:left="108"/>
            </w:pPr>
            <w:r>
              <w:t>2021-2025</w:t>
            </w:r>
          </w:p>
        </w:tc>
        <w:tc>
          <w:tcPr>
            <w:tcW w:w="1788" w:type="dxa"/>
          </w:tcPr>
          <w:p>
            <w:pPr>
              <w:widowControl w:val="0"/>
            </w:pPr>
            <w:r>
              <w:t>632</w:t>
            </w:r>
          </w:p>
        </w:tc>
        <w:tc>
          <w:tcPr>
            <w:tcW w:w="1359" w:type="dxa"/>
          </w:tcPr>
          <w:p>
            <w:pPr>
              <w:widowControl w:val="0"/>
              <w:ind w:left="107"/>
            </w:pPr>
            <w:r>
              <w:t>630</w:t>
            </w:r>
          </w:p>
        </w:tc>
        <w:tc>
          <w:tcPr>
            <w:tcW w:w="1260" w:type="dxa"/>
          </w:tcPr>
          <w:p>
            <w:pPr>
              <w:widowControl w:val="0"/>
            </w:pPr>
            <w:r>
              <w:t>2</w:t>
            </w:r>
          </w:p>
        </w:tc>
      </w:tr>
      <w:tr>
        <w:trPr>
          <w:trHeight w:val="275"/>
        </w:trPr>
        <w:tc>
          <w:tcPr>
            <w:tcW w:w="1983" w:type="dxa"/>
          </w:tcPr>
          <w:p>
            <w:pPr>
              <w:rPr>
                <w:b/>
                <w:bCs/>
              </w:rPr>
            </w:pPr>
            <w:r>
              <w:rPr>
                <w:b/>
                <w:bCs/>
              </w:rPr>
              <w:t>CINHAL</w:t>
            </w:r>
          </w:p>
        </w:tc>
        <w:tc>
          <w:tcPr>
            <w:tcW w:w="1541" w:type="dxa"/>
          </w:tcPr>
          <w:p>
            <w:pPr>
              <w:widowControl w:val="0"/>
              <w:ind w:left="97" w:right="88"/>
            </w:pPr>
            <w:r>
              <w:t>3</w:t>
            </w:r>
          </w:p>
        </w:tc>
        <w:tc>
          <w:tcPr>
            <w:tcW w:w="1419" w:type="dxa"/>
          </w:tcPr>
          <w:p>
            <w:pPr>
              <w:widowControl w:val="0"/>
              <w:ind w:left="108"/>
            </w:pPr>
            <w:r>
              <w:t>2021-2025</w:t>
            </w:r>
          </w:p>
        </w:tc>
        <w:tc>
          <w:tcPr>
            <w:tcW w:w="1788" w:type="dxa"/>
          </w:tcPr>
          <w:p>
            <w:pPr>
              <w:widowControl w:val="0"/>
              <w:ind w:left="107"/>
            </w:pPr>
            <w:r>
              <w:t>1025</w:t>
            </w:r>
          </w:p>
        </w:tc>
        <w:tc>
          <w:tcPr>
            <w:tcW w:w="1359" w:type="dxa"/>
          </w:tcPr>
          <w:p>
            <w:pPr>
              <w:widowControl w:val="0"/>
              <w:ind w:left="107"/>
            </w:pPr>
            <w:r>
              <w:t>1022</w:t>
            </w:r>
          </w:p>
        </w:tc>
        <w:tc>
          <w:tcPr>
            <w:tcW w:w="1260" w:type="dxa"/>
          </w:tcPr>
          <w:p>
            <w:pPr>
              <w:widowControl w:val="0"/>
              <w:ind w:left="107"/>
            </w:pPr>
            <w:r>
              <w:t>3</w:t>
            </w:r>
          </w:p>
        </w:tc>
      </w:tr>
      <w:tr>
        <w:trPr>
          <w:trHeight w:val="275"/>
        </w:trPr>
        <w:tc>
          <w:tcPr>
            <w:tcW w:w="1983" w:type="dxa"/>
          </w:tcPr>
          <w:p>
            <w:pPr>
              <w:rPr>
                <w:b/>
                <w:bCs/>
              </w:rPr>
            </w:pPr>
            <w:r>
              <w:rPr>
                <w:b/>
                <w:bCs/>
              </w:rPr>
              <w:t>PubMed</w:t>
            </w:r>
          </w:p>
        </w:tc>
        <w:tc>
          <w:tcPr>
            <w:tcW w:w="1541" w:type="dxa"/>
          </w:tcPr>
          <w:p>
            <w:pPr>
              <w:widowControl w:val="0"/>
              <w:ind w:right="88"/>
            </w:pPr>
            <w:r>
              <w:t>3</w:t>
            </w:r>
          </w:p>
        </w:tc>
        <w:tc>
          <w:tcPr>
            <w:tcW w:w="1419" w:type="dxa"/>
          </w:tcPr>
          <w:p>
            <w:pPr>
              <w:widowControl w:val="0"/>
              <w:ind w:left="108"/>
            </w:pPr>
            <w:r>
              <w:t>2021-2025</w:t>
            </w:r>
          </w:p>
        </w:tc>
        <w:tc>
          <w:tcPr>
            <w:tcW w:w="1788" w:type="dxa"/>
          </w:tcPr>
          <w:p>
            <w:pPr>
              <w:widowControl w:val="0"/>
              <w:ind w:left="107"/>
            </w:pPr>
            <w:r>
              <w:t>897</w:t>
            </w:r>
          </w:p>
        </w:tc>
        <w:tc>
          <w:tcPr>
            <w:tcW w:w="1359" w:type="dxa"/>
          </w:tcPr>
          <w:p>
            <w:pPr>
              <w:widowControl w:val="0"/>
              <w:ind w:left="107"/>
            </w:pPr>
            <w:r>
              <w:t>896</w:t>
            </w:r>
          </w:p>
        </w:tc>
        <w:tc>
          <w:tcPr>
            <w:tcW w:w="1260" w:type="dxa"/>
          </w:tcPr>
          <w:p>
            <w:pPr>
              <w:widowControl w:val="0"/>
              <w:ind w:left="107"/>
            </w:pPr>
            <w:r>
              <w:t>1</w:t>
            </w:r>
          </w:p>
        </w:tc>
      </w:tr>
      <w:tr>
        <w:trPr>
          <w:trHeight w:val="551"/>
        </w:trPr>
        <w:tc>
          <w:tcPr>
            <w:tcW w:w="1983" w:type="dxa"/>
          </w:tcPr>
          <w:p>
            <w:pPr>
              <w:rPr>
                <w:b/>
                <w:bCs/>
              </w:rPr>
            </w:pPr>
            <w:r>
              <w:rPr>
                <w:b/>
                <w:bCs/>
              </w:rPr>
              <w:t>PubMed Central</w:t>
            </w:r>
          </w:p>
        </w:tc>
        <w:tc>
          <w:tcPr>
            <w:tcW w:w="1541" w:type="dxa"/>
          </w:tcPr>
          <w:p>
            <w:pPr>
              <w:widowControl w:val="0"/>
              <w:ind w:left="97" w:right="88"/>
            </w:pPr>
            <w:r>
              <w:t>2</w:t>
            </w:r>
          </w:p>
        </w:tc>
        <w:tc>
          <w:tcPr>
            <w:tcW w:w="1419" w:type="dxa"/>
          </w:tcPr>
          <w:p>
            <w:pPr>
              <w:widowControl w:val="0"/>
              <w:ind w:left="108"/>
            </w:pPr>
            <w:r>
              <w:t>2021-2025</w:t>
            </w:r>
          </w:p>
        </w:tc>
        <w:tc>
          <w:tcPr>
            <w:tcW w:w="1788" w:type="dxa"/>
          </w:tcPr>
          <w:p>
            <w:pPr>
              <w:widowControl w:val="0"/>
              <w:ind w:left="107"/>
            </w:pPr>
            <w:r>
              <w:t>658</w:t>
            </w:r>
          </w:p>
        </w:tc>
        <w:tc>
          <w:tcPr>
            <w:tcW w:w="1359" w:type="dxa"/>
          </w:tcPr>
          <w:p>
            <w:pPr>
              <w:widowControl w:val="0"/>
              <w:ind w:left="107"/>
            </w:pPr>
            <w:r>
              <w:t>657</w:t>
            </w:r>
          </w:p>
        </w:tc>
        <w:tc>
          <w:tcPr>
            <w:tcW w:w="1260" w:type="dxa"/>
          </w:tcPr>
          <w:p>
            <w:pPr>
              <w:widowControl w:val="0"/>
              <w:ind w:left="107"/>
            </w:pPr>
            <w:r>
              <w:t>1</w:t>
            </w:r>
          </w:p>
        </w:tc>
      </w:tr>
      <w:tr>
        <w:trPr>
          <w:trHeight w:val="551"/>
        </w:trPr>
        <w:tc>
          <w:tcPr>
            <w:tcW w:w="1983" w:type="dxa"/>
          </w:tcPr>
          <w:p>
            <w:pPr>
              <w:rPr>
                <w:b/>
                <w:bCs/>
              </w:rPr>
            </w:pPr>
            <w:r>
              <w:rPr>
                <w:b/>
                <w:bCs/>
              </w:rPr>
              <w:t>Google Scholar</w:t>
            </w:r>
          </w:p>
        </w:tc>
        <w:tc>
          <w:tcPr>
            <w:tcW w:w="1541" w:type="dxa"/>
          </w:tcPr>
          <w:p>
            <w:pPr>
              <w:widowControl w:val="0"/>
              <w:ind w:left="97" w:right="88"/>
            </w:pPr>
            <w:r>
              <w:t>6</w:t>
            </w:r>
          </w:p>
        </w:tc>
        <w:tc>
          <w:tcPr>
            <w:tcW w:w="1419" w:type="dxa"/>
          </w:tcPr>
          <w:p>
            <w:pPr>
              <w:widowControl w:val="0"/>
              <w:ind w:left="108"/>
            </w:pPr>
            <w:r>
              <w:t>2021-2025</w:t>
            </w:r>
          </w:p>
        </w:tc>
        <w:tc>
          <w:tcPr>
            <w:tcW w:w="1788" w:type="dxa"/>
          </w:tcPr>
          <w:p>
            <w:pPr>
              <w:widowControl w:val="0"/>
              <w:ind w:left="107"/>
            </w:pPr>
            <w:r>
              <w:t>236</w:t>
            </w:r>
          </w:p>
        </w:tc>
        <w:tc>
          <w:tcPr>
            <w:tcW w:w="1359" w:type="dxa"/>
          </w:tcPr>
          <w:p>
            <w:pPr>
              <w:widowControl w:val="0"/>
              <w:ind w:left="107"/>
            </w:pPr>
            <w:r>
              <w:t>232</w:t>
            </w:r>
          </w:p>
        </w:tc>
        <w:tc>
          <w:tcPr>
            <w:tcW w:w="1260" w:type="dxa"/>
          </w:tcPr>
          <w:p>
            <w:pPr>
              <w:widowControl w:val="0"/>
              <w:ind w:left="107"/>
            </w:pPr>
            <w:r>
              <w:t>4</w:t>
            </w:r>
          </w:p>
        </w:tc>
      </w:tr>
      <w:tr>
        <w:trPr>
          <w:trHeight w:val="551"/>
        </w:trPr>
        <w:tc>
          <w:tcPr>
            <w:tcW w:w="1983" w:type="dxa"/>
          </w:tcPr>
          <w:p>
            <w:pPr>
              <w:rPr>
                <w:b/>
                <w:bCs/>
              </w:rPr>
            </w:pPr>
            <w:r>
              <w:rPr>
                <w:b/>
                <w:bCs/>
              </w:rPr>
              <w:t>HAND SEARCH</w:t>
            </w:r>
          </w:p>
        </w:tc>
        <w:tc>
          <w:tcPr>
            <w:tcW w:w="1541" w:type="dxa"/>
          </w:tcPr>
          <w:p>
            <w:pPr>
              <w:widowControl w:val="0"/>
              <w:ind w:left="97" w:right="88"/>
            </w:pPr>
            <w:r>
              <w:t>1</w:t>
            </w:r>
          </w:p>
        </w:tc>
        <w:tc>
          <w:tcPr>
            <w:tcW w:w="1419" w:type="dxa"/>
          </w:tcPr>
          <w:p>
            <w:pPr>
              <w:widowControl w:val="0"/>
              <w:ind w:left="108"/>
            </w:pPr>
            <w:r>
              <w:t>2021-2025</w:t>
            </w:r>
          </w:p>
        </w:tc>
        <w:tc>
          <w:tcPr>
            <w:tcW w:w="1788" w:type="dxa"/>
          </w:tcPr>
          <w:p>
            <w:pPr>
              <w:widowControl w:val="0"/>
              <w:ind w:left="107"/>
            </w:pPr>
            <w:r>
              <w:t>548</w:t>
            </w:r>
          </w:p>
        </w:tc>
        <w:tc>
          <w:tcPr>
            <w:tcW w:w="1359" w:type="dxa"/>
          </w:tcPr>
          <w:p>
            <w:pPr>
              <w:widowControl w:val="0"/>
              <w:ind w:left="107"/>
            </w:pPr>
            <w:r>
              <w:t>547</w:t>
            </w:r>
          </w:p>
        </w:tc>
        <w:tc>
          <w:tcPr>
            <w:tcW w:w="1260" w:type="dxa"/>
          </w:tcPr>
          <w:p>
            <w:pPr>
              <w:widowControl w:val="0"/>
              <w:ind w:left="107"/>
            </w:pPr>
            <w:r>
              <w:t>1</w:t>
            </w:r>
          </w:p>
        </w:tc>
      </w:tr>
      <w:tr>
        <w:trPr>
          <w:trHeight w:val="275"/>
        </w:trPr>
        <w:tc>
          <w:tcPr>
            <w:tcW w:w="1983" w:type="dxa"/>
          </w:tcPr>
          <w:p>
            <w:pPr>
              <w:rPr>
                <w:b/>
                <w:bCs/>
              </w:rPr>
            </w:pPr>
            <w:r>
              <w:rPr>
                <w:b/>
                <w:bCs/>
              </w:rPr>
              <w:t>TOTAL ARTICLES</w:t>
            </w:r>
          </w:p>
        </w:tc>
        <w:tc>
          <w:tcPr>
            <w:tcW w:w="1541" w:type="dxa"/>
          </w:tcPr>
          <w:p>
            <w:pPr>
              <w:widowControl w:val="0"/>
            </w:pPr>
            <w:r>
              <w:t>16</w:t>
            </w:r>
          </w:p>
        </w:tc>
        <w:tc>
          <w:tcPr>
            <w:tcW w:w="1419" w:type="dxa"/>
          </w:tcPr>
          <w:p>
            <w:pPr>
              <w:widowControl w:val="0"/>
              <w:ind w:left="108"/>
            </w:pPr>
            <w:r>
              <w:t>2021-2025</w:t>
            </w:r>
          </w:p>
        </w:tc>
        <w:tc>
          <w:tcPr>
            <w:tcW w:w="1788" w:type="dxa"/>
          </w:tcPr>
          <w:p>
            <w:pPr>
              <w:widowControl w:val="0"/>
            </w:pPr>
            <w:r>
              <w:t>3996</w:t>
            </w:r>
          </w:p>
        </w:tc>
        <w:tc>
          <w:tcPr>
            <w:tcW w:w="1359" w:type="dxa"/>
          </w:tcPr>
          <w:p>
            <w:pPr>
              <w:widowControl w:val="0"/>
              <w:ind w:left="107"/>
            </w:pPr>
            <w:r>
              <w:t>3984</w:t>
            </w:r>
          </w:p>
        </w:tc>
        <w:tc>
          <w:tcPr>
            <w:tcW w:w="1260" w:type="dxa"/>
          </w:tcPr>
          <w:p>
            <w:pPr>
              <w:widowControl w:val="0"/>
              <w:ind w:left="107"/>
            </w:pPr>
            <w:r>
              <w:t>12</w:t>
            </w:r>
          </w:p>
        </w:tc>
      </w:tr>
    </w:tbl>
    <w:p>
      <w:pPr>
        <w:jc w:val="center"/>
        <w:rPr>
          <w:b/>
          <w:bCs/>
        </w:rPr>
      </w:pPr>
      <w:r>
        <w:rPr>
          <w:b/>
          <w:bCs/>
        </w:rPr>
        <w:t xml:space="preserve">Table 3.1: Screening result </w:t>
      </w:r>
    </w:p>
    <w:p>
      <w:pPr>
        <w:jc w:val="center"/>
      </w:pPr>
      <w:r>
        <w:t>(Source: Self-developed)</w:t>
      </w:r>
    </w:p>
    <w:p>
      <w:pPr>
        <w:pStyle w:val="2"/>
        <w:rPr>
          <w:color w:val="auto"/>
        </w:rPr>
      </w:pPr>
      <w:bookmarkStart w:id="37" w:name="_Toc220932448"/>
      <w:r>
        <w:rPr>
          <w:color w:val="auto"/>
        </w:rPr>
        <w:t>3.9 Study selection</w:t>
      </w:r>
      <w:bookmarkEnd w:id="37"/>
    </w:p>
    <w:p>
      <w:r>
        <w:t>The articles are filtered out when they are based on formal, paid, or professional caregivers, including nurses or the staff of care homes. Lastly, non-peer-reviewed sources like existing literature, conference abstracts, dissertations, opinion pieces, editorials or book chapters have been taken into account. Therefore, the compliance with these criteria provides a methodologically adequate and concentrated synthesis of findings that are relevant to the dual role of informal carers in the UK dementia care.</w:t>
      </w:r>
    </w:p>
    <w:p>
      <w:pPr>
        <w:pStyle w:val="2"/>
        <w:rPr>
          <w:color w:val="auto"/>
        </w:rPr>
      </w:pPr>
      <w:bookmarkStart w:id="38" w:name="_Toc220932449"/>
      <w:r>
        <w:rPr>
          <w:color w:val="auto"/>
        </w:rPr>
        <w:t>3.10 Retained articles</w:t>
      </w:r>
      <w:bookmarkEnd w:id="38"/>
    </w:p>
    <w:p>
      <w:r>
        <w:t>The study has a secondary qualitative design and qualitative synthesis methodologically, and can be targeted or carried out in the context of the United Kingdom. In addition, articles have to be of recent date, like within the period 2020 to 2025, of full-text, peer-reviewed journal articles and written in the English language to ensure that the synthesised literature is up-to-date.</w:t>
      </w:r>
    </w:p>
    <w:p>
      <w:pPr>
        <w:pStyle w:val="2"/>
        <w:rPr>
          <w:color w:val="auto"/>
        </w:rPr>
      </w:pPr>
      <w:bookmarkStart w:id="39" w:name="_Toc220932450"/>
      <w:r>
        <w:rPr>
          <w:color w:val="auto"/>
        </w:rPr>
        <w:t>3.11 PRISMA chart</w:t>
      </w:r>
      <w:bookmarkEnd w:id="39"/>
    </w:p>
    <w:p>
      <w:pPr>
        <w:rPr>
          <w:b/>
          <w:bCs/>
        </w:rPr>
      </w:pPr>
      <w:r>
        <w:t xml:space="preserve">The overall screening process has been integrated through a PRISMA framework that has been followed within this report in terms of selecting appropriate articles. The PRISMA framework has highlighted that 12 peer-reviewed journal articles have been selected within this research in terms of accumulating topic-relevant information that is further integrated within the data analysis chapter. As per Sarkis-Onofre </w:t>
      </w:r>
      <w:r>
        <w:rPr>
          <w:i/>
          <w:iCs/>
        </w:rPr>
        <w:t xml:space="preserve">et al. </w:t>
      </w:r>
      <w:r>
        <w:t xml:space="preserve">(2021) PRISMA framework is considered to be a significant aspect for research papers as it helps to promote transparency, completeness as well as comparability within systematic reviewing. Based on this aspect, the screening process is held critically. As per O'Dea </w:t>
      </w:r>
      <w:r>
        <w:rPr>
          <w:i/>
          <w:iCs/>
        </w:rPr>
        <w:t xml:space="preserve">et al. </w:t>
      </w:r>
      <w:r>
        <w:t xml:space="preserve">(2021) PRISMA Framework allows researchers to understand as well as trust overall findings as well as methods that have been utilised within the existing literature. Apart from this, the journals that have published prior to five in 2021 have been excluded from this research. This signifies that only articles published after 2021 have been selected for this research. This has helped the research to maintain authenticity as well as validity to a great extent. Additionally, only the peer-reviewed articles have been selected within this research in terms of accumulating authentic information. </w:t>
      </w:r>
    </w:p>
    <w:p>
      <w:pPr>
        <w:pStyle w:val="2"/>
        <w:rPr>
          <w:color w:val="auto"/>
        </w:rPr>
      </w:pPr>
      <w:bookmarkStart w:id="40" w:name="_Toc220932451"/>
      <w:r>
        <w:rPr>
          <w:color w:val="auto"/>
        </w:rPr>
        <w:t>3.12 Quality assessment (QA)</w:t>
      </w:r>
      <w:bookmarkEnd w:id="40"/>
    </w:p>
    <w:p>
      <w:pPr>
        <w:rPr>
          <w:b/>
          <w:bCs/>
        </w:rPr>
      </w:pPr>
      <w:r>
        <w:t xml:space="preserve">The quality appraisal tools that have been used within this research in terms of selecting the twelve topic-oriented articles. As per the findings of Campbell </w:t>
      </w:r>
      <w:r>
        <w:rPr>
          <w:i/>
          <w:iCs/>
        </w:rPr>
        <w:t xml:space="preserve">et al. </w:t>
      </w:r>
      <w:r>
        <w:t xml:space="preserve">(2024) CASP tools are considered to be a pivotal aspect for research as it helps to systematically appraise the quality, validity, and applicability of different study designs, enabling evidence-based decision-making. As per the key findings of Kolaski </w:t>
      </w:r>
      <w:r>
        <w:rPr>
          <w:i/>
          <w:iCs/>
        </w:rPr>
        <w:t xml:space="preserve">et al. </w:t>
      </w:r>
      <w:r>
        <w:t xml:space="preserve">(2023), the standardised framework provided by CASP checklists promotes consistent and reliable appraisals across different users and research. In this respect, it has led to more reliable findings as well as improved the quality of healthcare decisions and policies to a great extent. </w:t>
      </w:r>
    </w:p>
    <w:p>
      <w:pPr>
        <w:pStyle w:val="2"/>
        <w:rPr>
          <w:color w:val="auto"/>
        </w:rPr>
      </w:pPr>
      <w:bookmarkStart w:id="41" w:name="_Toc220932452"/>
      <w:r>
        <w:rPr>
          <w:color w:val="auto"/>
        </w:rPr>
        <w:t>3.13 Data characteristics and data extraction</w:t>
      </w:r>
      <w:bookmarkEnd w:id="41"/>
    </w:p>
    <w:p>
      <w:r>
        <w:t>The data characteristic table has been developed in the findings chapter in terms of understanding the characteristics of the articles selected for this thesis. Identifying data characteristics in research involves understanding its type, quality, and dimensions to choose proper analysis methods, ensuring reliable insights by assessing attributes such as reliability, validity, and relevance for meaningful discoveries.</w:t>
      </w:r>
    </w:p>
    <w:p>
      <w:pPr>
        <w:pStyle w:val="2"/>
        <w:rPr>
          <w:color w:val="auto"/>
        </w:rPr>
      </w:pPr>
      <w:bookmarkStart w:id="42" w:name="_Toc220932453"/>
      <w:r>
        <w:rPr>
          <w:color w:val="auto"/>
        </w:rPr>
        <w:t>3.14 Data synthesis</w:t>
      </w:r>
      <w:bookmarkEnd w:id="42"/>
    </w:p>
    <w:p>
      <w:pPr>
        <w:rPr>
          <w:b/>
          <w:bCs/>
        </w:rPr>
      </w:pPr>
      <w:r>
        <w:t>Thematic analysis with six phases outlined and used in the data analysis of this systematic review. This approach is especially applicable to synthesising qualitative results of numerous studies, since it helps in identifying, interpreting and comparing similar patterns and meanings in sets of results. The proposed study aims to explore the experiences and knowledge of informal carers in dementia care in the UK. The initial stage is familiarisation with the data, during which the articles containing the entire text of 12 selected studies will be read multiple times to comprehend the most important findings and background information. The second phase involves the generation of initial codes that will be systematically used to identify relevant features of the responsibilities of carers, their challenges, coping mechanisms, and the training requirements. To ensure sensitivity to context and sensitivity of the qualitative data, coding can be carried out manually (Isangula</w:t>
      </w:r>
      <w:r>
        <w:rPr>
          <w:i/>
          <w:iCs/>
        </w:rPr>
        <w:t xml:space="preserve">et al. </w:t>
      </w:r>
      <w:r>
        <w:t xml:space="preserve">2024). The third step is theme search that entails the grouping of similar codes into possible themes of search, including “knowledge of medication management”, “behavioural intervention techniques”, “training and support needs” and “emotional burden of caregiving”. The deductive analysis is based on existing models like the “Social Learning Theory” and the “Culture Care Theory”. SLT offers a “conceptual framework” for understanding the role of human agency (Li </w:t>
      </w:r>
      <w:r>
        <w:rPr>
          <w:i/>
          <w:iCs/>
        </w:rPr>
        <w:t>et al.</w:t>
      </w:r>
      <w:r>
        <w:t xml:space="preserve"> 2023). Comparison has been conducted across studies, serving to identify similarities and differences, as well as the integrity of the findings of each study. </w:t>
      </w:r>
    </w:p>
    <w:p>
      <w:pPr>
        <w:pStyle w:val="2"/>
        <w:rPr>
          <w:color w:val="auto"/>
        </w:rPr>
      </w:pPr>
      <w:bookmarkStart w:id="43" w:name="_Toc220932454"/>
      <w:r>
        <w:rPr>
          <w:color w:val="auto"/>
        </w:rPr>
        <w:t>3.15 Limitation of the methods</w:t>
      </w:r>
      <w:bookmarkEnd w:id="43"/>
    </w:p>
    <w:p>
      <w:r>
        <w:t>Other philosophical variances have been avoided as these are ineffective in interpreting informal carers’ roles in utilising behavioural management for strengthening care quality and outcomes of dementia patients. Thus, interpretivism philosophy has been chosen in the study as it assists in evaluating the side implications and overview of informal carers’ roles in managing dementia patients in the UK.</w:t>
      </w:r>
    </w:p>
    <w:p>
      <w:pPr>
        <w:jc w:val="left"/>
        <w:rPr>
          <w:b/>
          <w:bCs/>
        </w:rPr>
      </w:pPr>
      <w:r>
        <w:rPr>
          <w:b/>
          <w:bCs/>
        </w:rPr>
        <w:t>3.16 Chapter summary</w:t>
      </w:r>
    </w:p>
    <w:p>
      <w:r>
        <w:t xml:space="preserve">The above-mentioned chapter highlights that the Interpretivism paradigm has been leveraged widely due to its effectiveness for highlighting contextual understanding of the research areas through analysing societal beliefs as well as assumptions. In this respect, interpretivist philosophy has been chosen in the study as it assists in evaluating the side implications and overview of informal carers’ roles in managing dementia patients in the UK. </w:t>
      </w:r>
    </w:p>
    <w:p>
      <w:pPr>
        <w:pBdr>
          <w:top w:val="none" w:sz="0" w:space="0" w:color="auto"/>
          <w:left w:val="none" w:sz="0" w:space="0" w:color="auto"/>
          <w:bottom w:val="none" w:sz="0" w:space="0" w:color="auto"/>
          <w:right w:val="none" w:sz="0" w:space="0" w:color="auto"/>
          <w:between w:val="none" w:sz="0" w:space="0" w:color="auto"/>
        </w:pBdr>
      </w:pPr>
    </w:p>
    <w:p>
      <w:pPr>
        <w:spacing w:line="276" w:lineRule="auto"/>
        <w:jc w:val="left"/>
        <w:rPr>
          <w:b/>
          <w:bCs/>
        </w:rPr>
      </w:pPr>
      <w:r>
        <w:br w:type="page"/>
      </w:r>
    </w:p>
    <w:p>
      <w:pPr>
        <w:pStyle w:val="1"/>
        <w:rPr>
          <w:color w:val="auto"/>
        </w:rPr>
      </w:pPr>
      <w:bookmarkStart w:id="44" w:name="_Toc220932455"/>
      <w:r>
        <w:rPr>
          <w:color w:val="auto"/>
        </w:rPr>
        <w:t>Chapter 4: Results</w:t>
      </w:r>
      <w:bookmarkEnd w:id="44"/>
    </w:p>
    <w:p>
      <w:pPr>
        <w:pStyle w:val="2"/>
        <w:keepNext/>
        <w:keepLines/>
        <w:rPr>
          <w:color w:val="auto"/>
        </w:rPr>
      </w:pPr>
      <w:bookmarkStart w:id="45" w:name="_Toc220932456"/>
      <w:r>
        <w:rPr>
          <w:color w:val="auto"/>
        </w:rPr>
        <w:t>4.1 Introduction</w:t>
      </w:r>
      <w:bookmarkEnd w:id="45"/>
    </w:p>
    <w:p>
      <w:r>
        <w:t>This chapter focuses on analysing the findings of systematic review investigating the knowledge and role of informal care in medication and behavioural management for people living with dementia in the UK. This result section provides the systematic search databases through the PRISMA framework and the data characteristics table to synthesize data using 12 peer-reviewed articles.</w:t>
      </w:r>
    </w:p>
    <w:p>
      <w:pPr>
        <w:pStyle w:val="2"/>
        <w:keepNext/>
        <w:keepLines/>
        <w:rPr>
          <w:color w:val="auto"/>
        </w:rPr>
      </w:pPr>
      <w:bookmarkStart w:id="46" w:name="_Toc220932457"/>
      <w:r>
        <w:rPr>
          <w:color w:val="auto"/>
        </w:rPr>
        <w:t>4.2 Systematic search databases</w:t>
      </w:r>
      <w:bookmarkEnd w:id="46"/>
    </w:p>
    <w:p>
      <w:r>
        <w:t>The systematic literature has been searched by conducting across six electronic databases. These databases have been selected to understand healthcare, nursing, psychological and social care research relevant to dementia caregiving in the UK. The search terms have combined with the keywords and Boolean operators associated with dementia, informal carers, medication management, behavioural management and knowledge. The filters have been applied to include peer-reviewed articles published in between 2021-2025 and limited to English languages and UK-based research in adult informal carers.</w:t>
      </w:r>
    </w:p>
    <w:p>
      <w:pPr>
        <w:pStyle w:val="2"/>
        <w:keepNext/>
        <w:keepLines/>
        <w:rPr>
          <w:color w:val="auto"/>
        </w:rPr>
      </w:pPr>
      <w:bookmarkStart w:id="47" w:name="_Toc220932458"/>
      <w:r>
        <w:rPr>
          <w:color w:val="auto"/>
        </w:rPr>
        <w:t>4.3 Prisma table</w:t>
      </w:r>
      <w:bookmarkEnd w:id="47"/>
    </w:p>
    <w:p>
      <w:pPr>
        <w:jc w:val="center"/>
        <w:rPr>
          <w:b/>
          <w:bCs/>
        </w:rPr>
      </w:pPr>
      <w:r>
        <w:rPr>
          <w:b/>
          <w:bCs/>
        </w:rPr>
        <w:drawing>
          <wp:inline distT="114300" distB="114300" distL="114300" distR="114300">
            <wp:extent cx="4533900" cy="4819650"/>
            <wp:effectExtent l="0" t="0" r="0" b="0"/>
            <wp:docPr id="13" name="图片 13"/>
            <wp:cNvGraphicFramePr>
              <a:graphicFrameLocks noChangeAspect="0"/>
            </wp:cNvGraphicFramePr>
            <a:graphic>
              <a:graphicData uri="http://schemas.openxmlformats.org/drawingml/2006/picture">
                <pic:pic>
                  <pic:nvPicPr>
                    <pic:cNvPr id="15" name="图片 15"/>
                    <pic:cNvPicPr/>
                  </pic:nvPicPr>
                  <pic:blipFill>
                    <a:blip r:embed="rId7"/>
                    <a:stretch>
                      <a:fillRect/>
                    </a:stretch>
                  </pic:blipFill>
                  <pic:spPr>
                    <a:xfrm rot="0">
                      <a:off x="0" y="0"/>
                      <a:ext cx="4533900" cy="4819650"/>
                    </a:xfrm>
                    <a:prstGeom prst="rect"/>
                    <a:noFill/>
                    <a:ln w="12700" cmpd="sng" cap="flat">
                      <a:solidFill>
                        <a:srgbClr val="000000"/>
                      </a:solidFill>
                      <a:prstDash val="solid"/>
                      <a:round/>
                    </a:ln>
                  </pic:spPr>
                </pic:pic>
              </a:graphicData>
            </a:graphic>
          </wp:inline>
        </w:drawing>
      </w:r>
    </w:p>
    <w:p>
      <w:pPr>
        <w:pStyle w:val="4"/>
        <w:keepNext/>
        <w:keepLines/>
        <w:rPr>
          <w:color w:val="auto"/>
        </w:rPr>
      </w:pPr>
      <w:bookmarkStart w:id="48" w:name="_heading=h.13senis4m2xu"/>
      <w:bookmarkEnd w:id="48"/>
      <w:r>
        <w:rPr>
          <w:color w:val="auto"/>
        </w:rPr>
        <w:t>Figure 4.1: PRISMA framework</w:t>
      </w:r>
    </w:p>
    <w:p>
      <w:pPr>
        <w:jc w:val="center"/>
      </w:pPr>
      <w:r>
        <w:t>(Source: Self-made)</w:t>
      </w:r>
    </w:p>
    <w:p>
      <w:pPr>
        <w:sectPr>
          <w:footerReference w:type="default" r:id="rId2"/>
          <w:pgSz w:w="12240" w:h="15840"/>
          <w:pgMar w:top="1440" w:right="1440" w:bottom="1440" w:left="1440" w:header="720" w:footer="720" w:gutter="0"/>
          <w:pgNumType w:start="0"/>
          <w:titlePg/>
          <w:docGrid w:linePitch="312" w:charSpace="0"/>
        </w:sectPr>
      </w:pPr>
      <w:r>
        <w:t>The PRISMA flow diagram (see Figure 4.1) has highlighted the study selection procedures in which the initial database search yielded 1860 records. After removal duplicates 900 screened and abstract have been evaluated, of which 500 records have been excluded through this screening process. The full-text screening has been conducted for 145 articles and resulted in the exclusion of 56 records for publishing years, 22 records for peer-reviewed article issues, 55 records for language issues. Hence, total 12 peer-reviewed articles have been included in the final synthesis, comprising qualitative and quantitative methods research focusing on informal carer’s roles in dementia care across the UK.</w:t>
      </w:r>
    </w:p>
    <w:p>
      <w:pPr>
        <w:pStyle w:val="2"/>
        <w:keepNext/>
        <w:keepLines/>
        <w:rPr>
          <w:color w:val="auto"/>
        </w:rPr>
      </w:pPr>
      <w:bookmarkStart w:id="49" w:name="_Toc220932459"/>
      <w:r>
        <w:rPr>
          <w:color w:val="auto"/>
        </w:rPr>
        <w:t>4.4 Characteristics of all table</w:t>
      </w:r>
      <w:bookmarkEnd w:id="49"/>
    </w:p>
    <w:tbl>
      <w:tblPr>
        <w:jc w:val="left"/>
        <w:tblInd w:w="0" w:type="dxa"/>
        <w:tblW w:w="129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15" w:type="dxa"/>
          <w:bottom w:w="0" w:type="dxa"/>
          <w:right w:w="115" w:type="dxa"/>
        </w:tblCellMar>
      </w:tblPr>
      <w:tblGrid>
        <w:gridCol w:w="787"/>
        <w:gridCol w:w="1503"/>
        <w:gridCol w:w="1324"/>
        <w:gridCol w:w="1117"/>
        <w:gridCol w:w="1294"/>
        <w:gridCol w:w="1105"/>
        <w:gridCol w:w="1304"/>
        <w:gridCol w:w="1127"/>
        <w:gridCol w:w="1069"/>
        <w:gridCol w:w="1120"/>
        <w:gridCol w:w="1200"/>
      </w:tblGrid>
      <w:tr>
        <w:trPr>
          <w:trHeight w:val="275"/>
        </w:trPr>
        <w:tc>
          <w:tcPr>
            <w:tcW w:w="787" w:type="dxa"/>
          </w:tcPr>
          <w:p>
            <w:pPr>
              <w:spacing w:after="160"/>
              <w:rPr>
                <w:b/>
                <w:bCs/>
              </w:rPr>
            </w:pPr>
            <w:r>
              <w:rPr>
                <w:b/>
                <w:bCs/>
              </w:rPr>
              <w:t>Study author’s name</w:t>
            </w:r>
          </w:p>
        </w:tc>
        <w:tc>
          <w:tcPr>
            <w:tcW w:w="1503" w:type="dxa"/>
          </w:tcPr>
          <w:p>
            <w:pPr>
              <w:widowControl w:val="0"/>
              <w:spacing w:after="160"/>
              <w:ind w:left="97" w:right="88"/>
              <w:rPr>
                <w:b/>
                <w:bCs/>
              </w:rPr>
            </w:pPr>
            <w:r>
              <w:rPr>
                <w:b/>
                <w:bCs/>
              </w:rPr>
              <w:t>Objective/Purpose</w:t>
            </w:r>
          </w:p>
        </w:tc>
        <w:tc>
          <w:tcPr>
            <w:tcW w:w="1324" w:type="dxa"/>
          </w:tcPr>
          <w:p>
            <w:pPr>
              <w:widowControl w:val="0"/>
              <w:spacing w:after="160"/>
              <w:ind w:left="108"/>
              <w:rPr>
                <w:b/>
                <w:bCs/>
              </w:rPr>
            </w:pPr>
            <w:r>
              <w:rPr>
                <w:b/>
                <w:bCs/>
              </w:rPr>
              <w:t>Settings/Sample</w:t>
            </w:r>
          </w:p>
        </w:tc>
        <w:tc>
          <w:tcPr>
            <w:tcW w:w="1117" w:type="dxa"/>
          </w:tcPr>
          <w:p>
            <w:pPr>
              <w:widowControl w:val="0"/>
              <w:spacing w:after="160"/>
              <w:ind w:left="107"/>
              <w:rPr>
                <w:b/>
                <w:bCs/>
              </w:rPr>
            </w:pPr>
            <w:r>
              <w:rPr>
                <w:b/>
                <w:bCs/>
              </w:rPr>
              <w:t>Methodology</w:t>
            </w:r>
          </w:p>
          <w:p>
            <w:pPr>
              <w:widowControl w:val="0"/>
              <w:spacing w:after="160"/>
              <w:ind w:left="107"/>
              <w:rPr>
                <w:b/>
                <w:bCs/>
              </w:rPr>
            </w:pPr>
            <w:r>
              <w:rPr>
                <w:b/>
                <w:bCs/>
              </w:rPr>
              <w:t>Study</w:t>
            </w:r>
          </w:p>
          <w:p>
            <w:pPr>
              <w:widowControl w:val="0"/>
              <w:spacing w:after="160"/>
              <w:ind w:left="107"/>
              <w:rPr>
                <w:b/>
                <w:bCs/>
              </w:rPr>
            </w:pPr>
            <w:r>
              <w:rPr>
                <w:b/>
                <w:bCs/>
              </w:rPr>
              <w:t>design was</w:t>
            </w:r>
          </w:p>
          <w:p>
            <w:pPr>
              <w:widowControl w:val="0"/>
              <w:spacing w:after="160"/>
              <w:ind w:left="107"/>
              <w:rPr>
                <w:b/>
                <w:bCs/>
              </w:rPr>
            </w:pPr>
            <w:r>
              <w:rPr>
                <w:b/>
                <w:bCs/>
              </w:rPr>
              <w:t>it</w:t>
            </w:r>
          </w:p>
          <w:p>
            <w:pPr>
              <w:widowControl w:val="0"/>
              <w:spacing w:after="160"/>
              <w:ind w:left="107"/>
              <w:rPr>
                <w:b/>
                <w:bCs/>
              </w:rPr>
            </w:pPr>
            <w:r>
              <w:rPr>
                <w:b/>
                <w:bCs/>
              </w:rPr>
              <w:t>appropriate</w:t>
            </w:r>
          </w:p>
          <w:p>
            <w:pPr>
              <w:widowControl w:val="0"/>
              <w:spacing w:after="160"/>
              <w:ind w:left="107"/>
              <w:rPr>
                <w:b/>
                <w:bCs/>
              </w:rPr>
            </w:pPr>
            <w:r>
              <w:rPr>
                <w:b/>
                <w:bCs/>
              </w:rPr>
              <w:t>or not</w:t>
            </w:r>
          </w:p>
        </w:tc>
        <w:tc>
          <w:tcPr>
            <w:tcW w:w="1294" w:type="dxa"/>
          </w:tcPr>
          <w:p>
            <w:pPr>
              <w:widowControl w:val="0"/>
              <w:spacing w:after="160"/>
              <w:ind w:left="107"/>
              <w:rPr>
                <w:b/>
                <w:bCs/>
              </w:rPr>
            </w:pPr>
            <w:r>
              <w:rPr>
                <w:b/>
                <w:bCs/>
              </w:rPr>
              <w:t>Strengths</w:t>
            </w:r>
          </w:p>
          <w:p>
            <w:pPr>
              <w:widowControl w:val="0"/>
              <w:spacing w:after="160"/>
              <w:ind w:left="107"/>
              <w:rPr>
                <w:b/>
                <w:bCs/>
              </w:rPr>
            </w:pPr>
            <w:r>
              <w:rPr>
                <w:b/>
                <w:bCs/>
              </w:rPr>
              <w:t>(Validity,</w:t>
            </w:r>
          </w:p>
          <w:p>
            <w:pPr>
              <w:widowControl w:val="0"/>
              <w:spacing w:after="160"/>
              <w:ind w:left="107"/>
              <w:rPr>
                <w:b/>
                <w:bCs/>
              </w:rPr>
            </w:pPr>
            <w:r>
              <w:rPr>
                <w:b/>
                <w:bCs/>
              </w:rPr>
              <w:t>reliability,</w:t>
            </w:r>
          </w:p>
          <w:p>
            <w:pPr>
              <w:widowControl w:val="0"/>
              <w:spacing w:after="160"/>
              <w:ind w:left="107"/>
              <w:rPr>
                <w:b/>
                <w:bCs/>
              </w:rPr>
            </w:pPr>
            <w:r>
              <w:rPr>
                <w:b/>
                <w:bCs/>
              </w:rPr>
              <w:t>generalizability)</w:t>
            </w:r>
          </w:p>
        </w:tc>
        <w:tc>
          <w:tcPr>
            <w:tcW w:w="1105" w:type="dxa"/>
          </w:tcPr>
          <w:p>
            <w:pPr>
              <w:widowControl w:val="0"/>
              <w:spacing w:after="160"/>
              <w:ind w:left="107"/>
              <w:rPr>
                <w:b/>
                <w:bCs/>
              </w:rPr>
            </w:pPr>
            <w:r>
              <w:rPr>
                <w:b/>
                <w:bCs/>
              </w:rPr>
              <w:t>Weaknesses</w:t>
            </w:r>
          </w:p>
          <w:p>
            <w:pPr>
              <w:widowControl w:val="0"/>
              <w:spacing w:after="160"/>
              <w:ind w:left="107"/>
              <w:rPr>
                <w:b/>
                <w:bCs/>
              </w:rPr>
            </w:pPr>
            <w:r>
              <w:rPr>
                <w:b/>
                <w:bCs/>
              </w:rPr>
              <w:t>(e.g. bias,</w:t>
            </w:r>
          </w:p>
          <w:p>
            <w:pPr>
              <w:widowControl w:val="0"/>
              <w:spacing w:after="160"/>
              <w:ind w:left="107"/>
              <w:rPr>
                <w:b/>
                <w:bCs/>
              </w:rPr>
            </w:pPr>
            <w:r>
              <w:rPr>
                <w:b/>
                <w:bCs/>
              </w:rPr>
              <w:t>small</w:t>
            </w:r>
          </w:p>
          <w:p>
            <w:pPr>
              <w:widowControl w:val="0"/>
              <w:spacing w:after="160"/>
              <w:ind w:left="107"/>
              <w:rPr>
                <w:b/>
                <w:bCs/>
              </w:rPr>
            </w:pPr>
            <w:r>
              <w:rPr>
                <w:b/>
                <w:bCs/>
              </w:rPr>
              <w:t>sample size,</w:t>
            </w:r>
          </w:p>
          <w:p>
            <w:pPr>
              <w:widowControl w:val="0"/>
              <w:spacing w:after="160"/>
              <w:ind w:left="107"/>
              <w:rPr>
                <w:b/>
                <w:bCs/>
              </w:rPr>
            </w:pPr>
            <w:r>
              <w:rPr>
                <w:b/>
                <w:bCs/>
              </w:rPr>
              <w:t>stats tests</w:t>
            </w:r>
          </w:p>
          <w:p>
            <w:pPr>
              <w:widowControl w:val="0"/>
              <w:spacing w:after="160"/>
              <w:ind w:left="107"/>
              <w:rPr>
                <w:b/>
                <w:bCs/>
              </w:rPr>
            </w:pPr>
            <w:r>
              <w:rPr>
                <w:b/>
                <w:bCs/>
              </w:rPr>
              <w:t>not</w:t>
            </w:r>
          </w:p>
          <w:p>
            <w:pPr>
              <w:widowControl w:val="0"/>
              <w:spacing w:after="160"/>
              <w:ind w:left="107"/>
              <w:rPr>
                <w:b/>
                <w:bCs/>
              </w:rPr>
            </w:pPr>
            <w:r>
              <w:rPr>
                <w:b/>
                <w:bCs/>
              </w:rPr>
              <w:t>explained</w:t>
            </w:r>
          </w:p>
          <w:p>
            <w:pPr>
              <w:widowControl w:val="0"/>
              <w:spacing w:after="160"/>
              <w:ind w:left="107"/>
              <w:rPr>
                <w:b/>
                <w:bCs/>
              </w:rPr>
            </w:pPr>
            <w:r>
              <w:rPr>
                <w:b/>
                <w:bCs/>
              </w:rPr>
              <w:t>Well. No</w:t>
            </w:r>
          </w:p>
          <w:p>
            <w:pPr>
              <w:widowControl w:val="0"/>
              <w:spacing w:after="160"/>
              <w:ind w:left="107"/>
              <w:rPr>
                <w:b/>
                <w:bCs/>
              </w:rPr>
            </w:pPr>
            <w:r>
              <w:rPr>
                <w:b/>
                <w:bCs/>
              </w:rPr>
              <w:t>intervention)</w:t>
            </w:r>
          </w:p>
        </w:tc>
        <w:tc>
          <w:tcPr>
            <w:tcW w:w="1304" w:type="dxa"/>
          </w:tcPr>
          <w:p>
            <w:pPr>
              <w:widowControl w:val="0"/>
              <w:spacing w:after="160"/>
              <w:ind w:left="107"/>
              <w:rPr>
                <w:b/>
                <w:bCs/>
              </w:rPr>
            </w:pPr>
            <w:r>
              <w:rPr>
                <w:b/>
                <w:bCs/>
              </w:rPr>
              <w:t>Results</w:t>
            </w:r>
          </w:p>
          <w:p>
            <w:pPr>
              <w:widowControl w:val="0"/>
              <w:spacing w:after="160"/>
              <w:ind w:left="107"/>
              <w:rPr>
                <w:b/>
                <w:bCs/>
              </w:rPr>
            </w:pPr>
            <w:r>
              <w:rPr>
                <w:b/>
                <w:bCs/>
              </w:rPr>
              <w:t>/outcomes</w:t>
            </w:r>
          </w:p>
        </w:tc>
        <w:tc>
          <w:tcPr>
            <w:tcW w:w="1127" w:type="dxa"/>
          </w:tcPr>
          <w:p>
            <w:pPr>
              <w:widowControl w:val="0"/>
              <w:spacing w:after="160"/>
              <w:ind w:left="107"/>
              <w:rPr>
                <w:b/>
                <w:bCs/>
              </w:rPr>
            </w:pPr>
            <w:r>
              <w:rPr>
                <w:b/>
                <w:bCs/>
              </w:rPr>
              <w:t>Conclusion</w:t>
            </w:r>
          </w:p>
        </w:tc>
        <w:tc>
          <w:tcPr>
            <w:tcW w:w="1069" w:type="dxa"/>
          </w:tcPr>
          <w:p>
            <w:pPr>
              <w:widowControl w:val="0"/>
              <w:spacing w:after="160"/>
              <w:ind w:left="107"/>
              <w:rPr>
                <w:b/>
                <w:bCs/>
              </w:rPr>
            </w:pPr>
            <w:r>
              <w:rPr>
                <w:b/>
                <w:bCs/>
              </w:rPr>
              <w:t>Data</w:t>
            </w:r>
          </w:p>
          <w:p>
            <w:pPr>
              <w:widowControl w:val="0"/>
              <w:spacing w:after="160"/>
              <w:ind w:left="107"/>
              <w:rPr>
                <w:b/>
                <w:bCs/>
              </w:rPr>
            </w:pPr>
            <w:r>
              <w:rPr>
                <w:b/>
                <w:bCs/>
              </w:rPr>
              <w:t>extraction</w:t>
            </w:r>
          </w:p>
          <w:p>
            <w:pPr>
              <w:widowControl w:val="0"/>
              <w:spacing w:after="160"/>
              <w:ind w:left="107"/>
              <w:rPr>
                <w:b/>
                <w:bCs/>
              </w:rPr>
            </w:pPr>
            <w:r>
              <w:rPr>
                <w:b/>
                <w:bCs/>
              </w:rPr>
              <w:t>criteria</w:t>
            </w:r>
          </w:p>
          <w:p>
            <w:pPr>
              <w:widowControl w:val="0"/>
              <w:spacing w:after="160"/>
              <w:ind w:left="107"/>
              <w:rPr>
                <w:b/>
                <w:bCs/>
              </w:rPr>
            </w:pPr>
            <w:r>
              <w:rPr>
                <w:b/>
                <w:bCs/>
              </w:rPr>
              <w:t>(derived</w:t>
            </w:r>
          </w:p>
          <w:p>
            <w:pPr>
              <w:widowControl w:val="0"/>
              <w:spacing w:after="160"/>
              <w:ind w:left="107"/>
              <w:rPr>
                <w:b/>
                <w:bCs/>
              </w:rPr>
            </w:pPr>
            <w:r>
              <w:rPr>
                <w:b/>
                <w:bCs/>
              </w:rPr>
              <w:t>from</w:t>
            </w:r>
          </w:p>
          <w:p>
            <w:pPr>
              <w:widowControl w:val="0"/>
              <w:spacing w:after="160"/>
              <w:ind w:left="107"/>
              <w:rPr>
                <w:b/>
                <w:bCs/>
              </w:rPr>
            </w:pPr>
            <w:r>
              <w:rPr>
                <w:b/>
                <w:bCs/>
              </w:rPr>
              <w:t>research</w:t>
            </w:r>
          </w:p>
          <w:p>
            <w:pPr>
              <w:widowControl w:val="0"/>
              <w:spacing w:after="160"/>
              <w:ind w:left="107"/>
              <w:rPr>
                <w:b/>
                <w:bCs/>
              </w:rPr>
            </w:pPr>
            <w:r>
              <w:rPr>
                <w:b/>
                <w:bCs/>
              </w:rPr>
              <w:t>objective</w:t>
            </w:r>
          </w:p>
          <w:p>
            <w:pPr>
              <w:widowControl w:val="0"/>
              <w:spacing w:after="160"/>
              <w:ind w:left="107"/>
              <w:rPr>
                <w:b/>
                <w:bCs/>
              </w:rPr>
            </w:pPr>
            <w:r>
              <w:rPr>
                <w:b/>
                <w:bCs/>
              </w:rPr>
              <w:t>1)</w:t>
            </w:r>
          </w:p>
        </w:tc>
        <w:tc>
          <w:tcPr>
            <w:tcW w:w="1120" w:type="dxa"/>
          </w:tcPr>
          <w:p>
            <w:pPr>
              <w:spacing w:after="160"/>
              <w:rPr>
                <w:b/>
                <w:bCs/>
              </w:rPr>
            </w:pPr>
            <w:r>
              <w:rPr>
                <w:b/>
                <w:bCs/>
              </w:rPr>
              <w:t>Data</w:t>
            </w:r>
          </w:p>
          <w:p>
            <w:pPr>
              <w:spacing w:after="160"/>
              <w:rPr>
                <w:b/>
                <w:bCs/>
              </w:rPr>
            </w:pPr>
            <w:r>
              <w:rPr>
                <w:b/>
                <w:bCs/>
              </w:rPr>
              <w:t>extraction</w:t>
            </w:r>
          </w:p>
          <w:p>
            <w:pPr>
              <w:spacing w:after="160"/>
              <w:rPr>
                <w:b/>
                <w:bCs/>
              </w:rPr>
            </w:pPr>
            <w:r>
              <w:rPr>
                <w:b/>
                <w:bCs/>
              </w:rPr>
              <w:t>criteria</w:t>
            </w:r>
          </w:p>
          <w:p>
            <w:pPr>
              <w:spacing w:after="160"/>
              <w:rPr>
                <w:b/>
                <w:bCs/>
              </w:rPr>
            </w:pPr>
            <w:r>
              <w:rPr>
                <w:b/>
                <w:bCs/>
              </w:rPr>
              <w:t>(derived</w:t>
            </w:r>
          </w:p>
          <w:p>
            <w:pPr>
              <w:spacing w:after="160"/>
              <w:rPr>
                <w:b/>
                <w:bCs/>
              </w:rPr>
            </w:pPr>
            <w:r>
              <w:rPr>
                <w:b/>
                <w:bCs/>
              </w:rPr>
              <w:t>from</w:t>
            </w:r>
          </w:p>
          <w:p>
            <w:pPr>
              <w:spacing w:after="160"/>
              <w:rPr>
                <w:b/>
                <w:bCs/>
              </w:rPr>
            </w:pPr>
            <w:r>
              <w:rPr>
                <w:b/>
                <w:bCs/>
              </w:rPr>
              <w:t>research</w:t>
            </w:r>
          </w:p>
          <w:p>
            <w:pPr>
              <w:spacing w:after="160"/>
              <w:rPr>
                <w:b/>
                <w:bCs/>
              </w:rPr>
            </w:pPr>
            <w:r>
              <w:rPr>
                <w:b/>
                <w:bCs/>
              </w:rPr>
              <w:t>objective</w:t>
            </w:r>
          </w:p>
          <w:p>
            <w:pPr>
              <w:spacing w:after="160"/>
              <w:rPr>
                <w:b/>
                <w:bCs/>
              </w:rPr>
            </w:pPr>
            <w:r>
              <w:rPr>
                <w:b/>
                <w:bCs/>
              </w:rPr>
              <w:t>2)</w:t>
            </w:r>
          </w:p>
          <w:p>
            <w:pPr>
              <w:widowControl w:val="0"/>
              <w:spacing w:after="160"/>
              <w:ind w:left="107"/>
              <w:rPr>
                <w:b/>
                <w:bCs/>
              </w:rPr>
            </w:pPr>
          </w:p>
        </w:tc>
        <w:tc>
          <w:tcPr>
            <w:tcW w:w="1200" w:type="dxa"/>
          </w:tcPr>
          <w:p>
            <w:pPr>
              <w:spacing w:after="160"/>
              <w:rPr>
                <w:b/>
                <w:bCs/>
              </w:rPr>
            </w:pPr>
            <w:r>
              <w:rPr>
                <w:b/>
                <w:bCs/>
              </w:rPr>
              <w:t>Themes</w:t>
            </w:r>
          </w:p>
          <w:p>
            <w:pPr>
              <w:spacing w:after="160"/>
              <w:rPr>
                <w:b/>
                <w:bCs/>
              </w:rPr>
            </w:pPr>
            <w:r>
              <w:rPr>
                <w:b/>
                <w:bCs/>
              </w:rPr>
              <w:t>per each</w:t>
            </w:r>
          </w:p>
          <w:p>
            <w:pPr>
              <w:spacing w:after="160"/>
              <w:rPr>
                <w:b/>
                <w:bCs/>
              </w:rPr>
            </w:pPr>
            <w:r>
              <w:rPr>
                <w:b/>
                <w:bCs/>
              </w:rPr>
              <w:t>articles</w:t>
            </w:r>
          </w:p>
        </w:tc>
      </w:tr>
      <w:tr>
        <w:trPr>
          <w:trHeight w:val="275"/>
        </w:trPr>
        <w:tc>
          <w:tcPr>
            <w:tcW w:w="787" w:type="dxa"/>
            <w:tcMar>
              <w:top w:w="100" w:type="dxa"/>
              <w:left w:w="100" w:type="dxa"/>
              <w:bottom w:w="100" w:type="dxa"/>
              <w:right w:w="100" w:type="dxa"/>
            </w:tcMar>
          </w:tcPr>
          <w:p>
            <w:pPr>
              <w:widowControl w:val="0"/>
            </w:pPr>
            <w:r>
              <w:t xml:space="preserve">Moura </w:t>
            </w:r>
            <w:r>
              <w:rPr>
                <w:i/>
                <w:iCs/>
              </w:rPr>
              <w:t xml:space="preserve">et al. </w:t>
            </w:r>
            <w:r>
              <w:t>(2025)</w:t>
            </w:r>
          </w:p>
        </w:tc>
        <w:tc>
          <w:tcPr>
            <w:tcW w:w="1503" w:type="dxa"/>
          </w:tcPr>
          <w:p>
            <w:r>
              <w:t>To evaluate how learning procedures emerge in informal caregiving after stroke with the procedures supporting adaptations in the caregiving role</w:t>
            </w:r>
          </w:p>
        </w:tc>
        <w:tc>
          <w:tcPr>
            <w:tcW w:w="1324" w:type="dxa"/>
          </w:tcPr>
          <w:p>
            <w:r>
              <w:t>443 informal caregivers completed questionnaires and 37 participated in interviews</w:t>
            </w:r>
          </w:p>
        </w:tc>
        <w:tc>
          <w:tcPr>
            <w:tcW w:w="1117" w:type="dxa"/>
          </w:tcPr>
          <w:p>
            <w:r>
              <w:t>Mixed-methods design using questionnaires analysing with chi-square tests and logistic regression followed by semi-structured interviews analysing through reflexive thematic analysis, appropriate</w:t>
            </w:r>
          </w:p>
        </w:tc>
        <w:tc>
          <w:tcPr>
            <w:tcW w:w="1294" w:type="dxa"/>
          </w:tcPr>
          <w:p>
            <w:r>
              <w:t>Large quantitative samples improve validity and generalizability; The utilization of mixed methods is beneficial for credibility through data triangulation and the qualitative analysis provides in-depth and contextual understanding.</w:t>
            </w:r>
          </w:p>
        </w:tc>
        <w:tc>
          <w:tcPr>
            <w:tcW w:w="1105" w:type="dxa"/>
          </w:tcPr>
          <w:p>
            <w:r>
              <w:t>The study was conducted in one geographic region which limits transferability as well. Furthermore, the self-reported data might show recall and response bias with not tested interventions.</w:t>
            </w:r>
          </w:p>
        </w:tc>
        <w:tc>
          <w:tcPr>
            <w:tcW w:w="1304" w:type="dxa"/>
          </w:tcPr>
          <w:p>
            <w:r>
              <w:t>The adaptation to informal care is supported by experiential and practice-based learning influenced by enablers and barriers across the care context.</w:t>
            </w:r>
          </w:p>
        </w:tc>
        <w:tc>
          <w:tcPr>
            <w:tcW w:w="1127" w:type="dxa"/>
          </w:tcPr>
          <w:p>
            <w:r>
              <w:t>The informal caregiving is a dynamic learning-based procedure requiring integrated health, social and educational support for enhancing caregiver well-being and care quality.</w:t>
            </w:r>
          </w:p>
        </w:tc>
        <w:tc>
          <w:tcPr>
            <w:tcW w:w="1069" w:type="dxa"/>
          </w:tcPr>
          <w:p>
            <w:r>
              <w:t>The evidence of caregiver’s learning by providing daily care demands and health-related tasks after stroke</w:t>
            </w:r>
          </w:p>
        </w:tc>
        <w:tc>
          <w:tcPr>
            <w:tcW w:w="1120" w:type="dxa"/>
          </w:tcPr>
          <w:p>
            <w:r>
              <w:t>The evidence of experiential learning helps caregiver’s responses to behavioural, emotional and psychosocial challenges are</w:t>
            </w:r>
          </w:p>
        </w:tc>
        <w:tc>
          <w:tcPr>
            <w:tcW w:w="1200" w:type="dxa"/>
            <w:vMerge w:val="restart"/>
          </w:tcPr>
          <w:p>
            <w:pPr>
              <w:spacing w:after="160"/>
              <w:rPr>
                <w:b/>
                <w:bCs/>
              </w:rPr>
            </w:pPr>
            <w:r>
              <w:rPr>
                <w:b/>
                <w:bCs/>
              </w:rPr>
              <w:t>Theme 1: Anticipated responsibilities for informal carer’s in medication &amp; behaviour management</w:t>
            </w:r>
          </w:p>
        </w:tc>
      </w:tr>
      <w:tr>
        <w:trPr>
          <w:trHeight w:val="275"/>
        </w:trPr>
        <w:tc>
          <w:tcPr>
            <w:tcW w:w="787" w:type="dxa"/>
            <w:tcMar>
              <w:top w:w="100" w:type="dxa"/>
              <w:left w:w="100" w:type="dxa"/>
              <w:bottom w:w="100" w:type="dxa"/>
              <w:right w:w="100" w:type="dxa"/>
            </w:tcMar>
          </w:tcPr>
          <w:p>
            <w:pPr>
              <w:widowControl w:val="0"/>
            </w:pPr>
            <w:r>
              <w:t xml:space="preserve">Maggio </w:t>
            </w:r>
            <w:r>
              <w:rPr>
                <w:i/>
                <w:iCs/>
              </w:rPr>
              <w:t xml:space="preserve">et al. </w:t>
            </w:r>
            <w:r>
              <w:t>(2025)</w:t>
            </w:r>
          </w:p>
        </w:tc>
        <w:tc>
          <w:tcPr>
            <w:tcW w:w="1503" w:type="dxa"/>
          </w:tcPr>
          <w:p>
            <w:pPr>
              <w:spacing w:after="160"/>
            </w:pPr>
            <w:r>
              <w:t>To assess the effectiveness of a semi-immersive VR intervention on psychological well-being of informal caregivers of people with MCI</w:t>
            </w:r>
          </w:p>
        </w:tc>
        <w:tc>
          <w:tcPr>
            <w:tcW w:w="1324" w:type="dxa"/>
          </w:tcPr>
          <w:p>
            <w:pPr>
              <w:spacing w:after="160"/>
            </w:pPr>
            <w:r>
              <w:t>10 caregivers (each 30-40 mins) in non-randomised pilot study</w:t>
            </w:r>
          </w:p>
        </w:tc>
        <w:tc>
          <w:tcPr>
            <w:tcW w:w="1117" w:type="dxa"/>
          </w:tcPr>
          <w:p>
            <w:pPr>
              <w:spacing w:after="160"/>
            </w:pPr>
            <w:r>
              <w:t>pre-post evaluations in a non-randomized pilot research</w:t>
            </w:r>
          </w:p>
        </w:tc>
        <w:tc>
          <w:tcPr>
            <w:tcW w:w="1294" w:type="dxa"/>
          </w:tcPr>
          <w:p>
            <w:pPr>
              <w:spacing w:after="160"/>
            </w:pPr>
            <w:r>
              <w:t>Use of validated tools, innovative digital intervention real-world contexts.</w:t>
            </w:r>
          </w:p>
        </w:tc>
        <w:tc>
          <w:tcPr>
            <w:tcW w:w="1105" w:type="dxa"/>
          </w:tcPr>
          <w:p>
            <w:pPr>
              <w:spacing w:after="160"/>
            </w:pPr>
            <w:r>
              <w:t>Small sample size, no control group with limited generalizability</w:t>
            </w:r>
          </w:p>
        </w:tc>
        <w:tc>
          <w:tcPr>
            <w:tcW w:w="1304" w:type="dxa"/>
          </w:tcPr>
          <w:p>
            <w:pPr>
              <w:spacing w:after="160"/>
            </w:pPr>
            <w:r>
              <w:t>VR intervention reduced maladaptive coping, feasible and supporting informal caregiver well-being.</w:t>
            </w:r>
          </w:p>
        </w:tc>
        <w:tc>
          <w:tcPr>
            <w:tcW w:w="1127" w:type="dxa"/>
          </w:tcPr>
          <w:p>
            <w:pPr>
              <w:spacing w:after="160"/>
            </w:pPr>
            <w:r>
              <w:t>The VR interventions show potential to support caregiver emotional well-being</w:t>
            </w:r>
          </w:p>
        </w:tc>
        <w:tc>
          <w:tcPr>
            <w:tcW w:w="1069" w:type="dxa"/>
          </w:tcPr>
          <w:p>
            <w:pPr>
              <w:spacing w:after="160"/>
            </w:pPr>
            <w:r>
              <w:t>Limited relevance to medication management knowledge</w:t>
            </w:r>
          </w:p>
        </w:tc>
        <w:tc>
          <w:tcPr>
            <w:tcW w:w="1120" w:type="dxa"/>
          </w:tcPr>
          <w:p>
            <w:pPr>
              <w:spacing w:after="160"/>
            </w:pPr>
            <w:r>
              <w:t>Evidence of support for coping strategies and emotional aspects of behavioural management</w:t>
            </w:r>
          </w:p>
        </w:tc>
        <w:tc>
          <w:tcPr>
            <w:tcW w:w="1200" w:type="dxa"/>
            <w:vMerge/>
          </w:tcPr>
          <w:p/>
        </w:tc>
      </w:tr>
      <w:tr>
        <w:trPr>
          <w:trHeight w:val="275"/>
        </w:trPr>
        <w:tc>
          <w:tcPr>
            <w:tcW w:w="787" w:type="dxa"/>
            <w:tcMar>
              <w:top w:w="100" w:type="dxa"/>
              <w:left w:w="100" w:type="dxa"/>
              <w:bottom w:w="100" w:type="dxa"/>
              <w:right w:w="100" w:type="dxa"/>
            </w:tcMar>
          </w:tcPr>
          <w:p>
            <w:pPr>
              <w:widowControl w:val="0"/>
            </w:pPr>
            <w:r>
              <w:t xml:space="preserve">Buck </w:t>
            </w:r>
            <w:r>
              <w:rPr>
                <w:i/>
                <w:iCs/>
              </w:rPr>
              <w:t xml:space="preserve">et al. </w:t>
            </w:r>
            <w:r>
              <w:t>(2024).</w:t>
            </w:r>
          </w:p>
        </w:tc>
        <w:tc>
          <w:tcPr>
            <w:tcW w:w="1503" w:type="dxa"/>
          </w:tcPr>
          <w:p>
            <w:pPr>
              <w:spacing w:after="160"/>
            </w:pPr>
            <w:r>
              <w:t>To update evidence on informal caregiver’s contributions to heart failure self-care investigating changes over the time to find the gaps in study</w:t>
            </w:r>
          </w:p>
        </w:tc>
        <w:tc>
          <w:tcPr>
            <w:tcW w:w="1324" w:type="dxa"/>
          </w:tcPr>
          <w:p>
            <w:pPr>
              <w:spacing w:after="160"/>
            </w:pPr>
            <w:r>
              <w:t>64 studies</w:t>
            </w:r>
          </w:p>
        </w:tc>
        <w:tc>
          <w:tcPr>
            <w:tcW w:w="1117" w:type="dxa"/>
          </w:tcPr>
          <w:p>
            <w:pPr>
              <w:spacing w:after="160"/>
            </w:pPr>
            <w:r>
              <w:t>Systematic reviews using PRISMA framework, appropriate</w:t>
            </w:r>
          </w:p>
        </w:tc>
        <w:tc>
          <w:tcPr>
            <w:tcW w:w="1294" w:type="dxa"/>
          </w:tcPr>
          <w:p>
            <w:pPr>
              <w:spacing w:after="160"/>
            </w:pPr>
            <w:r>
              <w:t>Large evidence based, theory-driven analysis with comprehensive databases search improve validity and generalizability</w:t>
            </w:r>
          </w:p>
        </w:tc>
        <w:tc>
          <w:tcPr>
            <w:tcW w:w="1105" w:type="dxa"/>
          </w:tcPr>
          <w:p>
            <w:pPr>
              <w:spacing w:after="160"/>
            </w:pPr>
            <w:r>
              <w:t>The variability in study quality ambiguous reporting of caregiving activity with lack of quantitative synthesis</w:t>
            </w:r>
          </w:p>
        </w:tc>
        <w:tc>
          <w:tcPr>
            <w:tcW w:w="1304" w:type="dxa"/>
          </w:tcPr>
          <w:p>
            <w:pPr>
              <w:spacing w:after="160"/>
            </w:pPr>
            <w:r>
              <w:t>The maintenance, supervision, and management of self-care were the primary contributions made by caregivers. Direct patient care has been more prevalent than supportive care.</w:t>
            </w:r>
          </w:p>
        </w:tc>
        <w:tc>
          <w:tcPr>
            <w:tcW w:w="1127" w:type="dxa"/>
          </w:tcPr>
          <w:p>
            <w:pPr>
              <w:spacing w:after="160"/>
            </w:pPr>
            <w:r>
              <w:t>Informal caregiving activities are broader than currently requiring theoretical updates to improve research focus</w:t>
            </w:r>
          </w:p>
        </w:tc>
        <w:tc>
          <w:tcPr>
            <w:tcW w:w="1069" w:type="dxa"/>
          </w:tcPr>
          <w:p>
            <w:pPr>
              <w:spacing w:after="160"/>
            </w:pPr>
            <w:r>
              <w:t>Strong evidence of caregiver involvement in health-related self-care activities and management tasks</w:t>
            </w:r>
          </w:p>
        </w:tc>
        <w:tc>
          <w:tcPr>
            <w:tcW w:w="1120" w:type="dxa"/>
          </w:tcPr>
          <w:p>
            <w:pPr>
              <w:spacing w:after="160"/>
            </w:pPr>
            <w:r>
              <w:t>Limited relevance with behavioural management and indirect relevance through monitoring and supportive communication roles</w:t>
            </w:r>
          </w:p>
        </w:tc>
        <w:tc>
          <w:tcPr>
            <w:tcW w:w="1200" w:type="dxa"/>
            <w:vMerge/>
          </w:tcPr>
          <w:p/>
        </w:tc>
      </w:tr>
      <w:tr>
        <w:trPr>
          <w:trHeight w:val="275"/>
        </w:trPr>
        <w:tc>
          <w:tcPr>
            <w:tcW w:w="787" w:type="dxa"/>
            <w:tcMar>
              <w:top w:w="100" w:type="dxa"/>
              <w:left w:w="100" w:type="dxa"/>
              <w:bottom w:w="100" w:type="dxa"/>
              <w:right w:w="100" w:type="dxa"/>
            </w:tcMar>
          </w:tcPr>
          <w:p>
            <w:pPr>
              <w:widowControl w:val="0"/>
            </w:pPr>
            <w:r>
              <w:t xml:space="preserve">Kolade </w:t>
            </w:r>
            <w:r>
              <w:rPr>
                <w:i/>
                <w:iCs/>
              </w:rPr>
              <w:t xml:space="preserve">et al. </w:t>
            </w:r>
            <w:r>
              <w:t>(2025)</w:t>
            </w:r>
          </w:p>
        </w:tc>
        <w:tc>
          <w:tcPr>
            <w:tcW w:w="1503" w:type="dxa"/>
          </w:tcPr>
          <w:p>
            <w:pPr>
              <w:spacing w:after="160"/>
            </w:pPr>
            <w:r>
              <w:t>To identify the experiences of older adults and informal caregivers during hospital to home care transitions by finding challenges and opportunities for enhancing transitional care</w:t>
            </w:r>
          </w:p>
        </w:tc>
        <w:tc>
          <w:tcPr>
            <w:tcW w:w="1324" w:type="dxa"/>
          </w:tcPr>
          <w:p>
            <w:r>
              <w:t>7 older adults and 9 informal caregivers</w:t>
            </w:r>
          </w:p>
        </w:tc>
        <w:tc>
          <w:tcPr>
            <w:tcW w:w="1117" w:type="dxa"/>
          </w:tcPr>
          <w:p>
            <w:pPr>
              <w:spacing w:after="160"/>
            </w:pPr>
            <w:r>
              <w:t>Qualitative descriptive method using one-to-one interviews and thematic analysis, appropriate</w:t>
            </w:r>
          </w:p>
        </w:tc>
        <w:tc>
          <w:tcPr>
            <w:tcW w:w="1294" w:type="dxa"/>
          </w:tcPr>
          <w:p>
            <w:pPr>
              <w:spacing w:after="160"/>
            </w:pPr>
            <w:r>
              <w:t>Rich qualitative data, inclusion of both patients and caregivers with thematic analysis improves credibility</w:t>
            </w:r>
          </w:p>
        </w:tc>
        <w:tc>
          <w:tcPr>
            <w:tcW w:w="1105" w:type="dxa"/>
          </w:tcPr>
          <w:p>
            <w:pPr>
              <w:spacing w:after="160"/>
            </w:pPr>
            <w:r>
              <w:t>Small sample size, single-country context limits transferability, subjective reporting may introduce bias</w:t>
            </w:r>
          </w:p>
        </w:tc>
        <w:tc>
          <w:tcPr>
            <w:tcW w:w="1304" w:type="dxa"/>
          </w:tcPr>
          <w:p>
            <w:pPr>
              <w:spacing w:after="160"/>
            </w:pPr>
            <w:r>
              <w:t>Both good and bad transition experiences have been highlighted as a result. Lack of person-centeredtreatment and disjointed healthcare administration have been the main obstacles.</w:t>
            </w:r>
          </w:p>
        </w:tc>
        <w:tc>
          <w:tcPr>
            <w:tcW w:w="1127" w:type="dxa"/>
          </w:tcPr>
          <w:p>
            <w:pPr>
              <w:spacing w:after="160"/>
            </w:pPr>
            <w:r>
              <w:t>The optimising hospital to home transitions needs integrated, person-centred approaches and stronger coordination between care contexts</w:t>
            </w:r>
          </w:p>
        </w:tc>
        <w:tc>
          <w:tcPr>
            <w:tcW w:w="1069" w:type="dxa"/>
          </w:tcPr>
          <w:p>
            <w:pPr>
              <w:spacing w:after="160"/>
            </w:pPr>
            <w:r>
              <w:t>Indirect relevance through caregiver involvements in controlling the health-related tasks posit-discharge</w:t>
            </w:r>
          </w:p>
        </w:tc>
        <w:tc>
          <w:tcPr>
            <w:tcW w:w="1120" w:type="dxa"/>
          </w:tcPr>
          <w:p>
            <w:pPr>
              <w:spacing w:after="160"/>
            </w:pPr>
            <w:r>
              <w:t>The evidence of caregiver roles in managing psychosocial and behavioural challenges during care transitions</w:t>
            </w:r>
          </w:p>
        </w:tc>
        <w:tc>
          <w:tcPr>
            <w:tcW w:w="1200" w:type="dxa"/>
            <w:vMerge w:val="restart"/>
          </w:tcPr>
          <w:p>
            <w:pPr>
              <w:widowControl w:val="0"/>
              <w:rPr>
                <w:b/>
                <w:bCs/>
              </w:rPr>
            </w:pPr>
            <w:r>
              <w:rPr>
                <w:b/>
                <w:bCs/>
              </w:rPr>
              <w:t>Theme 2: Informal carer’s approaches for behavioural, management &amp; medication</w:t>
            </w:r>
          </w:p>
        </w:tc>
      </w:tr>
      <w:tr>
        <w:trPr>
          <w:trHeight w:val="275"/>
        </w:trPr>
        <w:tc>
          <w:tcPr>
            <w:tcW w:w="787" w:type="dxa"/>
            <w:tcMar>
              <w:top w:w="100" w:type="dxa"/>
              <w:left w:w="100" w:type="dxa"/>
              <w:bottom w:w="100" w:type="dxa"/>
              <w:right w:w="100" w:type="dxa"/>
            </w:tcMar>
          </w:tcPr>
          <w:p>
            <w:pPr>
              <w:widowControl w:val="0"/>
            </w:pPr>
            <w:r>
              <w:t xml:space="preserve">Boamah </w:t>
            </w:r>
            <w:r>
              <w:rPr>
                <w:i/>
                <w:iCs/>
              </w:rPr>
              <w:t xml:space="preserve">et al. </w:t>
            </w:r>
            <w:r>
              <w:t>(2022)</w:t>
            </w:r>
          </w:p>
        </w:tc>
        <w:tc>
          <w:tcPr>
            <w:tcW w:w="1503" w:type="dxa"/>
          </w:tcPr>
          <w:p>
            <w:pPr>
              <w:spacing w:after="160"/>
            </w:pPr>
            <w:r>
              <w:t>To evaluate experiences of informal caregivers of older adults in long-term care homes using photovoice during the COVID-19 pandemic</w:t>
            </w:r>
          </w:p>
        </w:tc>
        <w:tc>
          <w:tcPr>
            <w:tcW w:w="1324" w:type="dxa"/>
          </w:tcPr>
          <w:p>
            <w:pPr>
              <w:spacing w:after="160"/>
            </w:pPr>
            <w:r>
              <w:t>10 family and informal caregivers of older adults</w:t>
            </w:r>
          </w:p>
        </w:tc>
        <w:tc>
          <w:tcPr>
            <w:tcW w:w="1117" w:type="dxa"/>
          </w:tcPr>
          <w:p>
            <w:pPr>
              <w:spacing w:after="160"/>
            </w:pPr>
            <w:r>
              <w:t>Qualitative method using photo voice methodology across four stages, appropriate</w:t>
            </w:r>
          </w:p>
        </w:tc>
        <w:tc>
          <w:tcPr>
            <w:tcW w:w="1294" w:type="dxa"/>
          </w:tcPr>
          <w:p>
            <w:pPr>
              <w:spacing w:after="160"/>
            </w:pPr>
            <w:r>
              <w:t>Strong ethical reflection, doc-learning, and caregiver engagement are all encouraged by an innovative participatory approach with enhanced narrative data.</w:t>
            </w:r>
          </w:p>
        </w:tc>
        <w:tc>
          <w:tcPr>
            <w:tcW w:w="1105" w:type="dxa"/>
          </w:tcPr>
          <w:p>
            <w:pPr>
              <w:spacing w:after="160"/>
            </w:pPr>
            <w:r>
              <w:t>Small sample size, context-specific to COVID-19 pandemic findings not generalizable with no interventional outcomes measured</w:t>
            </w:r>
          </w:p>
        </w:tc>
        <w:tc>
          <w:tcPr>
            <w:tcW w:w="1304" w:type="dxa"/>
          </w:tcPr>
          <w:p>
            <w:pPr>
              <w:spacing w:after="160"/>
            </w:pPr>
            <w:r>
              <w:t>Photo voice enabled deep reflection and rich description of caregiver experiences. Key learnings have included effective co-learning tools, value of combining images with narratives and creative engagement methods.</w:t>
            </w:r>
          </w:p>
        </w:tc>
        <w:tc>
          <w:tcPr>
            <w:tcW w:w="1127" w:type="dxa"/>
          </w:tcPr>
          <w:p>
            <w:pPr>
              <w:spacing w:after="160"/>
            </w:pPr>
            <w:r>
              <w:t>Photo voice is a valuable creative strategy for comprehensive caregiver experiences and informing future virtual caregiving research</w:t>
            </w:r>
          </w:p>
        </w:tc>
        <w:tc>
          <w:tcPr>
            <w:tcW w:w="1069" w:type="dxa"/>
          </w:tcPr>
          <w:p>
            <w:pPr>
              <w:spacing w:after="160"/>
            </w:pPr>
            <w:r>
              <w:t>No direct evidence related to medication management roles</w:t>
            </w:r>
          </w:p>
        </w:tc>
        <w:tc>
          <w:tcPr>
            <w:tcW w:w="1120" w:type="dxa"/>
          </w:tcPr>
          <w:p>
            <w:pPr>
              <w:spacing w:after="160"/>
            </w:pPr>
            <w:r>
              <w:t>Provides insight into emotional, psychosocial and experiential aspects of caregiving and coping</w:t>
            </w:r>
          </w:p>
        </w:tc>
        <w:tc>
          <w:tcPr>
            <w:tcW w:w="1200" w:type="dxa"/>
            <w:vMerge/>
          </w:tcPr>
          <w:p/>
        </w:tc>
      </w:tr>
      <w:tr>
        <w:trPr>
          <w:trHeight w:val="275"/>
        </w:trPr>
        <w:tc>
          <w:tcPr>
            <w:tcW w:w="787" w:type="dxa"/>
            <w:tcMar>
              <w:top w:w="100" w:type="dxa"/>
              <w:left w:w="100" w:type="dxa"/>
              <w:bottom w:w="100" w:type="dxa"/>
              <w:right w:w="100" w:type="dxa"/>
            </w:tcMar>
          </w:tcPr>
          <w:p>
            <w:pPr>
              <w:widowControl w:val="0"/>
            </w:pPr>
            <w:r>
              <w:t>Schnelli</w:t>
            </w:r>
            <w:r>
              <w:rPr>
                <w:i/>
                <w:iCs/>
              </w:rPr>
              <w:t xml:space="preserve">et al. </w:t>
            </w:r>
            <w:r>
              <w:t>(2023)</w:t>
            </w:r>
          </w:p>
        </w:tc>
        <w:tc>
          <w:tcPr>
            <w:tcW w:w="1503" w:type="dxa"/>
          </w:tcPr>
          <w:p>
            <w:pPr>
              <w:spacing w:after="160"/>
            </w:pPr>
            <w:r>
              <w:t>To investigate contemporary research and grey literature on strong incidents by persons with dementia towards caregivers in home care and identify evidence gaps</w:t>
            </w:r>
          </w:p>
        </w:tc>
        <w:tc>
          <w:tcPr>
            <w:tcW w:w="1324" w:type="dxa"/>
          </w:tcPr>
          <w:p>
            <w:pPr>
              <w:spacing w:after="160"/>
            </w:pPr>
            <w:r>
              <w:t>13 sources</w:t>
            </w:r>
          </w:p>
        </w:tc>
        <w:tc>
          <w:tcPr>
            <w:tcW w:w="1117" w:type="dxa"/>
          </w:tcPr>
          <w:p>
            <w:pPr>
              <w:spacing w:after="160"/>
            </w:pPr>
            <w:r>
              <w:t>Scoping review using Arksey and O’Malley framework with PRISMA-ScR, appropriate</w:t>
            </w:r>
          </w:p>
        </w:tc>
        <w:tc>
          <w:tcPr>
            <w:tcW w:w="1294" w:type="dxa"/>
          </w:tcPr>
          <w:p>
            <w:pPr>
              <w:spacing w:after="160"/>
            </w:pPr>
            <w:r>
              <w:t>Reliability is increased by a methodical and transparent approach that incorporates grey literature with dual independent screening.</w:t>
            </w:r>
          </w:p>
        </w:tc>
        <w:tc>
          <w:tcPr>
            <w:tcW w:w="1105" w:type="dxa"/>
          </w:tcPr>
          <w:p>
            <w:pPr>
              <w:spacing w:after="160"/>
            </w:pPr>
            <w:r>
              <w:t>Limited number of included studies, heterogeneity of sources with no quality appraisal or intervention evaluations</w:t>
            </w:r>
          </w:p>
        </w:tc>
        <w:tc>
          <w:tcPr>
            <w:tcW w:w="1304" w:type="dxa"/>
          </w:tcPr>
          <w:p>
            <w:pPr>
              <w:spacing w:after="160"/>
            </w:pPr>
            <w:r>
              <w:t>These findings have shed light on dementia-related strong behavior, triggers, educational and skill requirements, and obstacles to managing strengths in home care settings.</w:t>
            </w:r>
          </w:p>
        </w:tc>
        <w:tc>
          <w:tcPr>
            <w:tcW w:w="1127" w:type="dxa"/>
          </w:tcPr>
          <w:p>
            <w:pPr>
              <w:spacing w:after="160"/>
            </w:pPr>
            <w:r>
              <w:t>The evidence on aggression in home care dementia contexts is limited highlighting substantial research and practice gaps.</w:t>
            </w:r>
          </w:p>
        </w:tc>
        <w:tc>
          <w:tcPr>
            <w:tcW w:w="1069" w:type="dxa"/>
          </w:tcPr>
          <w:p>
            <w:pPr>
              <w:spacing w:after="160"/>
            </w:pPr>
            <w:r>
              <w:t>No direct evidence on medication management by informal carers</w:t>
            </w:r>
          </w:p>
        </w:tc>
        <w:tc>
          <w:tcPr>
            <w:tcW w:w="1120" w:type="dxa"/>
          </w:tcPr>
          <w:p>
            <w:pPr>
              <w:spacing w:after="160"/>
            </w:pPr>
            <w:r>
              <w:t>Strong relevance to behavioural management challenges and caregiver skill and educational needs</w:t>
            </w:r>
          </w:p>
        </w:tc>
        <w:tc>
          <w:tcPr>
            <w:tcW w:w="1200" w:type="dxa"/>
            <w:vMerge/>
          </w:tcPr>
          <w:p/>
        </w:tc>
      </w:tr>
      <w:tr>
        <w:trPr>
          <w:trHeight w:val="275"/>
        </w:trPr>
        <w:tc>
          <w:tcPr>
            <w:tcW w:w="787" w:type="dxa"/>
            <w:tcMar>
              <w:top w:w="100" w:type="dxa"/>
              <w:left w:w="100" w:type="dxa"/>
              <w:bottom w:w="100" w:type="dxa"/>
              <w:right w:w="100" w:type="dxa"/>
            </w:tcMar>
          </w:tcPr>
          <w:p>
            <w:pPr>
              <w:widowControl w:val="0"/>
            </w:pPr>
            <w:r>
              <w:t xml:space="preserve">Huang </w:t>
            </w:r>
            <w:r>
              <w:rPr>
                <w:i/>
                <w:iCs/>
              </w:rPr>
              <w:t xml:space="preserve">et al. </w:t>
            </w:r>
            <w:r>
              <w:t>(2025)</w:t>
            </w:r>
          </w:p>
        </w:tc>
        <w:tc>
          <w:tcPr>
            <w:tcW w:w="1503" w:type="dxa"/>
          </w:tcPr>
          <w:p>
            <w:pPr>
              <w:spacing w:after="160"/>
            </w:pPr>
            <w:r>
              <w:t>To find the implementation strategies used in digital dementia education programs for informal carers and explore contextual enablers and barriers</w:t>
            </w:r>
          </w:p>
        </w:tc>
        <w:tc>
          <w:tcPr>
            <w:tcW w:w="1324" w:type="dxa"/>
          </w:tcPr>
          <w:p>
            <w:pPr>
              <w:spacing w:after="160"/>
            </w:pPr>
            <w:r>
              <w:t>18 studies</w:t>
            </w:r>
          </w:p>
        </w:tc>
        <w:tc>
          <w:tcPr>
            <w:tcW w:w="1117" w:type="dxa"/>
          </w:tcPr>
          <w:p>
            <w:pPr>
              <w:spacing w:after="160"/>
            </w:pPr>
            <w:r>
              <w:t>Scoping review conducted using PRISMA-ScR and JBI guidelines, appropriate</w:t>
            </w:r>
          </w:p>
        </w:tc>
        <w:tc>
          <w:tcPr>
            <w:tcW w:w="1294" w:type="dxa"/>
          </w:tcPr>
          <w:p>
            <w:pPr>
              <w:spacing w:after="160"/>
            </w:pPr>
            <w:r>
              <w:t>Comprehensive multi-database search, transparent reporting, theory development improves analytical depth and transferability</w:t>
            </w:r>
          </w:p>
        </w:tc>
        <w:tc>
          <w:tcPr>
            <w:tcW w:w="1105" w:type="dxa"/>
          </w:tcPr>
          <w:p>
            <w:pPr>
              <w:spacing w:after="160"/>
            </w:pPr>
            <w:r>
              <w:t>No quality appraisal of included studies, heterogeneity limits direct comparison effectiveness outcomes not uniformly measured.</w:t>
            </w:r>
          </w:p>
        </w:tc>
        <w:tc>
          <w:tcPr>
            <w:tcW w:w="1304" w:type="dxa"/>
          </w:tcPr>
          <w:p>
            <w:pPr>
              <w:spacing w:after="160"/>
            </w:pPr>
            <w:r>
              <w:t>Digital tool types, instructional domains, and implementation methodologies are the three key topics that have been identified. The knowledge, mental health, and self-effectiveness of carers were enhanced by personalization, cultural sensitivity, and adaptation.</w:t>
            </w:r>
          </w:p>
        </w:tc>
        <w:tc>
          <w:tcPr>
            <w:tcW w:w="1127" w:type="dxa"/>
          </w:tcPr>
          <w:p>
            <w:pPr>
              <w:spacing w:after="160"/>
            </w:pPr>
            <w:r>
              <w:t>Digital educational tools support informal carers when implemented through adaptive and culturally responsive strategies</w:t>
            </w:r>
          </w:p>
        </w:tc>
        <w:tc>
          <w:tcPr>
            <w:tcW w:w="1069" w:type="dxa"/>
          </w:tcPr>
          <w:p>
            <w:pPr>
              <w:spacing w:after="160"/>
            </w:pPr>
            <w:r>
              <w:t>Strong evidence of improved knowledge and skills relevant to medication understanding and care tasks</w:t>
            </w:r>
          </w:p>
        </w:tc>
        <w:tc>
          <w:tcPr>
            <w:tcW w:w="1120" w:type="dxa"/>
          </w:tcPr>
          <w:p>
            <w:pPr>
              <w:spacing w:after="160"/>
            </w:pPr>
            <w:r>
              <w:t>The evidence of enhanced psychological support, communication skills and behavioural management capacity</w:t>
            </w:r>
          </w:p>
        </w:tc>
        <w:tc>
          <w:tcPr>
            <w:tcW w:w="1200" w:type="dxa"/>
            <w:vMerge w:val="restart"/>
          </w:tcPr>
          <w:p>
            <w:pPr>
              <w:widowControl w:val="0"/>
              <w:rPr>
                <w:b/>
                <w:bCs/>
              </w:rPr>
            </w:pPr>
            <w:r>
              <w:rPr>
                <w:b/>
                <w:bCs/>
              </w:rPr>
              <w:t>Theme 3: Future training and resource requirements for informal carers to enhance dementia care quality</w:t>
            </w:r>
          </w:p>
        </w:tc>
      </w:tr>
      <w:tr>
        <w:trPr>
          <w:trHeight w:val="275"/>
        </w:trPr>
        <w:tc>
          <w:tcPr>
            <w:tcW w:w="787" w:type="dxa"/>
            <w:tcMar>
              <w:top w:w="100" w:type="dxa"/>
              <w:left w:w="100" w:type="dxa"/>
              <w:bottom w:w="100" w:type="dxa"/>
              <w:right w:w="100" w:type="dxa"/>
            </w:tcMar>
          </w:tcPr>
          <w:p>
            <w:pPr>
              <w:widowControl w:val="0"/>
            </w:pPr>
            <w:r>
              <w:t xml:space="preserve">Molinari-Ulate </w:t>
            </w:r>
            <w:r>
              <w:rPr>
                <w:i/>
                <w:iCs/>
              </w:rPr>
              <w:t xml:space="preserve">et al. </w:t>
            </w:r>
            <w:r>
              <w:t>(2023)</w:t>
            </w:r>
          </w:p>
        </w:tc>
        <w:tc>
          <w:tcPr>
            <w:tcW w:w="1503" w:type="dxa"/>
          </w:tcPr>
          <w:p>
            <w:pPr>
              <w:spacing w:after="160"/>
            </w:pPr>
            <w:r>
              <w:t>To culturally adapt and co-design the support e-learning program for informal caregivers of people living with dementia in rural Spain</w:t>
            </w:r>
          </w:p>
        </w:tc>
        <w:tc>
          <w:tcPr>
            <w:tcW w:w="1324" w:type="dxa"/>
          </w:tcPr>
          <w:p>
            <w:pPr>
              <w:spacing w:after="160"/>
            </w:pPr>
            <w:r>
              <w:t>435 suggestions</w:t>
            </w:r>
          </w:p>
        </w:tc>
        <w:tc>
          <w:tcPr>
            <w:tcW w:w="1117" w:type="dxa"/>
          </w:tcPr>
          <w:p>
            <w:pPr>
              <w:spacing w:after="160"/>
            </w:pPr>
            <w:r>
              <w:t>Qualitative co-design and cultural adaptation study following WHO guidelines, appropriate</w:t>
            </w:r>
          </w:p>
        </w:tc>
        <w:tc>
          <w:tcPr>
            <w:tcW w:w="1294" w:type="dxa"/>
          </w:tcPr>
          <w:p>
            <w:pPr>
              <w:spacing w:after="160"/>
            </w:pPr>
            <w:r>
              <w:t>Strong WHO-guided adaptation, strong stakeholder involvement improves cultural relevance</w:t>
            </w:r>
          </w:p>
        </w:tc>
        <w:tc>
          <w:tcPr>
            <w:tcW w:w="1105" w:type="dxa"/>
          </w:tcPr>
          <w:p>
            <w:pPr>
              <w:spacing w:after="160"/>
            </w:pPr>
            <w:r>
              <w:t>No effective strategic evaluation, context-specific, potential participant selection bias</w:t>
            </w:r>
          </w:p>
        </w:tc>
        <w:tc>
          <w:tcPr>
            <w:tcW w:w="1304" w:type="dxa"/>
          </w:tcPr>
          <w:p>
            <w:pPr>
              <w:spacing w:after="160"/>
            </w:pPr>
            <w:r>
              <w:t>435 adaption recommendations have been found, with the most important ones being interactive context, professional feedback forums, mule-platform access, flexible display features, and regionally relevant resources.</w:t>
            </w:r>
          </w:p>
        </w:tc>
        <w:tc>
          <w:tcPr>
            <w:tcW w:w="1127" w:type="dxa"/>
          </w:tcPr>
          <w:p>
            <w:pPr>
              <w:spacing w:after="160"/>
            </w:pPr>
            <w:r>
              <w:t>Culturally tailored e-learning programs can enhance accessibility and relevance of dementia education for informal carers</w:t>
            </w:r>
          </w:p>
        </w:tc>
        <w:tc>
          <w:tcPr>
            <w:tcW w:w="1069" w:type="dxa"/>
          </w:tcPr>
          <w:p>
            <w:pPr>
              <w:spacing w:after="160"/>
            </w:pPr>
            <w:r>
              <w:t>Supports knowledge acquisition related to dementia care tasks and understanding health information</w:t>
            </w:r>
          </w:p>
        </w:tc>
        <w:tc>
          <w:tcPr>
            <w:tcW w:w="1120" w:type="dxa"/>
          </w:tcPr>
          <w:p>
            <w:pPr>
              <w:spacing w:after="160"/>
            </w:pPr>
            <w:r>
              <w:t>Supports behavioural and psychosocial management through tailored education and communication resources</w:t>
            </w:r>
          </w:p>
        </w:tc>
        <w:tc>
          <w:tcPr>
            <w:tcW w:w="1200" w:type="dxa"/>
            <w:vMerge/>
          </w:tcPr>
          <w:p/>
        </w:tc>
      </w:tr>
      <w:tr>
        <w:trPr>
          <w:trHeight w:val="275"/>
        </w:trPr>
        <w:tc>
          <w:tcPr>
            <w:tcW w:w="787" w:type="dxa"/>
            <w:tcMar>
              <w:top w:w="100" w:type="dxa"/>
              <w:left w:w="100" w:type="dxa"/>
              <w:bottom w:w="100" w:type="dxa"/>
              <w:right w:w="100" w:type="dxa"/>
            </w:tcMar>
          </w:tcPr>
          <w:p>
            <w:pPr>
              <w:widowControl w:val="0"/>
            </w:pPr>
            <w:r>
              <w:t xml:space="preserve">Lombo Caicedo </w:t>
            </w:r>
            <w:r>
              <w:rPr>
                <w:i/>
                <w:iCs/>
              </w:rPr>
              <w:t xml:space="preserve">et al. </w:t>
            </w:r>
            <w:r>
              <w:t>(2025)</w:t>
            </w:r>
          </w:p>
        </w:tc>
        <w:tc>
          <w:tcPr>
            <w:tcW w:w="1503" w:type="dxa"/>
          </w:tcPr>
          <w:p>
            <w:pPr>
              <w:spacing w:after="160"/>
            </w:pPr>
            <w:r>
              <w:t>To evaluate a community-based intervention strengthening informal caregiver competencies and post-conflict context and reposition caregivers within distributed health education models</w:t>
            </w:r>
          </w:p>
        </w:tc>
        <w:tc>
          <w:tcPr>
            <w:tcW w:w="1324" w:type="dxa"/>
          </w:tcPr>
          <w:p>
            <w:pPr>
              <w:spacing w:after="160"/>
            </w:pPr>
            <w:r>
              <w:t>15 interviewed</w:t>
            </w:r>
          </w:p>
        </w:tc>
        <w:tc>
          <w:tcPr>
            <w:tcW w:w="1117" w:type="dxa"/>
          </w:tcPr>
          <w:p>
            <w:pPr>
              <w:spacing w:after="160"/>
            </w:pPr>
            <w:r>
              <w:t>Participatory action research using qualitative focus group and semi-structured interviews appropriate for empowerment-focused community interventions appropriate</w:t>
            </w:r>
          </w:p>
        </w:tc>
        <w:tc>
          <w:tcPr>
            <w:tcW w:w="1294" w:type="dxa"/>
          </w:tcPr>
          <w:p>
            <w:pPr>
              <w:spacing w:after="160"/>
            </w:pPr>
            <w:r>
              <w:t>Credibility and contextual validity are increased by strong community involvement, culturally appropriate design, and rich qualitative data.</w:t>
            </w:r>
          </w:p>
        </w:tc>
        <w:tc>
          <w:tcPr>
            <w:tcW w:w="1105" w:type="dxa"/>
          </w:tcPr>
          <w:p>
            <w:pPr>
              <w:spacing w:after="160"/>
            </w:pPr>
            <w:r>
              <w:t>Small sample size, context-specific findings with no quantitative outcomes</w:t>
            </w:r>
          </w:p>
        </w:tc>
        <w:tc>
          <w:tcPr>
            <w:tcW w:w="1304" w:type="dxa"/>
          </w:tcPr>
          <w:p>
            <w:pPr>
              <w:spacing w:after="160"/>
            </w:pPr>
            <w:r>
              <w:t>Despite institutional and technological obstacles, four dimensions of change emerged: empowerment through community learning, personal and technical caregiver effect, family dynamic adjustments, and modification of caregiving responsibilities.</w:t>
            </w:r>
          </w:p>
        </w:tc>
        <w:tc>
          <w:tcPr>
            <w:tcW w:w="1127" w:type="dxa"/>
          </w:tcPr>
          <w:p>
            <w:pPr>
              <w:spacing w:after="160"/>
            </w:pPr>
            <w:r>
              <w:t>Distributed, community-based education can strengthen caregiver self-effectiveness by reducing rural health inequalities when contextually measured</w:t>
            </w:r>
          </w:p>
        </w:tc>
        <w:tc>
          <w:tcPr>
            <w:tcW w:w="1069" w:type="dxa"/>
          </w:tcPr>
          <w:p>
            <w:pPr>
              <w:spacing w:after="160"/>
            </w:pPr>
            <w:r>
              <w:t>Evidence of strengthened caregiving competencies related to health tasks and care management</w:t>
            </w:r>
          </w:p>
        </w:tc>
        <w:tc>
          <w:tcPr>
            <w:tcW w:w="1120" w:type="dxa"/>
          </w:tcPr>
          <w:p>
            <w:pPr>
              <w:spacing w:after="160"/>
            </w:pPr>
            <w:r>
              <w:t>Evidence of improved psychosocial coping, role adaptation and behavioural responses within caregiving</w:t>
            </w:r>
          </w:p>
        </w:tc>
        <w:tc>
          <w:tcPr>
            <w:tcW w:w="1200" w:type="dxa"/>
            <w:vMerge/>
          </w:tcPr>
          <w:p/>
        </w:tc>
      </w:tr>
      <w:tr>
        <w:trPr>
          <w:trHeight w:val="275"/>
        </w:trPr>
        <w:tc>
          <w:tcPr>
            <w:tcW w:w="787" w:type="dxa"/>
            <w:tcMar>
              <w:top w:w="100" w:type="dxa"/>
              <w:left w:w="100" w:type="dxa"/>
              <w:bottom w:w="100" w:type="dxa"/>
              <w:right w:w="100" w:type="dxa"/>
            </w:tcMar>
          </w:tcPr>
          <w:p>
            <w:pPr>
              <w:widowControl w:val="0"/>
            </w:pPr>
            <w:r>
              <w:t>Ory and Stevens (2024)</w:t>
            </w:r>
          </w:p>
        </w:tc>
        <w:tc>
          <w:tcPr>
            <w:tcW w:w="1503" w:type="dxa"/>
          </w:tcPr>
          <w:p>
            <w:pPr>
              <w:spacing w:after="160"/>
            </w:pPr>
            <w:r>
              <w:t>To review and highlight the national Institute on Aging</w:t>
            </w:r>
          </w:p>
          <w:p>
            <w:pPr>
              <w:spacing w:after="160"/>
            </w:pPr>
            <w:r>
              <w:t>S contributions to advancing dementia caregiving research and informing policy and practices</w:t>
            </w:r>
          </w:p>
        </w:tc>
        <w:tc>
          <w:tcPr>
            <w:tcW w:w="1324" w:type="dxa"/>
          </w:tcPr>
          <w:p>
            <w:pPr>
              <w:spacing w:after="160"/>
            </w:pPr>
            <w:r>
              <w:t>NA</w:t>
            </w:r>
          </w:p>
        </w:tc>
        <w:tc>
          <w:tcPr>
            <w:tcW w:w="1117" w:type="dxa"/>
          </w:tcPr>
          <w:p>
            <w:pPr>
              <w:spacing w:after="160"/>
            </w:pPr>
            <w:r>
              <w:t>Secondary method, appropriate</w:t>
            </w:r>
          </w:p>
        </w:tc>
        <w:tc>
          <w:tcPr>
            <w:tcW w:w="1294" w:type="dxa"/>
          </w:tcPr>
          <w:p>
            <w:pPr>
              <w:spacing w:after="160"/>
            </w:pPr>
            <w:r>
              <w:t>Comprehensive overview, strong policy relevance concludes on multidisciplinary evidence and large-scale datasets</w:t>
            </w:r>
          </w:p>
        </w:tc>
        <w:tc>
          <w:tcPr>
            <w:tcW w:w="1105" w:type="dxa"/>
          </w:tcPr>
          <w:p>
            <w:pPr>
              <w:spacing w:after="160"/>
            </w:pPr>
            <w:r>
              <w:t xml:space="preserve">Not a systematic review, no primary data </w:t>
            </w:r>
          </w:p>
        </w:tc>
        <w:tc>
          <w:tcPr>
            <w:tcW w:w="1304" w:type="dxa"/>
          </w:tcPr>
          <w:p>
            <w:pPr>
              <w:spacing w:after="160"/>
            </w:pPr>
            <w:r>
              <w:t>NIA leadership is helpful in creating comprehensive caring models, evidence-based caregiving interventions, and datasets that influence services and policy. The dementia caring value is estimated around $350 billion yearly.</w:t>
            </w:r>
          </w:p>
        </w:tc>
        <w:tc>
          <w:tcPr>
            <w:tcW w:w="1127" w:type="dxa"/>
          </w:tcPr>
          <w:p>
            <w:pPr>
              <w:spacing w:after="160"/>
            </w:pPr>
            <w:r>
              <w:t>In order to assist family caregivers in meeting the increasing demands for dementia care, sustained research funding and leadership are essential.</w:t>
            </w:r>
          </w:p>
        </w:tc>
        <w:tc>
          <w:tcPr>
            <w:tcW w:w="1069" w:type="dxa"/>
          </w:tcPr>
          <w:p>
            <w:pPr>
              <w:spacing w:after="160"/>
            </w:pPr>
            <w:r>
              <w:t>Provides indirect evidence informing caregiver roles in managing health-related care tasks</w:t>
            </w:r>
          </w:p>
        </w:tc>
        <w:tc>
          <w:tcPr>
            <w:tcW w:w="1120" w:type="dxa"/>
          </w:tcPr>
          <w:p>
            <w:pPr>
              <w:spacing w:after="160"/>
            </w:pPr>
            <w:r>
              <w:t>provide indirect proof of the psychological effects, caregiver strain, and need for behavioral support measures.</w:t>
            </w:r>
          </w:p>
        </w:tc>
        <w:tc>
          <w:tcPr>
            <w:tcW w:w="1200" w:type="dxa"/>
            <w:vMerge w:val="restart"/>
          </w:tcPr>
          <w:p>
            <w:pPr>
              <w:widowControl w:val="0"/>
              <w:rPr>
                <w:b/>
                <w:bCs/>
              </w:rPr>
            </w:pPr>
            <w:r>
              <w:rPr>
                <w:b/>
                <w:bCs/>
              </w:rPr>
              <w:t>Theme 4: Evidence-based strategies to support informal carers in medication and behavioural management roles</w:t>
            </w:r>
          </w:p>
        </w:tc>
      </w:tr>
      <w:tr>
        <w:trPr>
          <w:trHeight w:val="275"/>
        </w:trPr>
        <w:tc>
          <w:tcPr>
            <w:tcW w:w="787" w:type="dxa"/>
            <w:tcMar>
              <w:top w:w="100" w:type="dxa"/>
              <w:left w:w="100" w:type="dxa"/>
              <w:bottom w:w="100" w:type="dxa"/>
              <w:right w:w="100" w:type="dxa"/>
            </w:tcMar>
          </w:tcPr>
          <w:p>
            <w:pPr>
              <w:widowControl w:val="0"/>
            </w:pPr>
            <w:r>
              <w:t xml:space="preserve">Lindsey </w:t>
            </w:r>
            <w:r>
              <w:rPr>
                <w:i/>
                <w:iCs/>
              </w:rPr>
              <w:t xml:space="preserve">et al. </w:t>
            </w:r>
            <w:r>
              <w:t>(2024)</w:t>
            </w:r>
          </w:p>
        </w:tc>
        <w:tc>
          <w:tcPr>
            <w:tcW w:w="1503" w:type="dxa"/>
          </w:tcPr>
          <w:p>
            <w:pPr>
              <w:spacing w:after="160"/>
            </w:pPr>
            <w:r>
              <w:t>To analyse healthcare disputes by examining the potential role of mediation in resolving conflicts between healthcare professionals, patients and families</w:t>
            </w:r>
          </w:p>
        </w:tc>
        <w:tc>
          <w:tcPr>
            <w:tcW w:w="1324" w:type="dxa"/>
          </w:tcPr>
          <w:p>
            <w:pPr>
              <w:spacing w:after="160"/>
            </w:pPr>
            <w:r>
              <w:t>NA</w:t>
            </w:r>
          </w:p>
        </w:tc>
        <w:tc>
          <w:tcPr>
            <w:tcW w:w="1117" w:type="dxa"/>
          </w:tcPr>
          <w:p>
            <w:pPr>
              <w:spacing w:after="160"/>
            </w:pPr>
            <w:r>
              <w:t>Conceptual and analytical method with secondary analysis</w:t>
            </w:r>
          </w:p>
        </w:tc>
        <w:tc>
          <w:tcPr>
            <w:tcW w:w="1294" w:type="dxa"/>
          </w:tcPr>
          <w:p>
            <w:pPr>
              <w:spacing w:after="160"/>
            </w:pPr>
            <w:r>
              <w:t>Clear ethical analysis identifying benefits and risks to mention gaps in empirical evidence, policy relevance</w:t>
            </w:r>
          </w:p>
        </w:tc>
        <w:tc>
          <w:tcPr>
            <w:tcW w:w="1105" w:type="dxa"/>
          </w:tcPr>
          <w:p>
            <w:pPr>
              <w:spacing w:after="160"/>
            </w:pPr>
            <w:r>
              <w:t>No primary data and no empirical evaluation of mediation outcomes, limited generalisability</w:t>
            </w:r>
          </w:p>
        </w:tc>
        <w:tc>
          <w:tcPr>
            <w:tcW w:w="1304" w:type="dxa"/>
          </w:tcPr>
          <w:p>
            <w:pPr>
              <w:spacing w:after="160"/>
            </w:pPr>
            <w:r>
              <w:t>This article identifies mediation as a potential tool to resolve healthcare disputes by evaluating dialogue and consensus while acknowledging ethical issues regarding patient best interests.</w:t>
            </w:r>
          </w:p>
        </w:tc>
        <w:tc>
          <w:tcPr>
            <w:tcW w:w="1127" w:type="dxa"/>
          </w:tcPr>
          <w:p>
            <w:pPr>
              <w:spacing w:after="160"/>
            </w:pPr>
            <w:r>
              <w:t>Mediation can provide a constructive approach to healthcare issues, but strong empirical evidence is needed to guide practice</w:t>
            </w:r>
          </w:p>
        </w:tc>
        <w:tc>
          <w:tcPr>
            <w:tcW w:w="1069" w:type="dxa"/>
          </w:tcPr>
          <w:p>
            <w:pPr>
              <w:spacing w:after="160"/>
            </w:pPr>
            <w:r>
              <w:t>Indirect relevance through family involvement in healthcare decision making</w:t>
            </w:r>
          </w:p>
        </w:tc>
        <w:tc>
          <w:tcPr>
            <w:tcW w:w="1120" w:type="dxa"/>
          </w:tcPr>
          <w:p>
            <w:pPr>
              <w:spacing w:after="160"/>
            </w:pPr>
          </w:p>
        </w:tc>
        <w:tc>
          <w:tcPr>
            <w:tcW w:w="1200" w:type="dxa"/>
            <w:vMerge/>
          </w:tcPr>
          <w:p/>
        </w:tc>
      </w:tr>
      <w:tr>
        <w:trPr>
          <w:trHeight w:val="275"/>
        </w:trPr>
        <w:tc>
          <w:tcPr>
            <w:tcW w:w="787" w:type="dxa"/>
            <w:tcMar>
              <w:top w:w="100" w:type="dxa"/>
              <w:left w:w="100" w:type="dxa"/>
              <w:bottom w:w="100" w:type="dxa"/>
              <w:right w:w="100" w:type="dxa"/>
            </w:tcMar>
          </w:tcPr>
          <w:p>
            <w:pPr>
              <w:widowControl w:val="0"/>
            </w:pPr>
            <w:r>
              <w:t xml:space="preserve">Chan </w:t>
            </w:r>
            <w:r>
              <w:rPr>
                <w:i/>
                <w:iCs/>
              </w:rPr>
              <w:t xml:space="preserve">et al. </w:t>
            </w:r>
            <w:r>
              <w:t xml:space="preserve">(2025). </w:t>
            </w:r>
          </w:p>
        </w:tc>
        <w:tc>
          <w:tcPr>
            <w:tcW w:w="1503" w:type="dxa"/>
          </w:tcPr>
          <w:p>
            <w:pPr>
              <w:spacing w:after="160"/>
            </w:pPr>
            <w:r>
              <w:t>To enhance family caregiver’s views on advance care planning in dementia and understand perceived outcomes</w:t>
            </w:r>
          </w:p>
        </w:tc>
        <w:tc>
          <w:tcPr>
            <w:tcW w:w="1324" w:type="dxa"/>
          </w:tcPr>
          <w:p>
            <w:pPr>
              <w:spacing w:after="160"/>
            </w:pPr>
            <w:r>
              <w:t xml:space="preserve"> 23 interviews with family caregivers </w:t>
            </w:r>
          </w:p>
        </w:tc>
        <w:tc>
          <w:tcPr>
            <w:tcW w:w="1117" w:type="dxa"/>
          </w:tcPr>
          <w:p>
            <w:pPr>
              <w:spacing w:after="160"/>
            </w:pPr>
            <w:r>
              <w:t>Qualitative study with semi-structured interviews and thematic context analysis</w:t>
            </w:r>
          </w:p>
        </w:tc>
        <w:tc>
          <w:tcPr>
            <w:tcW w:w="1294" w:type="dxa"/>
          </w:tcPr>
          <w:p>
            <w:pPr>
              <w:spacing w:after="160"/>
            </w:pPr>
            <w:r>
              <w:t>In-depth caregiver aspects, systematic thematic analysis, relevance to person-centred dementia care</w:t>
            </w:r>
          </w:p>
        </w:tc>
        <w:tc>
          <w:tcPr>
            <w:tcW w:w="1105" w:type="dxa"/>
          </w:tcPr>
          <w:p>
            <w:pPr>
              <w:spacing w:after="160"/>
            </w:pPr>
            <w:r>
              <w:t>Single cultural context limits transferability, self-selected participants with no longitudinal follow-up</w:t>
            </w:r>
          </w:p>
        </w:tc>
        <w:tc>
          <w:tcPr>
            <w:tcW w:w="1304" w:type="dxa"/>
          </w:tcPr>
          <w:p>
            <w:pPr>
              <w:spacing w:after="160"/>
            </w:pPr>
            <w:r>
              <w:t>Healthcare plays a major role in supporting ACP by resolving the ACP barriers, according to five themes that have arisen to generate the final outcomes.</w:t>
            </w:r>
          </w:p>
        </w:tc>
        <w:tc>
          <w:tcPr>
            <w:tcW w:w="1127" w:type="dxa"/>
          </w:tcPr>
          <w:p>
            <w:pPr>
              <w:spacing w:after="160"/>
            </w:pPr>
            <w:r>
              <w:t>The quality of end-of-life care for dementia patients and caregiver readiness can both be improved by the facilitated ACP.</w:t>
            </w:r>
          </w:p>
        </w:tc>
        <w:tc>
          <w:tcPr>
            <w:tcW w:w="1069" w:type="dxa"/>
          </w:tcPr>
          <w:p>
            <w:pPr>
              <w:spacing w:after="160"/>
            </w:pPr>
            <w:r>
              <w:t>Indirect relevance through caregiver involvement in healthcare decision-making and car planning</w:t>
            </w:r>
          </w:p>
        </w:tc>
        <w:tc>
          <w:tcPr>
            <w:tcW w:w="1120" w:type="dxa"/>
          </w:tcPr>
          <w:p>
            <w:pPr>
              <w:spacing w:after="160"/>
            </w:pPr>
            <w:r>
              <w:t>Strong connection to the emotional, behavioral, and decision-making difficulties associated with dementia caregiving</w:t>
            </w:r>
          </w:p>
        </w:tc>
        <w:tc>
          <w:tcPr>
            <w:tcW w:w="1200" w:type="dxa"/>
            <w:vMerge/>
          </w:tcPr>
          <w:p/>
        </w:tc>
      </w:tr>
    </w:tbl>
    <w:p>
      <w:pPr>
        <w:pStyle w:val="5"/>
        <w:keepNext/>
        <w:keepLines/>
        <w:rPr>
          <w:color w:val="auto"/>
        </w:rPr>
      </w:pPr>
      <w:bookmarkStart w:id="50" w:name="_heading=h.a17ad3ipcxjj"/>
      <w:bookmarkEnd w:id="50"/>
      <w:r>
        <w:rPr>
          <w:color w:val="auto"/>
        </w:rPr>
        <w:t>Table 4.1: Results</w:t>
      </w:r>
    </w:p>
    <w:p>
      <w:pPr>
        <w:jc w:val="center"/>
      </w:pPr>
      <w:r>
        <w:t>(Source: Self-made)</w:t>
      </w:r>
    </w:p>
    <w:p/>
    <w:p>
      <w:pPr>
        <w:rPr>
          <w:b/>
          <w:bCs/>
        </w:rPr>
        <w:sectPr>
          <w:pgSz w:w="15840" w:h="12240" w:orient="landscape"/>
          <w:pgMar w:top="1440" w:right="1440" w:bottom="1440" w:left="1440" w:header="720" w:footer="720" w:gutter="0"/>
          <w:titlePg/>
          <w:docGrid w:linePitch="312" w:charSpace="0"/>
        </w:sectPr>
      </w:pPr>
      <w:r>
        <w:br w:type="page"/>
      </w:r>
    </w:p>
    <w:p>
      <w:pPr>
        <w:pStyle w:val="2"/>
        <w:rPr>
          <w:color w:val="auto"/>
        </w:rPr>
      </w:pPr>
      <w:bookmarkStart w:id="51" w:name="_Toc220932460"/>
      <w:r>
        <w:rPr>
          <w:color w:val="auto"/>
        </w:rPr>
        <w:t>4.5 Data synthesis</w:t>
      </w:r>
      <w:bookmarkEnd w:id="51"/>
    </w:p>
    <w:p>
      <w:pPr>
        <w:pStyle w:val="3"/>
        <w:rPr>
          <w:color w:val="auto"/>
        </w:rPr>
      </w:pPr>
      <w:bookmarkStart w:id="52" w:name="_Toc220932461"/>
      <w:r>
        <w:rPr>
          <w:color w:val="auto"/>
        </w:rPr>
        <w:t>4.5.1 Theme 1: Anticipated responsibilities for informal carers in medication &amp; behaviour management</w:t>
      </w:r>
      <w:bookmarkEnd w:id="52"/>
    </w:p>
    <w:p>
      <w:pPr>
        <w:pBdr>
          <w:top w:val="none" w:sz="0" w:space="0" w:color="auto"/>
          <w:left w:val="none" w:sz="0" w:space="0" w:color="auto"/>
          <w:bottom w:val="none" w:sz="0" w:space="0" w:color="auto"/>
          <w:right w:val="none" w:sz="0" w:space="0" w:color="auto"/>
          <w:between w:val="none" w:sz="0" w:space="0" w:color="auto"/>
        </w:pBdr>
      </w:pPr>
      <w:r>
        <w:t xml:space="preserve">The informal carers are widely being positioned based on the central actors within the medication as well as behavioural management. However, the nature as well as justification is considered as the responsibilities that differ significantly between the studies. Moura </w:t>
      </w:r>
      <w:r>
        <w:rPr>
          <w:i/>
          <w:iCs/>
        </w:rPr>
        <w:t xml:space="preserve">et al. </w:t>
      </w:r>
      <w:r>
        <w:t xml:space="preserve">(2025) conceptualized the informal carers as the becoming experts by the experiential learning that suggested the responsibility as it emerges gradually as the carers adapt to changing type care demands. The study is determined to focus on stroke survivors, as the findings are able to resonate strongly based on dementia care, as the careers are similarly acquiring the medication as well as behavioural management. Therefore, the main responsibilities are determined to focus on incremental rather than through the formal delegation. </w:t>
      </w:r>
    </w:p>
    <w:p>
      <w:pPr>
        <w:pBdr>
          <w:top w:val="none" w:sz="0" w:space="0" w:color="auto"/>
          <w:left w:val="none" w:sz="0" w:space="0" w:color="auto"/>
          <w:bottom w:val="none" w:sz="0" w:space="0" w:color="auto"/>
          <w:right w:val="none" w:sz="0" w:space="0" w:color="auto"/>
          <w:between w:val="none" w:sz="0" w:space="0" w:color="auto"/>
        </w:pBdr>
      </w:pPr>
      <w:r>
        <w:t xml:space="preserve">Subsequently, the present care giving responsibilities are considered as an extension of the clinical self-care systems. Buck </w:t>
      </w:r>
      <w:r>
        <w:rPr>
          <w:i/>
          <w:iCs/>
        </w:rPr>
        <w:t>et al.</w:t>
      </w:r>
      <w:r>
        <w:t xml:space="preserve"> (2024) argued that systematic review framed the carers as crucial contributors that are determined to indicate with adherence, symptom monitoring as well as decision-making. However, it further emphasizes the requirement for the professional recognition as well as structured report. The study Moura </w:t>
      </w:r>
      <w:r>
        <w:rPr>
          <w:i/>
          <w:iCs/>
        </w:rPr>
        <w:t xml:space="preserve">et al. </w:t>
      </w:r>
      <w:r>
        <w:t xml:space="preserve">(2025), further stated that individualized framing faced risks within normalising the transfer of the complicated responsibilities without even questioning the systemic accountability. Therefore, dementia care is determined to ensure that the distinction is essential as the carers are able to expect for managing psychotropic medications as well as behavioural symptoms without facing any clinical overnights. </w:t>
      </w:r>
    </w:p>
    <w:p>
      <w:pPr>
        <w:pBdr>
          <w:top w:val="none" w:sz="0" w:space="0" w:color="auto"/>
          <w:left w:val="none" w:sz="0" w:space="0" w:color="auto"/>
          <w:bottom w:val="none" w:sz="0" w:space="0" w:color="auto"/>
          <w:right w:val="none" w:sz="0" w:space="0" w:color="auto"/>
          <w:between w:val="none" w:sz="0" w:space="0" w:color="auto"/>
        </w:pBdr>
      </w:pPr>
      <w:r>
        <w:t xml:space="preserve">The complicated aspects are determined to narrate with foregrounding physical as well as psychological burden those are associated with care giving responsibilities. Maggio </w:t>
      </w:r>
      <w:r>
        <w:rPr>
          <w:i/>
          <w:iCs/>
        </w:rPr>
        <w:t xml:space="preserve">et al. </w:t>
      </w:r>
      <w:r>
        <w:t xml:space="preserve">(2025) stated that the functional contributions ensured that caregivers started with the need for interventions for sustaining central capacity. Furthermore, the pilot study is suggested for care giving responsibilities as these are not inherently being manageable but are needed to access the active mitigation strategies. Moreover, the perspective challenges are the assumptions that are underlined within the carer's adaptation that mediates with the readiness or the competence. The main point of contrast underlies the responsibilities of identity transformation and collaborative clinical participation. Buck </w:t>
      </w:r>
      <w:r>
        <w:rPr>
          <w:i/>
          <w:iCs/>
        </w:rPr>
        <w:t>et al.</w:t>
      </w:r>
      <w:r>
        <w:t xml:space="preserve"> (2024) contrasted that the exposure to the cost of carer wellbeing is well aligned with the dementia care participation. The dementia care is further anticipated for the responsibilities as these are often rejected based on the perspectives simultaneously with policies and practices rarely identified. Therefore, the carers are further able to expect to function based on the medication managers as well as behavioural results without the student preparation and community-based dementia care. </w:t>
      </w:r>
    </w:p>
    <w:p>
      <w:pPr>
        <w:pStyle w:val="3"/>
        <w:rPr>
          <w:color w:val="auto"/>
        </w:rPr>
      </w:pPr>
      <w:bookmarkStart w:id="53" w:name="_Toc220932462"/>
      <w:r>
        <w:rPr>
          <w:color w:val="auto"/>
        </w:rPr>
        <w:t>4.5.2 Theme 2: Informal carer’s approaches for behavioural, management &amp; medication</w:t>
      </w:r>
      <w:bookmarkEnd w:id="53"/>
    </w:p>
    <w:p>
      <w:pPr>
        <w:pBdr>
          <w:top w:val="none" w:sz="0" w:space="0" w:color="auto"/>
          <w:left w:val="none" w:sz="0" w:space="0" w:color="auto"/>
          <w:bottom w:val="none" w:sz="0" w:space="0" w:color="auto"/>
          <w:right w:val="none" w:sz="0" w:space="0" w:color="auto"/>
          <w:between w:val="none" w:sz="0" w:space="0" w:color="auto"/>
        </w:pBdr>
      </w:pPr>
      <w:r>
        <w:t xml:space="preserve">The informal carers’ approaches are the behavioural management as well as medication as these are characterized well with the adaptation, the improvisation as well as the emotional labours. The literature further tends to reveal the notable contrasts within the approaches for better shaping and support. Kolade </w:t>
      </w:r>
      <w:r>
        <w:rPr>
          <w:i/>
          <w:iCs/>
        </w:rPr>
        <w:t xml:space="preserve">et al. </w:t>
      </w:r>
      <w:r>
        <w:t xml:space="preserve">(2025) have emphasized the disruptions that are experienced during the hospital-to-home transactions, as the carers are suddenly being assumed responsible for medication management with the limited instructions. The key findings are highlighted based on cereal reliance with informal problem-solving, contrasting sharply with the institutional expectations of the continuity as well as adherence. Boamah </w:t>
      </w:r>
      <w:r>
        <w:rPr>
          <w:i/>
          <w:iCs/>
        </w:rPr>
        <w:t xml:space="preserve">et al. </w:t>
      </w:r>
      <w:r>
        <w:t xml:space="preserve">(2022) have adopted a more experiential lens that is determined to capture the carers’ emotions as well as the psychological coping of strategies by photo vibes. On the other hand, the key focus is aligned to the structural gaps within care transitions. Boamah </w:t>
      </w:r>
      <w:r>
        <w:rPr>
          <w:i/>
          <w:iCs/>
        </w:rPr>
        <w:t xml:space="preserve">et al. </w:t>
      </w:r>
      <w:r>
        <w:t xml:space="preserve">(2022) have revealed that carers are able to manage the behavioural challenges with the help of resilience as well as the personal meaning-making. It further illustrates based on the tensions between the system-oriented as well as personal-centred understandings of the care giving. Thus, the behaviour management becomes less about the clinical techniques as well as more about the sustaining relationships under the stress. </w:t>
      </w:r>
    </w:p>
    <w:p>
      <w:pPr>
        <w:pBdr>
          <w:top w:val="none" w:sz="0" w:space="0" w:color="auto"/>
          <w:left w:val="none" w:sz="0" w:space="0" w:color="auto"/>
          <w:bottom w:val="none" w:sz="0" w:space="0" w:color="auto"/>
          <w:right w:val="none" w:sz="0" w:space="0" w:color="auto"/>
          <w:between w:val="none" w:sz="0" w:space="0" w:color="auto"/>
        </w:pBdr>
      </w:pPr>
      <w:r>
        <w:t>It is subsequently being able to provide a critical comparator through examining the aggressive behaviours within the professional homecare settings. Schnelli</w:t>
      </w:r>
      <w:r>
        <w:rPr>
          <w:i/>
          <w:iCs/>
        </w:rPr>
        <w:t xml:space="preserve">et al. </w:t>
      </w:r>
      <w:r>
        <w:t xml:space="preserve">(2023) argued that scoping reviews have underscored the availability of the training, the protocols as well as organizational support for the professionals, for facing behavioural challenges. The informal carers are determined to encounter the similar aggressive operations without the formal preparation or any safeguarding mechanisms. The disparities are able to explore the implicit double standards of the behaviours that neither need professional interventions within the formal care for nor entailed as private business within informal settings. The medication management is further considered to be reinforcing the main contrasts related to the dementia fare. Kolade </w:t>
      </w:r>
      <w:r>
        <w:rPr>
          <w:i/>
          <w:iCs/>
        </w:rPr>
        <w:t xml:space="preserve">et al. </w:t>
      </w:r>
      <w:r>
        <w:t xml:space="preserve">(2025) have documented careers; under certainties those are further following medication changes and those assumed pharmacological competence within the professional frameworks. The informal careers are therefore able to navigate the behavioural as well as medication challenges simultaneously; those often are modifying the routines and the responses without the evidence-based guidance. </w:t>
      </w:r>
    </w:p>
    <w:p>
      <w:pPr>
        <w:pStyle w:val="3"/>
        <w:rPr>
          <w:color w:val="auto"/>
        </w:rPr>
      </w:pPr>
      <w:bookmarkStart w:id="54" w:name="_Toc220932463"/>
      <w:r>
        <w:rPr>
          <w:color w:val="auto"/>
        </w:rPr>
        <w:t>4.5.3 Theme 3: Future training and resource requirements for informal carers to enhance dementia care quality</w:t>
      </w:r>
      <w:bookmarkEnd w:id="54"/>
    </w:p>
    <w:p>
      <w:pPr>
        <w:pBdr>
          <w:top w:val="none" w:sz="0" w:space="0" w:color="auto"/>
          <w:left w:val="none" w:sz="0" w:space="0" w:color="auto"/>
          <w:bottom w:val="none" w:sz="0" w:space="0" w:color="auto"/>
          <w:right w:val="none" w:sz="0" w:space="0" w:color="auto"/>
          <w:between w:val="none" w:sz="0" w:space="0" w:color="auto"/>
        </w:pBdr>
      </w:pPr>
      <w:r>
        <w:t xml:space="preserve">The strong consensus is that across the literature those are determined to develop the dementia care quality as these need to target training as well as accessible resources for the informal careers. However, the disagreement remains in regards to the support that is being delivered appropriately. Huang </w:t>
      </w:r>
      <w:r>
        <w:rPr>
          <w:i/>
          <w:iCs/>
        </w:rPr>
        <w:t>et al.</w:t>
      </w:r>
      <w:r>
        <w:t xml:space="preserve"> (2025) advocated digital education as the scalable solution towards the carers; knowledge gaps, those are particularly within medication safety as well as behavioural management. The key scope is based on the demonstration of improved conference as well as knowledge within the careers that are being used for digital platforms, the positioning of technologies and also cost-effective responses for better increase of care demands. Contrastingly, Molinari-Ulate </w:t>
      </w:r>
      <w:r>
        <w:rPr>
          <w:i/>
          <w:iCs/>
        </w:rPr>
        <w:t>et al.</w:t>
      </w:r>
      <w:r>
        <w:t xml:space="preserve"> (2023) argued that the effectiveness depends not merely within the access built but aligned well with the cultural as well as contextual relevance. The evaluation of the iSupport programmes is determined to show that the training is required to adapt the carer's social norms, the languages as well as care realities for achieving the meaningful engagement. Therefore, future dementia strategies are determined to balance out technological innovation with relational as well as contextual sensitivity. </w:t>
      </w:r>
    </w:p>
    <w:p>
      <w:pPr>
        <w:pStyle w:val="3"/>
        <w:keepNext/>
        <w:keepLines/>
        <w:rPr>
          <w:i w:val="0"/>
          <w:iCs w:val="0"/>
          <w:color w:val="auto"/>
        </w:rPr>
      </w:pPr>
      <w:bookmarkStart w:id="55" w:name="_Toc220932464"/>
      <w:r>
        <w:rPr>
          <w:i w:val="0"/>
          <w:iCs w:val="0"/>
          <w:color w:val="auto"/>
        </w:rPr>
        <w:t>4.5.4 Theme 4: Evidence-based strategies to support informal carers in medication and behavioural management roles</w:t>
      </w:r>
      <w:bookmarkEnd w:id="55"/>
    </w:p>
    <w:p>
      <w:r>
        <w:t>The effective support for the informal carers in medication and behavioural management needs multi-level, evidence-based strategies. In this regard, Ory Stevens (2024) mentioned that the way NIA supported interventions, theoretical models and datasets have enhanced strengths of caregiver education, decision-making and psychosocial support to shape policy and practices. In addition to this. Lindsey et al. (2024) describe that mediation can support carers and families during healthcare disputes enhancing communication, reducing conflict and supporting ethical complex decisions. Furthermore, Chan et al. (2025) reflected that advance care planning discussions when facilitated by trained professionals improve family communication, preparedness and decision-making in advanced dementia. Combinedly these studies focus on structured education, communication facilitation and professional involvement as critical strategies. These evidence-based approaches need to integrate training, emotional support, conflict resolution and shared decision-making frameworks. These help to reduce caregiver burden and improve quality to identify carers as partners able to adapt in evolving clinical, ethical and care complexities.</w:t>
      </w:r>
    </w:p>
    <w:p>
      <w:pPr>
        <w:jc w:val="center"/>
        <w:rPr>
          <w:b/>
          <w:bCs/>
        </w:rPr>
      </w:pPr>
      <w:r>
        <w:rPr>
          <w:b/>
          <w:bCs/>
        </w:rPr>
        <w:t>Table 4.2: Data Outcomes</w:t>
      </w:r>
    </w:p>
    <w:p>
      <w:pPr>
        <w:jc w:val="center"/>
      </w:pPr>
      <w:r>
        <w:t>(Source: Self-Created)</w:t>
      </w:r>
    </w:p>
    <w:tbl>
      <w:tblPr>
        <w:jc w:val="left"/>
        <w:tblInd w:w="-100" w:type="dx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115" w:type="dxa"/>
          <w:bottom w:w="0" w:type="dxa"/>
          <w:right w:w="115" w:type="dxa"/>
        </w:tblCellMar>
      </w:tblPr>
      <w:tblGrid>
        <w:gridCol w:w="1872"/>
        <w:gridCol w:w="1872"/>
        <w:gridCol w:w="1872"/>
        <w:gridCol w:w="1872"/>
        <w:gridCol w:w="1872"/>
      </w:tblGrid>
      <w:tr>
        <w:trPr>
          <w:cantSplit/>
          <w:tblHeader/>
        </w:trPr>
        <w:tc>
          <w:tcPr>
            <w:tcW w:w="1872" w:type="dxa"/>
            <w:tcMar>
              <w:top w:w="100" w:type="dxa"/>
              <w:left w:w="100" w:type="dxa"/>
              <w:bottom w:w="100" w:type="dxa"/>
              <w:right w:w="100" w:type="dxa"/>
            </w:tcMar>
          </w:tcPr>
          <w:p>
            <w:pPr>
              <w:widowControl w:val="0"/>
              <w:jc w:val="center"/>
              <w:rPr>
                <w:b/>
                <w:bCs/>
              </w:rPr>
            </w:pPr>
            <w:r>
              <w:rPr>
                <w:b/>
                <w:bCs/>
              </w:rPr>
              <w:t xml:space="preserve">Outcomes </w:t>
            </w:r>
          </w:p>
        </w:tc>
        <w:tc>
          <w:tcPr>
            <w:tcW w:w="1872" w:type="dxa"/>
            <w:tcMar>
              <w:top w:w="100" w:type="dxa"/>
              <w:left w:w="100" w:type="dxa"/>
              <w:bottom w:w="100" w:type="dxa"/>
              <w:right w:w="100" w:type="dxa"/>
            </w:tcMar>
          </w:tcPr>
          <w:p>
            <w:pPr>
              <w:widowControl w:val="0"/>
              <w:jc w:val="center"/>
              <w:rPr>
                <w:b/>
                <w:bCs/>
              </w:rPr>
            </w:pPr>
            <w:r>
              <w:rPr>
                <w:b/>
                <w:bCs/>
              </w:rPr>
              <w:t xml:space="preserve">Page </w:t>
            </w:r>
          </w:p>
        </w:tc>
        <w:tc>
          <w:tcPr>
            <w:tcW w:w="1872" w:type="dxa"/>
            <w:tcMar>
              <w:top w:w="100" w:type="dxa"/>
              <w:left w:w="100" w:type="dxa"/>
              <w:bottom w:w="100" w:type="dxa"/>
              <w:right w:w="100" w:type="dxa"/>
            </w:tcMar>
          </w:tcPr>
          <w:p>
            <w:pPr>
              <w:widowControl w:val="0"/>
              <w:jc w:val="center"/>
              <w:rPr>
                <w:b/>
                <w:bCs/>
              </w:rPr>
            </w:pPr>
            <w:r>
              <w:rPr>
                <w:b/>
                <w:bCs/>
              </w:rPr>
              <w:t xml:space="preserve">Line </w:t>
            </w:r>
          </w:p>
        </w:tc>
        <w:tc>
          <w:tcPr>
            <w:tcW w:w="1872" w:type="dxa"/>
            <w:tcMar>
              <w:top w:w="100" w:type="dxa"/>
              <w:left w:w="100" w:type="dxa"/>
              <w:bottom w:w="100" w:type="dxa"/>
              <w:right w:w="100" w:type="dxa"/>
            </w:tcMar>
          </w:tcPr>
          <w:p>
            <w:pPr>
              <w:widowControl w:val="0"/>
              <w:jc w:val="center"/>
              <w:rPr>
                <w:b/>
                <w:bCs/>
              </w:rPr>
            </w:pPr>
            <w:r>
              <w:rPr>
                <w:b/>
                <w:bCs/>
              </w:rPr>
              <w:t>Sub-Themes</w:t>
            </w:r>
          </w:p>
        </w:tc>
        <w:tc>
          <w:tcPr>
            <w:tcW w:w="1872" w:type="dxa"/>
            <w:tcMar>
              <w:top w:w="100" w:type="dxa"/>
              <w:left w:w="100" w:type="dxa"/>
              <w:bottom w:w="100" w:type="dxa"/>
              <w:right w:w="100" w:type="dxa"/>
            </w:tcMar>
          </w:tcPr>
          <w:p>
            <w:pPr>
              <w:widowControl w:val="0"/>
              <w:jc w:val="center"/>
              <w:rPr>
                <w:b/>
                <w:bCs/>
              </w:rPr>
            </w:pPr>
            <w:r>
              <w:rPr>
                <w:b/>
                <w:bCs/>
              </w:rPr>
              <w:t xml:space="preserve">Data extracted </w:t>
            </w:r>
          </w:p>
        </w:tc>
      </w:tr>
      <w:tr>
        <w:trPr>
          <w:cantSplit/>
          <w:tblHeader/>
        </w:trPr>
        <w:tc>
          <w:tcPr>
            <w:tcW w:w="1872" w:type="dxa"/>
            <w:tcMar>
              <w:top w:w="100" w:type="dxa"/>
              <w:left w:w="100" w:type="dxa"/>
              <w:bottom w:w="100" w:type="dxa"/>
              <w:right w:w="100" w:type="dxa"/>
            </w:tcMar>
          </w:tcPr>
          <w:p>
            <w:pPr>
              <w:widowControl w:val="0"/>
              <w:rPr>
                <w:i/>
                <w:iCs/>
              </w:rPr>
            </w:pPr>
            <w:r>
              <w:rPr>
                <w:i/>
                <w:iCs/>
              </w:rPr>
              <w:t>Theme 1: Anticipated responsibilities for informal carer’s in medication &amp; behaviour management</w:t>
            </w:r>
          </w:p>
        </w:tc>
        <w:tc>
          <w:tcPr>
            <w:tcW w:w="1872" w:type="dxa"/>
            <w:tcMar>
              <w:top w:w="100" w:type="dxa"/>
              <w:left w:w="100" w:type="dxa"/>
              <w:bottom w:w="100" w:type="dxa"/>
              <w:right w:w="100" w:type="dxa"/>
            </w:tcMar>
          </w:tcPr>
          <w:p>
            <w:pPr>
              <w:widowControl w:val="0"/>
            </w:pPr>
            <w:r>
              <w:t>4</w:t>
            </w:r>
          </w:p>
        </w:tc>
        <w:tc>
          <w:tcPr>
            <w:tcW w:w="1872" w:type="dxa"/>
            <w:tcMar>
              <w:top w:w="100" w:type="dxa"/>
              <w:left w:w="100" w:type="dxa"/>
              <w:bottom w:w="100" w:type="dxa"/>
              <w:right w:w="100" w:type="dxa"/>
            </w:tcMar>
          </w:tcPr>
          <w:p>
            <w:pPr>
              <w:widowControl w:val="0"/>
            </w:pPr>
            <w:r>
              <w:t xml:space="preserve">The individualised framing is focused on facing the risks with normalising the standards of complicated responsibilities without having any questions on systemic accountability (Moura </w:t>
            </w:r>
            <w:r>
              <w:rPr>
                <w:i/>
                <w:iCs/>
              </w:rPr>
              <w:t xml:space="preserve">et al. </w:t>
            </w:r>
            <w:r>
              <w:t>2025).</w:t>
            </w:r>
          </w:p>
        </w:tc>
        <w:tc>
          <w:tcPr>
            <w:tcW w:w="1872" w:type="dxa"/>
            <w:tcMar>
              <w:top w:w="100" w:type="dxa"/>
              <w:left w:w="100" w:type="dxa"/>
              <w:bottom w:w="100" w:type="dxa"/>
              <w:right w:w="100" w:type="dxa"/>
            </w:tcMar>
          </w:tcPr>
          <w:p>
            <w:pPr>
              <w:widowControl w:val="0"/>
            </w:pPr>
            <w:r>
              <w:t xml:space="preserve">Complicated medication administration and technical tasks </w:t>
            </w:r>
          </w:p>
        </w:tc>
        <w:tc>
          <w:tcPr>
            <w:tcW w:w="1872" w:type="dxa"/>
            <w:tcMar>
              <w:top w:w="100" w:type="dxa"/>
              <w:left w:w="100" w:type="dxa"/>
              <w:bottom w:w="100" w:type="dxa"/>
              <w:right w:w="100" w:type="dxa"/>
            </w:tcMar>
          </w:tcPr>
          <w:p>
            <w:pPr>
              <w:widowControl w:val="0"/>
            </w:pPr>
            <w:r>
              <w:t xml:space="preserve">Adequate preparation, recognition and the protection of raising ethical concerns. </w:t>
            </w:r>
          </w:p>
        </w:tc>
      </w:tr>
      <w:tr>
        <w:trPr>
          <w:cantSplit/>
          <w:tblHeader/>
        </w:trPr>
        <w:tc>
          <w:tcPr>
            <w:tcW w:w="1872" w:type="dxa"/>
            <w:tcMar>
              <w:top w:w="100" w:type="dxa"/>
              <w:left w:w="100" w:type="dxa"/>
              <w:bottom w:w="100" w:type="dxa"/>
              <w:right w:w="100" w:type="dxa"/>
            </w:tcMar>
          </w:tcPr>
          <w:p>
            <w:pPr>
              <w:widowControl w:val="0"/>
              <w:rPr>
                <w:i/>
                <w:iCs/>
              </w:rPr>
            </w:pPr>
            <w:r>
              <w:rPr>
                <w:i/>
                <w:iCs/>
              </w:rPr>
              <w:t>Theme 2: Informal carer’s approaches for behavioural, management &amp; medication</w:t>
            </w:r>
          </w:p>
        </w:tc>
        <w:tc>
          <w:tcPr>
            <w:tcW w:w="1872" w:type="dxa"/>
            <w:tcMar>
              <w:top w:w="100" w:type="dxa"/>
              <w:left w:w="100" w:type="dxa"/>
              <w:bottom w:w="100" w:type="dxa"/>
              <w:right w:w="100" w:type="dxa"/>
            </w:tcMar>
          </w:tcPr>
          <w:p>
            <w:pPr>
              <w:widowControl w:val="0"/>
            </w:pPr>
            <w:r>
              <w:t>5</w:t>
            </w:r>
          </w:p>
        </w:tc>
        <w:tc>
          <w:tcPr>
            <w:tcW w:w="1872" w:type="dxa"/>
            <w:tcMar>
              <w:top w:w="100" w:type="dxa"/>
              <w:left w:w="100" w:type="dxa"/>
              <w:bottom w:w="100" w:type="dxa"/>
              <w:right w:w="100" w:type="dxa"/>
            </w:tcMar>
          </w:tcPr>
          <w:p>
            <w:pPr>
              <w:widowControl w:val="0"/>
            </w:pPr>
            <w:r>
              <w:t xml:space="preserve">The experimental leans are stated to form a determined capture on carers’ emotions and also psychological coping for the strategies with photo vibes (Boamah </w:t>
            </w:r>
            <w:r>
              <w:rPr>
                <w:i/>
                <w:iCs/>
              </w:rPr>
              <w:t xml:space="preserve">et al. </w:t>
            </w:r>
            <w:r>
              <w:t>2022).</w:t>
            </w:r>
          </w:p>
        </w:tc>
        <w:tc>
          <w:tcPr>
            <w:tcW w:w="1872" w:type="dxa"/>
            <w:tcMar>
              <w:top w:w="100" w:type="dxa"/>
              <w:left w:w="100" w:type="dxa"/>
              <w:bottom w:w="100" w:type="dxa"/>
              <w:right w:w="100" w:type="dxa"/>
            </w:tcMar>
          </w:tcPr>
          <w:p>
            <w:pPr>
              <w:widowControl w:val="0"/>
            </w:pPr>
            <w:r>
              <w:t xml:space="preserve">Approaches towards the behavioural management </w:t>
            </w:r>
          </w:p>
        </w:tc>
        <w:tc>
          <w:tcPr>
            <w:tcW w:w="1872" w:type="dxa"/>
            <w:tcMar>
              <w:top w:w="100" w:type="dxa"/>
              <w:left w:w="100" w:type="dxa"/>
              <w:bottom w:w="100" w:type="dxa"/>
              <w:right w:w="100" w:type="dxa"/>
            </w:tcMar>
          </w:tcPr>
          <w:p>
            <w:pPr>
              <w:widowControl w:val="0"/>
            </w:pPr>
            <w:r>
              <w:t xml:space="preserve">Informal carers; approaches for pragmatic abuse unevenly shaping the necessity of best practices. </w:t>
            </w:r>
          </w:p>
        </w:tc>
      </w:tr>
      <w:tr>
        <w:trPr>
          <w:cantSplit/>
          <w:tblHeader/>
        </w:trPr>
        <w:tc>
          <w:tcPr>
            <w:tcW w:w="1872" w:type="dxa"/>
            <w:tcMar>
              <w:top w:w="100" w:type="dxa"/>
              <w:left w:w="100" w:type="dxa"/>
              <w:bottom w:w="100" w:type="dxa"/>
              <w:right w:w="100" w:type="dxa"/>
            </w:tcMar>
          </w:tcPr>
          <w:p>
            <w:pPr>
              <w:widowControl w:val="0"/>
              <w:rPr>
                <w:i/>
                <w:iCs/>
              </w:rPr>
            </w:pPr>
            <w:r>
              <w:rPr>
                <w:i/>
                <w:iCs/>
              </w:rPr>
              <w:t>Theme 3: Future training and resource requirements for informal carers to enhance dementia care quality</w:t>
            </w:r>
          </w:p>
        </w:tc>
        <w:tc>
          <w:tcPr>
            <w:tcW w:w="1872" w:type="dxa"/>
            <w:tcMar>
              <w:top w:w="100" w:type="dxa"/>
              <w:left w:w="100" w:type="dxa"/>
              <w:bottom w:w="100" w:type="dxa"/>
              <w:right w:w="100" w:type="dxa"/>
            </w:tcMar>
          </w:tcPr>
          <w:p>
            <w:pPr>
              <w:widowControl w:val="0"/>
            </w:pPr>
            <w:r>
              <w:t>6</w:t>
            </w:r>
          </w:p>
        </w:tc>
        <w:tc>
          <w:tcPr>
            <w:tcW w:w="1872" w:type="dxa"/>
            <w:tcMar>
              <w:top w:w="100" w:type="dxa"/>
              <w:left w:w="100" w:type="dxa"/>
              <w:bottom w:w="100" w:type="dxa"/>
              <w:right w:w="100" w:type="dxa"/>
            </w:tcMar>
          </w:tcPr>
          <w:p>
            <w:pPr>
              <w:widowControl w:val="0"/>
            </w:pPr>
            <w:r>
              <w:t xml:space="preserve">The digital, education is stated to be scalable solution those are aligned to knowledge gaps as these are particularly involved within medication safety and behavioural management (Huang </w:t>
            </w:r>
            <w:r>
              <w:rPr>
                <w:i/>
                <w:iCs/>
              </w:rPr>
              <w:t>et al.</w:t>
            </w:r>
            <w:r>
              <w:t xml:space="preserve"> 2025). </w:t>
            </w:r>
          </w:p>
        </w:tc>
        <w:tc>
          <w:tcPr>
            <w:tcW w:w="1872" w:type="dxa"/>
            <w:tcMar>
              <w:top w:w="100" w:type="dxa"/>
              <w:left w:w="100" w:type="dxa"/>
              <w:bottom w:w="100" w:type="dxa"/>
              <w:right w:w="100" w:type="dxa"/>
            </w:tcMar>
          </w:tcPr>
          <w:p>
            <w:pPr>
              <w:widowControl w:val="0"/>
            </w:pPr>
            <w:r>
              <w:t xml:space="preserve">The future training and resource are required for informal dementia caregivers </w:t>
            </w:r>
          </w:p>
        </w:tc>
        <w:tc>
          <w:tcPr>
            <w:tcW w:w="1872" w:type="dxa"/>
            <w:tcMar>
              <w:top w:w="100" w:type="dxa"/>
              <w:left w:w="100" w:type="dxa"/>
              <w:bottom w:w="100" w:type="dxa"/>
              <w:right w:w="100" w:type="dxa"/>
            </w:tcMar>
          </w:tcPr>
          <w:p>
            <w:pPr>
              <w:widowControl w:val="0"/>
            </w:pPr>
            <w:r>
              <w:t xml:space="preserve">The informal carers are inadequately prepared for complicated dementia dare roles to undermine care quality. </w:t>
            </w:r>
          </w:p>
        </w:tc>
      </w:tr>
      <w:tr>
        <w:trPr>
          <w:cantSplit/>
          <w:trHeight w:val="4599"/>
          <w:tblHeader/>
        </w:trPr>
        <w:tc>
          <w:tcPr>
            <w:tcW w:w="1872" w:type="dxa"/>
            <w:tcMar>
              <w:top w:w="100" w:type="dxa"/>
              <w:left w:w="100" w:type="dxa"/>
              <w:bottom w:w="100" w:type="dxa"/>
              <w:right w:w="100" w:type="dxa"/>
            </w:tcMar>
          </w:tcPr>
          <w:p>
            <w:pPr>
              <w:widowControl w:val="0"/>
              <w:rPr>
                <w:i/>
                <w:iCs/>
              </w:rPr>
            </w:pPr>
            <w:r>
              <w:rPr>
                <w:i/>
                <w:iCs/>
              </w:rPr>
              <w:t>Theme 4: Evidence-based strategies to support informal carers in medication and behavioural management roles</w:t>
            </w:r>
          </w:p>
        </w:tc>
        <w:tc>
          <w:tcPr>
            <w:tcW w:w="1872" w:type="dxa"/>
            <w:tcMar>
              <w:top w:w="100" w:type="dxa"/>
              <w:left w:w="100" w:type="dxa"/>
              <w:bottom w:w="100" w:type="dxa"/>
              <w:right w:w="100" w:type="dxa"/>
            </w:tcMar>
          </w:tcPr>
          <w:p>
            <w:pPr>
              <w:widowControl w:val="0"/>
            </w:pPr>
            <w:r>
              <w:t>7</w:t>
            </w:r>
          </w:p>
        </w:tc>
        <w:tc>
          <w:tcPr>
            <w:tcW w:w="1872" w:type="dxa"/>
            <w:tcMar>
              <w:top w:w="100" w:type="dxa"/>
              <w:left w:w="100" w:type="dxa"/>
              <w:bottom w:w="100" w:type="dxa"/>
              <w:right w:w="100" w:type="dxa"/>
            </w:tcMar>
          </w:tcPr>
          <w:p>
            <w:pPr>
              <w:widowControl w:val="0"/>
            </w:pPr>
            <w:r>
              <w:t xml:space="preserve">The advance care planning is effective for person-centred dementia care with preferences to add stress to family caregivers within decision-making for future care (Chan </w:t>
            </w:r>
            <w:r>
              <w:rPr>
                <w:i/>
                <w:iCs/>
              </w:rPr>
              <w:t xml:space="preserve">et al. </w:t>
            </w:r>
            <w:r>
              <w:t xml:space="preserve">2025). </w:t>
            </w:r>
          </w:p>
          <w:p>
            <w:pPr>
              <w:widowControl w:val="0"/>
            </w:pPr>
          </w:p>
        </w:tc>
        <w:tc>
          <w:tcPr>
            <w:tcW w:w="1872" w:type="dxa"/>
            <w:tcMar>
              <w:top w:w="100" w:type="dxa"/>
              <w:left w:w="100" w:type="dxa"/>
              <w:bottom w:w="100" w:type="dxa"/>
              <w:right w:w="100" w:type="dxa"/>
            </w:tcMar>
          </w:tcPr>
          <w:p>
            <w:pPr>
              <w:widowControl w:val="0"/>
            </w:pPr>
            <w:r>
              <w:t xml:space="preserve">The psycho education as well as need for better skill training </w:t>
            </w:r>
          </w:p>
        </w:tc>
        <w:tc>
          <w:tcPr>
            <w:tcW w:w="1872" w:type="dxa"/>
            <w:tcMar>
              <w:top w:w="100" w:type="dxa"/>
              <w:left w:w="100" w:type="dxa"/>
              <w:bottom w:w="100" w:type="dxa"/>
              <w:right w:w="100" w:type="dxa"/>
            </w:tcMar>
          </w:tcPr>
          <w:p>
            <w:pPr>
              <w:widowControl w:val="0"/>
            </w:pPr>
            <w:r>
              <w:t xml:space="preserve">Reducing burden and increasing confidence for improved safety through the educational and personalized support. </w:t>
            </w:r>
          </w:p>
        </w:tc>
      </w:tr>
    </w:tbl>
    <w:p>
      <w:pPr>
        <w:pStyle w:val="5"/>
        <w:keepNext/>
        <w:keepLines/>
        <w:jc w:val="left"/>
        <w:rPr>
          <w:color w:val="auto"/>
        </w:rPr>
      </w:pPr>
      <w:bookmarkStart w:id="56" w:name="_heading=h.us18cbvufcxz"/>
      <w:bookmarkEnd w:id="56"/>
    </w:p>
    <w:p>
      <w:pPr>
        <w:pStyle w:val="2"/>
        <w:keepNext/>
        <w:keepLines/>
        <w:rPr>
          <w:color w:val="auto"/>
        </w:rPr>
      </w:pPr>
      <w:bookmarkStart w:id="57" w:name="_Toc220932465"/>
      <w:r>
        <w:rPr>
          <w:color w:val="auto"/>
        </w:rPr>
        <w:t>4.6 Summary</w:t>
      </w:r>
      <w:bookmarkEnd w:id="57"/>
    </w:p>
    <w:p>
      <w:r>
        <w:t>This chapter has addressed the results of the systematic review showing the study characteristics and synthesised findings. The evidence has described that the informal carers have played an important role in medication and behavioural management for individuals living with dementia in the UK, however, facing the essential knowledge, support and systemic challenges.</w:t>
      </w:r>
    </w:p>
    <w:p>
      <w:r>
        <w:br w:type="page"/>
      </w:r>
    </w:p>
    <w:p>
      <w:pPr>
        <w:pStyle w:val="1"/>
        <w:rPr>
          <w:color w:val="auto"/>
        </w:rPr>
      </w:pPr>
      <w:bookmarkStart w:id="58" w:name="_Toc220932466"/>
      <w:r>
        <w:rPr>
          <w:color w:val="auto"/>
        </w:rPr>
        <w:t>Chapter 5: Discussion</w:t>
      </w:r>
      <w:bookmarkEnd w:id="58"/>
    </w:p>
    <w:p>
      <w:pPr>
        <w:pStyle w:val="2"/>
        <w:rPr>
          <w:color w:val="auto"/>
        </w:rPr>
      </w:pPr>
      <w:bookmarkStart w:id="59" w:name="_Toc220932467"/>
      <w:r>
        <w:rPr>
          <w:color w:val="auto"/>
        </w:rPr>
        <w:t>5.1 Introduction</w:t>
      </w:r>
      <w:bookmarkEnd w:id="59"/>
    </w:p>
    <w:p>
      <w:pPr>
        <w:spacing w:before="200" w:after="200"/>
      </w:pPr>
      <w:r>
        <w:t xml:space="preserve">This chapter is going to explore and investigate the secondary qualitative database on informal carers and their role that is collected through a systematic way. The qualitative and quantitative databases, along with the thematic findings, are justified considering the research aim and objectives. The implications for this research, as policies and practices within the care system of dementia, will be illustrated in this chapter. </w:t>
      </w:r>
    </w:p>
    <w:p>
      <w:pPr>
        <w:rPr>
          <w:b/>
          <w:bCs/>
        </w:rPr>
        <w:sectPr>
          <w:pgSz w:w="12240" w:h="15840"/>
          <w:pgMar w:top="1440" w:right="1440" w:bottom="1440" w:left="1440" w:header="720" w:footer="720" w:gutter="0"/>
          <w:titlePg/>
          <w:docGrid w:linePitch="312" w:charSpace="0"/>
        </w:sectPr>
      </w:pPr>
      <w:r>
        <w:br w:type="page"/>
      </w:r>
    </w:p>
    <w:p>
      <w:pPr>
        <w:pStyle w:val="2"/>
        <w:rPr>
          <w:color w:val="auto"/>
        </w:rPr>
      </w:pPr>
      <w:bookmarkStart w:id="60" w:name="_Toc220932468"/>
      <w:r>
        <w:rPr>
          <w:color w:val="auto"/>
        </w:rPr>
        <w:t>5.2 Critical Discussion of Thematic Findings</w:t>
      </w:r>
      <w:bookmarkEnd w:id="60"/>
    </w:p>
    <w:p>
      <w:pPr>
        <w:spacing w:before="200" w:after="200"/>
        <w:rPr>
          <w:i/>
          <w:iCs/>
        </w:rPr>
      </w:pPr>
      <w:r>
        <w:t>The future training and resources for informal carers needs to prioritise contextual relevance, flexibility and empowerment. In line with this, Lombo Caicedo</w:t>
      </w:r>
      <w:r>
        <w:rPr>
          <w:i/>
          <w:iCs/>
        </w:rPr>
        <w:t xml:space="preserve"> et al.</w:t>
      </w:r>
      <w:r>
        <w:t xml:space="preserve"> (2025) stated that community based, participatory education ensured strengths of caregiver’s self-efficacy, technical skills and role confidence in rural, post conflict contexts. The training needs to integrate experiential learning, culturally adapted materials and continuous remote support over one off sessions. On the other hand, Maggio </w:t>
      </w:r>
      <w:r>
        <w:rPr>
          <w:i/>
          <w:iCs/>
        </w:rPr>
        <w:t>et al.</w:t>
      </w:r>
      <w:r>
        <w:t xml:space="preserve"> (2025) have argued that the responsibilities of informal carers are complex, often involving high-stakes tasks that require significant physical and cognitive effort to ensure safety and adherence. The resource requirements such as accessible education, digital literacy support and academic community partnerships. These strategies of dementia care by equipping carers with the adaptable competencies responsive to change care demands across the diverse health systems globally</w:t>
      </w:r>
      <w:r>
        <w:rPr>
          <w:i/>
          <w:iCs/>
        </w:rPr>
        <w:t xml:space="preserve">.  </w:t>
      </w:r>
    </w:p>
    <w:p>
      <w:pPr>
        <w:pStyle w:val="2"/>
        <w:rPr>
          <w:color w:val="auto"/>
        </w:rPr>
      </w:pPr>
      <w:bookmarkStart w:id="61" w:name="_Toc220932469"/>
      <w:r>
        <w:rPr>
          <w:color w:val="auto"/>
        </w:rPr>
        <w:t>5.3 Discussion of Findings in Relation to Research Objectives</w:t>
      </w:r>
      <w:bookmarkEnd w:id="61"/>
    </w:p>
    <w:p>
      <w:pPr>
        <w:spacing w:before="200" w:after="200"/>
      </w:pPr>
      <w:r>
        <w:t xml:space="preserve">The first objective of the research seeks to investigate the anticipated responsibilities for informal carers within medication and behaviour management. As per the key findings of Moura </w:t>
      </w:r>
      <w:r>
        <w:rPr>
          <w:i/>
          <w:iCs/>
        </w:rPr>
        <w:t>et al</w:t>
      </w:r>
      <w:r>
        <w:t xml:space="preserve">. (2025), informal carers are expected to act as quasi-professionals in managing medication and behaviour that are frequently without formal training. These are especially for individuals with dementia or serious, long-term conditions. This signifies that the key findings of the research support the first objective. </w:t>
      </w:r>
    </w:p>
    <w:p>
      <w:pPr>
        <w:spacing w:before="200" w:after="200"/>
      </w:pPr>
      <w:r>
        <w:t xml:space="preserve">The second objective of the thesis seeks to examine the informal carers’ approaches to behavioural, management and medication. As per the key findings of Kolade </w:t>
      </w:r>
      <w:r>
        <w:rPr>
          <w:i/>
          <w:iCs/>
        </w:rPr>
        <w:t>et al</w:t>
      </w:r>
      <w:r>
        <w:t xml:space="preserve">. (2025), Informal carers, often family members or friends, adopt a mix of proactive and reactive, trial-and-error approaches to manage the complex, daily needs of individuals with dementia or long-term conditions. It has been recognised that adapting the physical space to improve safety and reduce confusion, such as covering mirrors, improving lighting to combat sundowning, and locking up dangerous items. On the other hand, Buck </w:t>
      </w:r>
      <w:r>
        <w:rPr>
          <w:i/>
          <w:iCs/>
        </w:rPr>
        <w:t>et al</w:t>
      </w:r>
      <w:r>
        <w:t xml:space="preserve">. (2024) have highlighted that establishing and sticking to strict daily schedules to reduce confusion, while remaining flexible enough to adapt to daily fluctuations in the person's mood or function. Thus, the above-mentioned findings meet the research’s second objectives. </w:t>
      </w:r>
    </w:p>
    <w:p>
      <w:pPr>
        <w:spacing w:before="200" w:after="200"/>
      </w:pPr>
      <w:r>
        <w:t xml:space="preserve">The third objective of the thesis seeks to evaluate the future training and resource needs for informal carers that enhance dementia care quality. As per the key findings of Boamah </w:t>
      </w:r>
      <w:r>
        <w:rPr>
          <w:i/>
          <w:iCs/>
        </w:rPr>
        <w:t>et al.</w:t>
      </w:r>
      <w:r>
        <w:t xml:space="preserve"> (2022), future training and resource needs for informal dementia carers are shifting toward personalised, technology-enabled, and staged interventions that focus on enhancing care quality while reducing burnout. Apart from this, training in managing agitation, aggression, and wandering is a critical priority, moving away from just general care. These enhancements are critical to reducing caregiver burnout, which is the strongest predictor of premature institutionalisation of people with dementia. Thus, the key findings support the third research objective. </w:t>
      </w:r>
    </w:p>
    <w:p>
      <w:pPr>
        <w:spacing w:before="200" w:after="200"/>
      </w:pPr>
      <w:r>
        <w:t xml:space="preserve">The fourth thesis objective seeks to evaluate evidence-based strategies for supporting informal carers within medication and the behavioural management roles. As per the key findings of Huang </w:t>
      </w:r>
      <w:r>
        <w:rPr>
          <w:i/>
          <w:iCs/>
        </w:rPr>
        <w:t>et al.</w:t>
      </w:r>
      <w:r>
        <w:t xml:space="preserve"> (2025), evidence-based strategies for supporting informal carers in medication and behavioural management focus on tailored education, skill-building, structural support, and psychosocial interventions in terms of reducing burden as well as improving care recipient safety. The finding signifies that effective support often involves a "person-centred" approach, adapting care to the individual needs of the care recipient. Thus, the key findings support objective three of the research to a great extent. </w:t>
      </w:r>
    </w:p>
    <w:p>
      <w:pPr>
        <w:pStyle w:val="2"/>
        <w:rPr>
          <w:color w:val="auto"/>
        </w:rPr>
      </w:pPr>
      <w:bookmarkStart w:id="62" w:name="_Toc220932470"/>
      <w:r>
        <w:rPr>
          <w:color w:val="auto"/>
        </w:rPr>
        <w:t>5.4 Comparison with Existing Literature and Theoretical Context</w:t>
      </w:r>
      <w:bookmarkEnd w:id="62"/>
    </w:p>
    <w:p>
      <w:pPr>
        <w:spacing w:before="200" w:after="200"/>
      </w:pPr>
      <w:r>
        <w:t xml:space="preserve">According to the secondary findings, the informal carers are widely positioned based on the central actors within the medication as well as behavioural management. Moura </w:t>
      </w:r>
      <w:r>
        <w:rPr>
          <w:i/>
          <w:iCs/>
        </w:rPr>
        <w:t>et al.</w:t>
      </w:r>
      <w:r>
        <w:t xml:space="preserve"> (2025) have stated that informal carers become experts through experiential learning that suggested the responsibility as it emerges gradually as the carers adapt to changing types care demands. However, contradicting existing literature, Luker (2023), has argued that four out of five unpaid dementia carers report having assumed most practical and emotional support roles, sometimes 25 hours per week. Similar to the context, Forma </w:t>
      </w:r>
      <w:r>
        <w:rPr>
          <w:i/>
          <w:iCs/>
        </w:rPr>
        <w:t>et al</w:t>
      </w:r>
      <w:r>
        <w:t xml:space="preserve">. (2022) have highlighted that informal caregivers manage medications through a combination of direct activities, such as physically administering pills, and indirect, cognitive tasks such as tracking and organising. Additionally, Buck </w:t>
      </w:r>
      <w:r>
        <w:rPr>
          <w:i/>
          <w:iCs/>
        </w:rPr>
        <w:t>et al</w:t>
      </w:r>
      <w:r>
        <w:t>. (2024) have mentioned that the exposure to the cost of carer wellbeing is well aligned with dementia care participation. Thus, dementia care is further anticipated for the responsibilities, as these are often rejected based on the perspectives, simultaneously with policies and practices rarely identified.</w:t>
      </w:r>
    </w:p>
    <w:p>
      <w:pPr>
        <w:spacing w:before="200" w:after="200"/>
      </w:pPr>
      <w:r>
        <w:t>According to the thematic analysis, Boamah</w:t>
      </w:r>
      <w:r>
        <w:rPr>
          <w:i/>
          <w:iCs/>
        </w:rPr>
        <w:t xml:space="preserve"> et al</w:t>
      </w:r>
      <w:r>
        <w:t xml:space="preserve">. (2022) have revealed that carers can manage the behavioural challenges with the help of resilience as well as personal meaning-making. However, contrasting with existing literature, Nguyen </w:t>
      </w:r>
      <w:r>
        <w:rPr>
          <w:i/>
          <w:iCs/>
        </w:rPr>
        <w:t xml:space="preserve">et al. </w:t>
      </w:r>
      <w:r>
        <w:t xml:space="preserve">(2025) have argued that the key approaches of informal caregivers are rooted in trial and error, especially while treating patients with dementia. This signifies that the approach performed by informal care givers are considered to be crucial for understanding individual perspectives as well as renaming them to connectedness. Caregivers adapt tasks to the person's current abilities in terms of breaking them down into smaller, simpler steps for preventing from becoming overwhelmed. </w:t>
      </w:r>
    </w:p>
    <w:p>
      <w:pPr>
        <w:pStyle w:val="2"/>
        <w:rPr>
          <w:color w:val="auto"/>
        </w:rPr>
      </w:pPr>
      <w:bookmarkStart w:id="63" w:name="_Toc220932471"/>
      <w:r>
        <w:rPr>
          <w:color w:val="auto"/>
        </w:rPr>
        <w:t>5.5 Implications for Practice, Policy, and Research</w:t>
      </w:r>
      <w:bookmarkEnd w:id="63"/>
    </w:p>
    <w:p>
      <w:pPr>
        <w:spacing w:before="200" w:after="200"/>
      </w:pPr>
      <w:r>
        <w:t xml:space="preserve">The research study on informal carers' roles in dementia medication management in the UK requires practical implications focusing on enhanced carer training and education, integrated healthcare support for home-based medication reviews, person-centred tools and co-creation. Additionally, implementing home-based medication reviews by pharmacists and practice nurses, extending beyond traditional pharmacy settings. Apart from this, policies should formally recognise informal carers as experts in the patient's daily life and, therefore, key partners in medication optimisation, rather than just observers. Thus, establish structured, ongoing collaboration between health and social care professionals as well as informal carers to manage medication regimes, particularly during transitions of care. </w:t>
      </w:r>
    </w:p>
    <w:p>
      <w:pPr>
        <w:pStyle w:val="2"/>
        <w:rPr>
          <w:color w:val="auto"/>
        </w:rPr>
      </w:pPr>
      <w:bookmarkStart w:id="64" w:name="_Toc220932472"/>
      <w:r>
        <w:rPr>
          <w:color w:val="auto"/>
        </w:rPr>
        <w:t>5.6 Strengths and Limitations</w:t>
      </w:r>
      <w:bookmarkEnd w:id="64"/>
    </w:p>
    <w:p>
      <w:pPr>
        <w:spacing w:before="200" w:after="200"/>
      </w:pPr>
      <w:r>
        <w:t>Research focusing on the role of informal carers in managing the medication and behaviours of individuals living with dementia in the UK holds significant potential to enhance care, support, and policy. This research is particularly timely given the UK's increasing reliance on community-based care and the high prevalence of informal, unpaid care. Apart from this, research in this area often highlights that informal carers prioritize the care-recipient's health over their own, often working out responsibilities through "trial and error" due to a lack of prior knowledge. The research can provide evidence to develop tailored support, such as training on managing BPSD, which is essential for reducing career stress. The research finds that carers feel under-supported, citing limited consultation time with healthcare professionals and a lack of information. However, lack of budget and time has been the potential limitation of this research. Moreover, there is often an underrepresentation of minority ethnic communities, and in some cases, data is wrongly treated as homogenous across different cultures, limiting the applicability of findings to the diverse UK population.</w:t>
      </w:r>
    </w:p>
    <w:p>
      <w:pPr>
        <w:pStyle w:val="2"/>
        <w:rPr>
          <w:color w:val="auto"/>
        </w:rPr>
      </w:pPr>
      <w:bookmarkStart w:id="65" w:name="_Toc220932473"/>
      <w:r>
        <w:rPr>
          <w:color w:val="auto"/>
        </w:rPr>
        <w:t>5.7 Conclusion</w:t>
      </w:r>
      <w:bookmarkEnd w:id="65"/>
    </w:p>
    <w:p>
      <w:pPr>
        <w:spacing w:before="200" w:after="200"/>
      </w:pPr>
      <w:r>
        <w:t xml:space="preserve">The above-mentioned chapter highlights the elaboration of the key findings that help in meeting the research aims and objectives. Additionally, the chapter has contradicted the key findings with the editing of literature information in terms of establishing an evidence-based outcome. It has been recognised that informal carers are expected to act as quasi-professionals in managing medication and behaviour that are frequently without formal training. These are especially for individuals with dementia or serious, long-term conditions. This signifies that the key findings of the research supports research's first objective. </w:t>
      </w:r>
    </w:p>
    <w:p/>
    <w:p>
      <w:pPr>
        <w:pStyle w:val="2"/>
        <w:rPr>
          <w:color w:val="auto"/>
        </w:rPr>
      </w:pPr>
      <w:bookmarkStart w:id="66" w:name="_Toc220932474"/>
      <w:r>
        <w:rPr>
          <w:color w:val="auto"/>
        </w:rPr>
        <w:t>5.8 Conclusion and Recommendation</w:t>
      </w:r>
      <w:bookmarkEnd w:id="66"/>
    </w:p>
    <w:p>
      <w:pPr>
        <w:pStyle w:val="3"/>
        <w:rPr>
          <w:color w:val="auto"/>
        </w:rPr>
      </w:pPr>
      <w:bookmarkStart w:id="67" w:name="_Toc220932475"/>
      <w:r>
        <w:rPr>
          <w:color w:val="auto"/>
        </w:rPr>
        <w:t>5.8.1 Main research question</w:t>
      </w:r>
      <w:bookmarkEnd w:id="67"/>
    </w:p>
    <w:p>
      <w:pPr>
        <w:pStyle w:val="3"/>
        <w:rPr>
          <w:color w:val="auto"/>
        </w:rPr>
      </w:pPr>
      <w:bookmarkStart w:id="68" w:name="_Toc220932476"/>
      <w:r>
        <w:rPr>
          <w:color w:val="auto"/>
        </w:rPr>
        <w:t>5.8.1.1 Overall conclusion</w:t>
      </w:r>
      <w:bookmarkEnd w:id="68"/>
    </w:p>
    <w:p>
      <w:pPr>
        <w:pBdr>
          <w:top w:val="none" w:sz="0" w:space="0" w:color="auto"/>
          <w:left w:val="none" w:sz="0" w:space="0" w:color="auto"/>
          <w:bottom w:val="none" w:sz="0" w:space="0" w:color="auto"/>
          <w:right w:val="none" w:sz="0" w:space="0" w:color="auto"/>
          <w:between w:val="none" w:sz="0" w:space="0" w:color="auto"/>
        </w:pBdr>
      </w:pPr>
      <w:r>
        <w:t xml:space="preserve">The key question is that guiding the study is able to explore the knowledge as well as the role of informal carers within medication as well as behavioural management for individuals living with dementia within the UK. The Dementia condition is identified as the progressive condition that is increasingly identified to affect the individuals with the ability to manage a daily activity. These further involve the adherence of the medication regimens as well as responses that are determined to focus on the behavioural as well as psychological symptoms. It further concluded that informal; careers play a crucial role in enabling individuals with dementia to remain within community as well as home-based settings. The key findings are well aligned with the research demonstrated within the informal careers that possess substantial practical knowledge that are being developed based on the live experiences rather than formal education or the training. The carers are frequently being responsible for administering the medication, monitoring side effects as well as in managing the polypharmacy as it ensure compliance with treatment plans prescribed by the healthcare professionals. However, the responsibilities focused on carers are often reported limited to understanding the pharmacological purposes of the medications. These are previously antipsychotics as well as antidepressants as these are used for managing behavioural symptoms. Therefore, the key knowledge gap has increased anxiety as well as uncertainty, especially as carers were needed to make decisions within the absence of immediate professional support. </w:t>
      </w:r>
    </w:p>
    <w:p>
      <w:pPr>
        <w:pBdr>
          <w:top w:val="none" w:sz="0" w:space="0" w:color="auto"/>
          <w:left w:val="none" w:sz="0" w:space="0" w:color="auto"/>
          <w:bottom w:val="none" w:sz="0" w:space="0" w:color="auto"/>
          <w:right w:val="none" w:sz="0" w:space="0" w:color="auto"/>
          <w:between w:val="none" w:sz="0" w:space="0" w:color="auto"/>
        </w:pBdr>
      </w:pPr>
      <w:r>
        <w:t xml:space="preserve">Behavioural management has emerged as based on the equally significant aspects of the carer role; the informal carers are determined to manage challenging behaviours for example the agitation, the wandering as well as sleep disturbances. The studies are determined to be found within the carers predominantly relayed within the non-pharmacological strategies as these are able to increase the reassurances, the distractions with maintaining the routines as well as adapting to any physical environment. These approaches are determined to be aligned well with the best practices guidance, careers frequently lacking the formal instructions within the effective implementation. Thus, the main strategies are determined to be often developed for trial and error, as these could be emotionally exhausting to manage the inconsistency within the outcomes. </w:t>
      </w:r>
    </w:p>
    <w:p>
      <w:pPr>
        <w:pBdr>
          <w:top w:val="none" w:sz="0" w:space="0" w:color="auto"/>
          <w:left w:val="none" w:sz="0" w:space="0" w:color="auto"/>
          <w:bottom w:val="none" w:sz="0" w:space="0" w:color="auto"/>
          <w:right w:val="none" w:sz="0" w:space="0" w:color="auto"/>
          <w:between w:val="none" w:sz="0" w:space="0" w:color="auto"/>
        </w:pBdr>
      </w:pPr>
      <w:r>
        <w:t xml:space="preserve">The research is determined to highlight the structural challenges those are involved in the UK health conditions and also social care systems, the informal carers are further reported based on the limited involvement within the decision-making procedures as these are being central to the daily care delivery. The fragmentation is aligned within the primary care specialist services as well as social care; those are being reduced for continuity of the information as well as support. These further often leave careers feeling isolated, undervalued as well as overwhelmed for dementia professions. The research is determined to further confirm that the informal careers are crucial for the effective medication and also behavioural management for the individuals living with dementia within the UK. Thus, the extensive knowledge remains largely informal as well as supported for systematic training within care planning to significant risks in wellbeing and the quality of dementia. </w:t>
      </w:r>
    </w:p>
    <w:p>
      <w:pPr>
        <w:pStyle w:val="3"/>
        <w:rPr>
          <w:color w:val="auto"/>
        </w:rPr>
      </w:pPr>
      <w:bookmarkStart w:id="69" w:name="_Toc220932477"/>
      <w:r>
        <w:rPr>
          <w:color w:val="auto"/>
        </w:rPr>
        <w:t>5.8.2 Reflecting on the research</w:t>
      </w:r>
      <w:bookmarkEnd w:id="69"/>
    </w:p>
    <w:p>
      <w:pPr>
        <w:pStyle w:val="3"/>
        <w:rPr>
          <w:color w:val="auto"/>
        </w:rPr>
      </w:pPr>
      <w:bookmarkStart w:id="70" w:name="_Toc220932478"/>
      <w:r>
        <w:rPr>
          <w:color w:val="auto"/>
        </w:rPr>
        <w:t>5.8.2.1 Your effective approach</w:t>
      </w:r>
      <w:bookmarkEnd w:id="70"/>
    </w:p>
    <w:p>
      <w:pPr>
        <w:pBdr>
          <w:top w:val="none" w:sz="0" w:space="0" w:color="auto"/>
          <w:left w:val="none" w:sz="0" w:space="0" w:color="auto"/>
          <w:bottom w:val="none" w:sz="0" w:space="0" w:color="auto"/>
          <w:right w:val="none" w:sz="0" w:space="0" w:color="auto"/>
          <w:between w:val="none" w:sz="0" w:space="0" w:color="auto"/>
        </w:pBdr>
      </w:pPr>
      <w:r>
        <w:t xml:space="preserve">The key strength of the research is focused within examining the medication as well as behavioural management as these are considered to manage genre care giving roles. These are further allowed to ensure that the deeper analysis of the specific responsibilities ensured to carry the significant risks are aligned with the emotional burden, the usage of the UK-based policies as well as proactive frameworks have enhanced the relevance of the findings as these are particularly related with NHS service delivery and also community dementia care. The structured review of the existing literature is enabled for the identification of the recessing issues faced by the carers, includes inadequate training as well as limited involvement of professionalism. Thus, the approaches are considered to ensure research remains grounded within established evidence while critically analysing the gaps within policy recommendations. </w:t>
      </w:r>
    </w:p>
    <w:p>
      <w:pPr>
        <w:pStyle w:val="3"/>
        <w:rPr>
          <w:color w:val="auto"/>
        </w:rPr>
      </w:pPr>
      <w:bookmarkStart w:id="71" w:name="_Toc220932479"/>
      <w:r>
        <w:rPr>
          <w:color w:val="auto"/>
        </w:rPr>
        <w:t>5.8.2.2 Raising new questions or unexpected insights</w:t>
      </w:r>
      <w:bookmarkEnd w:id="71"/>
    </w:p>
    <w:p>
      <w:pPr>
        <w:pBdr>
          <w:top w:val="none" w:sz="0" w:space="0" w:color="auto"/>
          <w:left w:val="none" w:sz="0" w:space="0" w:color="auto"/>
          <w:bottom w:val="none" w:sz="0" w:space="0" w:color="auto"/>
          <w:right w:val="none" w:sz="0" w:space="0" w:color="auto"/>
          <w:between w:val="none" w:sz="0" w:space="0" w:color="auto"/>
        </w:pBdr>
      </w:pPr>
      <w:r>
        <w:t xml:space="preserve">The unexpected insights are involved within the exit and those are aligned with carer accepted responsibilities for the complex medicated decisions without the questioning of the appropriateness of the role. The raises are aligned with the ethical as well as professional questions in regards to accountability within the home-based dementia care. In addition, the study is able to highlight the absence of the consistent behavioural management guidance. Therefore, these findings are able to suggest the need to explore the recommended practices as these are not effectively translated within the accessible career education as well as supporting the healthcare systems. </w:t>
      </w:r>
    </w:p>
    <w:p>
      <w:pPr>
        <w:pStyle w:val="3"/>
        <w:rPr>
          <w:color w:val="auto"/>
        </w:rPr>
      </w:pPr>
      <w:bookmarkStart w:id="72" w:name="_Toc220932480"/>
      <w:r>
        <w:rPr>
          <w:color w:val="auto"/>
        </w:rPr>
        <w:t>5.8.3 Recommendations</w:t>
      </w:r>
      <w:bookmarkEnd w:id="72"/>
    </w:p>
    <w:p>
      <w:pPr>
        <w:pStyle w:val="3"/>
        <w:rPr>
          <w:color w:val="auto"/>
        </w:rPr>
      </w:pPr>
      <w:bookmarkStart w:id="73" w:name="_Toc220932481"/>
      <w:r>
        <w:rPr>
          <w:color w:val="auto"/>
        </w:rPr>
        <w:t>5.8.3.1 Making recommendations for practice or future</w:t>
      </w:r>
      <w:bookmarkEnd w:id="73"/>
    </w:p>
    <w:p>
      <w:pPr>
        <w:pBdr>
          <w:top w:val="none" w:sz="0" w:space="0" w:color="auto"/>
          <w:left w:val="none" w:sz="0" w:space="0" w:color="auto"/>
          <w:bottom w:val="none" w:sz="0" w:space="0" w:color="auto"/>
          <w:right w:val="none" w:sz="0" w:space="0" w:color="auto"/>
          <w:between w:val="none" w:sz="0" w:space="0" w:color="auto"/>
        </w:pBdr>
      </w:pPr>
      <w:r>
        <w:t xml:space="preserve">The recommendations for the informal dare are aligned well with formally re-established key stakeholders within dementia care of the UK and also social care policy. The key recognitions are determined to ensure the effective involvement within the routine involvement for medication reviews and also multidisciplinary discussions. Therefore, the carers are determined to acknowledge the partners with the passive recipients for the information collected. </w:t>
      </w:r>
    </w:p>
    <w:p>
      <w:pPr>
        <w:pStyle w:val="3"/>
        <w:rPr>
          <w:color w:val="auto"/>
        </w:rPr>
      </w:pPr>
      <w:bookmarkStart w:id="74" w:name="_Toc220932482"/>
      <w:r>
        <w:rPr>
          <w:color w:val="auto"/>
        </w:rPr>
        <w:t>5.8.3.2 Framing practical recommendations</w:t>
      </w:r>
      <w:bookmarkEnd w:id="74"/>
    </w:p>
    <w:p>
      <w:pPr>
        <w:pBdr>
          <w:top w:val="none" w:sz="0" w:space="0" w:color="auto"/>
          <w:left w:val="none" w:sz="0" w:space="0" w:color="auto"/>
          <w:bottom w:val="none" w:sz="0" w:space="0" w:color="auto"/>
          <w:right w:val="none" w:sz="0" w:space="0" w:color="auto"/>
          <w:between w:val="none" w:sz="0" w:space="0" w:color="auto"/>
        </w:pBdr>
      </w:pPr>
      <w:r>
        <w:t>The practical interventions are determined to focus on the developing the structured as well as supporting the programmes are determined to focus on the informal carers. The programmes are required to mitigate the medication management as these involve the understanding of prescriptions, recognising the effects as well as to manage changes within the treatment's purpose (</w:t>
      </w:r>
      <w:r>
        <w:rPr>
          <w:highlight w:val="white"/>
        </w:rPr>
        <w:t xml:space="preserve">McCahon </w:t>
      </w:r>
      <w:r>
        <w:rPr>
          <w:i/>
          <w:iCs/>
          <w:highlight w:val="white"/>
        </w:rPr>
        <w:t xml:space="preserve">et al. </w:t>
      </w:r>
      <w:r>
        <w:rPr>
          <w:highlight w:val="white"/>
        </w:rPr>
        <w:t>2022</w:t>
      </w:r>
      <w:r>
        <w:t>). The training within behavioural management is determined to appropriate non-pharmacological strategies as these are determined to provide a clear guidance for responding within common dementia-related behaviours. The accessibility of the delivery methods are aligned well with the online learning platforms, the GP-led workshops as well as community-based sessions. These are required to be implied based on accommodating the carers’ time constraints. The regular pharmacist-led medications are reviewed based on involving the address; those would further be enhanced based on the safety as well as confidence (</w:t>
      </w:r>
      <w:r>
        <w:rPr>
          <w:highlight w:val="white"/>
        </w:rPr>
        <w:t xml:space="preserve">Lexow </w:t>
      </w:r>
      <w:r>
        <w:rPr>
          <w:i/>
          <w:iCs/>
          <w:highlight w:val="white"/>
        </w:rPr>
        <w:t xml:space="preserve">et al. </w:t>
      </w:r>
      <w:r>
        <w:rPr>
          <w:highlight w:val="white"/>
        </w:rPr>
        <w:t>2022</w:t>
      </w:r>
      <w:r>
        <w:t>). The carers are determined to focus on safety that can be developed within providing the mobile reminder applications, as these are easy-to-read for the medication charts for help lines. These further tend to support the system that are involving training digital as well as professional collaboration that will further enable the informal carers to be empowered. These are determined to recognise the informal caregivers that play a crucial role within the medication management are the persons living with dementia (</w:t>
      </w:r>
      <w:r>
        <w:rPr>
          <w:highlight w:val="white"/>
        </w:rPr>
        <w:t>Damiaens</w:t>
      </w:r>
      <w:r>
        <w:rPr>
          <w:i/>
          <w:iCs/>
          <w:highlight w:val="white"/>
        </w:rPr>
        <w:t xml:space="preserve">et al. </w:t>
      </w:r>
      <w:r>
        <w:rPr>
          <w:highlight w:val="white"/>
        </w:rPr>
        <w:t>2022</w:t>
      </w:r>
      <w:r>
        <w:t xml:space="preserve">). It further involves the specialized training sessions; informal care providers are able to evolve based on the diseases such as dementia. The equipment management as well as nursing procedures are determined to be two of the significant segments as these need to be aligned with the learnt through informal caregivers for promoting the medical management for the individuals with dementia. Therefore, these are further imposed based on the access towards respite care as well as emotional supporting services that are crucial for reducing the caregiver burn and also preventing burnouts. </w:t>
      </w:r>
    </w:p>
    <w:p>
      <w:pPr>
        <w:pStyle w:val="3"/>
        <w:rPr>
          <w:color w:val="auto"/>
        </w:rPr>
      </w:pPr>
      <w:bookmarkStart w:id="75" w:name="_Toc220932483"/>
      <w:r>
        <w:rPr>
          <w:color w:val="auto"/>
        </w:rPr>
        <w:t>5.8.3.3 Research recommendations explaining future studies</w:t>
      </w:r>
      <w:bookmarkEnd w:id="75"/>
    </w:p>
    <w:p>
      <w:pPr>
        <w:pBdr>
          <w:top w:val="none" w:sz="0" w:space="0" w:color="auto"/>
          <w:left w:val="none" w:sz="0" w:space="0" w:color="auto"/>
          <w:bottom w:val="none" w:sz="0" w:space="0" w:color="auto"/>
          <w:right w:val="none" w:sz="0" w:space="0" w:color="auto"/>
          <w:between w:val="none" w:sz="0" w:space="0" w:color="auto"/>
        </w:pBdr>
      </w:pPr>
      <w:r>
        <w:t>The future research is required to be able to evaluate the effectiveness of those that are aligned well with the targeted carer education programmes within medication adherence, the outcomes of behaviours and also carer wellbeing. The longitudinal studies are determined to be recommended based on examining the carers; knowledge for better coping of strategies evolved over the time. The strategies related to the non-pharmacological behaviours are determined to focus on implying the informal carers’ of the people with the dementia condition (</w:t>
      </w:r>
      <w:r>
        <w:rPr>
          <w:highlight w:val="white"/>
        </w:rPr>
        <w:t xml:space="preserve">Consiglio </w:t>
      </w:r>
      <w:r>
        <w:rPr>
          <w:i/>
          <w:iCs/>
          <w:highlight w:val="white"/>
        </w:rPr>
        <w:t xml:space="preserve">et al. </w:t>
      </w:r>
      <w:r>
        <w:rPr>
          <w:highlight w:val="white"/>
        </w:rPr>
        <w:t>2026</w:t>
      </w:r>
      <w:r>
        <w:t xml:space="preserve">). The research study is determined to prefer the person-centred routines, the environmental modifications as well as structured activities as these tend to alleviate the agitation or anxiety. These measures are considered to be useful for reducing the need for many kinds of sedatives. Thus, the research is required to explore the experiences of the carers from diverse cultural as well as socioeconomic backgrounds to ensure equity within the dementia care providers across the UK. </w:t>
      </w:r>
    </w:p>
    <w:p>
      <w:pPr>
        <w:pStyle w:val="3"/>
        <w:rPr>
          <w:color w:val="auto"/>
        </w:rPr>
      </w:pPr>
      <w:bookmarkStart w:id="76" w:name="_Toc220932484"/>
      <w:r>
        <w:rPr>
          <w:color w:val="auto"/>
        </w:rPr>
        <w:t>5.8.4 Emphasizing your contribution</w:t>
      </w:r>
      <w:bookmarkEnd w:id="76"/>
    </w:p>
    <w:p>
      <w:pPr>
        <w:pStyle w:val="3"/>
        <w:rPr>
          <w:color w:val="auto"/>
        </w:rPr>
      </w:pPr>
      <w:bookmarkStart w:id="77" w:name="_Toc220932485"/>
      <w:r>
        <w:rPr>
          <w:color w:val="auto"/>
        </w:rPr>
        <w:t>5.8.4.1 New knowledge have been contributed</w:t>
      </w:r>
      <w:bookmarkEnd w:id="77"/>
    </w:p>
    <w:p>
      <w:pPr>
        <w:pBdr>
          <w:top w:val="none" w:sz="0" w:space="0" w:color="auto"/>
          <w:left w:val="none" w:sz="0" w:space="0" w:color="auto"/>
          <w:bottom w:val="none" w:sz="0" w:space="0" w:color="auto"/>
          <w:right w:val="none" w:sz="0" w:space="0" w:color="auto"/>
          <w:between w:val="none" w:sz="0" w:space="0" w:color="auto"/>
        </w:pBdr>
      </w:pPr>
      <w:r>
        <w:t xml:space="preserve">The current study is considered to focus on contributions towards new knowledge through specifically focusing on the informal carers; involvement within both the medication and also behavioural management. The area is determined to focus on underexposure within dementia research. Thus, these are being highlighted based on the complexities of the carers’ responsibilities and also exposing critical gaps within the formal training with managing systemic support. </w:t>
      </w:r>
    </w:p>
    <w:p>
      <w:pPr>
        <w:pStyle w:val="3"/>
        <w:rPr>
          <w:color w:val="auto"/>
        </w:rPr>
      </w:pPr>
      <w:bookmarkStart w:id="78" w:name="_Toc220932486"/>
      <w:r>
        <w:rPr>
          <w:color w:val="auto"/>
        </w:rPr>
        <w:t>5.8.4.2 Clear impression of why research matters</w:t>
      </w:r>
      <w:bookmarkEnd w:id="78"/>
    </w:p>
    <w:p>
      <w:pPr>
        <w:pBdr>
          <w:top w:val="none" w:sz="0" w:space="0" w:color="auto"/>
          <w:left w:val="none" w:sz="0" w:space="0" w:color="auto"/>
          <w:bottom w:val="none" w:sz="0" w:space="0" w:color="auto"/>
          <w:right w:val="none" w:sz="0" w:space="0" w:color="auto"/>
          <w:between w:val="none" w:sz="0" w:space="0" w:color="auto"/>
        </w:pBdr>
        <w:sectPr>
          <w:pgSz w:w="12240" w:h="15840"/>
          <w:pgMar w:top="1440" w:right="1440" w:bottom="1440" w:left="1440" w:header="720" w:footer="720" w:gutter="0"/>
          <w:titlePg/>
          <w:docGrid w:linePitch="312" w:charSpace="0"/>
        </w:sectPr>
      </w:pPr>
      <w:r>
        <w:t xml:space="preserve">The present research is considered to reinforce the essential role those are aligned to the informal carers. This further enables the individuals with the dementia condition to live safely at home. Furthermore, through identifying the practical as well as the policed shortcomings are determined to manage the supports for developing more inclusive, career-centred dementia care models. Therefore, strengthening the support for informal careers is considered not developing patient outcomes but these are also able to count towards the long-term sustainability of dementia care within the UK. </w:t>
      </w:r>
    </w:p>
    <w:p>
      <w:pPr>
        <w:pStyle w:val="1"/>
        <w:rPr>
          <w:i/>
          <w:iCs/>
          <w:color w:val="auto"/>
        </w:rPr>
      </w:pPr>
      <w:bookmarkStart w:id="79" w:name="_Toc220932487"/>
      <w:r>
        <w:rPr>
          <w:color w:val="auto"/>
        </w:rPr>
        <w:t>References</w:t>
      </w:r>
      <w:bookmarkEnd w:id="79"/>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Alkhaldi, M., Lindsey, L. and Richardson, C., (2025). ‘Role of informal carers in medication management for people with long-term conditions: a systematic review’. </w:t>
      </w:r>
      <w:r>
        <w:rPr>
          <w:i/>
          <w:iCs/>
        </w:rPr>
        <w:t>BMJ open</w:t>
      </w:r>
      <w:r>
        <w:t xml:space="preserve">, </w:t>
      </w:r>
      <w:r>
        <w:rPr>
          <w:i/>
          <w:iCs/>
        </w:rPr>
        <w:t>15</w:t>
      </w:r>
      <w:r>
        <w:t>(2), p.e094443.</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Allen, J., Woolford, M., Livingston, P.M., Lobchuk, M., Muldowney, A. and Hutchinson, A.M., (2023). Informal carer support needs, facilitators and barriers in transitional care for older adults from hospital to home: A scoping review. </w:t>
      </w:r>
      <w:r>
        <w:rPr>
          <w:i/>
          <w:iCs/>
        </w:rPr>
        <w:t>Journal of Clinical Nursing</w:t>
      </w:r>
      <w:r>
        <w:t xml:space="preserve">, </w:t>
      </w:r>
      <w:r>
        <w:rPr>
          <w:i/>
          <w:iCs/>
        </w:rPr>
        <w:t>32</w:t>
      </w:r>
      <w:r>
        <w:t>(19-20), pp.6773-6795.</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Alzheimers (2024). </w:t>
      </w:r>
      <w:r>
        <w:rPr>
          <w:i/>
          <w:iCs/>
        </w:rPr>
        <w:t>Because we’re human too.</w:t>
      </w:r>
      <w:r>
        <w:t xml:space="preserve"> Available at:</w:t>
      </w:r>
      <w:r>
        <w:rPr>
          <w:u w:val="single"/>
        </w:rPr>
        <w:fldChar w:fldCharType="begin"/>
      </w:r>
      <w:r>
        <w:instrText>HYPERLINK "https://www.alzheimers.org.uk/sites/default/files/2024-11/Why-dementia-training-matters.pdf"</w:instrText>
      </w:r>
      <w:r>
        <w:rPr>
          <w:u w:val="single"/>
        </w:rPr>
        <w:fldChar w:fldCharType="separate"/>
      </w:r>
      <w:r>
        <w:rPr>
          <w:u w:val="single"/>
        </w:rPr>
        <w:t>https://www.alzheimers.org.uk/sites/default/files/2024-11/Why-dementia-training-matters.pdf</w:t>
      </w:r>
      <w:r>
        <w:rPr>
          <w:u w:val="single"/>
        </w:rPr>
        <w:fldChar w:fldCharType="end"/>
      </w:r>
      <w:r>
        <w:t xml:space="preserve"> (Accessed on: 7 October 2025).</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Alzheimers (2024). </w:t>
      </w:r>
      <w:r>
        <w:rPr>
          <w:i/>
          <w:iCs/>
        </w:rPr>
        <w:t xml:space="preserve">DEMENTIA AND AGEING. </w:t>
      </w:r>
      <w:r>
        <w:t>Available at:</w:t>
      </w:r>
      <w:r>
        <w:rPr>
          <w:u w:val="single"/>
        </w:rPr>
        <w:fldChar w:fldCharType="begin"/>
      </w:r>
      <w:r>
        <w:instrText>HYPERLINK "https://www.alzheimersresearchuk.org/dementia-information/dementia-risk/dementia-and-ageing/"</w:instrText>
      </w:r>
      <w:r>
        <w:rPr>
          <w:u w:val="single"/>
        </w:rPr>
        <w:fldChar w:fldCharType="separate"/>
      </w:r>
      <w:r>
        <w:rPr>
          <w:u w:val="single"/>
        </w:rPr>
        <w:t>https://www.alzheimersresearchuk.org/dementia-information/dementia-risk/dementia-and-ageing/</w:t>
      </w:r>
      <w:r>
        <w:rPr>
          <w:u w:val="single"/>
        </w:rPr>
        <w:fldChar w:fldCharType="end"/>
      </w:r>
      <w:r>
        <w:t xml:space="preserve"> (Accessed on: 7 October 2025).</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Alzheimer's Disease International (2025). </w:t>
      </w:r>
      <w:r>
        <w:rPr>
          <w:i/>
          <w:iCs/>
        </w:rPr>
        <w:t>Dementia statistics</w:t>
      </w:r>
      <w:r>
        <w:t>. Available at:</w:t>
      </w:r>
      <w:r>
        <w:rPr>
          <w:u w:val="single"/>
        </w:rPr>
        <w:fldChar w:fldCharType="begin"/>
      </w:r>
      <w:r>
        <w:instrText>HYPERLINK "https://www.alzint.org/about/dementia-facts-figures/dementia-statistics/"</w:instrText>
      </w:r>
      <w:r>
        <w:rPr>
          <w:u w:val="single"/>
        </w:rPr>
        <w:fldChar w:fldCharType="separate"/>
      </w:r>
      <w:r>
        <w:rPr>
          <w:u w:val="single"/>
        </w:rPr>
        <w:t>https://www.alzint.org/about/dementia-facts-figures/dementia-statistics/</w:t>
      </w:r>
      <w:r>
        <w:rPr>
          <w:u w:val="single"/>
        </w:rPr>
        <w:fldChar w:fldCharType="end"/>
      </w:r>
      <w:r>
        <w:t xml:space="preserve"> (Accessed on: 7 October 2025).</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Alzheimer's Research UK (2024). </w:t>
      </w:r>
      <w:r>
        <w:rPr>
          <w:i/>
          <w:iCs/>
        </w:rPr>
        <w:t>The economic impact of dementia</w:t>
      </w:r>
      <w:r>
        <w:t>. Available at:</w:t>
      </w:r>
      <w:r>
        <w:rPr>
          <w:u w:val="single"/>
        </w:rPr>
        <w:fldChar w:fldCharType="begin"/>
      </w:r>
      <w:r>
        <w:instrText>HYPERLINK "https://dementiastatistics.org/statistics/the-economic-impact-of-dementia/"</w:instrText>
      </w:r>
      <w:r>
        <w:rPr>
          <w:u w:val="single"/>
        </w:rPr>
        <w:fldChar w:fldCharType="separate"/>
      </w:r>
      <w:r>
        <w:rPr>
          <w:u w:val="single"/>
        </w:rPr>
        <w:t>https://dementiastatistics.org/statistics/the-economic-impact-of-dementia/</w:t>
      </w:r>
      <w:r>
        <w:rPr>
          <w:u w:val="single"/>
        </w:rPr>
        <w:fldChar w:fldCharType="end"/>
      </w:r>
      <w:r>
        <w:t xml:space="preserve"> (Accessed on: 7 October 2025).</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Alzheimer's Society (2022). </w:t>
      </w:r>
      <w:r>
        <w:rPr>
          <w:i/>
          <w:iCs/>
        </w:rPr>
        <w:t>Understanding and Supporting a Person with Dementia</w:t>
      </w:r>
      <w:r>
        <w:t>. Available at:</w:t>
      </w:r>
      <w:r>
        <w:rPr>
          <w:u w:val="single"/>
        </w:rPr>
        <w:fldChar w:fldCharType="begin"/>
      </w:r>
      <w:r>
        <w:instrText>HYPERLINK "https://www.alzheimers.org.uk/get-support/help-dementia-care/understanding-supporting-person-dementia"</w:instrText>
      </w:r>
      <w:r>
        <w:rPr>
          <w:u w:val="single"/>
        </w:rPr>
        <w:fldChar w:fldCharType="separate"/>
      </w:r>
      <w:r>
        <w:rPr>
          <w:u w:val="single"/>
        </w:rPr>
        <w:t>https://www.alzheimers.org.uk/get-support/help-dementia-care/understanding-supporting-person-dementia</w:t>
      </w:r>
      <w:r>
        <w:rPr>
          <w:u w:val="single"/>
        </w:rPr>
        <w:fldChar w:fldCharType="end"/>
      </w:r>
      <w:r>
        <w:t xml:space="preserve"> (Accessed on: 7 October 2025).</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Amjad, A., Kordel, P. and Fernandes, G., (2023). A review on innovation in healthcare sector (telehealth) through artificial intelligence. </w:t>
      </w:r>
      <w:r>
        <w:rPr>
          <w:i/>
          <w:iCs/>
        </w:rPr>
        <w:t>Sustainability</w:t>
      </w:r>
      <w:r>
        <w:t xml:space="preserve">, </w:t>
      </w:r>
      <w:r>
        <w:rPr>
          <w:i/>
          <w:iCs/>
        </w:rPr>
        <w:t>15</w:t>
      </w:r>
      <w:r>
        <w:t>(8), p.6655.</w:t>
      </w:r>
    </w:p>
    <w:p>
      <w:pPr>
        <w:pBdr>
          <w:top w:val="none" w:sz="0" w:space="0" w:color="auto"/>
          <w:left w:val="none" w:sz="0" w:space="0" w:color="auto"/>
          <w:bottom w:val="none" w:sz="0" w:space="0" w:color="auto"/>
          <w:right w:val="none" w:sz="0" w:space="0" w:color="auto"/>
          <w:between w:val="none" w:sz="0" w:space="0" w:color="auto"/>
        </w:pBdr>
        <w:spacing w:before="240" w:after="240"/>
        <w:jc w:val="left"/>
        <w:rPr>
          <w:highlight w:val="white"/>
        </w:rPr>
      </w:pPr>
      <w:r>
        <w:rPr>
          <w:highlight w:val="white"/>
        </w:rPr>
        <w:t xml:space="preserve">Ansari, M.R., Rahim, K., Bhoje, R. and Bhosale, S., (2022). A study on research design and its types. </w:t>
      </w:r>
      <w:r>
        <w:rPr>
          <w:i/>
          <w:iCs/>
          <w:highlight w:val="white"/>
        </w:rPr>
        <w:t>International Research Journal of Engineering and Technology (IRJET)</w:t>
      </w:r>
      <w:r>
        <w:rPr>
          <w:highlight w:val="white"/>
        </w:rPr>
        <w:t xml:space="preserve">, </w:t>
      </w:r>
      <w:r>
        <w:rPr>
          <w:i/>
          <w:iCs/>
          <w:highlight w:val="white"/>
        </w:rPr>
        <w:t>9</w:t>
      </w:r>
      <w:r>
        <w:rPr>
          <w:highlight w:val="white"/>
        </w:rPr>
        <w:t>(7), pp.1132-1135.</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Askarizadeh, M.M., Gholamhosseini, L., Khajouei, R., Homayee, S., Askarizadeh, F. and Ahmadian, L., (2025). Determining the impact of mobile-based self-care applications on reducing anxiety in healthcare providers: a systematic review. </w:t>
      </w:r>
      <w:r>
        <w:rPr>
          <w:i/>
          <w:iCs/>
        </w:rPr>
        <w:t>BMC medical informatics and decision making</w:t>
      </w:r>
      <w:r>
        <w:t xml:space="preserve">, </w:t>
      </w:r>
      <w:r>
        <w:rPr>
          <w:i/>
          <w:iCs/>
        </w:rPr>
        <w:t>25</w:t>
      </w:r>
      <w:r>
        <w:t>(1), p.37.</w:t>
      </w:r>
    </w:p>
    <w:p>
      <w:pPr>
        <w:pBdr>
          <w:top w:val="none" w:sz="0" w:space="0" w:color="auto"/>
          <w:left w:val="none" w:sz="0" w:space="0" w:color="auto"/>
          <w:bottom w:val="none" w:sz="0" w:space="0" w:color="auto"/>
          <w:right w:val="none" w:sz="0" w:space="0" w:color="auto"/>
          <w:between w:val="none" w:sz="0" w:space="0" w:color="auto"/>
        </w:pBdr>
        <w:spacing w:before="240" w:after="240"/>
        <w:jc w:val="left"/>
        <w:rPr>
          <w:highlight w:val="white"/>
        </w:rPr>
      </w:pPr>
      <w:r>
        <w:rPr>
          <w:highlight w:val="white"/>
        </w:rPr>
        <w:t xml:space="preserve">Barroga, E., Matanguihan, G.J., Furuta, A., Arima, M., Tsuchiya, S., Kawahara, C., Takamiya, Y. and Izumi, M., 2023. Conducting and writing quantitative and qualitative research. </w:t>
      </w:r>
      <w:r>
        <w:rPr>
          <w:i/>
          <w:iCs/>
          <w:highlight w:val="white"/>
        </w:rPr>
        <w:t>Journal of Korean medical science</w:t>
      </w:r>
      <w:r>
        <w:rPr>
          <w:highlight w:val="white"/>
        </w:rPr>
        <w:t xml:space="preserve">, </w:t>
      </w:r>
      <w:r>
        <w:rPr>
          <w:i/>
          <w:iCs/>
          <w:highlight w:val="white"/>
        </w:rPr>
        <w:t>38</w:t>
      </w:r>
      <w:r>
        <w:rPr>
          <w:highlight w:val="white"/>
        </w:rPr>
        <w:t>(37).</w:t>
      </w:r>
    </w:p>
    <w:p>
      <w:pPr>
        <w:spacing w:before="240" w:after="240"/>
        <w:jc w:val="left"/>
        <w:rPr>
          <w:highlight w:val="white"/>
        </w:rPr>
      </w:pPr>
      <w:r>
        <w:rPr>
          <w:highlight w:val="white"/>
        </w:rPr>
        <w:t xml:space="preserve">Błaszczyk, J.W., (2022). Pathogenesis of dementia. </w:t>
      </w:r>
      <w:r>
        <w:rPr>
          <w:i/>
          <w:iCs/>
          <w:highlight w:val="white"/>
        </w:rPr>
        <w:t>International Journal of Molecular Sciences</w:t>
      </w:r>
      <w:r>
        <w:rPr>
          <w:highlight w:val="white"/>
        </w:rPr>
        <w:t xml:space="preserve">, </w:t>
      </w:r>
      <w:r>
        <w:rPr>
          <w:i/>
          <w:iCs/>
          <w:highlight w:val="white"/>
        </w:rPr>
        <w:t>24</w:t>
      </w:r>
      <w:r>
        <w:rPr>
          <w:highlight w:val="white"/>
        </w:rPr>
        <w:t>(1), p.543.</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Boamah, S.A., Yous, M.L., Weldrick, R., Havaei, F. and Ganann, R., (2022). Using photovoice as a method for capturing the lived experiences of caregivers during COVID-19: A methodological insight. </w:t>
      </w:r>
      <w:r>
        <w:rPr>
          <w:i/>
          <w:iCs/>
        </w:rPr>
        <w:t>International Journal of Qualitative Methods</w:t>
      </w:r>
      <w:r>
        <w:t xml:space="preserve">, </w:t>
      </w:r>
      <w:r>
        <w:rPr>
          <w:i/>
          <w:iCs/>
        </w:rPr>
        <w:t>21</w:t>
      </w:r>
      <w:r>
        <w:t>, p.16094069221137494.</w:t>
      </w:r>
    </w:p>
    <w:p>
      <w:pPr>
        <w:spacing w:before="240" w:after="240"/>
        <w:jc w:val="left"/>
      </w:pPr>
      <w:r>
        <w:t xml:space="preserve">Boamah, S.A., Yous, M.L., Weldrick, R., Havaei, F. and Ganann, R., (2022). Using photovoice as a method for capturing the lived experiences of caregivers during COVID-19: A methodological insight. </w:t>
      </w:r>
      <w:r>
        <w:rPr>
          <w:i/>
          <w:iCs/>
        </w:rPr>
        <w:t>International Journal of Qualitative Methods</w:t>
      </w:r>
      <w:r>
        <w:t xml:space="preserve">, </w:t>
      </w:r>
      <w:r>
        <w:rPr>
          <w:i/>
          <w:iCs/>
        </w:rPr>
        <w:t>21</w:t>
      </w:r>
      <w:r>
        <w:t>, p.16094069221137494.</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Buck, H.G., Howland, C., Stawnychy, M.A., Aldossary, H., Cortes, Y.I., DeBerg, J., Durante, A., Graven, L.J., Irani, E., Jaboob, S. and Massouh, A., (2024). Caregivers' contributions to heart failure self-care: an updated systematic review. </w:t>
      </w:r>
      <w:r>
        <w:rPr>
          <w:i/>
          <w:iCs/>
        </w:rPr>
        <w:t>Journal of Cardiovascular Nursing</w:t>
      </w:r>
      <w:r>
        <w:t xml:space="preserve">, </w:t>
      </w:r>
      <w:r>
        <w:rPr>
          <w:i/>
          <w:iCs/>
        </w:rPr>
        <w:t>39</w:t>
      </w:r>
      <w:r>
        <w:t>(3), pp.266-278.</w:t>
      </w:r>
    </w:p>
    <w:p>
      <w:pPr>
        <w:jc w:val="left"/>
        <w:rPr>
          <w:i/>
          <w:iCs/>
        </w:rPr>
      </w:pPr>
      <w:r>
        <w:t xml:space="preserve">Buck, H.G., Howland, C., Stawnychy, M.A., Aldossary, H., Cortes, Y.I., DeBerg, J., Durante, A., Graven, L.J., Irani, E., Jaboob, S. and Massouh, A., (2024). Caregivers' contributions to heart failure self-care: an updated systematic review. </w:t>
      </w:r>
      <w:r>
        <w:rPr>
          <w:i/>
          <w:iCs/>
        </w:rPr>
        <w:t>Journal of Cardiovascular Nursing</w:t>
      </w:r>
      <w:r>
        <w:t xml:space="preserve">, </w:t>
      </w:r>
      <w:r>
        <w:rPr>
          <w:i/>
          <w:iCs/>
        </w:rPr>
        <w:t>39</w:t>
      </w:r>
      <w:r>
        <w:t>(3), pp.266-278.</w:t>
      </w:r>
    </w:p>
    <w:p>
      <w:pPr>
        <w:spacing w:before="240" w:after="240"/>
        <w:jc w:val="left"/>
        <w:rPr>
          <w:highlight w:val="white"/>
        </w:rPr>
      </w:pPr>
      <w:r>
        <w:rPr>
          <w:highlight w:val="white"/>
        </w:rPr>
        <w:t xml:space="preserve">Burnand, A., Woodward, A., Kolodin, V., Manthorpe, J., Jani, Y., Orlu, M., Bhanu, C., Samsi, K., Vickerstaff, V., Wilcock, J. and Ward, J.,(2025). Service delivery and the role of clinical pharmacists in UK primary care for older people, including people with dementia: a scoping review. </w:t>
      </w:r>
      <w:r>
        <w:rPr>
          <w:i/>
          <w:iCs/>
          <w:highlight w:val="white"/>
        </w:rPr>
        <w:t>BMC Primary Care</w:t>
      </w:r>
      <w:r>
        <w:rPr>
          <w:highlight w:val="white"/>
        </w:rPr>
        <w:t xml:space="preserve">, </w:t>
      </w:r>
      <w:r>
        <w:rPr>
          <w:i/>
          <w:iCs/>
          <w:highlight w:val="white"/>
        </w:rPr>
        <w:t>26</w:t>
      </w:r>
      <w:r>
        <w:rPr>
          <w:highlight w:val="white"/>
        </w:rPr>
        <w:t>(1), p.10.</w:t>
      </w:r>
    </w:p>
    <w:p>
      <w:pPr>
        <w:pBdr>
          <w:top w:val="none" w:sz="0" w:space="0" w:color="auto"/>
          <w:left w:val="none" w:sz="0" w:space="0" w:color="auto"/>
          <w:bottom w:val="none" w:sz="0" w:space="0" w:color="auto"/>
          <w:right w:val="none" w:sz="0" w:space="0" w:color="auto"/>
          <w:between w:val="none" w:sz="0" w:space="0" w:color="auto"/>
        </w:pBdr>
        <w:spacing w:before="240" w:after="240"/>
        <w:jc w:val="left"/>
        <w:rPr>
          <w:highlight w:val="white"/>
        </w:rPr>
      </w:pPr>
      <w:r>
        <w:rPr>
          <w:highlight w:val="white"/>
        </w:rPr>
        <w:t>Caçador, H., Lopes, B., Galupa, R., Santos, O. and Pinho, I., (2024). Literature Review: Clustering as a Strategy to Collect and Select Relevant Publications. In the World</w:t>
      </w:r>
      <w:r>
        <w:rPr>
          <w:i/>
          <w:iCs/>
          <w:highlight w:val="white"/>
        </w:rPr>
        <w:t xml:space="preserve"> Conference on Qualitative Research</w:t>
      </w:r>
      <w:r>
        <w:rPr>
          <w:highlight w:val="white"/>
        </w:rPr>
        <w:t xml:space="preserve"> (pp. 93-113). Springer, Cham.</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Cai, Y., Simons, A., Toland, S., Zhang, J. and Zheng, K., (2021). Informal caregivers’ quality of life and management strategies following the transformation of their cancer caregiving role: A qualitative systematic review. </w:t>
      </w:r>
      <w:r>
        <w:rPr>
          <w:i/>
          <w:iCs/>
        </w:rPr>
        <w:t>International Journal of Nursing Sciences</w:t>
      </w:r>
      <w:r>
        <w:t xml:space="preserve">, </w:t>
      </w:r>
      <w:r>
        <w:rPr>
          <w:i/>
          <w:iCs/>
        </w:rPr>
        <w:t>8</w:t>
      </w:r>
      <w:r>
        <w:t>(2), pp.227-236.</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Campbell, K.A., Cammer, A., Moisey, L.L., Orr, E., Whitmore, C. and Jack, S.M., (2024). Critically appraising and utilising qualitative health research evidence in nutrition practice. </w:t>
      </w:r>
      <w:r>
        <w:rPr>
          <w:i/>
          <w:iCs/>
        </w:rPr>
        <w:t>Journal of Human Nutrition and Dietetics</w:t>
      </w:r>
      <w:r>
        <w:t xml:space="preserve">, </w:t>
      </w:r>
      <w:r>
        <w:rPr>
          <w:i/>
          <w:iCs/>
        </w:rPr>
        <w:t>37</w:t>
      </w:r>
      <w:r>
        <w:t>(1), pp.377-387.</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Carers UK (2023). </w:t>
      </w:r>
      <w:r>
        <w:rPr>
          <w:i/>
          <w:iCs/>
        </w:rPr>
        <w:t>The impact of caring on: health State of Caring 2023</w:t>
      </w:r>
      <w:r>
        <w:t>. Available at:</w:t>
      </w:r>
      <w:r>
        <w:rPr>
          <w:u w:val="single"/>
        </w:rPr>
        <w:fldChar w:fldCharType="begin"/>
      </w:r>
      <w:r>
        <w:instrText>HYPERLINK "https://www.carersuk.org/media/xgwlj0gn/soc23-health-report_web.pdf"</w:instrText>
      </w:r>
      <w:r>
        <w:rPr>
          <w:u w:val="single"/>
        </w:rPr>
        <w:fldChar w:fldCharType="separate"/>
      </w:r>
      <w:r>
        <w:rPr>
          <w:u w:val="single"/>
        </w:rPr>
        <w:t>https://www.carersuk.org/media/xgwlj0gn/soc23-health-report_web.pdf</w:t>
      </w:r>
      <w:r>
        <w:rPr>
          <w:u w:val="single"/>
        </w:rPr>
        <w:fldChar w:fldCharType="end"/>
      </w:r>
      <w:r>
        <w:t xml:space="preserve"> (Accessed on: 7 October 2025).</w:t>
      </w:r>
    </w:p>
    <w:p>
      <w:pPr>
        <w:spacing w:before="240" w:after="240"/>
        <w:jc w:val="left"/>
        <w:rPr>
          <w:highlight w:val="white"/>
        </w:rPr>
      </w:pPr>
      <w:r>
        <w:rPr>
          <w:highlight w:val="white"/>
        </w:rPr>
        <w:t xml:space="preserve">Carlqvist, C., Ekstedt, M. and Lehnbom, E.C., (2024). Exploring the impact of pharmacist-supported medication reviews in dementia care: experiences of general practitioners and nurses. </w:t>
      </w:r>
      <w:r>
        <w:rPr>
          <w:i/>
          <w:iCs/>
          <w:highlight w:val="white"/>
        </w:rPr>
        <w:t>BMC geriatrics</w:t>
      </w:r>
      <w:r>
        <w:rPr>
          <w:highlight w:val="white"/>
        </w:rPr>
        <w:t xml:space="preserve">, </w:t>
      </w:r>
      <w:r>
        <w:rPr>
          <w:i/>
          <w:iCs/>
          <w:highlight w:val="white"/>
        </w:rPr>
        <w:t>24</w:t>
      </w:r>
      <w:r>
        <w:rPr>
          <w:highlight w:val="white"/>
        </w:rPr>
        <w:t>(1), p.520.</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Chan, F., Lam, K., Lai, D., Tong, C., Lum, C. and Woo, J., (2025). Views of Family Caregivers on Advance Care Planning in Advanced Dementia Care in Hong Kong: A Qualitative Thematic Content Analysis Study. </w:t>
      </w:r>
      <w:r>
        <w:rPr>
          <w:i/>
          <w:iCs/>
        </w:rPr>
        <w:t>Health Science Reports</w:t>
      </w:r>
      <w:r>
        <w:t xml:space="preserve">, </w:t>
      </w:r>
      <w:r>
        <w:rPr>
          <w:i/>
          <w:iCs/>
        </w:rPr>
        <w:t>8</w:t>
      </w:r>
      <w:r>
        <w:t>(7), p.e70983.</w:t>
      </w:r>
    </w:p>
    <w:p>
      <w:pPr>
        <w:spacing w:before="240" w:after="240"/>
        <w:jc w:val="left"/>
      </w:pPr>
      <w:r>
        <w:t xml:space="preserve">Chan, F., Lam, K., Lai, D., Tong, C., Lum, C. and Woo, J., (2025). Views of Family Caregivers on Advance Care Planning in Advanced Dementia Care in Hong Kong: A Qualitative Thematic Content Analysis Study. </w:t>
      </w:r>
      <w:r>
        <w:rPr>
          <w:i/>
          <w:iCs/>
        </w:rPr>
        <w:t>Health Science Reports</w:t>
      </w:r>
      <w:r>
        <w:t xml:space="preserve">, </w:t>
      </w:r>
      <w:r>
        <w:rPr>
          <w:i/>
          <w:iCs/>
        </w:rPr>
        <w:t>8</w:t>
      </w:r>
      <w:r>
        <w:t>(7), p.e70983.</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Cipolletta, S., Morandini, B. and Tomaino, S.C.M., (2023). Caring for a person with dementia during the COVID-19 pandemic: a qualitative study with family care-givers. </w:t>
      </w:r>
      <w:r>
        <w:rPr>
          <w:i/>
          <w:iCs/>
        </w:rPr>
        <w:t>Ageing &amp; Society</w:t>
      </w:r>
      <w:r>
        <w:t xml:space="preserve">, </w:t>
      </w:r>
      <w:r>
        <w:rPr>
          <w:i/>
          <w:iCs/>
        </w:rPr>
        <w:t>43</w:t>
      </w:r>
      <w:r>
        <w:t>(3), pp.535-555.</w:t>
      </w:r>
    </w:p>
    <w:p>
      <w:pPr>
        <w:spacing w:before="240" w:after="240"/>
        <w:jc w:val="left"/>
        <w:rPr>
          <w:highlight w:val="white"/>
        </w:rPr>
      </w:pPr>
      <w:r>
        <w:rPr>
          <w:highlight w:val="white"/>
        </w:rPr>
        <w:t xml:space="preserve">Clough, A.J., Gnjidic, D., Cross, A.J., Jokanovic, N., Watson, K., Wesson, J., Beshara, S., Cheng, J. and Sawan, M.J., (2024). Medication management information priorities of people living with dementia and their carers: a scoping review. </w:t>
      </w:r>
      <w:r>
        <w:rPr>
          <w:i/>
          <w:iCs/>
          <w:highlight w:val="white"/>
        </w:rPr>
        <w:t>Age and Ageing</w:t>
      </w:r>
      <w:r>
        <w:rPr>
          <w:highlight w:val="white"/>
        </w:rPr>
        <w:t xml:space="preserve">, </w:t>
      </w:r>
      <w:r>
        <w:rPr>
          <w:i/>
          <w:iCs/>
          <w:highlight w:val="white"/>
        </w:rPr>
        <w:t>53</w:t>
      </w:r>
      <w:r>
        <w:rPr>
          <w:highlight w:val="white"/>
        </w:rPr>
        <w:t>(9), p.afae200.</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rPr>
          <w:highlight w:val="white"/>
        </w:rPr>
        <w:t xml:space="preserve">Consiglio, A., Lopez, A. and Bosco, A., (2026). A Review of Dementia Caregiver Interventions: Valuing Psychological Well-Being and Economic Impact Through the State-Preference Method. </w:t>
      </w:r>
      <w:r>
        <w:rPr>
          <w:i/>
          <w:iCs/>
        </w:rPr>
        <w:t>International Journal of Environmental Research and Public Health</w:t>
      </w:r>
      <w:r>
        <w:t xml:space="preserve">, </w:t>
      </w:r>
      <w:r>
        <w:rPr>
          <w:i/>
          <w:iCs/>
        </w:rPr>
        <w:t>23</w:t>
      </w:r>
      <w:r>
        <w:t>(1), p.104.</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rPr>
          <w:highlight w:val="white"/>
        </w:rPr>
        <w:t xml:space="preserve">Damiaens, A., Van Hecke, A., De Lepeleire, J. and Foulon, V., (2022). Resident and informal caregiver involvement in medication-related decision-making and the medicines’ pathway in nursing homes: experiences and perceived opportunities of healthcare professionals. </w:t>
      </w:r>
      <w:r>
        <w:rPr>
          <w:i/>
          <w:iCs/>
        </w:rPr>
        <w:t>Bmc Geriatrics</w:t>
      </w:r>
      <w:r>
        <w:t xml:space="preserve">, </w:t>
      </w:r>
      <w:r>
        <w:rPr>
          <w:i/>
          <w:iCs/>
        </w:rPr>
        <w:t>22</w:t>
      </w:r>
      <w:r>
        <w:t>(1), p.81.</w:t>
      </w:r>
    </w:p>
    <w:p>
      <w:pPr>
        <w:pBdr>
          <w:top w:val="none" w:sz="0" w:space="0" w:color="auto"/>
          <w:left w:val="none" w:sz="0" w:space="0" w:color="auto"/>
          <w:bottom w:val="none" w:sz="0" w:space="0" w:color="auto"/>
          <w:right w:val="none" w:sz="0" w:space="0" w:color="auto"/>
          <w:between w:val="none" w:sz="0" w:space="0" w:color="auto"/>
        </w:pBdr>
        <w:spacing w:before="240" w:after="240"/>
        <w:jc w:val="left"/>
        <w:rPr>
          <w:highlight w:val="white"/>
        </w:rPr>
      </w:pPr>
      <w:r>
        <w:rPr>
          <w:highlight w:val="white"/>
        </w:rPr>
        <w:t xml:space="preserve">Dementia Research (2025). Behaviour Management: A Guide to Good Practice (BPSD Guide). </w:t>
      </w:r>
      <w:r>
        <w:rPr>
          <w:i/>
          <w:iCs/>
          <w:highlight w:val="white"/>
        </w:rPr>
        <w:t> </w:t>
      </w:r>
      <w:r>
        <w:rPr>
          <w:highlight w:val="white"/>
        </w:rPr>
        <w:t xml:space="preserve">Available at: </w:t>
      </w:r>
      <w:r>
        <w:rPr>
          <w:u w:val="single"/>
        </w:rPr>
        <w:fldChar w:fldCharType="begin"/>
      </w:r>
      <w:r>
        <w:instrText>HYPERLINK "https://www.dementiaresearch.org.au/resources/bpsdguide/"</w:instrText>
      </w:r>
      <w:r>
        <w:rPr>
          <w:u w:val="single"/>
        </w:rPr>
        <w:fldChar w:fldCharType="separate"/>
      </w:r>
      <w:r>
        <w:rPr>
          <w:u w:val="single"/>
        </w:rPr>
        <w:t>https://www.dementiaresearch.org.au/resources/bpsdguide/</w:t>
      </w:r>
      <w:r>
        <w:rPr>
          <w:u w:val="single"/>
        </w:rPr>
        <w:fldChar w:fldCharType="end"/>
      </w:r>
      <w:r>
        <w:rPr>
          <w:highlight w:val="white"/>
        </w:rPr>
        <w:t xml:space="preserve"> (Accessed on: 7 October 2025).</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Dementiacarers (2025). </w:t>
      </w:r>
      <w:r>
        <w:rPr>
          <w:i/>
          <w:iCs/>
        </w:rPr>
        <w:t>Supporting people through the caring crisis.</w:t>
      </w:r>
      <w:r>
        <w:t xml:space="preserve"> Available at:</w:t>
      </w:r>
      <w:r>
        <w:rPr>
          <w:u w:val="single"/>
        </w:rPr>
        <w:fldChar w:fldCharType="begin"/>
      </w:r>
      <w:r>
        <w:instrText>HYPERLINK "https://dementiacarers.org.uk/content/uploads/2025/01/Support.-Campaign.-Sustain.-Dementia-Carers-Count-Strategy-2024-to-2026.pdf"</w:instrText>
      </w:r>
      <w:r>
        <w:rPr>
          <w:u w:val="single"/>
        </w:rPr>
        <w:fldChar w:fldCharType="separate"/>
      </w:r>
      <w:r>
        <w:rPr>
          <w:u w:val="single"/>
        </w:rPr>
        <w:t>https://dementiacarers.org.uk/content/uploads/2025/01/Support.-Campaign.-Sustain.-Dementia-Carers-Count-Strategy-2024-to-2026.pdf</w:t>
      </w:r>
      <w:r>
        <w:rPr>
          <w:u w:val="single"/>
        </w:rPr>
        <w:fldChar w:fldCharType="end"/>
      </w:r>
      <w:r>
        <w:t xml:space="preserve"> (Accessed on: 7 October 2025).</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Firmansyah, D. and Saepuloh, D., (2022). Social learning theory: Cognitive and behavioural approaches. </w:t>
      </w:r>
      <w:r>
        <w:rPr>
          <w:i/>
          <w:iCs/>
        </w:rPr>
        <w:t>JurnalIlmiah Pendidikan Holistik (JIPH)</w:t>
      </w:r>
      <w:r>
        <w:t xml:space="preserve">, </w:t>
      </w:r>
      <w:r>
        <w:rPr>
          <w:i/>
          <w:iCs/>
        </w:rPr>
        <w:t>1</w:t>
      </w:r>
      <w:r>
        <w:t>(3), pp.297-324.</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Forma, F., Chiu, K., Shafrin, J., Boskovic, D.H. and Veeranki, S.P., (2022). Are caregivers ready for digital? Caregiver preferences for health technology tools to monitor medication adherence among patients with serious mental illness. </w:t>
      </w:r>
      <w:r>
        <w:rPr>
          <w:i/>
          <w:iCs/>
        </w:rPr>
        <w:t>Digital health</w:t>
      </w:r>
      <w:r>
        <w:t xml:space="preserve">, </w:t>
      </w:r>
      <w:r>
        <w:rPr>
          <w:i/>
          <w:iCs/>
        </w:rPr>
        <w:t>8</w:t>
      </w:r>
      <w:r>
        <w:t>, p.20552076221084472.</w:t>
      </w:r>
    </w:p>
    <w:p>
      <w:pPr>
        <w:pBdr>
          <w:top w:val="none" w:sz="0" w:space="0" w:color="auto"/>
          <w:left w:val="none" w:sz="0" w:space="0" w:color="auto"/>
          <w:bottom w:val="none" w:sz="0" w:space="0" w:color="auto"/>
          <w:right w:val="none" w:sz="0" w:space="0" w:color="auto"/>
          <w:between w:val="none" w:sz="0" w:space="0" w:color="auto"/>
        </w:pBdr>
        <w:spacing w:before="240" w:after="240"/>
        <w:jc w:val="left"/>
        <w:rPr>
          <w:highlight w:val="white"/>
        </w:rPr>
      </w:pPr>
      <w:r>
        <w:rPr>
          <w:highlight w:val="white"/>
        </w:rPr>
        <w:t xml:space="preserve">Gamage, A.N.K.K., (2025). Research design, philosophy, and quantitative approaches in scientific research methodology. </w:t>
      </w:r>
      <w:r>
        <w:rPr>
          <w:i/>
          <w:iCs/>
          <w:highlight w:val="white"/>
        </w:rPr>
        <w:t>Sch J Eng Tech</w:t>
      </w:r>
      <w:r>
        <w:rPr>
          <w:highlight w:val="white"/>
        </w:rPr>
        <w:t xml:space="preserve">, </w:t>
      </w:r>
      <w:r>
        <w:rPr>
          <w:i/>
          <w:iCs/>
          <w:highlight w:val="white"/>
        </w:rPr>
        <w:t>2</w:t>
      </w:r>
      <w:r>
        <w:rPr>
          <w:highlight w:val="white"/>
        </w:rPr>
        <w:t>, pp.91-103.</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Gench, M., Sawan, M.J., Langford, A. and Gnjidic, D., (2021). Tools to evaluate medication management for caregivers of people living with dementia: a systematic review. </w:t>
      </w:r>
      <w:r>
        <w:rPr>
          <w:i/>
          <w:iCs/>
        </w:rPr>
        <w:t>Health Expectations</w:t>
      </w:r>
      <w:r>
        <w:t xml:space="preserve">, </w:t>
      </w:r>
      <w:r>
        <w:rPr>
          <w:i/>
          <w:iCs/>
        </w:rPr>
        <w:t>24</w:t>
      </w:r>
      <w:r>
        <w:t>(5), pp.1570-1581.</w:t>
      </w:r>
    </w:p>
    <w:p>
      <w:pPr>
        <w:pBdr>
          <w:top w:val="none" w:sz="0" w:space="0" w:color="auto"/>
          <w:left w:val="none" w:sz="0" w:space="0" w:color="auto"/>
          <w:bottom w:val="none" w:sz="0" w:space="0" w:color="auto"/>
          <w:right w:val="none" w:sz="0" w:space="0" w:color="auto"/>
          <w:between w:val="none" w:sz="0" w:space="0" w:color="auto"/>
        </w:pBdr>
        <w:spacing w:before="240" w:after="240"/>
        <w:jc w:val="left"/>
        <w:rPr>
          <w:highlight w:val="white"/>
        </w:rPr>
      </w:pPr>
      <w:r>
        <w:rPr>
          <w:highlight w:val="white"/>
        </w:rPr>
        <w:t xml:space="preserve">Ghanad, A., (2023). An overview of quantitative research methods. </w:t>
      </w:r>
      <w:r>
        <w:rPr>
          <w:i/>
          <w:iCs/>
          <w:highlight w:val="white"/>
        </w:rPr>
        <w:t>International journal of multidisciplinary research and analysis</w:t>
      </w:r>
      <w:r>
        <w:rPr>
          <w:highlight w:val="white"/>
        </w:rPr>
        <w:t xml:space="preserve">, </w:t>
      </w:r>
      <w:r>
        <w:rPr>
          <w:i/>
          <w:iCs/>
          <w:highlight w:val="white"/>
        </w:rPr>
        <w:t>6</w:t>
      </w:r>
      <w:r>
        <w:rPr>
          <w:highlight w:val="white"/>
        </w:rPr>
        <w:t xml:space="preserve">(08), pp.3794-3803. </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González-Fraile, E., Ballesteros, J., Rueda, J.R., Santos-Zorrozúa, B., Solà, I. and McCleery, J., (2021). Remotely delivered information, training and support for informal caregivers of people with dementia. </w:t>
      </w:r>
      <w:r>
        <w:rPr>
          <w:i/>
          <w:iCs/>
        </w:rPr>
        <w:t>Cochrane Database of Systematic Reviews</w:t>
      </w:r>
      <w:r>
        <w:t>, (1).</w:t>
      </w:r>
    </w:p>
    <w:p>
      <w:pPr>
        <w:pBdr>
          <w:top w:val="none" w:sz="0" w:space="0" w:color="auto"/>
          <w:left w:val="none" w:sz="0" w:space="0" w:color="auto"/>
          <w:bottom w:val="none" w:sz="0" w:space="0" w:color="auto"/>
          <w:right w:val="none" w:sz="0" w:space="0" w:color="auto"/>
          <w:between w:val="none" w:sz="0" w:space="0" w:color="auto"/>
        </w:pBdr>
        <w:spacing w:before="240" w:after="240"/>
        <w:jc w:val="left"/>
        <w:rPr>
          <w:highlight w:val="white"/>
        </w:rPr>
      </w:pPr>
      <w:r>
        <w:rPr>
          <w:highlight w:val="white"/>
        </w:rPr>
        <w:t xml:space="preserve">GOV (2025). </w:t>
      </w:r>
      <w:r>
        <w:rPr>
          <w:i/>
          <w:iCs/>
          <w:highlight w:val="white"/>
        </w:rPr>
        <w:t xml:space="preserve">Data protection. </w:t>
      </w:r>
      <w:r>
        <w:rPr>
          <w:highlight w:val="white"/>
        </w:rPr>
        <w:t xml:space="preserve">Available at: </w:t>
      </w:r>
      <w:r>
        <w:rPr>
          <w:u w:val="single"/>
        </w:rPr>
        <w:fldChar w:fldCharType="begin"/>
      </w:r>
      <w:r>
        <w:instrText>HYPERLINK "https://www.gov.uk/data-protection"</w:instrText>
      </w:r>
      <w:r>
        <w:rPr>
          <w:u w:val="single"/>
        </w:rPr>
        <w:fldChar w:fldCharType="separate"/>
      </w:r>
      <w:r>
        <w:rPr>
          <w:u w:val="single"/>
        </w:rPr>
        <w:t>https://www.gov.uk/data-protection</w:t>
      </w:r>
      <w:r>
        <w:rPr>
          <w:u w:val="single"/>
        </w:rPr>
        <w:fldChar w:fldCharType="end"/>
      </w:r>
      <w:r>
        <w:rPr>
          <w:highlight w:val="white"/>
        </w:rPr>
        <w:t xml:space="preserve"> (Accessed on: 7 October 2025).</w:t>
      </w:r>
    </w:p>
    <w:p>
      <w:pPr>
        <w:spacing w:before="240" w:after="240"/>
        <w:jc w:val="left"/>
      </w:pPr>
      <w:r>
        <w:t xml:space="preserve">Gov, (2025). </w:t>
      </w:r>
      <w:r>
        <w:rPr>
          <w:i/>
          <w:iCs/>
        </w:rPr>
        <w:t>Data Protection Act 2018.</w:t>
      </w:r>
      <w:r>
        <w:t xml:space="preserve"> Available at: </w:t>
      </w:r>
      <w:r>
        <w:rPr>
          <w:u w:val="single"/>
        </w:rPr>
        <w:fldChar w:fldCharType="begin"/>
      </w:r>
      <w:r>
        <w:instrText>HYPERLINK "https://www.legislation.gov.uk/ukpga/2018/12/contents"</w:instrText>
      </w:r>
      <w:r>
        <w:rPr>
          <w:u w:val="single"/>
        </w:rPr>
        <w:fldChar w:fldCharType="separate"/>
      </w:r>
      <w:r>
        <w:rPr>
          <w:u w:val="single"/>
        </w:rPr>
        <w:t>https://www.legislation.gov.uk/ukpga/2018/12/contents</w:t>
      </w:r>
      <w:r>
        <w:rPr>
          <w:u w:val="single"/>
        </w:rPr>
        <w:fldChar w:fldCharType="end"/>
      </w:r>
      <w:r>
        <w:t xml:space="preserve"> (Accessed on: 7 October 2025).</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GOV.UK (2024). </w:t>
      </w:r>
      <w:r>
        <w:rPr>
          <w:i/>
          <w:iCs/>
        </w:rPr>
        <w:t>Inequalities in dementia services.</w:t>
      </w:r>
      <w:r>
        <w:t xml:space="preserve"> Available at:</w:t>
      </w:r>
      <w:r>
        <w:rPr>
          <w:u w:val="single"/>
        </w:rPr>
        <w:fldChar w:fldCharType="begin"/>
      </w:r>
      <w:r>
        <w:instrText>HYPERLINK "https://researchbriefings.files.parliament.uk/documents/CDP-2024-0098/CDP-2024-0098.pdf#:~:text=Dementia charities and a number of other,a protected characteristic or have experienced deprivation"</w:instrText>
      </w:r>
      <w:r>
        <w:rPr>
          <w:u w:val="single"/>
        </w:rPr>
        <w:fldChar w:fldCharType="separate"/>
      </w:r>
      <w:r>
        <w:rPr>
          <w:u w:val="single"/>
        </w:rPr>
        <w:t>https://researchbriefings.files.parliament.uk/documents/CDP-2024-0098/CDP-2024-0098.pdf#:~:text=Dementia%20charities%20and%20a%20number%20of%20other,a%20protected%20characteristic%20or%20have%20experienced%20deprivation</w:t>
      </w:r>
      <w:r>
        <w:rPr>
          <w:u w:val="single"/>
        </w:rPr>
        <w:fldChar w:fldCharType="end"/>
      </w:r>
      <w:r>
        <w:t xml:space="preserve"> (Accessed on: 7 October 2025).</w:t>
      </w:r>
    </w:p>
    <w:p>
      <w:pPr>
        <w:pBdr>
          <w:top w:val="none" w:sz="0" w:space="0" w:color="auto"/>
          <w:left w:val="none" w:sz="0" w:space="0" w:color="auto"/>
          <w:bottom w:val="none" w:sz="0" w:space="0" w:color="auto"/>
          <w:right w:val="none" w:sz="0" w:space="0" w:color="auto"/>
          <w:between w:val="none" w:sz="0" w:space="0" w:color="auto"/>
        </w:pBdr>
        <w:spacing w:before="240" w:after="240"/>
        <w:jc w:val="left"/>
        <w:rPr>
          <w:highlight w:val="white"/>
        </w:rPr>
      </w:pPr>
      <w:r>
        <w:rPr>
          <w:highlight w:val="white"/>
        </w:rPr>
        <w:t xml:space="preserve">Grando, L., Jaramillo, J.F.G., Leite, J.R.E. and Ursini, E.L., (2025). Systematic literature review methodology for drone recharging processes in agriculture and disaster management. </w:t>
      </w:r>
      <w:r>
        <w:rPr>
          <w:i/>
          <w:iCs/>
          <w:highlight w:val="white"/>
        </w:rPr>
        <w:t>Drones</w:t>
      </w:r>
      <w:r>
        <w:rPr>
          <w:highlight w:val="white"/>
        </w:rPr>
        <w:t xml:space="preserve">, </w:t>
      </w:r>
      <w:r>
        <w:rPr>
          <w:i/>
          <w:iCs/>
          <w:highlight w:val="white"/>
        </w:rPr>
        <w:t>9</w:t>
      </w:r>
      <w:r>
        <w:rPr>
          <w:highlight w:val="white"/>
        </w:rPr>
        <w:t xml:space="preserve">(1), p.40. </w:t>
      </w:r>
    </w:p>
    <w:p>
      <w:pPr>
        <w:pBdr>
          <w:top w:val="none" w:sz="0" w:space="0" w:color="auto"/>
          <w:left w:val="none" w:sz="0" w:space="0" w:color="auto"/>
          <w:bottom w:val="none" w:sz="0" w:space="0" w:color="auto"/>
          <w:right w:val="none" w:sz="0" w:space="0" w:color="auto"/>
          <w:between w:val="none" w:sz="0" w:space="0" w:color="auto"/>
        </w:pBdr>
        <w:spacing w:before="240" w:after="240"/>
        <w:jc w:val="left"/>
        <w:rPr>
          <w:highlight w:val="white"/>
        </w:rPr>
      </w:pPr>
      <w:r>
        <w:rPr>
          <w:highlight w:val="white"/>
        </w:rPr>
        <w:t>HRS (2025).</w:t>
      </w:r>
      <w:r>
        <w:rPr>
          <w:i/>
          <w:iCs/>
          <w:highlight w:val="white"/>
        </w:rPr>
        <w:t xml:space="preserve"> UK Policy Framework for Health and Social Care Research. </w:t>
      </w:r>
      <w:r>
        <w:rPr>
          <w:highlight w:val="white"/>
        </w:rPr>
        <w:t xml:space="preserve">Available at: </w:t>
      </w:r>
      <w:r>
        <w:rPr>
          <w:u w:val="single"/>
        </w:rPr>
        <w:fldChar w:fldCharType="begin"/>
      </w:r>
      <w:r>
        <w:instrText>HYPERLINK "https://www.hra.nhs.uk/planning-and-improving-research/policies-standards-legislation/uk-policy-framework-health-social-care-research/"</w:instrText>
      </w:r>
      <w:r>
        <w:rPr>
          <w:u w:val="single"/>
        </w:rPr>
        <w:fldChar w:fldCharType="separate"/>
      </w:r>
      <w:r>
        <w:rPr>
          <w:u w:val="single"/>
        </w:rPr>
        <w:t>https://www.hra.nhs.uk/planning-and-improving-research/policies-standards-legislation/uk-policy-framework-health-social-care-research/</w:t>
      </w:r>
      <w:r>
        <w:rPr>
          <w:u w:val="single"/>
        </w:rPr>
        <w:fldChar w:fldCharType="end"/>
      </w:r>
      <w:r>
        <w:rPr>
          <w:highlight w:val="white"/>
        </w:rPr>
        <w:t xml:space="preserve"> (Accessed on: 7 October 2025).</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Huang, D., Wu, D. and Moyle, W., (2025). Digital Dementia Education and Training for Informal Carers: A Scoping Review. </w:t>
      </w:r>
      <w:r>
        <w:rPr>
          <w:i/>
          <w:iCs/>
        </w:rPr>
        <w:t>Journal of Clinical Nursing</w:t>
      </w:r>
      <w:r>
        <w:t>.</w:t>
      </w:r>
    </w:p>
    <w:p>
      <w:pPr>
        <w:spacing w:before="240" w:after="240"/>
        <w:jc w:val="left"/>
      </w:pPr>
      <w:r>
        <w:t xml:space="preserve">Huang, D., Wu, D. and Moyle, W., (2025). Digital Dementia Education and Training for Informal Carers: A Scoping Review. </w:t>
      </w:r>
      <w:r>
        <w:rPr>
          <w:i/>
          <w:iCs/>
        </w:rPr>
        <w:t>Journal of Clinical Nursing</w:t>
      </w:r>
      <w:r>
        <w:t>.</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rPr>
          <w:highlight w:val="white"/>
        </w:rPr>
        <w:t xml:space="preserve">Hur, M., Kim, M., Min, S., Lee, C.H. and Kim, D.H., (2026). Cognitive and Mental Health Differences Across Latent Profiles of Religiosity and Spirituality in Korean Older Adults With Mild Cognitive Impairment or Alzheimer’s Disease. </w:t>
      </w:r>
      <w:r>
        <w:rPr>
          <w:i/>
          <w:iCs/>
          <w:highlight w:val="white"/>
        </w:rPr>
        <w:t>American Journal of Alzheimer's Disease &amp; Other Dementias®</w:t>
      </w:r>
      <w:r>
        <w:rPr>
          <w:highlight w:val="white"/>
        </w:rPr>
        <w:t xml:space="preserve">, </w:t>
      </w:r>
      <w:r>
        <w:rPr>
          <w:i/>
          <w:iCs/>
          <w:highlight w:val="white"/>
        </w:rPr>
        <w:t>41</w:t>
      </w:r>
      <w:r>
        <w:rPr>
          <w:highlight w:val="white"/>
        </w:rPr>
        <w:t>, p.15333175251415119.</w:t>
      </w:r>
    </w:p>
    <w:p>
      <w:pPr>
        <w:pBdr>
          <w:top w:val="none" w:sz="0" w:space="0" w:color="auto"/>
          <w:left w:val="none" w:sz="0" w:space="0" w:color="auto"/>
          <w:bottom w:val="none" w:sz="0" w:space="0" w:color="auto"/>
          <w:right w:val="none" w:sz="0" w:space="0" w:color="auto"/>
          <w:between w:val="none" w:sz="0" w:space="0" w:color="auto"/>
        </w:pBdr>
        <w:spacing w:before="240" w:after="240"/>
        <w:jc w:val="left"/>
        <w:rPr>
          <w:highlight w:val="white"/>
        </w:rPr>
      </w:pPr>
      <w:r>
        <w:rPr>
          <w:highlight w:val="white"/>
        </w:rPr>
        <w:t xml:space="preserve">Isangula, K.G., Kelly, S. and Wamoyi, J., (2024). Manual qualitative data coding using MS word for students and early career researchers in resource-constrained settings. </w:t>
      </w:r>
      <w:r>
        <w:rPr>
          <w:i/>
          <w:iCs/>
          <w:highlight w:val="white"/>
        </w:rPr>
        <w:t>International Journal of Qualitative Methods, 23</w:t>
      </w:r>
      <w:r>
        <w:rPr>
          <w:highlight w:val="white"/>
        </w:rPr>
        <w:t>, p.16094069241299223. </w:t>
      </w:r>
    </w:p>
    <w:p>
      <w:pPr>
        <w:pBdr>
          <w:top w:val="none" w:sz="0" w:space="0" w:color="auto"/>
          <w:left w:val="none" w:sz="0" w:space="0" w:color="auto"/>
          <w:bottom w:val="none" w:sz="0" w:space="0" w:color="auto"/>
          <w:right w:val="none" w:sz="0" w:space="0" w:color="auto"/>
          <w:between w:val="none" w:sz="0" w:space="0" w:color="auto"/>
        </w:pBdr>
        <w:spacing w:before="240" w:after="240"/>
        <w:jc w:val="left"/>
        <w:rPr>
          <w:highlight w:val="white"/>
        </w:rPr>
      </w:pPr>
      <w:r>
        <w:rPr>
          <w:highlight w:val="white"/>
        </w:rPr>
        <w:t xml:space="preserve">Kekeya, J., (2021). Qualitative case study research design: The commonalities and differences between collective, intrinsic and instrumental case studies. </w:t>
      </w:r>
      <w:r>
        <w:rPr>
          <w:i/>
          <w:iCs/>
          <w:highlight w:val="white"/>
        </w:rPr>
        <w:t>Contemporary PNG Studies</w:t>
      </w:r>
      <w:r>
        <w:rPr>
          <w:highlight w:val="white"/>
        </w:rPr>
        <w:t xml:space="preserve">, </w:t>
      </w:r>
      <w:r>
        <w:rPr>
          <w:i/>
          <w:iCs/>
          <w:highlight w:val="white"/>
        </w:rPr>
        <w:t>36</w:t>
      </w:r>
      <w:r>
        <w:rPr>
          <w:highlight w:val="white"/>
        </w:rPr>
        <w:t>, pp.28-37.</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Kolade, O.R., Porat-Dahlerbruch, J., van Achterberg, T. and Ellen, M.E., (2025). Navigating hospital to home transitions: A qualitative study exploring older adult and informal caregiver experiences, challenges and opportunities. </w:t>
      </w:r>
      <w:r>
        <w:rPr>
          <w:i/>
          <w:iCs/>
        </w:rPr>
        <w:t>Geriatric Nursing</w:t>
      </w:r>
      <w:r>
        <w:t xml:space="preserve">, </w:t>
      </w:r>
      <w:r>
        <w:rPr>
          <w:i/>
          <w:iCs/>
        </w:rPr>
        <w:t>65</w:t>
      </w:r>
      <w:r>
        <w:t>, p.103538.</w:t>
      </w:r>
    </w:p>
    <w:p>
      <w:pPr>
        <w:spacing w:before="240" w:after="240"/>
        <w:jc w:val="left"/>
      </w:pPr>
      <w:r>
        <w:t xml:space="preserve">Kolade, O.R., Porat-Dahlerbruch, J., van Achterberg, T. and Ellen, M.E., (2025). Navigating hospital to home transitions: A qualitative study exploring older adult and informal caregiver experiences, challenges and opportunities. </w:t>
      </w:r>
      <w:r>
        <w:rPr>
          <w:i/>
          <w:iCs/>
        </w:rPr>
        <w:t>Geriatric Nursing</w:t>
      </w:r>
      <w:r>
        <w:t xml:space="preserve">, </w:t>
      </w:r>
      <w:r>
        <w:rPr>
          <w:i/>
          <w:iCs/>
        </w:rPr>
        <w:t>65</w:t>
      </w:r>
      <w:r>
        <w:t>, p.103538.</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Kolaski, K., Romeiser Logan, L. and Ioannidis, J.P., (2023). Guidance to best tools and practices for systematic reviews. </w:t>
      </w:r>
      <w:r>
        <w:rPr>
          <w:i/>
          <w:iCs/>
        </w:rPr>
        <w:t>Journal of Pediatric Rehabilitation Medicine</w:t>
      </w:r>
      <w:r>
        <w:t xml:space="preserve">, </w:t>
      </w:r>
      <w:r>
        <w:rPr>
          <w:i/>
          <w:iCs/>
        </w:rPr>
        <w:t>16</w:t>
      </w:r>
      <w:r>
        <w:t>(2), pp.241-273.</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Koutroubas, V. and Galanakis, M., (2022). Bandura’s social learning theory and its importance in the organizational psychology context. </w:t>
      </w:r>
      <w:r>
        <w:rPr>
          <w:i/>
          <w:iCs/>
        </w:rPr>
        <w:t>Psychology</w:t>
      </w:r>
      <w:r>
        <w:t xml:space="preserve">, </w:t>
      </w:r>
      <w:r>
        <w:rPr>
          <w:i/>
          <w:iCs/>
        </w:rPr>
        <w:t>12</w:t>
      </w:r>
      <w:r>
        <w:t>(6), pp.315-322.</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Kuluski, K., Reid, R.J. and Baker, G.R., (2021). Applying the principles of adaptive leadership to person</w:t>
      </w:r>
      <w:r>
        <w:rPr>
          <w:rFonts w:ascii="Cambria Math" w:eastAsia="Cambria Math" w:cs="Cambria Math" w:hAnsi="Cambria Math"/>
        </w:rPr>
        <w:t>‐</w:t>
      </w:r>
      <w:r>
        <w:t xml:space="preserve">centred care for people with complex care needs: Considerations for care providers, patients, caregivers and organizations. </w:t>
      </w:r>
      <w:r>
        <w:rPr>
          <w:i/>
          <w:iCs/>
        </w:rPr>
        <w:t>Health Expectations</w:t>
      </w:r>
      <w:r>
        <w:t xml:space="preserve">, </w:t>
      </w:r>
      <w:r>
        <w:rPr>
          <w:i/>
          <w:iCs/>
        </w:rPr>
        <w:t>24</w:t>
      </w:r>
      <w:r>
        <w:t>(2), pp.175-181.</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Larocca, P., (2025). The Transdisciplinary Informing Model: Bridging Epistemologies for Breakthrough Innovation. </w:t>
      </w:r>
      <w:r>
        <w:rPr>
          <w:i/>
          <w:iCs/>
        </w:rPr>
        <w:t>Informing Science: The International Journal of an Emerging Transdiscipline</w:t>
      </w:r>
      <w:r>
        <w:t xml:space="preserve">, </w:t>
      </w:r>
      <w:r>
        <w:rPr>
          <w:i/>
          <w:iCs/>
        </w:rPr>
        <w:t>28</w:t>
      </w:r>
      <w:r>
        <w:t>, p.023.</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rPr>
          <w:highlight w:val="white"/>
        </w:rPr>
        <w:t xml:space="preserve">Lexow, M., Wernecke, K., Sultzer, R., Bertsche, T. and Schiek, S., (2022). Determine the impact of a structured pharmacist-led medication review-a controlled intervention study to optimise medication safety for residents in long-term care facilities. </w:t>
      </w:r>
      <w:r>
        <w:rPr>
          <w:i/>
          <w:iCs/>
        </w:rPr>
        <w:t>BMC geriatrics</w:t>
      </w:r>
      <w:r>
        <w:t xml:space="preserve">, </w:t>
      </w:r>
      <w:r>
        <w:rPr>
          <w:i/>
          <w:iCs/>
        </w:rPr>
        <w:t>22</w:t>
      </w:r>
      <w:r>
        <w:t>(1), p.307.</w:t>
      </w:r>
    </w:p>
    <w:p>
      <w:pPr>
        <w:pBdr>
          <w:top w:val="none" w:sz="0" w:space="0" w:color="auto"/>
          <w:left w:val="none" w:sz="0" w:space="0" w:color="auto"/>
          <w:bottom w:val="none" w:sz="0" w:space="0" w:color="auto"/>
          <w:right w:val="none" w:sz="0" w:space="0" w:color="auto"/>
          <w:between w:val="none" w:sz="0" w:space="0" w:color="auto"/>
        </w:pBdr>
        <w:spacing w:before="240" w:after="240"/>
        <w:jc w:val="left"/>
        <w:rPr>
          <w:highlight w:val="white"/>
        </w:rPr>
      </w:pPr>
      <w:r>
        <w:rPr>
          <w:highlight w:val="white"/>
        </w:rPr>
        <w:t xml:space="preserve">Li, S., Hong, Y.C. and Craig, S.D., (2023). A systematic literature review of Social Learning Theory in Online Learning environments. </w:t>
      </w:r>
      <w:r>
        <w:rPr>
          <w:i/>
          <w:iCs/>
          <w:highlight w:val="white"/>
        </w:rPr>
        <w:t>Educational Psychology Review, 35</w:t>
      </w:r>
      <w:r>
        <w:rPr>
          <w:highlight w:val="white"/>
        </w:rPr>
        <w:t>(4), p.108.</w:t>
      </w:r>
    </w:p>
    <w:p>
      <w:pPr>
        <w:spacing w:before="240" w:after="240"/>
        <w:jc w:val="left"/>
        <w:rPr>
          <w:highlight w:val="white"/>
        </w:rPr>
      </w:pPr>
      <w:r>
        <w:rPr>
          <w:highlight w:val="white"/>
        </w:rPr>
        <w:t xml:space="preserve">LiezeThielemans, Chin, K., Hegarty, A. and Schiff, R. (2023). Carer involvement in medication adherence: carer views and experiences of facilitating medication adherence using pharmacy-filled multi-compartment medication compliance aids and other methods of adherence support—a questionnaire survey. </w:t>
      </w:r>
      <w:r>
        <w:rPr>
          <w:i/>
          <w:iCs/>
          <w:highlight w:val="white"/>
        </w:rPr>
        <w:t>Age and Ageing</w:t>
      </w:r>
      <w:r>
        <w:rPr>
          <w:highlight w:val="white"/>
        </w:rPr>
        <w:t>, pp.1026–1045.</w:t>
      </w:r>
    </w:p>
    <w:p>
      <w:pPr>
        <w:spacing w:before="240" w:after="240"/>
        <w:jc w:val="left"/>
        <w:rPr>
          <w:b/>
          <w:bCs/>
        </w:rPr>
      </w:pPr>
      <w:r>
        <w:t xml:space="preserve">Lim, R., MaisIflaifel, Zahra, Crowley, C. and TaniyaSharmeen (2024). Navigating complexity of the medication management system within the home setting—a functional resonance analysis method (FRAM) analysis of people with dementia and their carers’ experiences. </w:t>
      </w:r>
      <w:r>
        <w:rPr>
          <w:i/>
          <w:iCs/>
        </w:rPr>
        <w:t>Age and Ageing</w:t>
      </w:r>
      <w:r>
        <w:t>, p.afae058.</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Lindsey, J., Doyle, M. and Wazynska-Finck, K., (2024). Navigating conflict: The role of mediation in healthcare disputes. </w:t>
      </w:r>
      <w:r>
        <w:rPr>
          <w:i/>
          <w:iCs/>
        </w:rPr>
        <w:t>Clinical Ethics</w:t>
      </w:r>
      <w:r>
        <w:t xml:space="preserve">, </w:t>
      </w:r>
      <w:r>
        <w:rPr>
          <w:i/>
          <w:iCs/>
        </w:rPr>
        <w:t>19</w:t>
      </w:r>
      <w:r>
        <w:t>(1), pp.26-34.</w:t>
      </w:r>
    </w:p>
    <w:p>
      <w:pPr>
        <w:spacing w:before="240" w:after="240"/>
        <w:jc w:val="left"/>
      </w:pPr>
      <w:r>
        <w:t xml:space="preserve">Lindsey, J., Doyle, M. and Wazynska-Finck, K., (2024). Navigating conflict: The role of mediation in healthcare disputes. </w:t>
      </w:r>
      <w:r>
        <w:rPr>
          <w:i/>
          <w:iCs/>
        </w:rPr>
        <w:t>Clinical Ethics</w:t>
      </w:r>
      <w:r>
        <w:t xml:space="preserve">, </w:t>
      </w:r>
      <w:r>
        <w:rPr>
          <w:i/>
          <w:iCs/>
        </w:rPr>
        <w:t>19</w:t>
      </w:r>
      <w:r>
        <w:t>(1), pp.26-34.</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Lombo Caicedo, J.C., Duran Sabogal, R.M., Domingo Palacio Abello, J. and Lamus-Lemus, F., (2025). Intervention to strengthen caregiving capacities among rural caregivers: a replicable model. </w:t>
      </w:r>
      <w:r>
        <w:rPr>
          <w:i/>
          <w:iCs/>
        </w:rPr>
        <w:t>Frontiers in Medicine</w:t>
      </w:r>
      <w:r>
        <w:t xml:space="preserve">, </w:t>
      </w:r>
      <w:r>
        <w:rPr>
          <w:i/>
          <w:iCs/>
        </w:rPr>
        <w:t>12</w:t>
      </w:r>
      <w:r>
        <w:t>, p.1613937.</w:t>
      </w:r>
    </w:p>
    <w:p>
      <w:pPr>
        <w:spacing w:before="240" w:after="240"/>
        <w:jc w:val="left"/>
      </w:pPr>
      <w:r>
        <w:t xml:space="preserve">Lombo Caicedo, J.C., Duran Sabogal, R.M., Domingo Palacio Abello, J. and Lamus-Lemus, F., (2025). Intervention to strengthen caregiving capacities among rural caregivers: a replicable model. </w:t>
      </w:r>
      <w:r>
        <w:rPr>
          <w:i/>
          <w:iCs/>
        </w:rPr>
        <w:t>Frontiers in Medicine</w:t>
      </w:r>
      <w:r>
        <w:t xml:space="preserve">, </w:t>
      </w:r>
      <w:r>
        <w:rPr>
          <w:i/>
          <w:iCs/>
        </w:rPr>
        <w:t>12</w:t>
      </w:r>
      <w:r>
        <w:t>, p.1613937.</w:t>
      </w:r>
    </w:p>
    <w:p>
      <w:pPr>
        <w:spacing w:before="240" w:after="240"/>
        <w:jc w:val="left"/>
        <w:rPr>
          <w:highlight w:val="white"/>
        </w:rPr>
      </w:pPr>
      <w:r>
        <w:rPr>
          <w:highlight w:val="white"/>
        </w:rPr>
        <w:t xml:space="preserve">Luker, G.D. (2023). Taking Time to Recognize Caregivers. </w:t>
      </w:r>
      <w:r>
        <w:rPr>
          <w:i/>
          <w:iCs/>
          <w:highlight w:val="white"/>
        </w:rPr>
        <w:t>Radiology: Imaging Cancer</w:t>
      </w:r>
      <w:r>
        <w:rPr>
          <w:highlight w:val="white"/>
        </w:rPr>
        <w:t>, p.e230191.</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Maggio, M.G., Maione, R., Migale, S., Lombardo Facciale, A., Pergolizzi, L., Buonasera, P., Fonti, B., Bonanno, M., Pistorino, G., De Pasquale, P. and Calabrò, R.S., (2025). Low-Intensity Virtual Reality Exercise for Caregivers of People with Mild Cognitive Impairment: A Pilot Study. </w:t>
      </w:r>
      <w:r>
        <w:rPr>
          <w:i/>
          <w:iCs/>
        </w:rPr>
        <w:t>Journal of Functional Morphology and Kinesiology</w:t>
      </w:r>
      <w:r>
        <w:t xml:space="preserve">, </w:t>
      </w:r>
      <w:r>
        <w:rPr>
          <w:i/>
          <w:iCs/>
        </w:rPr>
        <w:t>10</w:t>
      </w:r>
      <w:r>
        <w:t>(3), p.353.</w:t>
      </w:r>
    </w:p>
    <w:p>
      <w:pPr>
        <w:spacing w:before="240" w:after="240"/>
        <w:jc w:val="left"/>
      </w:pPr>
      <w:r>
        <w:t xml:space="preserve">Maggio, M.G., Maione, R., Migale, S., Lombardo Facciale, A., Pergolizzi, L., Buonasera, P., Fonti, B., Bonanno, M., Pistorino, G., De Pasquale, P. and Calabrò, R.S., (2025). Low-Intensity Virtual Reality Exercise for Caregivers of People with Mild Cognitive Impairment: A Pilot Study. </w:t>
      </w:r>
      <w:r>
        <w:rPr>
          <w:i/>
          <w:iCs/>
        </w:rPr>
        <w:t>Journal of Functional Morphology and Kinesiology</w:t>
      </w:r>
      <w:r>
        <w:t xml:space="preserve">, </w:t>
      </w:r>
      <w:r>
        <w:rPr>
          <w:i/>
          <w:iCs/>
        </w:rPr>
        <w:t>10</w:t>
      </w:r>
      <w:r>
        <w:t>(3), p.353.</w:t>
      </w:r>
    </w:p>
    <w:p>
      <w:pPr>
        <w:spacing w:before="240" w:after="240"/>
        <w:jc w:val="left"/>
        <w:rPr>
          <w:highlight w:val="white"/>
        </w:rPr>
      </w:pPr>
      <w:r>
        <w:rPr>
          <w:highlight w:val="white"/>
        </w:rPr>
        <w:t xml:space="preserve">Martyr, A., Rusted, J.M., Quinn, C., Gamble, L.D., Collins, R., Morris, R.G. and Clare, L., (2023). Resilience in caregivers of people with mild-to-moderate dementia: findings from the IDEAL cohort. </w:t>
      </w:r>
      <w:r>
        <w:rPr>
          <w:i/>
          <w:iCs/>
          <w:highlight w:val="white"/>
        </w:rPr>
        <w:t>BMC geriatrics</w:t>
      </w:r>
      <w:r>
        <w:rPr>
          <w:highlight w:val="white"/>
        </w:rPr>
        <w:t xml:space="preserve">, </w:t>
      </w:r>
      <w:r>
        <w:rPr>
          <w:i/>
          <w:iCs/>
          <w:highlight w:val="white"/>
        </w:rPr>
        <w:t>23</w:t>
      </w:r>
      <w:r>
        <w:rPr>
          <w:highlight w:val="white"/>
        </w:rPr>
        <w:t>(1), p.804.</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rPr>
          <w:highlight w:val="white"/>
        </w:rPr>
        <w:t xml:space="preserve">McCahon, D., Duncan, P., Payne, R. and Horwood, J., (2022). Patient perceptions and experiences of medication review: qualitative study in general practice. </w:t>
      </w:r>
      <w:r>
        <w:rPr>
          <w:i/>
          <w:iCs/>
        </w:rPr>
        <w:t>BMC Primary Care</w:t>
      </w:r>
      <w:r>
        <w:t xml:space="preserve">, </w:t>
      </w:r>
      <w:r>
        <w:rPr>
          <w:i/>
          <w:iCs/>
        </w:rPr>
        <w:t>23</w:t>
      </w:r>
      <w:r>
        <w:t>(1), p.293.</w:t>
      </w:r>
    </w:p>
    <w:p>
      <w:pPr>
        <w:spacing w:before="240" w:after="240"/>
        <w:jc w:val="left"/>
        <w:rPr>
          <w:highlight w:val="white"/>
        </w:rPr>
      </w:pPr>
      <w:r>
        <w:rPr>
          <w:highlight w:val="white"/>
        </w:rPr>
        <w:t>McDerby, N., Kosari, S., Bail, K., Shield, A., Peterson, G. and Naunton, M., (2020). Pharmacist</w:t>
      </w:r>
      <w:r>
        <w:rPr>
          <w:rFonts w:ascii="Cambria Math" w:eastAsia="Cambria Math" w:cs="Cambria Math" w:hAnsi="Cambria Math"/>
          <w:highlight w:val="white"/>
        </w:rPr>
        <w:t>‐</w:t>
      </w:r>
      <w:r>
        <w:rPr>
          <w:highlight w:val="white"/>
        </w:rPr>
        <w:t xml:space="preserve">led medication reviews in aged care residents with dementia: A systematic review. </w:t>
      </w:r>
      <w:r>
        <w:rPr>
          <w:i/>
          <w:iCs/>
          <w:highlight w:val="white"/>
        </w:rPr>
        <w:t>Australasian Journal on Ageing</w:t>
      </w:r>
      <w:r>
        <w:rPr>
          <w:highlight w:val="white"/>
        </w:rPr>
        <w:t xml:space="preserve">, </w:t>
      </w:r>
      <w:r>
        <w:rPr>
          <w:i/>
          <w:iCs/>
          <w:highlight w:val="white"/>
        </w:rPr>
        <w:t>39</w:t>
      </w:r>
      <w:r>
        <w:rPr>
          <w:highlight w:val="white"/>
        </w:rPr>
        <w:t>(4), pp.e478-e489.</w:t>
      </w:r>
    </w:p>
    <w:p>
      <w:pPr>
        <w:spacing w:before="240" w:after="240"/>
        <w:jc w:val="left"/>
        <w:rPr>
          <w:highlight w:val="white"/>
        </w:rPr>
      </w:pPr>
      <w:r>
        <w:rPr>
          <w:highlight w:val="white"/>
        </w:rPr>
        <w:t xml:space="preserve">Meng, X., Su, J., Li, H., Ma, D., Zhao, Y., Li, Y., Zhang, X., Li, Z. and Sun, J., (2021). Effectiveness of caregiver non-pharmacological interventions for behavioural and psychological symptoms of dementia: An updated meta-analysis. </w:t>
      </w:r>
      <w:r>
        <w:rPr>
          <w:i/>
          <w:iCs/>
          <w:highlight w:val="white"/>
        </w:rPr>
        <w:t>Ageing Research Reviews</w:t>
      </w:r>
      <w:r>
        <w:rPr>
          <w:highlight w:val="white"/>
        </w:rPr>
        <w:t xml:space="preserve">, </w:t>
      </w:r>
      <w:r>
        <w:rPr>
          <w:i/>
          <w:iCs/>
          <w:highlight w:val="white"/>
        </w:rPr>
        <w:t>71</w:t>
      </w:r>
      <w:r>
        <w:rPr>
          <w:highlight w:val="white"/>
        </w:rPr>
        <w:t>, p.101448.</w:t>
      </w:r>
    </w:p>
    <w:p>
      <w:pPr>
        <w:pBdr>
          <w:top w:val="none" w:sz="0" w:space="0" w:color="auto"/>
          <w:left w:val="none" w:sz="0" w:space="0" w:color="auto"/>
          <w:bottom w:val="none" w:sz="0" w:space="0" w:color="auto"/>
          <w:right w:val="none" w:sz="0" w:space="0" w:color="auto"/>
          <w:between w:val="none" w:sz="0" w:space="0" w:color="auto"/>
        </w:pBdr>
        <w:spacing w:before="240" w:after="240"/>
        <w:jc w:val="left"/>
        <w:rPr>
          <w:highlight w:val="white"/>
        </w:rPr>
      </w:pPr>
      <w:r>
        <w:rPr>
          <w:highlight w:val="white"/>
        </w:rPr>
        <w:t xml:space="preserve">Midamba, D.C., Ndolo, O.F., Chepkoech, B., Agbolosoo, J.A., Ouya, F.O. and Jjengo, A., (2025). Data collection methods in social sciences: A primer for novice researchers and students. </w:t>
      </w:r>
      <w:r>
        <w:rPr>
          <w:i/>
          <w:iCs/>
          <w:highlight w:val="white"/>
        </w:rPr>
        <w:t>South Asian Journal of Social Studies and Economics</w:t>
      </w:r>
      <w:r>
        <w:rPr>
          <w:highlight w:val="white"/>
        </w:rPr>
        <w:t xml:space="preserve">, </w:t>
      </w:r>
      <w:r>
        <w:rPr>
          <w:i/>
          <w:iCs/>
          <w:highlight w:val="white"/>
        </w:rPr>
        <w:t>22</w:t>
      </w:r>
      <w:r>
        <w:rPr>
          <w:highlight w:val="white"/>
        </w:rPr>
        <w:t>(6), pp.217-229.</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Molinari-Ulate, M., Guirado-Sánchez, Y., Platón, L., van der Roest, H.G., Bahillo, A. and Franco-Martín, M., (2023). Cultural adaptation of the iSupport online training and support programme for caregivers of people with dementia in Castilla y León, Spain. </w:t>
      </w:r>
      <w:r>
        <w:rPr>
          <w:i/>
          <w:iCs/>
        </w:rPr>
        <w:t>Dementia</w:t>
      </w:r>
      <w:r>
        <w:t xml:space="preserve">, </w:t>
      </w:r>
      <w:r>
        <w:rPr>
          <w:i/>
          <w:iCs/>
        </w:rPr>
        <w:t>22</w:t>
      </w:r>
      <w:r>
        <w:t>(5), pp.1010-1026.</w:t>
      </w:r>
    </w:p>
    <w:p>
      <w:pPr>
        <w:spacing w:before="240" w:after="240"/>
        <w:jc w:val="left"/>
      </w:pPr>
      <w:r>
        <w:t xml:space="preserve">Molinari-Ulate, M., Guirado-Sánchez, Y., Platón, L., van der Roest, H.G., Bahillo, A. and Franco-Martín, M., (2023). Cultural adaptation of the iSupport online training and support programme for caregivers of people with dementia in Castilla y León, Spain. </w:t>
      </w:r>
      <w:r>
        <w:rPr>
          <w:i/>
          <w:iCs/>
        </w:rPr>
        <w:t>Dementia</w:t>
      </w:r>
      <w:r>
        <w:t xml:space="preserve">, </w:t>
      </w:r>
      <w:r>
        <w:rPr>
          <w:i/>
          <w:iCs/>
        </w:rPr>
        <w:t>22</w:t>
      </w:r>
      <w:r>
        <w:t>(5), pp.1010-1026.</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Moura, A., Amorim, M., Castanheira Pais, S. and Alves, E., (2025). Becoming Experts: Life Changes, Adaptation, and Learning of Stroke Survivors’ Informal Caregivers. </w:t>
      </w:r>
      <w:r>
        <w:rPr>
          <w:i/>
          <w:iCs/>
        </w:rPr>
        <w:t>Health &amp; Social Care in the Community</w:t>
      </w:r>
      <w:r>
        <w:t xml:space="preserve">, </w:t>
      </w:r>
      <w:r>
        <w:rPr>
          <w:i/>
          <w:iCs/>
        </w:rPr>
        <w:t>2025</w:t>
      </w:r>
      <w:r>
        <w:t>(1), p.2418706.</w:t>
      </w:r>
    </w:p>
    <w:p>
      <w:pPr>
        <w:spacing w:before="240" w:after="240"/>
        <w:jc w:val="left"/>
      </w:pPr>
      <w:r>
        <w:t xml:space="preserve">Moura, A., Amorim, M., Castanheira Pais, S. and Alves, E., (2025). Becoming Experts: Life Changes, Adaptation, and Learning of Stroke Survivors’ Informal Caregivers. </w:t>
      </w:r>
      <w:r>
        <w:rPr>
          <w:i/>
          <w:iCs/>
        </w:rPr>
        <w:t>Health &amp; Social Care in the Community</w:t>
      </w:r>
      <w:r>
        <w:t xml:space="preserve">, </w:t>
      </w:r>
      <w:r>
        <w:rPr>
          <w:i/>
          <w:iCs/>
        </w:rPr>
        <w:t>2025</w:t>
      </w:r>
      <w:r>
        <w:t>(1), p.2418706</w:t>
      </w:r>
      <w:r>
        <w:rPr>
          <w:i/>
          <w:iCs/>
        </w:rPr>
        <w:t>.</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Munzesheimer, S., Siu, T.W.T., Yacinthe, D., Garcia-Casals, M., Haq, I.U. and Shpiner, D.S., (2025). An Interdisciplinary Approach to Assistive Technology for Parkinson’s Disease Dementia. </w:t>
      </w:r>
      <w:r>
        <w:rPr>
          <w:i/>
          <w:iCs/>
        </w:rPr>
        <w:t>Clinical interventions in aging</w:t>
      </w:r>
      <w:r>
        <w:t>, pp.1253-1265.</w:t>
      </w:r>
    </w:p>
    <w:p>
      <w:pPr>
        <w:pBdr>
          <w:top w:val="none" w:sz="0" w:space="0" w:color="auto"/>
          <w:left w:val="none" w:sz="0" w:space="0" w:color="auto"/>
          <w:bottom w:val="none" w:sz="0" w:space="0" w:color="auto"/>
          <w:right w:val="none" w:sz="0" w:space="0" w:color="auto"/>
          <w:between w:val="none" w:sz="0" w:space="0" w:color="auto"/>
        </w:pBdr>
        <w:spacing w:before="240" w:after="240"/>
        <w:jc w:val="left"/>
        <w:rPr>
          <w:highlight w:val="white"/>
        </w:rPr>
      </w:pPr>
      <w:r>
        <w:rPr>
          <w:highlight w:val="white"/>
        </w:rPr>
        <w:t xml:space="preserve">Mustofa, M., (2023). Epistemological paradigms in positivism, interpretivism, and action research in educational research: A literature review. </w:t>
      </w:r>
      <w:r>
        <w:rPr>
          <w:i/>
          <w:iCs/>
          <w:highlight w:val="white"/>
        </w:rPr>
        <w:t>Journal of Office Administration: Education and Practice</w:t>
      </w:r>
      <w:r>
        <w:rPr>
          <w:highlight w:val="white"/>
        </w:rPr>
        <w:t xml:space="preserve">, </w:t>
      </w:r>
      <w:r>
        <w:rPr>
          <w:i/>
          <w:iCs/>
          <w:highlight w:val="white"/>
        </w:rPr>
        <w:t>3</w:t>
      </w:r>
      <w:r>
        <w:rPr>
          <w:highlight w:val="white"/>
        </w:rPr>
        <w:t>(3), pp.214-224.</w:t>
      </w:r>
    </w:p>
    <w:p>
      <w:pPr>
        <w:spacing w:before="240" w:after="240"/>
        <w:jc w:val="left"/>
        <w:rPr>
          <w:highlight w:val="white"/>
        </w:rPr>
      </w:pPr>
      <w:r>
        <w:rPr>
          <w:highlight w:val="white"/>
        </w:rPr>
        <w:t xml:space="preserve">National Health Service (2023). </w:t>
      </w:r>
      <w:r>
        <w:rPr>
          <w:i/>
          <w:iCs/>
          <w:highlight w:val="white"/>
        </w:rPr>
        <w:t>What is dementia</w:t>
      </w:r>
      <w:r>
        <w:rPr>
          <w:highlight w:val="white"/>
        </w:rPr>
        <w:t>. Available at: https://www.nhs.uk/conditions/dementia/about-dementia/what-is-dementia/ (Accessed 14 October,2025).</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Newbould, L., Tucker, S. and Wilberforce, M., (2022). ‘Enabling older people with mental health needs to engage with community social care: A scoping review to inform a theory of change’. </w:t>
      </w:r>
      <w:r>
        <w:rPr>
          <w:i/>
          <w:iCs/>
        </w:rPr>
        <w:t>Health &amp; Social Care in the Community</w:t>
      </w:r>
      <w:r>
        <w:t xml:space="preserve">, </w:t>
      </w:r>
      <w:r>
        <w:rPr>
          <w:i/>
          <w:iCs/>
        </w:rPr>
        <w:t>30</w:t>
      </w:r>
      <w:r>
        <w:t>(4), pp.1286-1306.</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Nguyen, T.T.T., Than, T.H.N., Nguyen, T.C., Duong Vu, L.T., Truong, K.T., Thai, T.T., Schofield, P. and Nguyen, T.A., (2025). Challenges, knowledge, and skills required for family caregivers of older adults with dementia: a qualitative study in Vietnam. </w:t>
      </w:r>
      <w:r>
        <w:rPr>
          <w:i/>
          <w:iCs/>
        </w:rPr>
        <w:t>Global Health Action</w:t>
      </w:r>
      <w:r>
        <w:t xml:space="preserve">, </w:t>
      </w:r>
      <w:r>
        <w:rPr>
          <w:i/>
          <w:iCs/>
        </w:rPr>
        <w:t>18</w:t>
      </w:r>
      <w:r>
        <w:t>(1), p.2526929.</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NHS (2023). </w:t>
      </w:r>
      <w:r>
        <w:rPr>
          <w:i/>
          <w:iCs/>
        </w:rPr>
        <w:t>Coping with dementia behaviour changes</w:t>
      </w:r>
      <w:r>
        <w:t>. Available at:</w:t>
      </w:r>
      <w:r>
        <w:rPr>
          <w:u w:val="single"/>
        </w:rPr>
        <w:fldChar w:fldCharType="begin"/>
      </w:r>
      <w:r>
        <w:instrText>HYPERLINK "https://www.nhs.uk/conditions/dementia/living-with-dementia/behaviour/"</w:instrText>
      </w:r>
      <w:r>
        <w:rPr>
          <w:u w:val="single"/>
        </w:rPr>
        <w:fldChar w:fldCharType="separate"/>
      </w:r>
      <w:r>
        <w:rPr>
          <w:u w:val="single"/>
        </w:rPr>
        <w:t>https://www.nhs.uk/conditions/dementia/living-with-dementia/behaviour/</w:t>
      </w:r>
      <w:r>
        <w:rPr>
          <w:u w:val="single"/>
        </w:rPr>
        <w:fldChar w:fldCharType="end"/>
      </w:r>
      <w:r>
        <w:t xml:space="preserve"> (Accessed on: 7 October 2025).</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NHS (2023). </w:t>
      </w:r>
      <w:r>
        <w:rPr>
          <w:i/>
          <w:iCs/>
        </w:rPr>
        <w:t>Coping with dementia behaviour changes</w:t>
      </w:r>
      <w:r>
        <w:t>. Available at:</w:t>
      </w:r>
      <w:r>
        <w:rPr>
          <w:u w:val="single"/>
        </w:rPr>
        <w:fldChar w:fldCharType="begin"/>
      </w:r>
      <w:r>
        <w:instrText>HYPERLINK "https://www.nhs.uk/conditions/dementia/living-with-dementia/behaviour/"</w:instrText>
      </w:r>
      <w:r>
        <w:rPr>
          <w:u w:val="single"/>
        </w:rPr>
        <w:fldChar w:fldCharType="separate"/>
      </w:r>
      <w:r>
        <w:rPr>
          <w:u w:val="single"/>
        </w:rPr>
        <w:t>https://www.nhs.uk/conditions/dementia/living-with-dementia/behaviour/</w:t>
      </w:r>
      <w:r>
        <w:rPr>
          <w:u w:val="single"/>
        </w:rPr>
        <w:fldChar w:fldCharType="end"/>
      </w:r>
      <w:r>
        <w:t xml:space="preserve"> (Accessed on: 7 October 2025).</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NHS England (2023). </w:t>
      </w:r>
      <w:r>
        <w:rPr>
          <w:i/>
          <w:iCs/>
        </w:rPr>
        <w:t>Structured Medication Reviews and Medicines Optimisation</w:t>
      </w:r>
      <w:r>
        <w:t>. Available at:</w:t>
      </w:r>
      <w:r>
        <w:rPr>
          <w:u w:val="single"/>
        </w:rPr>
        <w:fldChar w:fldCharType="begin"/>
      </w:r>
      <w:r>
        <w:instrText>HYPERLINK "https://www.england.nhs.uk/primary-care/pharmacy/smr/"</w:instrText>
      </w:r>
      <w:r>
        <w:rPr>
          <w:u w:val="single"/>
        </w:rPr>
        <w:fldChar w:fldCharType="separate"/>
      </w:r>
      <w:r>
        <w:rPr>
          <w:u w:val="single"/>
        </w:rPr>
        <w:t>https://www.england.nhs.uk/primary-care/pharmacy/smr/</w:t>
      </w:r>
      <w:r>
        <w:rPr>
          <w:u w:val="single"/>
        </w:rPr>
        <w:fldChar w:fldCharType="end"/>
      </w:r>
      <w:r>
        <w:t xml:space="preserve"> (Accessed on: 7 October 2025).</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NHS England (2024). </w:t>
      </w:r>
      <w:r>
        <w:rPr>
          <w:i/>
          <w:iCs/>
        </w:rPr>
        <w:t>NHS England» Dementia diagnoses in England at record high</w:t>
      </w:r>
      <w:r>
        <w:t>. Available at:</w:t>
      </w:r>
      <w:r>
        <w:rPr>
          <w:u w:val="single"/>
        </w:rPr>
        <w:fldChar w:fldCharType="begin"/>
      </w:r>
      <w:r>
        <w:instrText>HYPERLINK "https://www.england.nhs.uk/2024/07/dementia-diagnoses-in-england-at-record-high/"</w:instrText>
      </w:r>
      <w:r>
        <w:rPr>
          <w:u w:val="single"/>
        </w:rPr>
        <w:fldChar w:fldCharType="separate"/>
      </w:r>
      <w:r>
        <w:rPr>
          <w:u w:val="single"/>
        </w:rPr>
        <w:t>https://www.england.nhs.uk/2024/07/dementia-diagnoses-in-england-at-record-high/</w:t>
      </w:r>
      <w:r>
        <w:rPr>
          <w:u w:val="single"/>
        </w:rPr>
        <w:fldChar w:fldCharType="end"/>
      </w:r>
      <w:r>
        <w:t xml:space="preserve"> (Accessed on: 7 October 2025).</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Nhs, (2025). </w:t>
      </w:r>
      <w:r>
        <w:rPr>
          <w:i/>
          <w:iCs/>
        </w:rPr>
        <w:t>Primary Care Dementia Data, April 2024</w:t>
      </w:r>
      <w:r>
        <w:t xml:space="preserve">. Available at: </w:t>
      </w:r>
      <w:r>
        <w:rPr>
          <w:u w:val="single"/>
        </w:rPr>
        <w:fldChar w:fldCharType="begin"/>
      </w:r>
      <w:r>
        <w:instrText>HYPERLINK "https://digital.nhs.uk/data-and-information/publications/statistical/primary-care-dementia-data/april-2024"</w:instrText>
      </w:r>
      <w:r>
        <w:rPr>
          <w:u w:val="single"/>
        </w:rPr>
        <w:fldChar w:fldCharType="separate"/>
      </w:r>
      <w:r>
        <w:rPr>
          <w:u w:val="single"/>
        </w:rPr>
        <w:t>https://digital.nhs.uk/data-and-information/publications/statistical/primary-care-dementia-data/april-2024</w:t>
      </w:r>
      <w:r>
        <w:rPr>
          <w:u w:val="single"/>
        </w:rPr>
        <w:fldChar w:fldCharType="end"/>
      </w:r>
      <w:r>
        <w:t xml:space="preserve"> (Accessed on: 7 October 2025).</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Nwagwu, W.E. and Akanji, H.A., (2024). Information seeking behaviour of informal caregivers at the premier tertiary teaching hospital in Nigeria. </w:t>
      </w:r>
      <w:r>
        <w:rPr>
          <w:i/>
          <w:iCs/>
        </w:rPr>
        <w:t>Information Development</w:t>
      </w:r>
      <w:r>
        <w:t>, p.02666669241264745.</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O'Dea, R.E., Lagisz, M., Jennions, M.D., Koricheva, J., Noble, D.W., Parker, T.H., Gurevitch, J., Page, M.J., Stewart, G., Moher, D. and Nakagawa, S., (2021). Preferred reporting items for systematic reviews and meta</w:t>
      </w:r>
      <w:r>
        <w:rPr>
          <w:rFonts w:ascii="Cambria Math" w:eastAsia="Cambria Math" w:cs="Cambria Math" w:hAnsi="Cambria Math"/>
        </w:rPr>
        <w:t>‐</w:t>
      </w:r>
      <w:r>
        <w:t xml:space="preserve">analyses in ecology and evolutionary biology: a PRISMA extension. </w:t>
      </w:r>
      <w:r>
        <w:rPr>
          <w:i/>
          <w:iCs/>
        </w:rPr>
        <w:t>Biological Reviews</w:t>
      </w:r>
      <w:r>
        <w:t xml:space="preserve">, </w:t>
      </w:r>
      <w:r>
        <w:rPr>
          <w:i/>
          <w:iCs/>
        </w:rPr>
        <w:t>96</w:t>
      </w:r>
      <w:r>
        <w:t>(5), pp.1695-1722.</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Oravainen, T., Airaksinen, M., Hannula, K. and Kvarnström, K., (2021). How Physicians Renew Electronic Prescriptions in Primary Care: Therapeutic Decision or Technical Task?.</w:t>
      </w:r>
      <w:r>
        <w:rPr>
          <w:i/>
          <w:iCs/>
        </w:rPr>
        <w:t>International journal of environmental research and public health</w:t>
      </w:r>
      <w:r>
        <w:t xml:space="preserve">, </w:t>
      </w:r>
      <w:r>
        <w:rPr>
          <w:i/>
          <w:iCs/>
        </w:rPr>
        <w:t>18</w:t>
      </w:r>
      <w:r>
        <w:t>(20), p.10937.</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Ory, M.G. and Stevens, A.B., (2024). The Evolution in Dementia Caregiving Research: NIA’s Catalyst Role. </w:t>
      </w:r>
      <w:r>
        <w:rPr>
          <w:i/>
          <w:iCs/>
        </w:rPr>
        <w:t>The Gerontologist</w:t>
      </w:r>
      <w:r>
        <w:t xml:space="preserve">, </w:t>
      </w:r>
      <w:r>
        <w:rPr>
          <w:i/>
          <w:iCs/>
        </w:rPr>
        <w:t>64</w:t>
      </w:r>
      <w:r>
        <w:t>(12), p.gnae161.</w:t>
      </w:r>
    </w:p>
    <w:p>
      <w:pPr>
        <w:spacing w:before="240" w:after="240"/>
        <w:jc w:val="left"/>
      </w:pPr>
      <w:r>
        <w:t xml:space="preserve">Ory, M.G. and Stevens, A.B., (2024). The Evolution in Dementia Caregiving Research: NIA’s Catalyst Role. </w:t>
      </w:r>
      <w:r>
        <w:rPr>
          <w:i/>
          <w:iCs/>
        </w:rPr>
        <w:t>The Gerontologist</w:t>
      </w:r>
      <w:r>
        <w:t xml:space="preserve">, </w:t>
      </w:r>
      <w:r>
        <w:rPr>
          <w:i/>
          <w:iCs/>
        </w:rPr>
        <w:t>64</w:t>
      </w:r>
      <w:r>
        <w:t>(12), p.gnae161.</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Ozavci, G., Bucknall, T., Woodward</w:t>
      </w:r>
      <w:r>
        <w:rPr>
          <w:rFonts w:ascii="Cambria Math" w:eastAsia="Cambria Math" w:cs="Cambria Math" w:hAnsi="Cambria Math"/>
        </w:rPr>
        <w:t>‐</w:t>
      </w:r>
      <w:r>
        <w:t xml:space="preserve">Kron, R., Hughes, C., Jorm, C. and Manias, E., (2022). Creating opportunities for patient participation in managing medications across transitions of care through formal and informal modes of communication. </w:t>
      </w:r>
      <w:r>
        <w:rPr>
          <w:i/>
          <w:iCs/>
        </w:rPr>
        <w:t>Health Expectations</w:t>
      </w:r>
      <w:r>
        <w:t xml:space="preserve">, </w:t>
      </w:r>
      <w:r>
        <w:rPr>
          <w:i/>
          <w:iCs/>
        </w:rPr>
        <w:t>25</w:t>
      </w:r>
      <w:r>
        <w:t>(4), pp.1807-1820.</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Pereira, F., Bieri, M., del Rio Carral, M., Martins, M.M. and Verloo, H., (2022). Collaborative medication management for older adults after hospital discharge: a qualitative descriptive study. </w:t>
      </w:r>
      <w:r>
        <w:rPr>
          <w:i/>
          <w:iCs/>
        </w:rPr>
        <w:t>BMC nursing</w:t>
      </w:r>
      <w:r>
        <w:t xml:space="preserve">, </w:t>
      </w:r>
      <w:r>
        <w:rPr>
          <w:i/>
          <w:iCs/>
        </w:rPr>
        <w:t>21</w:t>
      </w:r>
      <w:r>
        <w:t>(1), p.284.</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Pollock, K., Wilson, E., Caswell, G., Latif, A., Caswell, A., Avery, A., Anderson, C., Crosby, V. and Faull, C., (2021). Family and health-care professionals managing medicines for patients with serious and terminal illness at home: a qualitative study. </w:t>
      </w:r>
      <w:r>
        <w:rPr>
          <w:i/>
          <w:iCs/>
        </w:rPr>
        <w:t>Health and Social Care Delivery Research</w:t>
      </w:r>
      <w:r>
        <w:t xml:space="preserve">, </w:t>
      </w:r>
      <w:r>
        <w:rPr>
          <w:i/>
          <w:iCs/>
        </w:rPr>
        <w:t>9</w:t>
      </w:r>
      <w:r>
        <w:t>(14), pp.1-162.</w:t>
      </w:r>
    </w:p>
    <w:p>
      <w:pPr>
        <w:spacing w:before="240" w:after="240"/>
        <w:jc w:val="left"/>
        <w:rPr>
          <w:highlight w:val="white"/>
        </w:rPr>
      </w:pPr>
      <w:r>
        <w:rPr>
          <w:highlight w:val="white"/>
        </w:rPr>
        <w:t>Ross, S.D., Ziegert, N. and Rodriguez, F.S.,( 2025). Non-pharmacological interventions in dementia care: what is being implemented.</w:t>
      </w:r>
      <w:r>
        <w:rPr>
          <w:i/>
          <w:iCs/>
          <w:highlight w:val="white"/>
        </w:rPr>
        <w:t>BJPsych Bulletin</w:t>
      </w:r>
      <w:r>
        <w:rPr>
          <w:highlight w:val="white"/>
        </w:rPr>
        <w:t>, pp.1-8.</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Rutkowski, R.A., Ponnala, S., Younan, L., Weiler, D.T., Bykovskyi, A.G. and Werner, N.E., (2021). A process-based approach to exploring the information behavior of informal caregivers of people living with dementia. </w:t>
      </w:r>
      <w:r>
        <w:rPr>
          <w:i/>
          <w:iCs/>
        </w:rPr>
        <w:t>International journal of medical informatics</w:t>
      </w:r>
      <w:r>
        <w:t xml:space="preserve">, </w:t>
      </w:r>
      <w:r>
        <w:rPr>
          <w:i/>
          <w:iCs/>
        </w:rPr>
        <w:t>145</w:t>
      </w:r>
      <w:r>
        <w:t>, p.104341.</w:t>
      </w:r>
    </w:p>
    <w:p>
      <w:pPr>
        <w:pBdr>
          <w:top w:val="none" w:sz="0" w:space="0" w:color="auto"/>
          <w:left w:val="none" w:sz="0" w:space="0" w:color="auto"/>
          <w:bottom w:val="none" w:sz="0" w:space="0" w:color="auto"/>
          <w:right w:val="none" w:sz="0" w:space="0" w:color="auto"/>
          <w:between w:val="none" w:sz="0" w:space="0" w:color="auto"/>
        </w:pBdr>
        <w:spacing w:before="240" w:after="240"/>
        <w:jc w:val="left"/>
        <w:rPr>
          <w:highlight w:val="white"/>
        </w:rPr>
      </w:pPr>
      <w:r>
        <w:rPr>
          <w:highlight w:val="white"/>
        </w:rPr>
        <w:t xml:space="preserve">Saliya, C.A., (2023). Research Philosophy: Paradigms, world views, perspectives, and theories. In </w:t>
      </w:r>
      <w:r>
        <w:rPr>
          <w:i/>
          <w:iCs/>
          <w:highlight w:val="white"/>
        </w:rPr>
        <w:t>Social research methodology and publishing results: A guide to non-native English speakers</w:t>
      </w:r>
      <w:r>
        <w:rPr>
          <w:highlight w:val="white"/>
        </w:rPr>
        <w:t xml:space="preserve"> (pp. 35-51). IGI Global.</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Sarkis-Onofre, R., Catalá-López, F., Aromataris, E. and Lockwood, C., (2021). How to properly use the PRISMA Statement. </w:t>
      </w:r>
      <w:r>
        <w:rPr>
          <w:i/>
          <w:iCs/>
        </w:rPr>
        <w:t>Systematic reviews</w:t>
      </w:r>
      <w:r>
        <w:t xml:space="preserve">, </w:t>
      </w:r>
      <w:r>
        <w:rPr>
          <w:i/>
          <w:iCs/>
        </w:rPr>
        <w:t>10</w:t>
      </w:r>
      <w:r>
        <w:t>(1), p.117.</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Schnelli, A., Karrer, M., Mayer, H. and Zeller, A., (2023). Aggressive behaviour of persons with dementia towards professional caregivers in the home care setting—A scoping review. </w:t>
      </w:r>
      <w:r>
        <w:rPr>
          <w:i/>
          <w:iCs/>
        </w:rPr>
        <w:t>Journal of clinical nursing</w:t>
      </w:r>
      <w:r>
        <w:t xml:space="preserve">, </w:t>
      </w:r>
      <w:r>
        <w:rPr>
          <w:i/>
          <w:iCs/>
        </w:rPr>
        <w:t>32</w:t>
      </w:r>
      <w:r>
        <w:t>(15-16), pp.4541-4558.</w:t>
      </w:r>
    </w:p>
    <w:p>
      <w:pPr>
        <w:spacing w:before="240" w:after="240"/>
        <w:jc w:val="left"/>
      </w:pPr>
      <w:r>
        <w:t xml:space="preserve">Schnelli, A., Karrer, M., Mayer, H. and Zeller, A., (2023). Aggressive behaviour of persons with dementia towards professional caregivers in the home care setting—A scoping review. </w:t>
      </w:r>
      <w:r>
        <w:rPr>
          <w:i/>
          <w:iCs/>
        </w:rPr>
        <w:t>Journal of clinical nursing</w:t>
      </w:r>
      <w:r>
        <w:t xml:space="preserve">, </w:t>
      </w:r>
      <w:r>
        <w:rPr>
          <w:i/>
          <w:iCs/>
        </w:rPr>
        <w:t>32</w:t>
      </w:r>
      <w:r>
        <w:t>(15-16), pp.4541-4558.</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Sitges-Maciá, E., Bonete-López, B., Sánchez-Cabaco, A. and Oltra-Cucarella, J., (2021). Effects of e-health training and social support interventions for informal caregivers of people with dementia—A narrative review. </w:t>
      </w:r>
      <w:r>
        <w:rPr>
          <w:i/>
          <w:iCs/>
        </w:rPr>
        <w:t>International journal of environmental research and public health</w:t>
      </w:r>
      <w:r>
        <w:t xml:space="preserve">, </w:t>
      </w:r>
      <w:r>
        <w:rPr>
          <w:i/>
          <w:iCs/>
        </w:rPr>
        <w:t>18</w:t>
      </w:r>
      <w:r>
        <w:t>(15), p.7728.</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Soares, S., Hoffmeister, L.V., Fernandes, M.D.F., Henriques, A. and Costa, A., (2024). The use of digital technologies in the promotion of health literacy and empowerment of informal caregivers: scoping review. </w:t>
      </w:r>
      <w:r>
        <w:rPr>
          <w:i/>
          <w:iCs/>
        </w:rPr>
        <w:t>JMIR aging</w:t>
      </w:r>
      <w:r>
        <w:t xml:space="preserve">, </w:t>
      </w:r>
      <w:r>
        <w:rPr>
          <w:i/>
          <w:iCs/>
        </w:rPr>
        <w:t>7</w:t>
      </w:r>
      <w:r>
        <w:t>, p.e54913.</w:t>
      </w:r>
    </w:p>
    <w:p>
      <w:pPr>
        <w:pBdr>
          <w:top w:val="none" w:sz="0" w:space="0" w:color="auto"/>
          <w:left w:val="none" w:sz="0" w:space="0" w:color="auto"/>
          <w:bottom w:val="none" w:sz="0" w:space="0" w:color="auto"/>
          <w:right w:val="none" w:sz="0" w:space="0" w:color="auto"/>
          <w:between w:val="none" w:sz="0" w:space="0" w:color="auto"/>
        </w:pBdr>
        <w:spacing w:before="240" w:after="240"/>
        <w:jc w:val="left"/>
        <w:rPr>
          <w:highlight w:val="white"/>
        </w:rPr>
      </w:pPr>
      <w:r>
        <w:rPr>
          <w:highlight w:val="white"/>
        </w:rPr>
        <w:t xml:space="preserve">Taherdoost, H., (2021). Data collection methods and tools for research; a step-by-step guide to choose data collection technique for academic and business research projects. </w:t>
      </w:r>
      <w:r>
        <w:rPr>
          <w:i/>
          <w:iCs/>
          <w:highlight w:val="white"/>
        </w:rPr>
        <w:t>International Journal of Academic Research in Management (IJARM)</w:t>
      </w:r>
      <w:r>
        <w:rPr>
          <w:highlight w:val="white"/>
        </w:rPr>
        <w:t xml:space="preserve">, </w:t>
      </w:r>
      <w:r>
        <w:rPr>
          <w:i/>
          <w:iCs/>
          <w:highlight w:val="white"/>
        </w:rPr>
        <w:t>10</w:t>
      </w:r>
      <w:r>
        <w:rPr>
          <w:highlight w:val="white"/>
        </w:rPr>
        <w:t xml:space="preserve">(1), pp.10-38. </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Teichmann, B., Gkioka, M., Kruse, A. and Tsolaki, M., (2022). Informal caregivers’ attitude toward dementia: The impact of dementia knowledge, confidence in dementia care, and the behavioural and psychological symptoms of the person with dementia. A cross-sectional study. </w:t>
      </w:r>
      <w:r>
        <w:rPr>
          <w:i/>
          <w:iCs/>
        </w:rPr>
        <w:t>Journal of Alzheimer’s Disease</w:t>
      </w:r>
      <w:r>
        <w:t xml:space="preserve">, </w:t>
      </w:r>
      <w:r>
        <w:rPr>
          <w:i/>
          <w:iCs/>
        </w:rPr>
        <w:t>88</w:t>
      </w:r>
      <w:r>
        <w:t>(3), pp.971-984.</w:t>
      </w:r>
    </w:p>
    <w:p>
      <w:pPr>
        <w:pBdr>
          <w:top w:val="none" w:sz="0" w:space="0" w:color="auto"/>
          <w:left w:val="none" w:sz="0" w:space="0" w:color="auto"/>
          <w:bottom w:val="none" w:sz="0" w:space="0" w:color="auto"/>
          <w:right w:val="none" w:sz="0" w:space="0" w:color="auto"/>
          <w:between w:val="none" w:sz="0" w:space="0" w:color="auto"/>
        </w:pBdr>
        <w:spacing w:before="240" w:after="240"/>
        <w:jc w:val="left"/>
        <w:rPr>
          <w:b/>
          <w:bCs/>
          <w:i/>
          <w:iCs/>
        </w:rPr>
      </w:pPr>
      <w:r>
        <w:rPr>
          <w:highlight w:val="white"/>
        </w:rPr>
        <w:t xml:space="preserve">Thomas, F.B., (2022). The role of purposive sampling technique as a tool for informal choices in a social Sciences in research methods. </w:t>
      </w:r>
      <w:r>
        <w:rPr>
          <w:i/>
          <w:iCs/>
          <w:highlight w:val="white"/>
        </w:rPr>
        <w:t>Just Agriculture</w:t>
      </w:r>
      <w:r>
        <w:rPr>
          <w:highlight w:val="white"/>
        </w:rPr>
        <w:t xml:space="preserve">, </w:t>
      </w:r>
      <w:r>
        <w:rPr>
          <w:i/>
          <w:iCs/>
          <w:highlight w:val="white"/>
        </w:rPr>
        <w:t>2</w:t>
      </w:r>
      <w:r>
        <w:rPr>
          <w:highlight w:val="white"/>
        </w:rPr>
        <w:t xml:space="preserve">(5), pp.1-8. </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Tijsen, L.M., Derksen, E.W., Achterberg, W.P. and Buijck, B.I., (2023). A qualitative study exploring rehabilitant and informal caregiver perspectives of a challenging rehabilitation environment for geriatric rehabilitation. </w:t>
      </w:r>
      <w:r>
        <w:rPr>
          <w:i/>
          <w:iCs/>
        </w:rPr>
        <w:t>Journal of Patient Experience</w:t>
      </w:r>
      <w:r>
        <w:t xml:space="preserve">, </w:t>
      </w:r>
      <w:r>
        <w:rPr>
          <w:i/>
          <w:iCs/>
        </w:rPr>
        <w:t>10</w:t>
      </w:r>
      <w:r>
        <w:t>, p.23743735231151532.</w:t>
      </w:r>
    </w:p>
    <w:p>
      <w:pPr>
        <w:spacing w:before="240" w:after="240"/>
        <w:jc w:val="left"/>
        <w:rPr>
          <w:highlight w:val="white"/>
        </w:rPr>
      </w:pPr>
      <w:r>
        <w:rPr>
          <w:highlight w:val="white"/>
        </w:rPr>
        <w:t xml:space="preserve">Vaismoradi, M., Behboudi-Gandevani, S., Lorenzl, S., Weck, C. and Paal, P., (2021). Needs assessment of safe medicines management for older people with cognitive disorders in home care: an integrative systematic review. </w:t>
      </w:r>
      <w:r>
        <w:rPr>
          <w:i/>
          <w:iCs/>
          <w:highlight w:val="white"/>
        </w:rPr>
        <w:t>Frontiers in Neurology</w:t>
      </w:r>
      <w:r>
        <w:rPr>
          <w:highlight w:val="white"/>
        </w:rPr>
        <w:t xml:space="preserve">, </w:t>
      </w:r>
      <w:r>
        <w:rPr>
          <w:i/>
          <w:iCs/>
          <w:highlight w:val="white"/>
        </w:rPr>
        <w:t>12</w:t>
      </w:r>
      <w:r>
        <w:rPr>
          <w:highlight w:val="white"/>
        </w:rPr>
        <w:t>, p.694572.</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Wammes, J.D., Labrie, N.H.M., Agogo, G.O., Monin, J.K., Bekker</w:t>
      </w:r>
      <w:r>
        <w:rPr>
          <w:rFonts w:ascii="Times New Roman" w:eastAsia="Times New Roman" w:cs="Times New Roman" w:hAnsi="Times New Roman"/>
        </w:rPr>
        <w:t>‐</w:t>
      </w:r>
      <w:r>
        <w:t>Grob, E.W. and MacNeil Vroomen, J.L. (2021). Persons with dementia and informal caregivers prioritizing care: A mixed</w:t>
      </w:r>
      <w:r>
        <w:rPr>
          <w:rFonts w:ascii="Times New Roman" w:eastAsia="Times New Roman" w:cs="Times New Roman" w:hAnsi="Times New Roman"/>
        </w:rPr>
        <w:t>‐</w:t>
      </w:r>
      <w:r>
        <w:t xml:space="preserve">methods study. </w:t>
      </w:r>
      <w:r>
        <w:rPr>
          <w:i/>
          <w:iCs/>
        </w:rPr>
        <w:t>Alzheimer’s &amp; Dementia: Translational Research &amp; Clinical Interventions</w:t>
      </w:r>
      <w:r>
        <w:t>, 7(1).</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World Health Organization (2025). </w:t>
      </w:r>
      <w:r>
        <w:rPr>
          <w:i/>
          <w:iCs/>
        </w:rPr>
        <w:t>Dementia</w:t>
      </w:r>
      <w:r>
        <w:t>. Available at:</w:t>
      </w:r>
      <w:r>
        <w:rPr>
          <w:u w:val="single"/>
        </w:rPr>
        <w:fldChar w:fldCharType="begin"/>
      </w:r>
      <w:r>
        <w:instrText>HYPERLINK "https://www.who.int/news-room/fact-sheets/detail/dementia"</w:instrText>
      </w:r>
      <w:r>
        <w:rPr>
          <w:u w:val="single"/>
        </w:rPr>
        <w:fldChar w:fldCharType="separate"/>
      </w:r>
      <w:r>
        <w:rPr>
          <w:u w:val="single"/>
        </w:rPr>
        <w:t>https://www.who.int/news-room/fact-sheets/detail/dementia</w:t>
      </w:r>
      <w:r>
        <w:rPr>
          <w:u w:val="single"/>
        </w:rPr>
        <w:fldChar w:fldCharType="end"/>
      </w:r>
      <w:r>
        <w:t xml:space="preserve"> (Accessed on: 7 October 2025).</w:t>
      </w:r>
    </w:p>
    <w:p>
      <w:pPr>
        <w:pBdr>
          <w:top w:val="none" w:sz="0" w:space="0" w:color="auto"/>
          <w:left w:val="none" w:sz="0" w:space="0" w:color="auto"/>
          <w:bottom w:val="none" w:sz="0" w:space="0" w:color="auto"/>
          <w:right w:val="none" w:sz="0" w:space="0" w:color="auto"/>
          <w:between w:val="none" w:sz="0" w:space="0" w:color="auto"/>
        </w:pBdr>
        <w:spacing w:before="240" w:after="240"/>
        <w:jc w:val="left"/>
      </w:pPr>
      <w:r>
        <w:t xml:space="preserve">Wright, P.J., Raynor, P.A., Bowers, D., Combs, E.M., Corbett, C.F., Hardy, H. and Patel, K., (2023). Leveraging digital technology for social connectedness among adults with chronic conditions: A systematic review. </w:t>
      </w:r>
      <w:r>
        <w:rPr>
          <w:i/>
          <w:iCs/>
        </w:rPr>
        <w:t>Digital health</w:t>
      </w:r>
      <w:r>
        <w:t xml:space="preserve">, </w:t>
      </w:r>
      <w:r>
        <w:rPr>
          <w:i/>
          <w:iCs/>
        </w:rPr>
        <w:t>9</w:t>
      </w:r>
      <w:r>
        <w:t>, p.20552076231204746.</w:t>
      </w:r>
    </w:p>
    <w:p>
      <w:pPr>
        <w:spacing w:before="240" w:after="240"/>
        <w:jc w:val="left"/>
        <w:rPr>
          <w:highlight w:val="white"/>
        </w:rPr>
      </w:pPr>
      <w:r>
        <w:rPr>
          <w:highlight w:val="white"/>
        </w:rPr>
        <w:t xml:space="preserve">Wu, K.C., Su, Y., Chu, F., Chen, A.T. and Zaslavsky, O., (2022). Behavioral change factors and retention in web-based interventions for informal caregivers of people living with dementia: scoping review. </w:t>
      </w:r>
      <w:r>
        <w:rPr>
          <w:i/>
          <w:iCs/>
          <w:highlight w:val="white"/>
        </w:rPr>
        <w:t>Journal of Medical Internet Research</w:t>
      </w:r>
      <w:r>
        <w:rPr>
          <w:highlight w:val="white"/>
        </w:rPr>
        <w:t xml:space="preserve">, </w:t>
      </w:r>
      <w:r>
        <w:rPr>
          <w:i/>
          <w:iCs/>
          <w:highlight w:val="white"/>
        </w:rPr>
        <w:t>24</w:t>
      </w:r>
      <w:r>
        <w:rPr>
          <w:highlight w:val="white"/>
        </w:rPr>
        <w:t>(7), p.e38595.</w:t>
      </w:r>
    </w:p>
    <w:p>
      <w:pPr>
        <w:pBdr>
          <w:top w:val="none" w:sz="0" w:space="0" w:color="auto"/>
          <w:left w:val="none" w:sz="0" w:space="0" w:color="auto"/>
          <w:bottom w:val="none" w:sz="0" w:space="0" w:color="auto"/>
          <w:right w:val="none" w:sz="0" w:space="0" w:color="auto"/>
          <w:between w:val="none" w:sz="0" w:space="0" w:color="auto"/>
        </w:pBdr>
        <w:spacing w:before="240" w:after="240"/>
      </w:pPr>
    </w:p>
    <w:p>
      <w:pPr>
        <w:spacing w:line="276" w:lineRule="auto"/>
        <w:jc w:val="left"/>
        <w:sectPr>
          <w:pgSz w:w="12240" w:h="15840"/>
          <w:pgMar w:top="1440" w:right="1440" w:bottom="1440" w:left="1440" w:header="720" w:footer="720" w:gutter="0"/>
          <w:titlePg/>
          <w:docGrid w:linePitch="312" w:charSpace="0"/>
        </w:sectPr>
      </w:pPr>
      <w:r>
        <w:br w:type="page"/>
      </w:r>
    </w:p>
    <w:p>
      <w:pPr>
        <w:pStyle w:val="1"/>
        <w:rPr>
          <w:color w:val="auto"/>
        </w:rPr>
      </w:pPr>
      <w:bookmarkStart w:id="80" w:name="_Toc220932488"/>
      <w:r>
        <w:rPr>
          <w:color w:val="auto"/>
        </w:rPr>
        <w:t>Appendix</w:t>
      </w:r>
      <w:bookmarkEnd w:id="80"/>
    </w:p>
    <w:p>
      <w:pPr>
        <w:pStyle w:val="2"/>
        <w:rPr>
          <w:color w:val="auto"/>
        </w:rPr>
      </w:pPr>
      <w:bookmarkStart w:id="81" w:name="_Toc220932489"/>
      <w:r>
        <w:rPr>
          <w:color w:val="auto"/>
        </w:rPr>
        <w:t>Appendix 1: CASP tool in Appraisal</w:t>
      </w:r>
      <w:bookmarkEnd w:id="81"/>
    </w:p>
    <w:tbl>
      <w:tblPr>
        <w:jc w:val="left"/>
        <w:tblInd w:w="0" w:type="dxa"/>
        <w:tblW w:w="9342" w:type="dxa"/>
        <w:tblBorders>
          <w:top w:val="none" w:sz="0" w:space="0" w:color="auto"/>
          <w:left w:val="none" w:sz="0" w:space="0" w:color="auto"/>
          <w:bottom w:val="none" w:sz="0" w:space="0" w:color="auto"/>
          <w:right w:val="none" w:sz="0" w:space="0" w:color="auto"/>
        </w:tblBorders>
        <w:tblLayout w:type="fixed"/>
        <w:tblCellMar>
          <w:top w:w="0" w:type="dxa"/>
          <w:left w:w="115" w:type="dxa"/>
          <w:bottom w:w="0" w:type="dxa"/>
          <w:right w:w="115" w:type="dxa"/>
        </w:tblCellMar>
      </w:tblPr>
      <w:tblGrid>
        <w:gridCol w:w="1598"/>
        <w:gridCol w:w="703"/>
        <w:gridCol w:w="748"/>
        <w:gridCol w:w="855"/>
        <w:gridCol w:w="657"/>
        <w:gridCol w:w="657"/>
        <w:gridCol w:w="997"/>
        <w:gridCol w:w="702"/>
        <w:gridCol w:w="823"/>
        <w:gridCol w:w="838"/>
        <w:gridCol w:w="764"/>
      </w:tblGrid>
      <w:tr>
        <w:trPr>
          <w:trHeight w:val="930"/>
        </w:trPr>
        <w:tc>
          <w:tcPr>
            <w:tcW w:w="1598"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pPr>
              <w:spacing w:before="240" w:after="240"/>
              <w:jc w:val="left"/>
              <w:rPr>
                <w:b/>
                <w:bCs/>
              </w:rPr>
            </w:pPr>
            <w:r>
              <w:rPr>
                <w:b/>
                <w:bCs/>
              </w:rPr>
              <w:t>Author and year</w:t>
            </w:r>
          </w:p>
        </w:tc>
        <w:tc>
          <w:tcPr>
            <w:tcW w:w="703"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pPr>
              <w:spacing w:before="240" w:after="240"/>
              <w:jc w:val="left"/>
              <w:rPr>
                <w:b/>
                <w:bCs/>
              </w:rPr>
            </w:pPr>
            <w:r>
              <w:rPr>
                <w:b/>
                <w:bCs/>
              </w:rPr>
              <w:t>Q1</w:t>
            </w:r>
          </w:p>
        </w:tc>
        <w:tc>
          <w:tcPr>
            <w:tcW w:w="748"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pPr>
              <w:spacing w:before="240" w:after="240"/>
              <w:jc w:val="left"/>
              <w:rPr>
                <w:b/>
                <w:bCs/>
              </w:rPr>
            </w:pPr>
            <w:r>
              <w:rPr>
                <w:b/>
                <w:bCs/>
              </w:rPr>
              <w:t>Q2</w:t>
            </w:r>
          </w:p>
        </w:tc>
        <w:tc>
          <w:tcPr>
            <w:tcW w:w="85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pPr>
              <w:spacing w:before="240" w:after="240"/>
              <w:jc w:val="left"/>
              <w:rPr>
                <w:b/>
                <w:bCs/>
              </w:rPr>
            </w:pPr>
            <w:r>
              <w:rPr>
                <w:b/>
                <w:bCs/>
              </w:rPr>
              <w:t>Q3</w:t>
            </w:r>
          </w:p>
        </w:tc>
        <w:tc>
          <w:tcPr>
            <w:tcW w:w="657"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pPr>
              <w:spacing w:before="240" w:after="240"/>
              <w:jc w:val="left"/>
              <w:rPr>
                <w:b/>
                <w:bCs/>
              </w:rPr>
            </w:pPr>
            <w:r>
              <w:rPr>
                <w:b/>
                <w:bCs/>
              </w:rPr>
              <w:t>Q4</w:t>
            </w:r>
          </w:p>
        </w:tc>
        <w:tc>
          <w:tcPr>
            <w:tcW w:w="657"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pPr>
              <w:spacing w:before="240" w:after="240"/>
              <w:jc w:val="left"/>
              <w:rPr>
                <w:b/>
                <w:bCs/>
              </w:rPr>
            </w:pPr>
            <w:r>
              <w:rPr>
                <w:b/>
                <w:bCs/>
              </w:rPr>
              <w:t>Q5</w:t>
            </w:r>
          </w:p>
        </w:tc>
        <w:tc>
          <w:tcPr>
            <w:tcW w:w="997"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pPr>
              <w:spacing w:before="240" w:after="240"/>
              <w:jc w:val="left"/>
              <w:rPr>
                <w:b/>
                <w:bCs/>
              </w:rPr>
            </w:pPr>
            <w:r>
              <w:rPr>
                <w:b/>
                <w:bCs/>
              </w:rPr>
              <w:t>Q6</w:t>
            </w:r>
          </w:p>
        </w:tc>
        <w:tc>
          <w:tcPr>
            <w:tcW w:w="702"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pPr>
              <w:spacing w:before="240" w:after="240"/>
              <w:jc w:val="left"/>
              <w:rPr>
                <w:b/>
                <w:bCs/>
              </w:rPr>
            </w:pPr>
            <w:r>
              <w:rPr>
                <w:b/>
                <w:bCs/>
              </w:rPr>
              <w:t>Q7</w:t>
            </w:r>
          </w:p>
        </w:tc>
        <w:tc>
          <w:tcPr>
            <w:tcW w:w="823"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pPr>
              <w:spacing w:before="240" w:after="240"/>
              <w:jc w:val="left"/>
              <w:rPr>
                <w:b/>
                <w:bCs/>
              </w:rPr>
            </w:pPr>
            <w:r>
              <w:rPr>
                <w:b/>
                <w:bCs/>
              </w:rPr>
              <w:t>Q8</w:t>
            </w:r>
          </w:p>
        </w:tc>
        <w:tc>
          <w:tcPr>
            <w:tcW w:w="838"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pPr>
              <w:spacing w:before="240" w:after="240"/>
              <w:jc w:val="left"/>
              <w:rPr>
                <w:b/>
                <w:bCs/>
              </w:rPr>
            </w:pPr>
            <w:r>
              <w:rPr>
                <w:b/>
                <w:bCs/>
              </w:rPr>
              <w:t>Q9</w:t>
            </w:r>
          </w:p>
        </w:tc>
        <w:tc>
          <w:tcPr>
            <w:tcW w:w="764"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pPr>
              <w:spacing w:before="240" w:after="240"/>
              <w:jc w:val="left"/>
              <w:rPr>
                <w:b/>
                <w:bCs/>
              </w:rPr>
            </w:pPr>
            <w:r>
              <w:rPr>
                <w:b/>
                <w:bCs/>
              </w:rPr>
              <w:t>Q10</w:t>
            </w:r>
          </w:p>
        </w:tc>
      </w:tr>
      <w:tr>
        <w:trPr>
          <w:trHeight w:val="25"/>
        </w:trPr>
        <w:tc>
          <w:tcPr>
            <w:tcW w:w="1598"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pPr>
              <w:spacing w:before="240" w:after="240"/>
              <w:jc w:val="left"/>
            </w:pPr>
            <w:r>
              <w:t xml:space="preserve">Moura </w:t>
            </w:r>
            <w:r>
              <w:rPr>
                <w:i/>
                <w:iCs/>
              </w:rPr>
              <w:t xml:space="preserve">et al. </w:t>
            </w:r>
            <w:r>
              <w:t>(2025)</w:t>
            </w:r>
          </w:p>
        </w:tc>
        <w:tc>
          <w:tcPr>
            <w:tcW w:w="703"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748"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855"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657"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657"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997"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702"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823"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838"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764"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r>
      <w:tr>
        <w:trPr>
          <w:trHeight w:val="930"/>
        </w:trPr>
        <w:tc>
          <w:tcPr>
            <w:tcW w:w="1598"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pPr>
              <w:spacing w:before="240" w:after="240"/>
              <w:jc w:val="left"/>
            </w:pPr>
            <w:r>
              <w:t xml:space="preserve">Maggio </w:t>
            </w:r>
            <w:r>
              <w:rPr>
                <w:i/>
                <w:iCs/>
              </w:rPr>
              <w:t xml:space="preserve">et al. </w:t>
            </w:r>
            <w:r>
              <w:t>(2025)</w:t>
            </w:r>
          </w:p>
        </w:tc>
        <w:tc>
          <w:tcPr>
            <w:tcW w:w="703"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748"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855"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657"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657"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997"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NA</w:t>
            </w:r>
          </w:p>
        </w:tc>
        <w:tc>
          <w:tcPr>
            <w:tcW w:w="702"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823"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838"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764"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r>
      <w:tr>
        <w:trPr>
          <w:trHeight w:val="930"/>
        </w:trPr>
        <w:tc>
          <w:tcPr>
            <w:tcW w:w="1598"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pPr>
              <w:spacing w:before="240" w:after="240"/>
              <w:jc w:val="left"/>
            </w:pPr>
            <w:r>
              <w:t xml:space="preserve">Buck </w:t>
            </w:r>
            <w:r>
              <w:rPr>
                <w:i/>
                <w:iCs/>
              </w:rPr>
              <w:t xml:space="preserve">et al. </w:t>
            </w:r>
            <w:r>
              <w:t>(2024).</w:t>
            </w:r>
          </w:p>
        </w:tc>
        <w:tc>
          <w:tcPr>
            <w:tcW w:w="703"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748"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855"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657"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657"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997"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702"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823"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838"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NA</w:t>
            </w:r>
          </w:p>
        </w:tc>
        <w:tc>
          <w:tcPr>
            <w:tcW w:w="764"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r>
      <w:tr>
        <w:trPr>
          <w:trHeight w:val="930"/>
        </w:trPr>
        <w:tc>
          <w:tcPr>
            <w:tcW w:w="1598"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pPr>
              <w:spacing w:before="240" w:after="240"/>
              <w:jc w:val="left"/>
            </w:pPr>
            <w:r>
              <w:t xml:space="preserve">Kolade </w:t>
            </w:r>
            <w:r>
              <w:rPr>
                <w:i/>
                <w:iCs/>
              </w:rPr>
              <w:t xml:space="preserve">et al. </w:t>
            </w:r>
            <w:r>
              <w:t>(2025)</w:t>
            </w:r>
          </w:p>
        </w:tc>
        <w:tc>
          <w:tcPr>
            <w:tcW w:w="703"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748"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855"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NA</w:t>
            </w:r>
          </w:p>
        </w:tc>
        <w:tc>
          <w:tcPr>
            <w:tcW w:w="657"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657"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997"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702"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823"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838"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764"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r>
      <w:tr>
        <w:trPr>
          <w:trHeight w:val="930"/>
        </w:trPr>
        <w:tc>
          <w:tcPr>
            <w:tcW w:w="1598"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pPr>
              <w:spacing w:before="240" w:after="240"/>
              <w:jc w:val="left"/>
            </w:pPr>
            <w:r>
              <w:t xml:space="preserve">Boamah </w:t>
            </w:r>
            <w:r>
              <w:rPr>
                <w:i/>
                <w:iCs/>
              </w:rPr>
              <w:t xml:space="preserve">et al. </w:t>
            </w:r>
            <w:r>
              <w:t>(2022)</w:t>
            </w:r>
          </w:p>
        </w:tc>
        <w:tc>
          <w:tcPr>
            <w:tcW w:w="703"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748"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855"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657"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657"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997"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702"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823"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838"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764"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r>
      <w:tr>
        <w:trPr>
          <w:trHeight w:val="930"/>
        </w:trPr>
        <w:tc>
          <w:tcPr>
            <w:tcW w:w="1598"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pPr>
              <w:spacing w:before="240" w:after="240"/>
              <w:jc w:val="left"/>
            </w:pPr>
            <w:r>
              <w:t>Schnelli</w:t>
            </w:r>
            <w:r>
              <w:rPr>
                <w:i/>
                <w:iCs/>
              </w:rPr>
              <w:t xml:space="preserve">et al. </w:t>
            </w:r>
            <w:r>
              <w:t>(2023)</w:t>
            </w:r>
          </w:p>
        </w:tc>
        <w:tc>
          <w:tcPr>
            <w:tcW w:w="703"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748"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855"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657"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657"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997"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702"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823"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838"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764"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r>
      <w:tr>
        <w:trPr>
          <w:trHeight w:val="930"/>
        </w:trPr>
        <w:tc>
          <w:tcPr>
            <w:tcW w:w="1598"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pPr>
              <w:spacing w:before="240" w:after="240"/>
              <w:jc w:val="left"/>
            </w:pPr>
            <w:r>
              <w:t xml:space="preserve">Huang </w:t>
            </w:r>
            <w:r>
              <w:rPr>
                <w:i/>
                <w:iCs/>
              </w:rPr>
              <w:t xml:space="preserve">et al. </w:t>
            </w:r>
            <w:r>
              <w:t>(2025)</w:t>
            </w:r>
          </w:p>
        </w:tc>
        <w:tc>
          <w:tcPr>
            <w:tcW w:w="703"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748"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855"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657"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657"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997"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702"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823"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838"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764"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r>
      <w:tr>
        <w:trPr>
          <w:trHeight w:val="1290"/>
        </w:trPr>
        <w:tc>
          <w:tcPr>
            <w:tcW w:w="1598"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pPr>
              <w:spacing w:before="240" w:after="240"/>
              <w:jc w:val="left"/>
            </w:pPr>
            <w:r>
              <w:t xml:space="preserve">Molinari-Ulate </w:t>
            </w:r>
            <w:r>
              <w:rPr>
                <w:i/>
                <w:iCs/>
              </w:rPr>
              <w:t xml:space="preserve">et al. </w:t>
            </w:r>
            <w:r>
              <w:t>(2023)</w:t>
            </w:r>
          </w:p>
        </w:tc>
        <w:tc>
          <w:tcPr>
            <w:tcW w:w="703"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748"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855"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657"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657"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997"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702"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823"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NA</w:t>
            </w:r>
          </w:p>
        </w:tc>
        <w:tc>
          <w:tcPr>
            <w:tcW w:w="838"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764"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r>
      <w:tr>
        <w:trPr>
          <w:trHeight w:val="1290"/>
        </w:trPr>
        <w:tc>
          <w:tcPr>
            <w:tcW w:w="1598"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pPr>
              <w:spacing w:before="240" w:after="240"/>
              <w:jc w:val="left"/>
            </w:pPr>
            <w:r>
              <w:t xml:space="preserve">Lombo Caicedo </w:t>
            </w:r>
            <w:r>
              <w:rPr>
                <w:i/>
                <w:iCs/>
              </w:rPr>
              <w:t xml:space="preserve">et al. </w:t>
            </w:r>
            <w:r>
              <w:t>(2025)</w:t>
            </w:r>
          </w:p>
        </w:tc>
        <w:tc>
          <w:tcPr>
            <w:tcW w:w="703"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748"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855"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657"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657"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997"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702"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823"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838"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764"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r>
      <w:tr>
        <w:trPr>
          <w:trHeight w:val="1290"/>
        </w:trPr>
        <w:tc>
          <w:tcPr>
            <w:tcW w:w="1598"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pPr>
              <w:spacing w:before="240" w:after="240"/>
              <w:jc w:val="left"/>
            </w:pPr>
            <w:r>
              <w:t>Ory and Stevens (2024)</w:t>
            </w:r>
          </w:p>
        </w:tc>
        <w:tc>
          <w:tcPr>
            <w:tcW w:w="703"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748"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855"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NA</w:t>
            </w:r>
          </w:p>
        </w:tc>
        <w:tc>
          <w:tcPr>
            <w:tcW w:w="657"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657"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997"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702"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823"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838"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764"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r>
      <w:tr>
        <w:trPr>
          <w:trHeight w:val="930"/>
        </w:trPr>
        <w:tc>
          <w:tcPr>
            <w:tcW w:w="1598"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pPr>
              <w:spacing w:before="240" w:after="240"/>
              <w:jc w:val="left"/>
            </w:pPr>
            <w:r>
              <w:t xml:space="preserve">Lindsey </w:t>
            </w:r>
            <w:r>
              <w:rPr>
                <w:i/>
                <w:iCs/>
              </w:rPr>
              <w:t xml:space="preserve">et al. </w:t>
            </w:r>
            <w:r>
              <w:t>(2024)</w:t>
            </w:r>
          </w:p>
        </w:tc>
        <w:tc>
          <w:tcPr>
            <w:tcW w:w="703"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748"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855"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657"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657"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997"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702"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823"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838"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764"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r>
      <w:tr>
        <w:trPr>
          <w:trHeight w:val="930"/>
        </w:trPr>
        <w:tc>
          <w:tcPr>
            <w:tcW w:w="1598"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pPr>
              <w:spacing w:before="240" w:after="240"/>
              <w:jc w:val="left"/>
            </w:pPr>
            <w:r>
              <w:t xml:space="preserve">Chan </w:t>
            </w:r>
            <w:r>
              <w:rPr>
                <w:i/>
                <w:iCs/>
              </w:rPr>
              <w:t xml:space="preserve">et al. </w:t>
            </w:r>
            <w:r>
              <w:t>(2025).</w:t>
            </w:r>
          </w:p>
        </w:tc>
        <w:tc>
          <w:tcPr>
            <w:tcW w:w="703"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748"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855"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657"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657"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997"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702"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823"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838"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c>
          <w:tcPr>
            <w:tcW w:w="764" w:type="dxa"/>
            <w:tcBorders>
              <w:top w:val="nil"/>
              <w:left w:val="nil"/>
              <w:bottom w:val="single" w:sz="7" w:space="0" w:color="000000"/>
              <w:right w:val="single" w:sz="7" w:space="0" w:color="000000"/>
            </w:tcBorders>
            <w:tcMar>
              <w:top w:w="100" w:type="dxa"/>
              <w:left w:w="100" w:type="dxa"/>
              <w:bottom w:w="100" w:type="dxa"/>
              <w:right w:w="100" w:type="dxa"/>
            </w:tcMar>
          </w:tcPr>
          <w:p>
            <w:pPr>
              <w:spacing w:before="240" w:after="240"/>
              <w:jc w:val="left"/>
            </w:pPr>
            <w:r>
              <w:t>Yes</w:t>
            </w:r>
          </w:p>
        </w:tc>
      </w:tr>
    </w:tbl>
    <w:p>
      <w:pPr>
        <w:jc w:val="center"/>
      </w:pPr>
      <w:r>
        <w:t>(Source: Self-developed)</w:t>
      </w:r>
    </w:p>
    <w:p>
      <w:pPr>
        <w:rPr>
          <w:b/>
          <w:bCs/>
        </w:rPr>
        <w:sectPr>
          <w:pgSz w:w="12240" w:h="15840"/>
          <w:pgMar w:top="1440" w:right="1440" w:bottom="1440" w:left="1440" w:header="720" w:footer="720" w:gutter="0"/>
          <w:titlePg/>
          <w:docGrid w:linePitch="312" w:charSpace="0"/>
        </w:sectPr>
      </w:pPr>
      <w:r>
        <w:br w:type="page"/>
      </w:r>
    </w:p>
    <w:p>
      <w:pPr>
        <w:pBdr>
          <w:top w:val="none" w:sz="0" w:space="0" w:color="auto"/>
          <w:left w:val="none" w:sz="0" w:space="0" w:color="auto"/>
          <w:bottom w:val="none" w:sz="0" w:space="0" w:color="auto"/>
          <w:right w:val="none" w:sz="0" w:space="0" w:color="auto"/>
          <w:between w:val="none" w:sz="0" w:space="0" w:color="auto"/>
        </w:pBdr>
        <w:spacing w:before="240" w:after="240"/>
        <w:rPr>
          <w:b/>
          <w:bCs/>
        </w:rPr>
      </w:pPr>
      <w:r>
        <w:rPr>
          <w:b/>
          <w:bCs/>
        </w:rPr>
        <w:t>Appraisal Questions</w:t>
      </w:r>
    </w:p>
    <w:p>
      <w:pPr>
        <w:numPr>
          <w:ilvl w:val="0"/>
          <w:numId w:val="2"/>
        </w:numPr>
        <w:pBdr>
          <w:top w:val="none" w:sz="0" w:space="0" w:color="auto"/>
          <w:left w:val="none" w:sz="0" w:space="0" w:color="auto"/>
          <w:bottom w:val="none" w:sz="0" w:space="0" w:color="auto"/>
          <w:right w:val="none" w:sz="0" w:space="0" w:color="auto"/>
          <w:between w:val="none" w:sz="0" w:space="0" w:color="auto"/>
        </w:pBdr>
        <w:spacing w:before="240"/>
      </w:pPr>
      <w:r>
        <w:t>Was the question clearly focused?</w:t>
      </w:r>
    </w:p>
    <w:p>
      <w:pPr>
        <w:numPr>
          <w:ilvl w:val="0"/>
          <w:numId w:val="2"/>
        </w:numPr>
        <w:pBdr>
          <w:top w:val="none" w:sz="0" w:space="0" w:color="auto"/>
          <w:left w:val="none" w:sz="0" w:space="0" w:color="auto"/>
          <w:bottom w:val="none" w:sz="0" w:space="0" w:color="auto"/>
          <w:right w:val="none" w:sz="0" w:space="0" w:color="auto"/>
          <w:between w:val="none" w:sz="0" w:space="0" w:color="auto"/>
        </w:pBdr>
      </w:pPr>
      <w:r>
        <w:t>Did the authors look for the right type of papers?</w:t>
      </w:r>
    </w:p>
    <w:p>
      <w:pPr>
        <w:numPr>
          <w:ilvl w:val="0"/>
          <w:numId w:val="2"/>
        </w:numPr>
        <w:pBdr>
          <w:top w:val="none" w:sz="0" w:space="0" w:color="auto"/>
          <w:left w:val="none" w:sz="0" w:space="0" w:color="auto"/>
          <w:bottom w:val="none" w:sz="0" w:space="0" w:color="auto"/>
          <w:right w:val="none" w:sz="0" w:space="0" w:color="auto"/>
          <w:between w:val="none" w:sz="0" w:space="0" w:color="auto"/>
        </w:pBdr>
      </w:pPr>
      <w:r>
        <w:t>Were all relevant studies included?</w:t>
      </w:r>
    </w:p>
    <w:p>
      <w:pPr>
        <w:numPr>
          <w:ilvl w:val="0"/>
          <w:numId w:val="2"/>
        </w:numPr>
        <w:pBdr>
          <w:top w:val="none" w:sz="0" w:space="0" w:color="auto"/>
          <w:left w:val="none" w:sz="0" w:space="0" w:color="auto"/>
          <w:bottom w:val="none" w:sz="0" w:space="0" w:color="auto"/>
          <w:right w:val="none" w:sz="0" w:space="0" w:color="auto"/>
          <w:between w:val="none" w:sz="0" w:space="0" w:color="auto"/>
        </w:pBdr>
      </w:pPr>
      <w:r>
        <w:t>Was quality assessment of included studies sufficient?</w:t>
      </w:r>
    </w:p>
    <w:p>
      <w:pPr>
        <w:numPr>
          <w:ilvl w:val="0"/>
          <w:numId w:val="2"/>
        </w:numPr>
        <w:pBdr>
          <w:top w:val="none" w:sz="0" w:space="0" w:color="auto"/>
          <w:left w:val="none" w:sz="0" w:space="0" w:color="auto"/>
          <w:bottom w:val="none" w:sz="0" w:space="0" w:color="auto"/>
          <w:right w:val="none" w:sz="0" w:space="0" w:color="auto"/>
          <w:between w:val="none" w:sz="0" w:space="0" w:color="auto"/>
        </w:pBdr>
      </w:pPr>
      <w:r>
        <w:t>Was combining results reasonable?</w:t>
      </w:r>
    </w:p>
    <w:p>
      <w:pPr>
        <w:numPr>
          <w:ilvl w:val="0"/>
          <w:numId w:val="2"/>
        </w:numPr>
        <w:pBdr>
          <w:top w:val="none" w:sz="0" w:space="0" w:color="auto"/>
          <w:left w:val="none" w:sz="0" w:space="0" w:color="auto"/>
          <w:bottom w:val="none" w:sz="0" w:space="0" w:color="auto"/>
          <w:right w:val="none" w:sz="0" w:space="0" w:color="auto"/>
          <w:between w:val="none" w:sz="0" w:space="0" w:color="auto"/>
        </w:pBdr>
      </w:pPr>
      <w:r>
        <w:t>What are the overall results?</w:t>
      </w:r>
    </w:p>
    <w:p>
      <w:pPr>
        <w:numPr>
          <w:ilvl w:val="0"/>
          <w:numId w:val="2"/>
        </w:numPr>
        <w:pBdr>
          <w:top w:val="none" w:sz="0" w:space="0" w:color="auto"/>
          <w:left w:val="none" w:sz="0" w:space="0" w:color="auto"/>
          <w:bottom w:val="none" w:sz="0" w:space="0" w:color="auto"/>
          <w:right w:val="none" w:sz="0" w:space="0" w:color="auto"/>
          <w:between w:val="none" w:sz="0" w:space="0" w:color="auto"/>
        </w:pBdr>
      </w:pPr>
      <w:r>
        <w:t>How precise are the results?</w:t>
      </w:r>
    </w:p>
    <w:p>
      <w:pPr>
        <w:numPr>
          <w:ilvl w:val="0"/>
          <w:numId w:val="2"/>
        </w:numPr>
        <w:pBdr>
          <w:top w:val="none" w:sz="0" w:space="0" w:color="auto"/>
          <w:left w:val="none" w:sz="0" w:space="0" w:color="auto"/>
          <w:bottom w:val="none" w:sz="0" w:space="0" w:color="auto"/>
          <w:right w:val="none" w:sz="0" w:space="0" w:color="auto"/>
          <w:between w:val="none" w:sz="0" w:space="0" w:color="auto"/>
        </w:pBdr>
      </w:pPr>
      <w:r>
        <w:t>Can the results be applied locally?</w:t>
      </w:r>
    </w:p>
    <w:p>
      <w:pPr>
        <w:numPr>
          <w:ilvl w:val="0"/>
          <w:numId w:val="2"/>
        </w:numPr>
        <w:pBdr>
          <w:top w:val="none" w:sz="0" w:space="0" w:color="auto"/>
          <w:left w:val="none" w:sz="0" w:space="0" w:color="auto"/>
          <w:bottom w:val="none" w:sz="0" w:space="0" w:color="auto"/>
          <w:right w:val="none" w:sz="0" w:space="0" w:color="auto"/>
          <w:between w:val="none" w:sz="0" w:space="0" w:color="auto"/>
        </w:pBdr>
      </w:pPr>
      <w:r>
        <w:t>Were all important outcomes considered?</w:t>
      </w:r>
    </w:p>
    <w:p>
      <w:pPr>
        <w:numPr>
          <w:ilvl w:val="0"/>
          <w:numId w:val="2"/>
        </w:numPr>
        <w:pBdr>
          <w:top w:val="none" w:sz="0" w:space="0" w:color="auto"/>
          <w:left w:val="none" w:sz="0" w:space="0" w:color="auto"/>
          <w:bottom w:val="none" w:sz="0" w:space="0" w:color="auto"/>
          <w:right w:val="none" w:sz="0" w:space="0" w:color="auto"/>
          <w:between w:val="none" w:sz="0" w:space="0" w:color="auto"/>
        </w:pBdr>
        <w:spacing w:after="240"/>
      </w:pPr>
      <w:r>
        <w:t>Are the benefits worth the harms and costs?</w:t>
      </w:r>
    </w:p>
    <w:p>
      <w:pPr>
        <w:pBdr>
          <w:top w:val="none" w:sz="0" w:space="0" w:color="auto"/>
          <w:left w:val="none" w:sz="0" w:space="0" w:color="auto"/>
          <w:bottom w:val="none" w:sz="0" w:space="0" w:color="auto"/>
          <w:right w:val="none" w:sz="0" w:space="0" w:color="auto"/>
          <w:between w:val="none" w:sz="0" w:space="0" w:color="auto"/>
        </w:pBdr>
        <w:spacing w:after="240"/>
        <w:rPr>
          <w:b/>
          <w:bCs/>
        </w:rPr>
      </w:pPr>
      <w:r>
        <w:rPr>
          <w:b/>
          <w:bCs/>
        </w:rPr>
        <w:t>Notes</w:t>
      </w:r>
    </w:p>
    <w:p>
      <w:pPr>
        <w:numPr>
          <w:ilvl w:val="0"/>
          <w:numId w:val="3"/>
        </w:numPr>
        <w:pBdr>
          <w:top w:val="none" w:sz="0" w:space="0" w:color="auto"/>
          <w:left w:val="none" w:sz="0" w:space="0" w:color="auto"/>
          <w:bottom w:val="none" w:sz="0" w:space="0" w:color="auto"/>
          <w:right w:val="none" w:sz="0" w:space="0" w:color="auto"/>
          <w:between w:val="none" w:sz="0" w:space="0" w:color="auto"/>
        </w:pBdr>
      </w:pPr>
      <w:r>
        <w:t>N/A: Not applicable (e.g., reviews not aimed at combining results or theoretical analyses).</w:t>
      </w:r>
    </w:p>
    <w:p>
      <w:pPr>
        <w:numPr>
          <w:ilvl w:val="0"/>
          <w:numId w:val="3"/>
        </w:numPr>
        <w:pBdr>
          <w:top w:val="none" w:sz="0" w:space="0" w:color="auto"/>
          <w:left w:val="none" w:sz="0" w:space="0" w:color="auto"/>
          <w:bottom w:val="none" w:sz="0" w:space="0" w:color="auto"/>
          <w:right w:val="none" w:sz="0" w:space="0" w:color="auto"/>
          <w:between w:val="none" w:sz="0" w:space="0" w:color="auto"/>
        </w:pBdr>
      </w:pPr>
      <w:r>
        <w:t>Yes: The criterion is fully met.</w:t>
      </w:r>
    </w:p>
    <w:p>
      <w:pPr>
        <w:numPr>
          <w:ilvl w:val="0"/>
          <w:numId w:val="3"/>
        </w:numPr>
        <w:pBdr>
          <w:top w:val="none" w:sz="0" w:space="0" w:color="auto"/>
          <w:left w:val="none" w:sz="0" w:space="0" w:color="auto"/>
          <w:bottom w:val="none" w:sz="0" w:space="0" w:color="auto"/>
          <w:right w:val="none" w:sz="0" w:space="0" w:color="auto"/>
          <w:between w:val="none" w:sz="0" w:space="0" w:color="auto"/>
        </w:pBdr>
      </w:pPr>
      <w:r>
        <w:t>No: The criterion is not met.</w:t>
      </w:r>
    </w:p>
    <w:p>
      <w:pPr>
        <w:numPr>
          <w:ilvl w:val="0"/>
          <w:numId w:val="3"/>
        </w:numPr>
        <w:pBdr>
          <w:top w:val="none" w:sz="0" w:space="0" w:color="auto"/>
          <w:left w:val="none" w:sz="0" w:space="0" w:color="auto"/>
          <w:bottom w:val="none" w:sz="0" w:space="0" w:color="auto"/>
          <w:right w:val="none" w:sz="0" w:space="0" w:color="auto"/>
          <w:between w:val="none" w:sz="0" w:space="0" w:color="auto"/>
        </w:pBdr>
        <w:spacing w:after="240"/>
      </w:pPr>
      <w:r>
        <w:t>Can't Tell: It is not clear whether the criterion is met based on available information.</w:t>
      </w:r>
    </w:p>
    <w:sectPr>
      <w:pgSz w:w="12240" w:h="15840"/>
      <w:pgMar w:top="1440" w:right="1440" w:bottom="1440" w:left="1440" w:header="720" w:footer="720" w:gutter="0"/>
      <w:titlePg/>
      <w:docGrid w:linePitch="312" w:charSpace="0"/>
    </w:sectPr>
  </w:body>
</w:document>
</file>

<file path=word/fontTable.xml><?xml version="1.0" encoding="utf-8"?>
<w:fonts xmlns:w="http://schemas.openxmlformats.org/wordprocessingml/2006/main" xmlns:r="http://schemas.openxmlformats.org/officeDocument/2006/relationships">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宋体">
    <w:panose1 w:val="00000000000000000000"/>
    <w:charset w:val="00"/>
    <w:family w:val="auto"/>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Bdr>
        <w:top w:val="none" w:sz="0" w:space="0" w:color="auto"/>
        <w:left w:val="none" w:sz="0" w:space="0" w:color="auto"/>
        <w:bottom w:val="none" w:sz="0" w:space="0" w:color="auto"/>
        <w:right w:val="none" w:sz="0" w:space="0" w:color="auto"/>
        <w:between w:val="none" w:sz="0" w:space="0" w:color="auto"/>
      </w:pBdr>
      <w:tabs>
        <w:tab w:val="center" w:pos="4680"/>
        <w:tab w:val="right" w:pos="9360"/>
      </w:tabs>
      <w:spacing w:line="240" w:lineRule="auto"/>
      <w:jc w:val="right"/>
      <w:rPr>
        <w:color w:val="000000"/>
      </w:rPr>
    </w:pPr>
    <w:r>
      <w:rPr>
        <w:color w:val="000000"/>
        <w:sz w:val="20"/>
        <w:szCs w:val="20"/>
      </w:rPr>
      <w:fldChar w:fldCharType="begin"/>
    </w:r>
    <w:r>
      <w:rPr>
        <w:color w:val="000000"/>
        <w:sz w:val="20"/>
        <w:szCs w:val="20"/>
      </w:rPr>
      <w:instrText>PAGE</w:instrText>
    </w:r>
    <w:r>
      <w:rPr>
        <w:color w:val="000000"/>
        <w:sz w:val="20"/>
        <w:szCs w:val="20"/>
      </w:rPr>
      <w:fldChar w:fldCharType="separate"/>
    </w:r>
    <w:r>
      <w:rPr>
        <w:color w:val="000000"/>
        <w:sz w:val="20"/>
        <w:szCs w:val="20"/>
      </w:rPr>
      <w:t>1</w:t>
    </w:r>
    <w:r>
      <w:rPr>
        <w:color w:val="000000"/>
        <w:sz w:val="20"/>
        <w:szCs w:val="20"/>
      </w:rPr>
      <w:fldChar w:fldCharType="end"/>
    </w:r>
  </w:p>
  <w:p>
    <w:pPr>
      <w:pBdr>
        <w:top w:val="none" w:sz="0" w:space="0" w:color="auto"/>
        <w:left w:val="none" w:sz="0" w:space="0" w:color="auto"/>
        <w:bottom w:val="none" w:sz="0" w:space="0" w:color="auto"/>
        <w:right w:val="none" w:sz="0" w:space="0" w:color="auto"/>
        <w:between w:val="none" w:sz="0" w:space="0" w:color="auto"/>
      </w:pBdr>
      <w:tabs>
        <w:tab w:val="center" w:pos="4680"/>
        <w:tab w:val="right" w:pos="9360"/>
      </w:tabs>
      <w:spacing w:line="240" w:lineRule="auto"/>
      <w:rPr>
        <w:color w:val="000000"/>
      </w:rPr>
    </w:pPr>
  </w:p>
</w:ft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w:abstractNum w:abstractNumId="0">
    <w:nsid w:val="2E7336EF"/>
    <w:multiLevelType w:val="multilevel"/>
    <w:tmpl w:val="17E61B98"/>
    <w:lvl w:ilvl="0">
      <w:start w:val="1"/>
      <w:numFmt w:val="bullet"/>
      <w:lvlRestart w:val="0"/>
      <w:lvlText w:val="●"/>
      <w:lvlJc w:val="left"/>
      <w:pPr>
        <w:tabs>
          <w:tab w:val="num" w:pos="0"/>
        </w:tabs>
        <w:ind w:left="720" w:hanging="360"/>
      </w:pPr>
      <w:rPr>
        <w:u w:val="none"/>
      </w:rPr>
    </w:lvl>
    <w:lvl w:ilvl="1">
      <w:start w:val="1"/>
      <w:numFmt w:val="bullet"/>
      <w:lvlText w:val="○"/>
      <w:lvlJc w:val="left"/>
      <w:pPr>
        <w:tabs>
          <w:tab w:val="num" w:pos="0"/>
        </w:tabs>
        <w:ind w:left="1440" w:hanging="360"/>
      </w:pPr>
      <w:rPr>
        <w:u w:val="none"/>
      </w:rPr>
    </w:lvl>
    <w:lvl w:ilvl="2">
      <w:start w:val="1"/>
      <w:numFmt w:val="bullet"/>
      <w:lvlText w:val="■"/>
      <w:lvlJc w:val="left"/>
      <w:pPr>
        <w:tabs>
          <w:tab w:val="num" w:pos="0"/>
        </w:tabs>
        <w:ind w:left="2160" w:hanging="360"/>
      </w:pPr>
      <w:rPr>
        <w:u w:val="none"/>
      </w:rPr>
    </w:lvl>
    <w:lvl w:ilvl="3">
      <w:start w:val="1"/>
      <w:numFmt w:val="bullet"/>
      <w:lvlText w:val="●"/>
      <w:lvlJc w:val="left"/>
      <w:pPr>
        <w:tabs>
          <w:tab w:val="num" w:pos="0"/>
        </w:tabs>
        <w:ind w:left="2880" w:hanging="360"/>
      </w:pPr>
      <w:rPr>
        <w:u w:val="none"/>
      </w:rPr>
    </w:lvl>
    <w:lvl w:ilvl="4">
      <w:start w:val="1"/>
      <w:numFmt w:val="bullet"/>
      <w:lvlText w:val="○"/>
      <w:lvlJc w:val="left"/>
      <w:pPr>
        <w:tabs>
          <w:tab w:val="num" w:pos="0"/>
        </w:tabs>
        <w:ind w:left="3600" w:hanging="360"/>
      </w:pPr>
      <w:rPr>
        <w:u w:val="none"/>
      </w:rPr>
    </w:lvl>
    <w:lvl w:ilvl="5">
      <w:start w:val="1"/>
      <w:numFmt w:val="bullet"/>
      <w:lvlText w:val="■"/>
      <w:lvlJc w:val="left"/>
      <w:pPr>
        <w:tabs>
          <w:tab w:val="num" w:pos="0"/>
        </w:tabs>
        <w:ind w:left="4320" w:hanging="360"/>
      </w:pPr>
      <w:rPr>
        <w:u w:val="none"/>
      </w:rPr>
    </w:lvl>
    <w:lvl w:ilvl="6">
      <w:start w:val="1"/>
      <w:numFmt w:val="bullet"/>
      <w:lvlText w:val="●"/>
      <w:lvlJc w:val="left"/>
      <w:pPr>
        <w:tabs>
          <w:tab w:val="num" w:pos="0"/>
        </w:tabs>
        <w:ind w:left="5040" w:hanging="360"/>
      </w:pPr>
      <w:rPr>
        <w:u w:val="none"/>
      </w:rPr>
    </w:lvl>
    <w:lvl w:ilvl="7">
      <w:start w:val="1"/>
      <w:numFmt w:val="bullet"/>
      <w:lvlText w:val="○"/>
      <w:lvlJc w:val="left"/>
      <w:pPr>
        <w:tabs>
          <w:tab w:val="num" w:pos="0"/>
        </w:tabs>
        <w:ind w:left="5760" w:hanging="360"/>
      </w:pPr>
      <w:rPr>
        <w:u w:val="none"/>
      </w:rPr>
    </w:lvl>
    <w:lvl w:ilvl="8">
      <w:start w:val="1"/>
      <w:numFmt w:val="bullet"/>
      <w:lvlText w:val="■"/>
      <w:lvlJc w:val="left"/>
      <w:pPr>
        <w:tabs>
          <w:tab w:val="num" w:pos="0"/>
        </w:tabs>
        <w:ind w:left="6480" w:hanging="360"/>
      </w:pPr>
      <w:rPr>
        <w:u w:val="none"/>
      </w:rPr>
    </w:lvl>
  </w:abstractNum>
  <w:abstractNum w:abstractNumId="1">
    <w:nsid w:val="25903F11"/>
    <w:multiLevelType w:val="multilevel"/>
    <w:tmpl w:val="509018BE"/>
    <w:lvl w:ilvl="0">
      <w:start w:val="1"/>
      <w:numFmt w:val="bullet"/>
      <w:lvlRestart w:val="0"/>
      <w:lvlText w:val="●"/>
      <w:lvlJc w:val="left"/>
      <w:pPr>
        <w:tabs>
          <w:tab w:val="num" w:pos="0"/>
        </w:tabs>
        <w:ind w:left="720" w:hanging="360"/>
      </w:pPr>
      <w:rPr>
        <w:u w:val="none"/>
      </w:rPr>
    </w:lvl>
    <w:lvl w:ilvl="1">
      <w:start w:val="1"/>
      <w:numFmt w:val="bullet"/>
      <w:lvlText w:val="○"/>
      <w:lvlJc w:val="left"/>
      <w:pPr>
        <w:tabs>
          <w:tab w:val="num" w:pos="0"/>
        </w:tabs>
        <w:ind w:left="1440" w:hanging="360"/>
      </w:pPr>
      <w:rPr>
        <w:u w:val="none"/>
      </w:rPr>
    </w:lvl>
    <w:lvl w:ilvl="2">
      <w:start w:val="1"/>
      <w:numFmt w:val="bullet"/>
      <w:lvlText w:val="■"/>
      <w:lvlJc w:val="left"/>
      <w:pPr>
        <w:tabs>
          <w:tab w:val="num" w:pos="0"/>
        </w:tabs>
        <w:ind w:left="2160" w:hanging="360"/>
      </w:pPr>
      <w:rPr>
        <w:u w:val="none"/>
      </w:rPr>
    </w:lvl>
    <w:lvl w:ilvl="3">
      <w:start w:val="1"/>
      <w:numFmt w:val="bullet"/>
      <w:lvlText w:val="●"/>
      <w:lvlJc w:val="left"/>
      <w:pPr>
        <w:tabs>
          <w:tab w:val="num" w:pos="0"/>
        </w:tabs>
        <w:ind w:left="2880" w:hanging="360"/>
      </w:pPr>
      <w:rPr>
        <w:u w:val="none"/>
      </w:rPr>
    </w:lvl>
    <w:lvl w:ilvl="4">
      <w:start w:val="1"/>
      <w:numFmt w:val="bullet"/>
      <w:lvlText w:val="○"/>
      <w:lvlJc w:val="left"/>
      <w:pPr>
        <w:tabs>
          <w:tab w:val="num" w:pos="0"/>
        </w:tabs>
        <w:ind w:left="3600" w:hanging="360"/>
      </w:pPr>
      <w:rPr>
        <w:u w:val="none"/>
      </w:rPr>
    </w:lvl>
    <w:lvl w:ilvl="5">
      <w:start w:val="1"/>
      <w:numFmt w:val="bullet"/>
      <w:lvlText w:val="■"/>
      <w:lvlJc w:val="left"/>
      <w:pPr>
        <w:tabs>
          <w:tab w:val="num" w:pos="0"/>
        </w:tabs>
        <w:ind w:left="4320" w:hanging="360"/>
      </w:pPr>
      <w:rPr>
        <w:u w:val="none"/>
      </w:rPr>
    </w:lvl>
    <w:lvl w:ilvl="6">
      <w:start w:val="1"/>
      <w:numFmt w:val="bullet"/>
      <w:lvlText w:val="●"/>
      <w:lvlJc w:val="left"/>
      <w:pPr>
        <w:tabs>
          <w:tab w:val="num" w:pos="0"/>
        </w:tabs>
        <w:ind w:left="5040" w:hanging="360"/>
      </w:pPr>
      <w:rPr>
        <w:u w:val="none"/>
      </w:rPr>
    </w:lvl>
    <w:lvl w:ilvl="7">
      <w:start w:val="1"/>
      <w:numFmt w:val="bullet"/>
      <w:lvlText w:val="○"/>
      <w:lvlJc w:val="left"/>
      <w:pPr>
        <w:tabs>
          <w:tab w:val="num" w:pos="0"/>
        </w:tabs>
        <w:ind w:left="5760" w:hanging="360"/>
      </w:pPr>
      <w:rPr>
        <w:u w:val="none"/>
      </w:rPr>
    </w:lvl>
    <w:lvl w:ilvl="8">
      <w:start w:val="1"/>
      <w:numFmt w:val="bullet"/>
      <w:lvlText w:val="■"/>
      <w:lvlJc w:val="left"/>
      <w:pPr>
        <w:tabs>
          <w:tab w:val="num" w:pos="0"/>
        </w:tabs>
        <w:ind w:left="6480" w:hanging="360"/>
      </w:pPr>
      <w:rPr>
        <w:u w:val="none"/>
      </w:rPr>
    </w:lvl>
  </w:abstractNum>
  <w:abstractNum w:abstractNumId="2">
    <w:nsid w:val="3A9E6C86"/>
    <w:multiLevelType w:val="multilevel"/>
    <w:tmpl w:val="38509EA2"/>
    <w:lvl w:ilvl="0">
      <w:start w:val="1"/>
      <w:numFmt w:val="bullet"/>
      <w:lvlRestart w:val="0"/>
      <w:lvlText w:val="●"/>
      <w:lvlJc w:val="left"/>
      <w:pPr>
        <w:tabs>
          <w:tab w:val="num" w:pos="0"/>
        </w:tabs>
        <w:ind w:left="720" w:hanging="360"/>
      </w:pPr>
      <w:rPr>
        <w:u w:val="none"/>
      </w:rPr>
    </w:lvl>
    <w:lvl w:ilvl="1">
      <w:start w:val="1"/>
      <w:numFmt w:val="bullet"/>
      <w:lvlText w:val="○"/>
      <w:lvlJc w:val="left"/>
      <w:pPr>
        <w:tabs>
          <w:tab w:val="num" w:pos="0"/>
        </w:tabs>
        <w:ind w:left="1440" w:hanging="360"/>
      </w:pPr>
      <w:rPr>
        <w:u w:val="none"/>
      </w:rPr>
    </w:lvl>
    <w:lvl w:ilvl="2">
      <w:start w:val="1"/>
      <w:numFmt w:val="bullet"/>
      <w:lvlText w:val="■"/>
      <w:lvlJc w:val="left"/>
      <w:pPr>
        <w:tabs>
          <w:tab w:val="num" w:pos="0"/>
        </w:tabs>
        <w:ind w:left="2160" w:hanging="360"/>
      </w:pPr>
      <w:rPr>
        <w:u w:val="none"/>
      </w:rPr>
    </w:lvl>
    <w:lvl w:ilvl="3">
      <w:start w:val="1"/>
      <w:numFmt w:val="bullet"/>
      <w:lvlText w:val="●"/>
      <w:lvlJc w:val="left"/>
      <w:pPr>
        <w:tabs>
          <w:tab w:val="num" w:pos="0"/>
        </w:tabs>
        <w:ind w:left="2880" w:hanging="360"/>
      </w:pPr>
      <w:rPr>
        <w:u w:val="none"/>
      </w:rPr>
    </w:lvl>
    <w:lvl w:ilvl="4">
      <w:start w:val="1"/>
      <w:numFmt w:val="bullet"/>
      <w:lvlText w:val="○"/>
      <w:lvlJc w:val="left"/>
      <w:pPr>
        <w:tabs>
          <w:tab w:val="num" w:pos="0"/>
        </w:tabs>
        <w:ind w:left="3600" w:hanging="360"/>
      </w:pPr>
      <w:rPr>
        <w:u w:val="none"/>
      </w:rPr>
    </w:lvl>
    <w:lvl w:ilvl="5">
      <w:start w:val="1"/>
      <w:numFmt w:val="bullet"/>
      <w:lvlText w:val="■"/>
      <w:lvlJc w:val="left"/>
      <w:pPr>
        <w:tabs>
          <w:tab w:val="num" w:pos="0"/>
        </w:tabs>
        <w:ind w:left="4320" w:hanging="360"/>
      </w:pPr>
      <w:rPr>
        <w:u w:val="none"/>
      </w:rPr>
    </w:lvl>
    <w:lvl w:ilvl="6">
      <w:start w:val="1"/>
      <w:numFmt w:val="bullet"/>
      <w:lvlText w:val="●"/>
      <w:lvlJc w:val="left"/>
      <w:pPr>
        <w:tabs>
          <w:tab w:val="num" w:pos="0"/>
        </w:tabs>
        <w:ind w:left="5040" w:hanging="360"/>
      </w:pPr>
      <w:rPr>
        <w:u w:val="none"/>
      </w:rPr>
    </w:lvl>
    <w:lvl w:ilvl="7">
      <w:start w:val="1"/>
      <w:numFmt w:val="bullet"/>
      <w:lvlText w:val="○"/>
      <w:lvlJc w:val="left"/>
      <w:pPr>
        <w:tabs>
          <w:tab w:val="num" w:pos="0"/>
        </w:tabs>
        <w:ind w:left="5760" w:hanging="360"/>
      </w:pPr>
      <w:rPr>
        <w:u w:val="none"/>
      </w:rPr>
    </w:lvl>
    <w:lvl w:ilvl="8">
      <w:start w:val="1"/>
      <w:numFmt w:val="bullet"/>
      <w:lvlText w:val="■"/>
      <w:lvlJc w:val="left"/>
      <w:pPr>
        <w:tabs>
          <w:tab w:val="num" w:pos="0"/>
        </w:tabs>
        <w:ind w:left="6480" w:hanging="360"/>
      </w:pPr>
      <w:rPr>
        <w:u w:val="none"/>
      </w:rPr>
    </w:lvl>
  </w:abstractNum>
  <w:num w:numId="1">
    <w:abstractNumId w:val="0"/>
  </w:num>
  <w:num w:numId="2">
    <w:abstractNumId w:val="1"/>
  </w:num>
  <w:num w:numId="3">
    <w:abstractNumId w:val="2"/>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32"/>
  <w:bordersDoNotSurroundHeader/>
  <w:bordersDoNotSurroundFooter/>
  <w:defaultTabStop w:val="720"/>
  <w:drawingGridHorizontalSpacing w:val="110"/>
  <w:drawingGridVerticalSpacing w:val="156"/>
  <w:displayHorizontalDrawingGridEvery w:val="0"/>
  <w:displayVerticalDrawingGridEvery w:val="1"/>
  <w:compat>
    <w:spaceForUL/>
    <w:growAutofit/>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line="360" w:lineRule="auto"/>
      <w:jc w:val="both"/>
    </w:pPr>
    <w:rPr>
      <w:rFonts w:ascii="Arial" w:eastAsia="Arial" w:cs="Arial" w:hAnsi="Arial"/>
      <w:sz w:val="22"/>
      <w:szCs w:val="22"/>
      <w:lang w:val="en-GB" w:eastAsia="en-IN" w:bidi="ar-SA"/>
    </w:rPr>
  </w:style>
  <w:style w:type="paragraph" w:styleId="1">
    <w:name w:val="heading 1"/>
    <w:basedOn w:val="0"/>
    <w:next w:val="0"/>
    <w:pPr>
      <w:pBdr>
        <w:top w:val="none" w:sz="0" w:space="0" w:color="auto"/>
        <w:left w:val="none" w:sz="0" w:space="0" w:color="auto"/>
        <w:bottom w:val="none" w:sz="0" w:space="0" w:color="auto"/>
        <w:right w:val="none" w:sz="0" w:space="0" w:color="auto"/>
        <w:between w:val="none" w:sz="0" w:space="0" w:color="auto"/>
      </w:pBdr>
      <w:outlineLvl w:val="0"/>
    </w:pPr>
    <w:rPr>
      <w:b/>
      <w:bCs/>
      <w:color w:val="000000"/>
    </w:rPr>
  </w:style>
  <w:style w:type="paragraph" w:styleId="2">
    <w:name w:val="heading 2"/>
    <w:basedOn w:val="0"/>
    <w:next w:val="0"/>
    <w:pPr>
      <w:pBdr>
        <w:top w:val="none" w:sz="0" w:space="0" w:color="auto"/>
        <w:left w:val="none" w:sz="0" w:space="0" w:color="auto"/>
        <w:bottom w:val="none" w:sz="0" w:space="0" w:color="auto"/>
        <w:right w:val="none" w:sz="0" w:space="0" w:color="auto"/>
        <w:between w:val="none" w:sz="0" w:space="0" w:color="auto"/>
      </w:pBdr>
      <w:outlineLvl w:val="1"/>
    </w:pPr>
    <w:rPr>
      <w:b/>
      <w:bCs/>
      <w:color w:val="000000"/>
    </w:rPr>
  </w:style>
  <w:style w:type="paragraph" w:styleId="3">
    <w:name w:val="heading 3"/>
    <w:basedOn w:val="0"/>
    <w:next w:val="0"/>
    <w:pPr>
      <w:pBdr>
        <w:top w:val="none" w:sz="0" w:space="0" w:color="auto"/>
        <w:left w:val="none" w:sz="0" w:space="0" w:color="auto"/>
        <w:bottom w:val="none" w:sz="0" w:space="0" w:color="auto"/>
        <w:right w:val="none" w:sz="0" w:space="0" w:color="auto"/>
        <w:between w:val="none" w:sz="0" w:space="0" w:color="auto"/>
      </w:pBdr>
      <w:outlineLvl w:val="2"/>
    </w:pPr>
    <w:rPr>
      <w:b/>
      <w:bCs/>
      <w:i/>
      <w:iCs/>
      <w:color w:val="000000"/>
    </w:rPr>
  </w:style>
  <w:style w:type="paragraph" w:styleId="4">
    <w:name w:val="heading 4"/>
    <w:basedOn w:val="0"/>
    <w:next w:val="0"/>
    <w:pPr>
      <w:pBdr>
        <w:top w:val="none" w:sz="0" w:space="0" w:color="auto"/>
        <w:left w:val="none" w:sz="0" w:space="0" w:color="auto"/>
        <w:bottom w:val="none" w:sz="0" w:space="0" w:color="auto"/>
        <w:right w:val="none" w:sz="0" w:space="0" w:color="auto"/>
        <w:between w:val="none" w:sz="0" w:space="0" w:color="auto"/>
      </w:pBdr>
      <w:jc w:val="center"/>
      <w:outlineLvl w:val="3"/>
    </w:pPr>
    <w:rPr>
      <w:b/>
      <w:bCs/>
      <w:color w:val="000000"/>
    </w:rPr>
  </w:style>
  <w:style w:type="paragraph" w:styleId="5">
    <w:name w:val="heading 5"/>
    <w:basedOn w:val="0"/>
    <w:next w:val="0"/>
    <w:pPr>
      <w:pBdr>
        <w:top w:val="none" w:sz="0" w:space="0" w:color="auto"/>
        <w:left w:val="none" w:sz="0" w:space="0" w:color="auto"/>
        <w:bottom w:val="none" w:sz="0" w:space="0" w:color="auto"/>
        <w:right w:val="none" w:sz="0" w:space="0" w:color="auto"/>
        <w:between w:val="none" w:sz="0" w:space="0" w:color="auto"/>
      </w:pBdr>
      <w:jc w:val="center"/>
      <w:outlineLvl w:val="4"/>
    </w:pPr>
    <w:rPr>
      <w:b/>
      <w:bCs/>
      <w:color w:val="000000"/>
    </w:rPr>
  </w:style>
  <w:style w:type="paragraph" w:styleId="6">
    <w:name w:val="heading 6"/>
    <w:basedOn w:val="0"/>
    <w:next w:val="0"/>
    <w:pPr>
      <w:keepNext/>
      <w:keepLines/>
      <w:pBdr>
        <w:top w:val="none" w:sz="0" w:space="0" w:color="auto"/>
        <w:left w:val="none" w:sz="0" w:space="0" w:color="auto"/>
        <w:bottom w:val="none" w:sz="0" w:space="0" w:color="auto"/>
        <w:right w:val="none" w:sz="0" w:space="0" w:color="auto"/>
        <w:between w:val="none" w:sz="0" w:space="0" w:color="auto"/>
      </w:pBdr>
      <w:spacing w:before="240" w:after="80" w:line="276" w:lineRule="auto"/>
      <w:jc w:val="left"/>
      <w:outlineLvl w:val="5"/>
    </w:pPr>
    <w:rPr>
      <w:i/>
      <w:iCs/>
      <w:color w:val="666666"/>
    </w:rPr>
  </w:style>
  <w:style w:type="character" w:default="1" w:styleId="10">
    <w:name w:val="Default Paragraph Font"/>
  </w:style>
  <w:style w:type="paragraph" w:styleId="15">
    <w:name w:val="Title"/>
    <w:basedOn w:val="0"/>
    <w:next w:val="0"/>
    <w:pPr>
      <w:keepNext/>
      <w:keepLines/>
      <w:pBdr>
        <w:top w:val="none" w:sz="0" w:space="0" w:color="auto"/>
        <w:left w:val="none" w:sz="0" w:space="0" w:color="auto"/>
        <w:bottom w:val="none" w:sz="0" w:space="0" w:color="auto"/>
        <w:right w:val="none" w:sz="0" w:space="0" w:color="auto"/>
        <w:between w:val="none" w:sz="0" w:space="0" w:color="auto"/>
      </w:pBdr>
      <w:spacing w:after="60" w:line="276" w:lineRule="auto"/>
      <w:jc w:val="left"/>
    </w:pPr>
    <w:rPr>
      <w:color w:val="000000"/>
      <w:sz w:val="52"/>
      <w:szCs w:val="52"/>
    </w:rPr>
  </w:style>
  <w:style w:type="paragraph" w:customStyle="1" w:styleId="16">
    <w:name w:val="Normal1"/>
    <w:pPr>
      <w:spacing w:line="360" w:lineRule="auto"/>
      <w:jc w:val="both"/>
    </w:pPr>
    <w:rPr>
      <w:rFonts w:ascii="Arial" w:eastAsia="Arial" w:cs="Arial" w:hAnsi="Arial"/>
      <w:sz w:val="22"/>
      <w:szCs w:val="22"/>
      <w:lang w:val="en-GB" w:eastAsia="en-IN" w:bidi="ar-SA"/>
    </w:rPr>
  </w:style>
  <w:style w:type="paragraph" w:styleId="17">
    <w:name w:val="annotation text"/>
    <w:basedOn w:val="0"/>
    <w:pPr>
      <w:spacing w:line="240" w:lineRule="auto"/>
    </w:pPr>
    <w:rPr>
      <w:sz w:val="20"/>
      <w:szCs w:val="20"/>
    </w:rPr>
  </w:style>
  <w:style w:type="character" w:styleId="18">
    <w:name w:val="annotation reference"/>
    <w:basedOn w:val="10"/>
    <w:rPr>
      <w:sz w:val="16"/>
      <w:szCs w:val="16"/>
    </w:rPr>
  </w:style>
  <w:style w:type="paragraph" w:styleId="19">
    <w:name w:val="Balloon Text"/>
    <w:basedOn w:val="0"/>
    <w:pPr>
      <w:spacing w:line="240" w:lineRule="auto"/>
    </w:pPr>
    <w:rPr>
      <w:rFonts w:ascii="Tahoma" w:cs="Tahoma" w:hAnsi="Tahoma"/>
      <w:sz w:val="16"/>
      <w:szCs w:val="16"/>
    </w:rPr>
  </w:style>
  <w:style w:type="paragraph" w:styleId="20">
    <w:name w:val="header"/>
    <w:basedOn w:val="0"/>
    <w:pPr>
      <w:tabs>
        <w:tab w:val="center" w:pos="4680"/>
        <w:tab w:val="right" w:pos="9360"/>
      </w:tabs>
      <w:spacing w:line="240" w:lineRule="auto"/>
    </w:pPr>
  </w:style>
  <w:style w:type="paragraph" w:styleId="21">
    <w:name w:val="footer"/>
    <w:basedOn w:val="0"/>
    <w:pPr>
      <w:tabs>
        <w:tab w:val="center" w:pos="4680"/>
        <w:tab w:val="right" w:pos="9360"/>
      </w:tabs>
      <w:spacing w:line="240" w:lineRule="auto"/>
    </w:pPr>
  </w:style>
  <w:style w:type="paragraph" w:customStyle="1" w:styleId="22">
    <w:name w:val="TOC Heading"/>
    <w:basedOn w:val="1"/>
    <w:next w:val="0"/>
    <w:pPr>
      <w:keepNext/>
      <w:keepLines/>
      <w:spacing w:before="480" w:line="276" w:lineRule="auto"/>
      <w:jc w:val="left"/>
      <w:outlineLvl w:val="9"/>
    </w:pPr>
    <w:rPr>
      <w:rFonts w:ascii="Calibri" w:eastAsia="宋体" w:cs="Times New Roman" w:hAnsi="Calibri"/>
      <w:color w:val="365F91"/>
      <w:sz w:val="28"/>
      <w:szCs w:val="28"/>
      <w:lang w:val="en-US"/>
    </w:rPr>
  </w:style>
  <w:style w:type="paragraph" w:styleId="23">
    <w:name w:val="toc 1"/>
    <w:basedOn w:val="0"/>
    <w:autoRedefine/>
    <w:next w:val="0"/>
    <w:pPr>
      <w:spacing w:after="100"/>
    </w:pPr>
  </w:style>
  <w:style w:type="paragraph" w:styleId="24">
    <w:name w:val="toc 2"/>
    <w:basedOn w:val="0"/>
    <w:autoRedefine/>
    <w:next w:val="0"/>
    <w:pPr>
      <w:spacing w:after="100"/>
      <w:ind w:left="220"/>
    </w:pPr>
  </w:style>
  <w:style w:type="character" w:styleId="25">
    <w:name w:val="Hyperlink"/>
    <w:basedOn w:val="10"/>
    <w:rPr>
      <w:color w:val="0000FF"/>
      <w:u w:val="single"/>
    </w:rPr>
  </w:style>
  <w:style w:type="paragraph" w:styleId="26">
    <w:name w:val="table of figures"/>
    <w:basedOn w:val="0"/>
    <w:next w:val="0"/>
  </w:style>
  <w:style w:type="paragraph" w:customStyle="1" w:styleId="27">
    <w:name w:val="Normal2"/>
    <w:pPr>
      <w:spacing w:line="360" w:lineRule="auto"/>
      <w:jc w:val="both"/>
    </w:pPr>
    <w:rPr>
      <w:rFonts w:ascii="Arial" w:eastAsia="Arial" w:cs="Arial" w:hAnsi="Arial"/>
      <w:sz w:val="22"/>
      <w:szCs w:val="22"/>
      <w:lang w:val="en-GB" w:eastAsia="en-IN" w:bidi="ar-SA"/>
    </w:rPr>
  </w:style>
  <w:style w:type="paragraph" w:customStyle="1" w:styleId="28">
    <w:name w:val="Normal3"/>
    <w:pPr>
      <w:spacing w:line="360" w:lineRule="auto"/>
      <w:jc w:val="both"/>
    </w:pPr>
    <w:rPr>
      <w:rFonts w:ascii="Arial" w:eastAsia="Arial" w:cs="Arial" w:hAnsi="Arial"/>
      <w:sz w:val="22"/>
      <w:szCs w:val="22"/>
      <w:lang w:val="en-GB" w:eastAsia="en-IN" w:bidi="ar-SA"/>
    </w:rPr>
  </w:style>
  <w:style w:type="paragraph" w:styleId="29">
    <w:name w:val="toc 3"/>
    <w:basedOn w:val="0"/>
    <w:autoRedefine/>
    <w:next w:val="0"/>
    <w:pPr>
      <w:spacing w:after="100"/>
      <w:ind w:left="440"/>
    </w:pPr>
  </w:style>
  <w:style w:type="paragraph" w:customStyle="1" w:styleId="30">
    <w:name w:val="Normal4"/>
    <w:pPr>
      <w:spacing w:line="360" w:lineRule="auto"/>
      <w:jc w:val="both"/>
    </w:pPr>
    <w:rPr>
      <w:rFonts w:ascii="Times New Roman" w:eastAsia="Times New Roman" w:cs="Times New Roman" w:hAnsi="Times New Roman"/>
      <w:sz w:val="24"/>
      <w:szCs w:val="24"/>
      <w:lang w:val="en-US" w:eastAsia="en-IN" w:bidi="ar-SA"/>
    </w:rPr>
  </w:style>
  <w:style w:type="paragraph" w:customStyle="1" w:styleId="31">
    <w:name w:val="Normal5"/>
    <w:pPr>
      <w:spacing w:line="360" w:lineRule="auto"/>
      <w:jc w:val="both"/>
    </w:pPr>
    <w:rPr>
      <w:rFonts w:ascii="Arial" w:eastAsia="Arial" w:cs="Arial" w:hAnsi="Arial"/>
      <w:sz w:val="22"/>
      <w:szCs w:val="22"/>
      <w:lang w:val="en-GB" w:eastAsia="en-IN" w:bidi="ar-SA"/>
    </w:rPr>
  </w:style>
  <w:style w:type="paragraph" w:styleId="32">
    <w:name w:val="toc 4"/>
    <w:basedOn w:val="0"/>
    <w:autoRedefine/>
    <w:next w:val="0"/>
    <w:pPr>
      <w:spacing w:after="100"/>
      <w:ind w:left="660"/>
    </w:pPr>
  </w:style>
  <w:style w:type="paragraph" w:styleId="33">
    <w:name w:val="toc 5"/>
    <w:basedOn w:val="0"/>
    <w:autoRedefine/>
    <w:next w:val="0"/>
    <w:pPr>
      <w:spacing w:after="100"/>
      <w:ind w:left="880"/>
    </w:pPr>
  </w:style>
  <w:style w:type="paragraph" w:customStyle="1" w:styleId="34">
    <w:name w:val="List Paragraph"/>
    <w:basedOn w:val="0"/>
    <w:pPr>
      <w:ind w:left="720"/>
      <w:contextualSpacing/>
    </w:pPr>
  </w:style>
  <w:style w:type="paragraph" w:customStyle="1" w:styleId="35">
    <w:name w:val="Revision"/>
    <w:pPr>
      <w:spacing w:line="240" w:lineRule="auto"/>
      <w:jc w:val="left"/>
    </w:pPr>
    <w:rPr>
      <w:rFonts w:ascii="Arial" w:eastAsia="Arial" w:cs="Arial" w:hAnsi="Arial"/>
      <w:sz w:val="22"/>
      <w:szCs w:val="22"/>
      <w:lang w:val="en-GB" w:eastAsia="en-IN" w:bidi="ar-SA"/>
    </w:rPr>
  </w:style>
  <w:style w:type="paragraph" w:styleId="36">
    <w:name w:val="annotation subject"/>
    <w:basedOn w:val="17"/>
    <w:next w:val="17"/>
    <w:rPr>
      <w:b/>
      <w:bCs/>
    </w:rPr>
  </w:style>
  <w:style w:type="paragraph" w:styleId="37">
    <w:name w:val="Subtitle"/>
    <w:basedOn w:val="0"/>
    <w:next w:val="0"/>
    <w:pPr>
      <w:keepNext/>
      <w:keepLines/>
      <w:pBdr>
        <w:top w:val="none" w:sz="0" w:space="0" w:color="auto"/>
        <w:left w:val="none" w:sz="0" w:space="0" w:color="auto"/>
        <w:bottom w:val="none" w:sz="0" w:space="0" w:color="auto"/>
        <w:right w:val="none" w:sz="0" w:space="0" w:color="auto"/>
        <w:between w:val="none" w:sz="0" w:space="0" w:color="auto"/>
      </w:pBdr>
      <w:spacing w:after="320" w:line="276" w:lineRule="auto"/>
      <w:jc w:val="left"/>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2.png"/><Relationship Id="rId4" Type="http://schemas.openxmlformats.org/officeDocument/2006/relationships/image" Target="media/5.png"/><Relationship Id="rId5" Type="http://schemas.openxmlformats.org/officeDocument/2006/relationships/image" Target="media/8.png"/><Relationship Id="rId6" Type="http://schemas.openxmlformats.org/officeDocument/2006/relationships/image" Target="media/11.png"/><Relationship Id="rId7" Type="http://schemas.openxmlformats.org/officeDocument/2006/relationships/image" Target="media/14.png"/><Relationship Id="rId8" Type="http://schemas.openxmlformats.org/officeDocument/2006/relationships/styles" Target="styles.xml"/><Relationship Id="rId9" Type="http://schemas.openxmlformats.org/officeDocument/2006/relationships/numbering" Target="numbering.xml"/><Relationship Id="rId10" Type="http://schemas.openxmlformats.org/officeDocument/2006/relationships/fontTable" Target="fontTable.xml"/></Relationships>
</file>

<file path=docProps/app.xml><?xml version="1.0" encoding="utf-8"?>
<Properties xmlns="http://schemas.openxmlformats.org/officeDocument/2006/extended-properties">
  <Template>Normal.eit</Template>
  <TotalTime>4</TotalTime>
  <Application>Yozo_Office</Application>
  <Pages>90</Pages>
  <Words>19193</Words>
  <Characters>117570</Characters>
  <Lines>3687</Lines>
  <Paragraphs>850</Paragraphs>
  <CharactersWithSpaces>135910</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vivo user</cp:lastModifiedBy>
  <cp:revision>2</cp:revision>
  <dcterms:created xsi:type="dcterms:W3CDTF">2026-01-30T17:30:00Z</dcterms:created>
  <dcterms:modified xsi:type="dcterms:W3CDTF">2026-02-02T04:04:24Z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GrammarlyDocumentId">
    <vt:lpwstr>684c31fb-75f9-4ef3-9b43-dac718091b87</vt:lpwstr>
  </property>
</Properties>
</file>