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E5FC17" w14:paraId="0C5F35B1" wp14:textId="3C0F9E5A">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Contents page</w:t>
      </w:r>
    </w:p>
    <w:p xmlns:wp14="http://schemas.microsoft.com/office/word/2010/wordml" w:rsidP="79E5FC17" w14:paraId="3E85502D" wp14:textId="10DC9802">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2BF8E003" wp14:textId="4E2DD569">
      <w:pPr>
        <w:tabs>
          <w:tab w:val="right" w:leader="dot" w:pos="9360"/>
        </w:tabs>
        <w:spacing w:line="257" w:lineRule="auto"/>
      </w:pPr>
      <w:hyperlink w:anchor="_Toc1379041171" r:id="R3523c7c0f5884dc1">
        <w:r w:rsidRPr="79E5FC17" w:rsidR="79E5FC17">
          <w:rPr>
            <w:rStyle w:val="Hyperlink"/>
            <w:rFonts w:ascii="Calibri" w:hAnsi="Calibri" w:eastAsia="Calibri" w:cs="Calibri"/>
            <w:strike w:val="0"/>
            <w:dstrike w:val="0"/>
            <w:noProof w:val="0"/>
            <w:sz w:val="22"/>
            <w:szCs w:val="22"/>
            <w:lang w:val="en-US"/>
          </w:rPr>
          <w:t>Contents page</w:t>
        </w:r>
        <w:r>
          <w:tab/>
        </w:r>
        <w:r w:rsidRPr="79E5FC17" w:rsidR="79E5FC17">
          <w:rPr>
            <w:rStyle w:val="Hyperlink"/>
            <w:rFonts w:ascii="Calibri" w:hAnsi="Calibri" w:eastAsia="Calibri" w:cs="Calibri"/>
            <w:strike w:val="0"/>
            <w:dstrike w:val="0"/>
            <w:noProof w:val="0"/>
            <w:sz w:val="22"/>
            <w:szCs w:val="22"/>
            <w:lang w:val="en-US"/>
          </w:rPr>
          <w:t>1</w:t>
        </w:r>
      </w:hyperlink>
    </w:p>
    <w:p xmlns:wp14="http://schemas.microsoft.com/office/word/2010/wordml" w:rsidP="79E5FC17" w14:paraId="3A50464F" wp14:textId="569A245F">
      <w:pPr>
        <w:tabs>
          <w:tab w:val="right" w:leader="dot" w:pos="9360"/>
        </w:tabs>
        <w:spacing w:line="257" w:lineRule="auto"/>
      </w:pPr>
      <w:hyperlink w:anchor="_Toc650729073" r:id="Rad047ab7bf96419b">
        <w:r w:rsidRPr="79E5FC17" w:rsidR="79E5FC17">
          <w:rPr>
            <w:rStyle w:val="Hyperlink"/>
            <w:rFonts w:ascii="Calibri" w:hAnsi="Calibri" w:eastAsia="Calibri" w:cs="Calibri"/>
            <w:strike w:val="0"/>
            <w:dstrike w:val="0"/>
            <w:noProof w:val="0"/>
            <w:sz w:val="22"/>
            <w:szCs w:val="22"/>
            <w:lang w:val="en-US"/>
          </w:rPr>
          <w:t>Introduction (216 words)</w:t>
        </w:r>
        <w:r>
          <w:tab/>
        </w:r>
        <w:r w:rsidRPr="79E5FC17" w:rsidR="79E5FC17">
          <w:rPr>
            <w:rStyle w:val="Hyperlink"/>
            <w:rFonts w:ascii="Calibri" w:hAnsi="Calibri" w:eastAsia="Calibri" w:cs="Calibri"/>
            <w:strike w:val="0"/>
            <w:dstrike w:val="0"/>
            <w:noProof w:val="0"/>
            <w:sz w:val="22"/>
            <w:szCs w:val="22"/>
            <w:lang w:val="en-US"/>
          </w:rPr>
          <w:t>2</w:t>
        </w:r>
      </w:hyperlink>
    </w:p>
    <w:p xmlns:wp14="http://schemas.microsoft.com/office/word/2010/wordml" w:rsidP="79E5FC17" w14:paraId="65E5ADBE" wp14:textId="06AE1286">
      <w:pPr>
        <w:tabs>
          <w:tab w:val="right" w:leader="dot" w:pos="9360"/>
        </w:tabs>
        <w:spacing w:line="257" w:lineRule="auto"/>
      </w:pPr>
      <w:hyperlink w:anchor="_Toc621657706" r:id="R8ca3adf0d0a5478e">
        <w:r w:rsidRPr="79E5FC17" w:rsidR="79E5FC17">
          <w:rPr>
            <w:rStyle w:val="Hyperlink"/>
            <w:rFonts w:ascii="Calibri" w:hAnsi="Calibri" w:eastAsia="Calibri" w:cs="Calibri"/>
            <w:strike w:val="0"/>
            <w:dstrike w:val="0"/>
            <w:noProof w:val="0"/>
            <w:sz w:val="22"/>
            <w:szCs w:val="22"/>
            <w:lang w:val="en-US"/>
          </w:rPr>
          <w:t>Literature Review</w:t>
        </w:r>
        <w:r>
          <w:tab/>
        </w:r>
        <w:r w:rsidRPr="79E5FC17" w:rsidR="79E5FC17">
          <w:rPr>
            <w:rStyle w:val="Hyperlink"/>
            <w:rFonts w:ascii="Calibri" w:hAnsi="Calibri" w:eastAsia="Calibri" w:cs="Calibri"/>
            <w:strike w:val="0"/>
            <w:dstrike w:val="0"/>
            <w:noProof w:val="0"/>
            <w:sz w:val="22"/>
            <w:szCs w:val="22"/>
            <w:lang w:val="en-US"/>
          </w:rPr>
          <w:t>4</w:t>
        </w:r>
      </w:hyperlink>
    </w:p>
    <w:p xmlns:wp14="http://schemas.microsoft.com/office/word/2010/wordml" w:rsidP="79E5FC17" w14:paraId="43EE845A" wp14:textId="664F5AF1">
      <w:pPr>
        <w:tabs>
          <w:tab w:val="right" w:leader="dot" w:pos="9360"/>
        </w:tabs>
        <w:spacing w:line="257" w:lineRule="auto"/>
      </w:pPr>
      <w:hyperlink w:anchor="_Toc1039602474" r:id="Rd43bfd90a136484a">
        <w:r w:rsidRPr="79E5FC17" w:rsidR="79E5FC17">
          <w:rPr>
            <w:rStyle w:val="Hyperlink"/>
            <w:rFonts w:ascii="Calibri" w:hAnsi="Calibri" w:eastAsia="Calibri" w:cs="Calibri"/>
            <w:strike w:val="0"/>
            <w:dstrike w:val="0"/>
            <w:noProof w:val="0"/>
            <w:sz w:val="22"/>
            <w:szCs w:val="22"/>
            <w:lang w:val="en-US"/>
          </w:rPr>
          <w:t>Ontology (109)</w:t>
        </w:r>
        <w:r>
          <w:tab/>
        </w:r>
        <w:r w:rsidRPr="79E5FC17" w:rsidR="79E5FC17">
          <w:rPr>
            <w:rStyle w:val="Hyperlink"/>
            <w:rFonts w:ascii="Calibri" w:hAnsi="Calibri" w:eastAsia="Calibri" w:cs="Calibri"/>
            <w:strike w:val="0"/>
            <w:dstrike w:val="0"/>
            <w:noProof w:val="0"/>
            <w:sz w:val="22"/>
            <w:szCs w:val="22"/>
            <w:lang w:val="en-US"/>
          </w:rPr>
          <w:t>4</w:t>
        </w:r>
      </w:hyperlink>
    </w:p>
    <w:p xmlns:wp14="http://schemas.microsoft.com/office/word/2010/wordml" w:rsidP="79E5FC17" w14:paraId="2E2DBBA7" wp14:textId="07E249C8">
      <w:pPr>
        <w:tabs>
          <w:tab w:val="right" w:leader="dot" w:pos="9360"/>
        </w:tabs>
        <w:spacing w:line="257" w:lineRule="auto"/>
      </w:pPr>
      <w:hyperlink w:anchor="_Toc709563314" r:id="R69d53b1c1b1e496b">
        <w:r w:rsidRPr="79E5FC17" w:rsidR="79E5FC17">
          <w:rPr>
            <w:rStyle w:val="Hyperlink"/>
            <w:rFonts w:ascii="Calibri" w:hAnsi="Calibri" w:eastAsia="Calibri" w:cs="Calibri"/>
            <w:strike w:val="0"/>
            <w:dstrike w:val="0"/>
            <w:noProof w:val="0"/>
            <w:sz w:val="22"/>
            <w:szCs w:val="22"/>
            <w:lang w:val="en-US"/>
          </w:rPr>
          <w:t>Epistemology (112)</w:t>
        </w:r>
        <w:r>
          <w:tab/>
        </w:r>
        <w:r w:rsidRPr="79E5FC17" w:rsidR="79E5FC17">
          <w:rPr>
            <w:rStyle w:val="Hyperlink"/>
            <w:rFonts w:ascii="Calibri" w:hAnsi="Calibri" w:eastAsia="Calibri" w:cs="Calibri"/>
            <w:strike w:val="0"/>
            <w:dstrike w:val="0"/>
            <w:noProof w:val="0"/>
            <w:sz w:val="22"/>
            <w:szCs w:val="22"/>
            <w:lang w:val="en-US"/>
          </w:rPr>
          <w:t>4</w:t>
        </w:r>
      </w:hyperlink>
    </w:p>
    <w:p xmlns:wp14="http://schemas.microsoft.com/office/word/2010/wordml" w:rsidP="79E5FC17" w14:paraId="4E3BDE06" wp14:textId="4E470A2D">
      <w:pPr>
        <w:tabs>
          <w:tab w:val="right" w:leader="dot" w:pos="9360"/>
        </w:tabs>
        <w:spacing w:line="257" w:lineRule="auto"/>
      </w:pPr>
      <w:hyperlink w:anchor="_Toc1761724758" r:id="Rb3b2089c9ddc439e">
        <w:r w:rsidRPr="79E5FC17" w:rsidR="79E5FC17">
          <w:rPr>
            <w:rStyle w:val="Hyperlink"/>
            <w:rFonts w:ascii="Calibri" w:hAnsi="Calibri" w:eastAsia="Calibri" w:cs="Calibri"/>
            <w:strike w:val="0"/>
            <w:dstrike w:val="0"/>
            <w:noProof w:val="0"/>
            <w:sz w:val="22"/>
            <w:szCs w:val="22"/>
            <w:lang w:val="en-US"/>
          </w:rPr>
          <w:t>Quantitative (158)</w:t>
        </w:r>
        <w:r>
          <w:tab/>
        </w:r>
        <w:r w:rsidRPr="79E5FC17" w:rsidR="79E5FC17">
          <w:rPr>
            <w:rStyle w:val="Hyperlink"/>
            <w:rFonts w:ascii="Calibri" w:hAnsi="Calibri" w:eastAsia="Calibri" w:cs="Calibri"/>
            <w:strike w:val="0"/>
            <w:dstrike w:val="0"/>
            <w:noProof w:val="0"/>
            <w:sz w:val="22"/>
            <w:szCs w:val="22"/>
            <w:lang w:val="en-US"/>
          </w:rPr>
          <w:t>5</w:t>
        </w:r>
      </w:hyperlink>
    </w:p>
    <w:p xmlns:wp14="http://schemas.microsoft.com/office/word/2010/wordml" w:rsidP="79E5FC17" w14:paraId="0D71816D" wp14:textId="26FD43C2">
      <w:pPr>
        <w:tabs>
          <w:tab w:val="right" w:leader="dot" w:pos="9360"/>
        </w:tabs>
        <w:spacing w:line="257" w:lineRule="auto"/>
      </w:pPr>
      <w:hyperlink w:anchor="_Toc929061474" r:id="R0a9f2cd424a94aff">
        <w:r w:rsidRPr="79E5FC17" w:rsidR="79E5FC17">
          <w:rPr>
            <w:rStyle w:val="Hyperlink"/>
            <w:rFonts w:ascii="Calibri" w:hAnsi="Calibri" w:eastAsia="Calibri" w:cs="Calibri"/>
            <w:strike w:val="0"/>
            <w:dstrike w:val="0"/>
            <w:noProof w:val="0"/>
            <w:sz w:val="22"/>
            <w:szCs w:val="22"/>
            <w:lang w:val="en-US"/>
          </w:rPr>
          <w:t>Methodology</w:t>
        </w:r>
        <w:r>
          <w:tab/>
        </w:r>
        <w:r w:rsidRPr="79E5FC17" w:rsidR="79E5FC17">
          <w:rPr>
            <w:rStyle w:val="Hyperlink"/>
            <w:rFonts w:ascii="Calibri" w:hAnsi="Calibri" w:eastAsia="Calibri" w:cs="Calibri"/>
            <w:strike w:val="0"/>
            <w:dstrike w:val="0"/>
            <w:noProof w:val="0"/>
            <w:sz w:val="22"/>
            <w:szCs w:val="22"/>
            <w:lang w:val="en-US"/>
          </w:rPr>
          <w:t>5</w:t>
        </w:r>
      </w:hyperlink>
    </w:p>
    <w:p xmlns:wp14="http://schemas.microsoft.com/office/word/2010/wordml" w:rsidP="79E5FC17" w14:paraId="3A0ECE97" wp14:textId="1ECECE0F">
      <w:pPr>
        <w:tabs>
          <w:tab w:val="right" w:leader="dot" w:pos="9360"/>
        </w:tabs>
        <w:spacing w:line="257" w:lineRule="auto"/>
      </w:pPr>
      <w:hyperlink w:anchor="_Toc1894439284" r:id="R3e02fdecd8574e01">
        <w:r w:rsidRPr="79E5FC17" w:rsidR="79E5FC17">
          <w:rPr>
            <w:rStyle w:val="Hyperlink"/>
            <w:rFonts w:ascii="Calibri" w:hAnsi="Calibri" w:eastAsia="Calibri" w:cs="Calibri"/>
            <w:strike w:val="0"/>
            <w:dstrike w:val="0"/>
            <w:noProof w:val="0"/>
            <w:sz w:val="22"/>
            <w:szCs w:val="22"/>
            <w:lang w:val="en-US"/>
          </w:rPr>
          <w:t>Data Collection Approach (580)</w:t>
        </w:r>
        <w:r>
          <w:tab/>
        </w:r>
        <w:r w:rsidRPr="79E5FC17" w:rsidR="79E5FC17">
          <w:rPr>
            <w:rStyle w:val="Hyperlink"/>
            <w:rFonts w:ascii="Calibri" w:hAnsi="Calibri" w:eastAsia="Calibri" w:cs="Calibri"/>
            <w:strike w:val="0"/>
            <w:dstrike w:val="0"/>
            <w:noProof w:val="0"/>
            <w:sz w:val="22"/>
            <w:szCs w:val="22"/>
            <w:lang w:val="en-US"/>
          </w:rPr>
          <w:t>6</w:t>
        </w:r>
      </w:hyperlink>
    </w:p>
    <w:p xmlns:wp14="http://schemas.microsoft.com/office/word/2010/wordml" w:rsidP="79E5FC17" w14:paraId="48E5F2DA" wp14:textId="36517255">
      <w:pPr>
        <w:tabs>
          <w:tab w:val="right" w:leader="dot" w:pos="9360"/>
        </w:tabs>
        <w:spacing w:line="257" w:lineRule="auto"/>
      </w:pPr>
      <w:hyperlink w:anchor="_Toc1740106688" r:id="R2a12d03d78844f8c">
        <w:r w:rsidRPr="79E5FC17" w:rsidR="79E5FC17">
          <w:rPr>
            <w:rStyle w:val="Hyperlink"/>
            <w:rFonts w:ascii="Calibri" w:hAnsi="Calibri" w:eastAsia="Calibri" w:cs="Calibri"/>
            <w:strike w:val="0"/>
            <w:dstrike w:val="0"/>
            <w:noProof w:val="0"/>
            <w:sz w:val="22"/>
            <w:szCs w:val="22"/>
            <w:lang w:val="en-US"/>
          </w:rPr>
          <w:t>Data Analysis approach (154)</w:t>
        </w:r>
        <w:r>
          <w:tab/>
        </w:r>
        <w:r w:rsidRPr="79E5FC17" w:rsidR="79E5FC17">
          <w:rPr>
            <w:rStyle w:val="Hyperlink"/>
            <w:rFonts w:ascii="Calibri" w:hAnsi="Calibri" w:eastAsia="Calibri" w:cs="Calibri"/>
            <w:strike w:val="0"/>
            <w:dstrike w:val="0"/>
            <w:noProof w:val="0"/>
            <w:sz w:val="22"/>
            <w:szCs w:val="22"/>
            <w:lang w:val="en-US"/>
          </w:rPr>
          <w:t>9</w:t>
        </w:r>
      </w:hyperlink>
    </w:p>
    <w:p xmlns:wp14="http://schemas.microsoft.com/office/word/2010/wordml" w:rsidP="79E5FC17" w14:paraId="198DC49E" wp14:textId="7095A918">
      <w:pPr>
        <w:tabs>
          <w:tab w:val="right" w:leader="dot" w:pos="9360"/>
        </w:tabs>
        <w:spacing w:line="257" w:lineRule="auto"/>
      </w:pPr>
      <w:hyperlink w:anchor="_Toc519214258" r:id="Rcb98b3099e82409e">
        <w:r w:rsidRPr="79E5FC17" w:rsidR="79E5FC17">
          <w:rPr>
            <w:rStyle w:val="Hyperlink"/>
            <w:rFonts w:ascii="Calibri" w:hAnsi="Calibri" w:eastAsia="Calibri" w:cs="Calibri"/>
            <w:strike w:val="0"/>
            <w:dstrike w:val="0"/>
            <w:noProof w:val="0"/>
            <w:sz w:val="22"/>
            <w:szCs w:val="22"/>
            <w:lang w:val="en-US"/>
          </w:rPr>
          <w:t>Findings</w:t>
        </w:r>
        <w:r>
          <w:tab/>
        </w:r>
        <w:r w:rsidRPr="79E5FC17" w:rsidR="79E5FC17">
          <w:rPr>
            <w:rStyle w:val="Hyperlink"/>
            <w:rFonts w:ascii="Calibri" w:hAnsi="Calibri" w:eastAsia="Calibri" w:cs="Calibri"/>
            <w:strike w:val="0"/>
            <w:dstrike w:val="0"/>
            <w:noProof w:val="0"/>
            <w:sz w:val="22"/>
            <w:szCs w:val="22"/>
            <w:lang w:val="en-US"/>
          </w:rPr>
          <w:t>9</w:t>
        </w:r>
      </w:hyperlink>
    </w:p>
    <w:p xmlns:wp14="http://schemas.microsoft.com/office/word/2010/wordml" w:rsidP="79E5FC17" w14:paraId="7004BB91" wp14:textId="49949F27">
      <w:pPr>
        <w:tabs>
          <w:tab w:val="right" w:leader="dot" w:pos="9360"/>
        </w:tabs>
        <w:spacing w:line="257" w:lineRule="auto"/>
      </w:pPr>
      <w:hyperlink w:anchor="_Toc1137688696" r:id="Reaee52fb708a4af1">
        <w:r w:rsidRPr="79E5FC17" w:rsidR="79E5FC17">
          <w:rPr>
            <w:rStyle w:val="Hyperlink"/>
            <w:rFonts w:ascii="Calibri" w:hAnsi="Calibri" w:eastAsia="Calibri" w:cs="Calibri"/>
            <w:strike w:val="0"/>
            <w:dstrike w:val="0"/>
            <w:noProof w:val="0"/>
            <w:sz w:val="22"/>
            <w:szCs w:val="22"/>
            <w:lang w:val="en-US"/>
          </w:rPr>
          <w:t>Conclusion</w:t>
        </w:r>
        <w:r>
          <w:tab/>
        </w:r>
        <w:r w:rsidRPr="79E5FC17" w:rsidR="79E5FC17">
          <w:rPr>
            <w:rStyle w:val="Hyperlink"/>
            <w:rFonts w:ascii="Calibri" w:hAnsi="Calibri" w:eastAsia="Calibri" w:cs="Calibri"/>
            <w:strike w:val="0"/>
            <w:dstrike w:val="0"/>
            <w:noProof w:val="0"/>
            <w:sz w:val="22"/>
            <w:szCs w:val="22"/>
            <w:lang w:val="en-US"/>
          </w:rPr>
          <w:t>11</w:t>
        </w:r>
      </w:hyperlink>
    </w:p>
    <w:p xmlns:wp14="http://schemas.microsoft.com/office/word/2010/wordml" w:rsidP="79E5FC17" w14:paraId="753C84F7" wp14:textId="455D32A9">
      <w:pPr>
        <w:tabs>
          <w:tab w:val="right" w:leader="dot" w:pos="9360"/>
        </w:tabs>
        <w:spacing w:line="257" w:lineRule="auto"/>
      </w:pPr>
      <w:hyperlink w:anchor="_Toc680177174" r:id="R37e98e1cad4d4449">
        <w:r w:rsidRPr="79E5FC17" w:rsidR="79E5FC17">
          <w:rPr>
            <w:rStyle w:val="Hyperlink"/>
            <w:rFonts w:ascii="Calibri" w:hAnsi="Calibri" w:eastAsia="Calibri" w:cs="Calibri"/>
            <w:strike w:val="0"/>
            <w:dstrike w:val="0"/>
            <w:noProof w:val="0"/>
            <w:sz w:val="22"/>
            <w:szCs w:val="22"/>
            <w:lang w:val="en-US"/>
          </w:rPr>
          <w:t>Appendices</w:t>
        </w:r>
        <w:r>
          <w:tab/>
        </w:r>
        <w:r w:rsidRPr="79E5FC17" w:rsidR="79E5FC17">
          <w:rPr>
            <w:rStyle w:val="Hyperlink"/>
            <w:rFonts w:ascii="Calibri" w:hAnsi="Calibri" w:eastAsia="Calibri" w:cs="Calibri"/>
            <w:strike w:val="0"/>
            <w:dstrike w:val="0"/>
            <w:noProof w:val="0"/>
            <w:sz w:val="22"/>
            <w:szCs w:val="22"/>
            <w:lang w:val="en-US"/>
          </w:rPr>
          <w:t>13</w:t>
        </w:r>
      </w:hyperlink>
    </w:p>
    <w:p xmlns:wp14="http://schemas.microsoft.com/office/word/2010/wordml" w:rsidP="79E5FC17" w14:paraId="026000B3" wp14:textId="2B235F39">
      <w:pPr>
        <w:tabs>
          <w:tab w:val="right" w:leader="dot" w:pos="9360"/>
        </w:tabs>
        <w:spacing w:line="257" w:lineRule="auto"/>
      </w:pPr>
      <w:hyperlink w:anchor="_Toc1961527431" r:id="R948410cf20bf41ea">
        <w:r w:rsidRPr="79E5FC17" w:rsidR="79E5FC17">
          <w:rPr>
            <w:rStyle w:val="Hyperlink"/>
            <w:rFonts w:ascii="Calibri" w:hAnsi="Calibri" w:eastAsia="Calibri" w:cs="Calibri"/>
            <w:strike w:val="0"/>
            <w:dstrike w:val="0"/>
            <w:noProof w:val="0"/>
            <w:sz w:val="22"/>
            <w:szCs w:val="22"/>
            <w:lang w:val="en-US"/>
          </w:rPr>
          <w:t>Appendix I – Ethics</w:t>
        </w:r>
        <w:r>
          <w:tab/>
        </w:r>
        <w:r w:rsidRPr="79E5FC17" w:rsidR="79E5FC17">
          <w:rPr>
            <w:rStyle w:val="Hyperlink"/>
            <w:rFonts w:ascii="Calibri" w:hAnsi="Calibri" w:eastAsia="Calibri" w:cs="Calibri"/>
            <w:strike w:val="0"/>
            <w:dstrike w:val="0"/>
            <w:noProof w:val="0"/>
            <w:sz w:val="22"/>
            <w:szCs w:val="22"/>
            <w:lang w:val="en-US"/>
          </w:rPr>
          <w:t>13</w:t>
        </w:r>
      </w:hyperlink>
    </w:p>
    <w:p xmlns:wp14="http://schemas.microsoft.com/office/word/2010/wordml" w:rsidP="79E5FC17" w14:paraId="62C47CEA" wp14:textId="24EE3200">
      <w:pPr>
        <w:tabs>
          <w:tab w:val="right" w:leader="dot" w:pos="9360"/>
        </w:tabs>
        <w:spacing w:line="257" w:lineRule="auto"/>
      </w:pPr>
      <w:hyperlink w:anchor="_Toc876944" r:id="R105a05bfd4a84fcf">
        <w:r w:rsidRPr="79E5FC17" w:rsidR="79E5FC17">
          <w:rPr>
            <w:rStyle w:val="Hyperlink"/>
            <w:rFonts w:ascii="Calibri" w:hAnsi="Calibri" w:eastAsia="Calibri" w:cs="Calibri"/>
            <w:strike w:val="0"/>
            <w:dstrike w:val="0"/>
            <w:noProof w:val="0"/>
            <w:sz w:val="22"/>
            <w:szCs w:val="22"/>
            <w:lang w:val="en-US"/>
          </w:rPr>
          <w:t>Appendix II</w:t>
        </w:r>
        <w:r>
          <w:tab/>
        </w:r>
        <w:r w:rsidRPr="79E5FC17" w:rsidR="79E5FC17">
          <w:rPr>
            <w:rStyle w:val="Hyperlink"/>
            <w:rFonts w:ascii="Calibri" w:hAnsi="Calibri" w:eastAsia="Calibri" w:cs="Calibri"/>
            <w:strike w:val="0"/>
            <w:dstrike w:val="0"/>
            <w:noProof w:val="0"/>
            <w:sz w:val="22"/>
            <w:szCs w:val="22"/>
            <w:lang w:val="en-US"/>
          </w:rPr>
          <w:t>33</w:t>
        </w:r>
      </w:hyperlink>
    </w:p>
    <w:p xmlns:wp14="http://schemas.microsoft.com/office/word/2010/wordml" w:rsidP="79E5FC17" w14:paraId="5814EDDB" wp14:textId="5DAB1940">
      <w:pPr>
        <w:tabs>
          <w:tab w:val="right" w:leader="dot" w:pos="9360"/>
        </w:tabs>
        <w:spacing w:line="257" w:lineRule="auto"/>
      </w:pPr>
      <w:hyperlink w:anchor="_Toc1372672590" r:id="Rd3d1ec4b9cbe44f7">
        <w:r w:rsidRPr="79E5FC17" w:rsidR="79E5FC17">
          <w:rPr>
            <w:rStyle w:val="Hyperlink"/>
            <w:rFonts w:ascii="Calibri" w:hAnsi="Calibri" w:eastAsia="Calibri" w:cs="Calibri"/>
            <w:strike w:val="0"/>
            <w:dstrike w:val="0"/>
            <w:noProof w:val="0"/>
            <w:sz w:val="22"/>
            <w:szCs w:val="22"/>
            <w:lang w:val="en-US"/>
          </w:rPr>
          <w:t>References</w:t>
        </w:r>
        <w:r>
          <w:tab/>
        </w:r>
        <w:r w:rsidRPr="79E5FC17" w:rsidR="79E5FC17">
          <w:rPr>
            <w:rStyle w:val="Hyperlink"/>
            <w:rFonts w:ascii="Calibri" w:hAnsi="Calibri" w:eastAsia="Calibri" w:cs="Calibri"/>
            <w:strike w:val="0"/>
            <w:dstrike w:val="0"/>
            <w:noProof w:val="0"/>
            <w:sz w:val="22"/>
            <w:szCs w:val="22"/>
            <w:lang w:val="en-US"/>
          </w:rPr>
          <w:t>46</w:t>
        </w:r>
      </w:hyperlink>
    </w:p>
    <w:p xmlns:wp14="http://schemas.microsoft.com/office/word/2010/wordml" w:rsidP="79E5FC17" w14:paraId="44E89F0A" wp14:textId="71C0E981">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570DB60" wp14:textId="6C1FE22A">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59EE4A19" wp14:textId="2C6A1C12">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3F9B504E" wp14:textId="2CD01187">
      <w:pPr>
        <w:spacing w:line="257" w:lineRule="auto"/>
      </w:pPr>
      <w:r>
        <w:br/>
      </w:r>
    </w:p>
    <w:p xmlns:wp14="http://schemas.microsoft.com/office/word/2010/wordml" w:rsidP="79E5FC17" w14:paraId="5838AE9B" wp14:textId="3435704E">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4FA18765" wp14:textId="71AA124B">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Introduction (216 words)</w:t>
      </w:r>
    </w:p>
    <w:p xmlns:wp14="http://schemas.microsoft.com/office/word/2010/wordml" w:rsidP="79E5FC17" w14:paraId="618E20EF" wp14:textId="7224BEBB">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581A5F6F" wp14:textId="05D4CF80">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This paper will explore a personally selected small-scale exercise in quantitative data collection and analysis to determine if there are characteristic traits which define an entrepreneurial spirit. Oxford Reference (2022) describes an entrepreneur as: “An individual who undertakes to supply a good or service to the market for profit.” </w:t>
      </w:r>
    </w:p>
    <w:p xmlns:wp14="http://schemas.microsoft.com/office/word/2010/wordml" w:rsidP="79E5FC17" w14:paraId="0F6A44B6" wp14:textId="0F35F4AE">
      <w:pPr>
        <w:spacing w:line="360" w:lineRule="auto"/>
        <w:jc w:val="center"/>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6A8B5CC5" wp14:textId="530F60E2">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Entrepreneurs are important to society and economies as they create new products and services, stimulating both employment and increased spending in markets; in addition, they can create community development and bring about social change (Ogunlana, 2018; Stoica, Roman &amp; Rusu, 2020). Typically, an entrepreneur will invest capital into a business and assess potential risks associated with that investment. Entrepreneurial initiative is regarded as a key component in the creation of a society's wealth in most modern capitalist economies; governments are thus led to create conditions in which they will thrive (Meyer &amp; De Jongh, 2018). </w:t>
      </w:r>
    </w:p>
    <w:p xmlns:wp14="http://schemas.microsoft.com/office/word/2010/wordml" w:rsidP="79E5FC17" w14:paraId="50227C74" wp14:textId="13ED8938">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6864FFE0" wp14:textId="19B51377">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Although entrepreneurship is not a new phenomenon, the purpose of this study is to determine the common characteristics that are favourable, or unfavourable, to the phenomenon. Furthermore, seeking to explore common traits which successful entrepreneurs hold, exploring key motivators and highlighting the support factors which assist a successful entrepreneur, thus leading to a better understanding of the phenomenon. This research will use a positivist paradigm to investigate entrepreneurship (Krauss, 2005, PP. 758-770)</w:t>
      </w:r>
    </w:p>
    <w:p xmlns:wp14="http://schemas.microsoft.com/office/word/2010/wordml" w:rsidP="79E5FC17" w14:paraId="51DEA653" wp14:textId="734D9F90">
      <w:pPr>
        <w:spacing w:line="360" w:lineRule="auto"/>
        <w:jc w:val="both"/>
      </w:pPr>
      <w:r w:rsidRPr="79E5FC17" w:rsidR="79E5FC17">
        <w:rPr>
          <w:rFonts w:ascii="Calibri" w:hAnsi="Calibri" w:eastAsia="Calibri" w:cs="Calibri"/>
          <w:noProof w:val="0"/>
          <w:color w:val="767171" w:themeColor="background2" w:themeTint="FF" w:themeShade="80"/>
          <w:sz w:val="24"/>
          <w:szCs w:val="24"/>
          <w:highlight w:val="yellow"/>
          <w:lang w:val="en-US"/>
        </w:rPr>
        <w:t xml:space="preserve"> </w:t>
      </w:r>
    </w:p>
    <w:p xmlns:wp14="http://schemas.microsoft.com/office/word/2010/wordml" w:rsidP="79E5FC17" w14:paraId="2308041C" wp14:textId="2629C305">
      <w:pPr>
        <w:spacing w:line="360" w:lineRule="auto"/>
        <w:jc w:val="both"/>
      </w:pPr>
      <w:r w:rsidRPr="79E5FC17" w:rsidR="79E5FC17">
        <w:rPr>
          <w:rFonts w:ascii="Calibri" w:hAnsi="Calibri" w:eastAsia="Calibri" w:cs="Calibri"/>
          <w:noProof w:val="0"/>
          <w:color w:val="767171" w:themeColor="background2" w:themeTint="FF" w:themeShade="80"/>
          <w:sz w:val="24"/>
          <w:szCs w:val="24"/>
          <w:highlight w:val="yellow"/>
          <w:lang w:val="en-US"/>
        </w:rPr>
        <w:t xml:space="preserve"> </w:t>
      </w:r>
    </w:p>
    <w:p xmlns:wp14="http://schemas.microsoft.com/office/word/2010/wordml" w:rsidP="79E5FC17" w14:paraId="7C0E2090" wp14:textId="0E8B4483">
      <w:pPr>
        <w:spacing w:line="257" w:lineRule="auto"/>
      </w:pPr>
      <w:r>
        <w:br/>
      </w:r>
    </w:p>
    <w:p xmlns:wp14="http://schemas.microsoft.com/office/word/2010/wordml" w:rsidP="79E5FC17" w14:paraId="701EAF27" wp14:textId="0E0934AA">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43BE8BFB" wp14:textId="3BE33BF3">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08776A1" wp14:textId="70300D51">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Literature Review</w:t>
      </w:r>
    </w:p>
    <w:p xmlns:wp14="http://schemas.microsoft.com/office/word/2010/wordml" w:rsidP="79E5FC17" w14:paraId="328FCA3C" wp14:textId="6F468A79">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31225DC6" wp14:textId="7B15EF4A">
      <w:pPr>
        <w:pStyle w:val="Heading2"/>
      </w:pPr>
      <w:r w:rsidRPr="79E5FC17" w:rsidR="79E5FC17">
        <w:rPr>
          <w:rFonts w:ascii="Calibri Light" w:hAnsi="Calibri Light" w:eastAsia="Calibri Light" w:cs="Calibri Light"/>
          <w:b w:val="0"/>
          <w:bCs w:val="0"/>
          <w:noProof w:val="0"/>
          <w:color w:val="2F5496" w:themeColor="accent1" w:themeTint="FF" w:themeShade="BF"/>
          <w:sz w:val="26"/>
          <w:szCs w:val="26"/>
          <w:lang w:val="en-US"/>
        </w:rPr>
        <w:t>Ontology (109)</w:t>
      </w:r>
    </w:p>
    <w:p xmlns:wp14="http://schemas.microsoft.com/office/word/2010/wordml" w:rsidP="79E5FC17" w14:paraId="4362EA80" wp14:textId="42F6EE44">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1C93ACDB" wp14:textId="556A74E9">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 ontological position of this research is based on the knowledge that certain individuals can exploit business opportunities successfully, whereas others may not successfully exploit (Alvarez &amp; Barney, 2010; Foss &amp; Klein, 2020). Certain qualities have long been associated with entrepreneurial ability, and it is possible that these may be identified through research with the target demographic, which may explain why people are successful in these endeavours. The aim of this study is to confirm, through an objective ontological and positivist epistemological approach, that these characteristics are evident in the individuals that will be studied (Roche, 2003; McBride, Wuebker &amp; Grant, 2013; Ramoglou &amp; Tsang, 2016).</w:t>
      </w:r>
    </w:p>
    <w:p xmlns:wp14="http://schemas.microsoft.com/office/word/2010/wordml" w:rsidP="79E5FC17" w14:paraId="63E3DAE4" wp14:textId="7543CDB7">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63097ECB" wp14:textId="32A408A8">
      <w:pPr>
        <w:pStyle w:val="Heading2"/>
      </w:pPr>
      <w:r w:rsidRPr="79E5FC17" w:rsidR="79E5FC17">
        <w:rPr>
          <w:rFonts w:ascii="Calibri Light" w:hAnsi="Calibri Light" w:eastAsia="Calibri Light" w:cs="Calibri Light"/>
          <w:b w:val="0"/>
          <w:bCs w:val="0"/>
          <w:noProof w:val="0"/>
          <w:color w:val="2F5496" w:themeColor="accent1" w:themeTint="FF" w:themeShade="BF"/>
          <w:sz w:val="26"/>
          <w:szCs w:val="26"/>
          <w:lang w:val="en-US"/>
        </w:rPr>
        <w:t>Epistemology (112)</w:t>
      </w:r>
    </w:p>
    <w:p xmlns:wp14="http://schemas.microsoft.com/office/word/2010/wordml" w:rsidP="79E5FC17" w14:paraId="4B649ADB" wp14:textId="0B721416">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673A189" wp14:textId="3BD4ED05">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Quantitative research uses a positivist approach, based on the belief that every phenomenon can be explained, in this case certain qualities are linked to entrepreneurship. Linan (2008) research concludes that there are two important considerations, that of personal characteristics and the influence of external factors, this is supported by discussions collated by (Akyol, 2016). This research paper will explore qualities which are commonly associated within entrepreneurship, such as creativity, motivation, vision, collaboration, and risk tolerance (Bortz, 2022; Indeed, Editorial Team, 2021). A quantitative epistemology aims to produce data where facts can be separated from values, and therefore separating the investigator and investigated into independent entities (O’Gorman &amp; MacIntosh, 2015, P. 59).</w:t>
      </w:r>
    </w:p>
    <w:p xmlns:wp14="http://schemas.microsoft.com/office/word/2010/wordml" w:rsidP="79E5FC17" w14:paraId="58B2FEB0" wp14:textId="30C9CE2B">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1307EAA1" wp14:textId="5AAB1AB9">
      <w:pPr>
        <w:spacing w:line="257" w:lineRule="auto"/>
      </w:pPr>
      <w:r>
        <w:br/>
      </w:r>
    </w:p>
    <w:p xmlns:wp14="http://schemas.microsoft.com/office/word/2010/wordml" w:rsidP="79E5FC17" w14:paraId="448822D6" wp14:textId="608EE576">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6C90626E" wp14:textId="70D14020">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79F0E519" wp14:textId="75044057">
      <w:pPr>
        <w:pStyle w:val="Heading2"/>
      </w:pPr>
      <w:r w:rsidRPr="79E5FC17" w:rsidR="79E5FC17">
        <w:rPr>
          <w:rFonts w:ascii="Calibri Light" w:hAnsi="Calibri Light" w:eastAsia="Calibri Light" w:cs="Calibri Light"/>
          <w:b w:val="0"/>
          <w:bCs w:val="0"/>
          <w:noProof w:val="0"/>
          <w:color w:val="2F5496" w:themeColor="accent1" w:themeTint="FF" w:themeShade="BF"/>
          <w:sz w:val="26"/>
          <w:szCs w:val="26"/>
          <w:lang w:val="en-US"/>
        </w:rPr>
        <w:t>Quantitative (158)</w:t>
      </w:r>
    </w:p>
    <w:p xmlns:wp14="http://schemas.microsoft.com/office/word/2010/wordml" w:rsidP="79E5FC17" w14:paraId="13FE869C" wp14:textId="7B233CA7">
      <w:pPr>
        <w:pStyle w:val="Heading2"/>
      </w:pPr>
      <w:r w:rsidRPr="79E5FC17" w:rsidR="79E5FC17">
        <w:rPr>
          <w:rFonts w:ascii="Calibri" w:hAnsi="Calibri" w:eastAsia="Calibri" w:cs="Calibri"/>
          <w:b w:val="0"/>
          <w:bCs w:val="0"/>
          <w:noProof w:val="0"/>
          <w:color w:val="767171" w:themeColor="background2" w:themeTint="FF" w:themeShade="80"/>
          <w:sz w:val="24"/>
          <w:szCs w:val="24"/>
          <w:lang w:val="en-US"/>
        </w:rPr>
        <w:t xml:space="preserve"> </w:t>
      </w:r>
    </w:p>
    <w:p xmlns:wp14="http://schemas.microsoft.com/office/word/2010/wordml" w:rsidP="79E5FC17" w14:paraId="4ECE60F8" wp14:textId="005B1B33">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Quantitative research is a strategy that quantifies data collection and analysis. It is based on a deductive approach that emphasises theory testing and is influenced by empiricist and positivist philosophies (Ryan, 2018. PP. 41-49). Quantitative data can be defined as information which can be counted or measured numerically, or operationalisation of phenomena (Johannison et al., 1994, PP. 329-356; Baker &amp; Welter, 2018; Minatogawa et al., 2020, P. 2337).</w:t>
      </w:r>
    </w:p>
    <w:p xmlns:wp14="http://schemas.microsoft.com/office/word/2010/wordml" w:rsidP="79E5FC17" w14:paraId="324CF9D2" wp14:textId="561A9E0B">
      <w:pPr>
        <w:pStyle w:val="Heading2"/>
      </w:pPr>
      <w:r w:rsidRPr="79E5FC17" w:rsidR="79E5FC17">
        <w:rPr>
          <w:rFonts w:ascii="Calibri" w:hAnsi="Calibri" w:eastAsia="Calibri" w:cs="Calibri"/>
          <w:b w:val="0"/>
          <w:bCs w:val="0"/>
          <w:noProof w:val="0"/>
          <w:color w:val="767171" w:themeColor="background2" w:themeTint="FF" w:themeShade="80"/>
          <w:sz w:val="24"/>
          <w:szCs w:val="24"/>
          <w:lang w:val="en-US"/>
        </w:rPr>
        <w:t xml:space="preserve"> </w:t>
      </w:r>
    </w:p>
    <w:p xmlns:wp14="http://schemas.microsoft.com/office/word/2010/wordml" w:rsidP="79E5FC17" w14:paraId="226CF110" wp14:textId="4BEDD5FB">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Giudice et al., (2019. PP. 606-626) discusses how some common types of quantitative data capturing techniques consist of a combination of structured, semi-structured and unstructured data, frequently referred to as big data which can be used within machine learning to generate predictive modelling and other advanced analytical studies (Milward et al., 2019. PP 37-43; Emmert-Streib et al., 2020. P 4). Other forms of quantitative data can be in the form of experiments, surveys and netnography, the latter being specific to social media research (Kozinets, 2006, PP. 129-142).</w:t>
      </w:r>
    </w:p>
    <w:p xmlns:wp14="http://schemas.microsoft.com/office/word/2010/wordml" w:rsidP="79E5FC17" w14:paraId="4CCA216A" wp14:textId="624A0CC3">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38F9720" wp14:textId="12117DBD">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53486D9A" wp14:textId="70606577">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1D2FA763" wp14:textId="28EC4A67">
      <w:pPr>
        <w:spacing w:line="257" w:lineRule="auto"/>
      </w:pPr>
      <w:r>
        <w:br/>
      </w:r>
    </w:p>
    <w:p xmlns:wp14="http://schemas.microsoft.com/office/word/2010/wordml" w:rsidP="79E5FC17" w14:paraId="7D103951" wp14:textId="07E3724A">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60397E29" wp14:textId="52A600CA">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Methodology</w:t>
      </w:r>
    </w:p>
    <w:p xmlns:wp14="http://schemas.microsoft.com/office/word/2010/wordml" w:rsidP="79E5FC17" w14:paraId="322960A7" wp14:textId="4BC9E493">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45A9491D" wp14:textId="02FE3A0D">
      <w:pPr>
        <w:pStyle w:val="Heading2"/>
      </w:pPr>
      <w:r w:rsidRPr="79E5FC17" w:rsidR="79E5FC17">
        <w:rPr>
          <w:rFonts w:ascii="Calibri Light" w:hAnsi="Calibri Light" w:eastAsia="Calibri Light" w:cs="Calibri Light"/>
          <w:b w:val="0"/>
          <w:bCs w:val="0"/>
          <w:noProof w:val="0"/>
          <w:color w:val="2F5496" w:themeColor="accent1" w:themeTint="FF" w:themeShade="BF"/>
          <w:sz w:val="26"/>
          <w:szCs w:val="26"/>
          <w:lang w:val="en-US"/>
        </w:rPr>
        <w:t>Data Collection Approach (580)</w:t>
      </w:r>
    </w:p>
    <w:p xmlns:wp14="http://schemas.microsoft.com/office/word/2010/wordml" w:rsidP="79E5FC17" w14:paraId="00F9FA2A" wp14:textId="0BCD3904">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6393896" wp14:textId="5BCBA1F1">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A survey was used to explain the phenomenon, due to their deductive reasoning. The data collection method chosen was an online questionnaire, this option was chosen above face-to-face survey collection due to time constraints and convenience brought through the immediate accessibility of raw data in computerised format. The software chosen was </w:t>
      </w:r>
      <w:r w:rsidRPr="79E5FC17" w:rsidR="79E5FC17">
        <w:rPr>
          <w:rFonts w:ascii="Calibri" w:hAnsi="Calibri" w:eastAsia="Calibri" w:cs="Calibri"/>
          <w:i w:val="1"/>
          <w:iCs w:val="1"/>
          <w:noProof w:val="0"/>
          <w:color w:val="767171" w:themeColor="background2" w:themeTint="FF" w:themeShade="80"/>
          <w:sz w:val="24"/>
          <w:szCs w:val="24"/>
          <w:lang w:val="en-US"/>
        </w:rPr>
        <w:t>Microsoft Forms</w:t>
      </w:r>
      <w:r w:rsidRPr="79E5FC17" w:rsidR="79E5FC17">
        <w:rPr>
          <w:rFonts w:ascii="Calibri" w:hAnsi="Calibri" w:eastAsia="Calibri" w:cs="Calibri"/>
          <w:noProof w:val="0"/>
          <w:color w:val="767171" w:themeColor="background2" w:themeTint="FF" w:themeShade="80"/>
          <w:sz w:val="24"/>
          <w:szCs w:val="24"/>
          <w:lang w:val="en-US"/>
        </w:rPr>
        <w:t xml:space="preserve">, this software was chosen over alternatives such as </w:t>
      </w:r>
      <w:r w:rsidRPr="79E5FC17" w:rsidR="79E5FC17">
        <w:rPr>
          <w:rFonts w:ascii="Calibri" w:hAnsi="Calibri" w:eastAsia="Calibri" w:cs="Calibri"/>
          <w:i w:val="1"/>
          <w:iCs w:val="1"/>
          <w:noProof w:val="0"/>
          <w:color w:val="767171" w:themeColor="background2" w:themeTint="FF" w:themeShade="80"/>
          <w:sz w:val="24"/>
          <w:szCs w:val="24"/>
          <w:lang w:val="en-US"/>
        </w:rPr>
        <w:t>Survey Monkey</w:t>
      </w:r>
      <w:r w:rsidRPr="79E5FC17" w:rsidR="79E5FC17">
        <w:rPr>
          <w:rFonts w:ascii="Calibri" w:hAnsi="Calibri" w:eastAsia="Calibri" w:cs="Calibri"/>
          <w:noProof w:val="0"/>
          <w:color w:val="767171" w:themeColor="background2" w:themeTint="FF" w:themeShade="80"/>
          <w:sz w:val="24"/>
          <w:szCs w:val="24"/>
          <w:lang w:val="en-US"/>
        </w:rPr>
        <w:t>, due to the access of raw data. In addition, the costing of the software and the cloud-based storage facility were also positive contributing factors.</w:t>
      </w:r>
    </w:p>
    <w:p xmlns:wp14="http://schemas.microsoft.com/office/word/2010/wordml" w:rsidP="79E5FC17" w14:paraId="752A2712" wp14:textId="1FA03AF7">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34DC14E1" wp14:textId="47A82054">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An ethics form was completed prior to the undertaking of research to ensure ethical adherence to the </w:t>
      </w:r>
      <w:r w:rsidRPr="79E5FC17" w:rsidR="79E5FC17">
        <w:rPr>
          <w:rFonts w:ascii="Calibri" w:hAnsi="Calibri" w:eastAsia="Calibri" w:cs="Calibri"/>
          <w:i w:val="1"/>
          <w:iCs w:val="1"/>
          <w:noProof w:val="0"/>
          <w:color w:val="767171" w:themeColor="background2" w:themeTint="FF" w:themeShade="80"/>
          <w:sz w:val="24"/>
          <w:szCs w:val="24"/>
          <w:lang w:val="en-US"/>
        </w:rPr>
        <w:t>University of Wales Trinity Saint David’s</w:t>
      </w:r>
      <w:r w:rsidRPr="79E5FC17" w:rsidR="79E5FC17">
        <w:rPr>
          <w:rFonts w:ascii="Calibri" w:hAnsi="Calibri" w:eastAsia="Calibri" w:cs="Calibri"/>
          <w:noProof w:val="0"/>
          <w:color w:val="767171" w:themeColor="background2" w:themeTint="FF" w:themeShade="80"/>
          <w:sz w:val="24"/>
          <w:szCs w:val="24"/>
          <w:lang w:val="en-US"/>
        </w:rPr>
        <w:t xml:space="preserve"> policies and minimising the risk of harm to the university and individuals involved (University of Wales Trinity Saint David, 2022). A snowball sampling technique was used to disseminate the survey; the link was shared via </w:t>
      </w:r>
      <w:r w:rsidRPr="79E5FC17" w:rsidR="79E5FC17">
        <w:rPr>
          <w:rFonts w:ascii="Calibri" w:hAnsi="Calibri" w:eastAsia="Calibri" w:cs="Calibri"/>
          <w:i w:val="1"/>
          <w:iCs w:val="1"/>
          <w:noProof w:val="0"/>
          <w:color w:val="767171" w:themeColor="background2" w:themeTint="FF" w:themeShade="80"/>
          <w:sz w:val="24"/>
          <w:szCs w:val="24"/>
          <w:lang w:val="en-US"/>
        </w:rPr>
        <w:t>LinkedIn</w:t>
      </w:r>
      <w:r w:rsidRPr="79E5FC17" w:rsidR="79E5FC17">
        <w:rPr>
          <w:rFonts w:ascii="Calibri" w:hAnsi="Calibri" w:eastAsia="Calibri" w:cs="Calibri"/>
          <w:noProof w:val="0"/>
          <w:color w:val="767171" w:themeColor="background2" w:themeTint="FF" w:themeShade="80"/>
          <w:sz w:val="24"/>
          <w:szCs w:val="24"/>
          <w:lang w:val="en-US"/>
        </w:rPr>
        <w:t xml:space="preserve"> to a pre-selected pool of entrepreneurs who were encouraged to participate and share the link within their wider network. </w:t>
      </w:r>
    </w:p>
    <w:p xmlns:wp14="http://schemas.microsoft.com/office/word/2010/wordml" w:rsidP="79E5FC17" w14:paraId="0284643D" wp14:textId="0F05ABF8">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759E703B" wp14:textId="780D6E38">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45C45E39" wp14:textId="2BCFD559">
      <w:pPr>
        <w:spacing w:line="257" w:lineRule="auto"/>
      </w:pPr>
      <w:r>
        <w:br/>
      </w:r>
    </w:p>
    <w:p xmlns:wp14="http://schemas.microsoft.com/office/word/2010/wordml" w:rsidP="79E5FC17" w14:paraId="78ED182C" wp14:textId="7FAF2521">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7BC1F304" wp14:textId="16D3BBF8">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09680DBF" wp14:textId="766184B5">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 survey began with an overview of the phenomenon, and information relating to ethical considerations, such as ensuring informed consent, privacy, anonymity, and confidentiality of the data. In addition, information relating to the survey’s closing date, an approximate time to complete the questionnaire and contact details were also furnished. (Appendix I)</w:t>
      </w:r>
    </w:p>
    <w:p xmlns:wp14="http://schemas.microsoft.com/office/word/2010/wordml" w:rsidP="79E5FC17" w14:paraId="1DC40455" wp14:textId="54FA1860">
      <w:pPr>
        <w:spacing w:line="360" w:lineRule="auto"/>
        <w:jc w:val="center"/>
      </w:pPr>
      <w:r w:rsidRPr="79E5FC17" w:rsidR="79E5FC17">
        <w:rPr>
          <w:rFonts w:ascii="Arial" w:hAnsi="Arial" w:eastAsia="Arial" w:cs="Arial"/>
          <w:noProof w:val="0"/>
          <w:color w:val="222222"/>
          <w:sz w:val="19"/>
          <w:szCs w:val="19"/>
          <w:lang w:val="en-US"/>
        </w:rPr>
        <w:t xml:space="preserve"> </w:t>
      </w:r>
    </w:p>
    <w:p xmlns:wp14="http://schemas.microsoft.com/office/word/2010/wordml" w:rsidP="79E5FC17" w14:paraId="4565F587" wp14:textId="77C09DB5">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Testing hypotheses requires operationalisation of concepts to form measurable variables (Cumming et al., 2005, PP. 975-987; Morgan, 2015). The survey questions correspond with the theoretical concepts and seek to capture information in the form of empirical data. The survey comprised of three sections: Section one consisted of two demographical questions to capture respondents’ ages and genders. Section two explored entrepreneurship type and the key aspects of their business, such as the which sector, years in business and diversification. Section three sought to capture the entrepreneurs' characteristics, to determine key values and motivators held. Bryman (2016, PP. 221-224) notes some factors which should be considered when creating a questionnaire, such as keeping it simple for respondence, avoid respondents being able to see the entire question set at once as this will influence the way they answer.</w:t>
      </w:r>
    </w:p>
    <w:p xmlns:wp14="http://schemas.microsoft.com/office/word/2010/wordml" w:rsidP="79E5FC17" w14:paraId="0C7D9B60" wp14:textId="0E4FBA73">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377F9B8F" wp14:textId="1877A336">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Considerations were made to the design and structure of the survey questions to reduce the risk of bias, which could lead to communication barriers from respondents, thus yielding potentially inaccurate results (Bloomfield &amp; Fisher, 2019). To reduce the risk of bias, the questions were posited in a neutrally worded structure, were not leading, and as aforementioned were kept anonymous.</w:t>
      </w:r>
    </w:p>
    <w:p xmlns:wp14="http://schemas.microsoft.com/office/word/2010/wordml" w:rsidP="79E5FC17" w14:paraId="7F9999BF" wp14:textId="4491848F">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0E370F52" wp14:textId="3CC2D1EC">
      <w:pPr>
        <w:spacing w:line="257" w:lineRule="auto"/>
      </w:pPr>
      <w:r>
        <w:br/>
      </w:r>
    </w:p>
    <w:p xmlns:wp14="http://schemas.microsoft.com/office/word/2010/wordml" w:rsidP="79E5FC17" w14:paraId="159A66B3" wp14:textId="23886A69">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5EBDFB06" wp14:textId="35E9D3E4">
      <w:pPr>
        <w:spacing w:line="360" w:lineRule="auto"/>
        <w:jc w:val="both"/>
      </w:pPr>
      <w:r w:rsidRPr="79E5FC17" w:rsidR="79E5FC17">
        <w:rPr>
          <w:rFonts w:ascii="Arial" w:hAnsi="Arial" w:eastAsia="Arial" w:cs="Arial"/>
          <w:noProof w:val="0"/>
          <w:color w:val="202124"/>
          <w:sz w:val="24"/>
          <w:szCs w:val="24"/>
          <w:lang w:val="en-US"/>
        </w:rPr>
        <w:t xml:space="preserve"> </w:t>
      </w:r>
    </w:p>
    <w:p xmlns:wp14="http://schemas.microsoft.com/office/word/2010/wordml" w:rsidP="79E5FC17" w14:paraId="4A82C95D" wp14:textId="6B2C72D2">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 survey design utilised a range of controlled responses through a series of closed questions, limiting the respondent to a predetermined list of response options. This style of approach was chosen to focus on quantitative data collection, as opposed to an open-ended question format, which avoids the opportunity for on-going discussion, and in addition, simplifies the end coding (Bryman, 2011, P. 18).</w:t>
      </w:r>
    </w:p>
    <w:p xmlns:wp14="http://schemas.microsoft.com/office/word/2010/wordml" w:rsidP="79E5FC17" w14:paraId="477D077D" wp14:textId="1AAB91B2">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435B45D9" wp14:textId="266EEA71">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 questions included a nominal question type, which captured key demographical aspects, to a series of multiple-choice type questions (Lewin, 2005). These ranged from a Likert Scale to determine the strength of the respondent's feelings regarding a certain topic, to a ranking question style, where respondents order a list of comparable individual elements into the importance of each other In addition, a contingency question was posed, this question was only applicable to some sub-groups of respondents, which allowed for a greater insight and exploration of data.</w:t>
      </w:r>
    </w:p>
    <w:p xmlns:wp14="http://schemas.microsoft.com/office/word/2010/wordml" w:rsidP="79E5FC17" w14:paraId="6F404F91" wp14:textId="693E7119">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0B8F8DA6" wp14:textId="74E89E2D">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14:paraId="22BB04AD" wp14:textId="476021FD">
      <w:r>
        <w:br/>
      </w:r>
    </w:p>
    <w:p xmlns:wp14="http://schemas.microsoft.com/office/word/2010/wordml" w:rsidP="79E5FC17" w14:paraId="6C2FC478" wp14:textId="18BB2A50">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3CA534D1" wp14:textId="2EC05BF8">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48858A5A" wp14:textId="4BAAA027">
      <w:pPr>
        <w:pStyle w:val="Heading2"/>
      </w:pPr>
      <w:r w:rsidRPr="79E5FC17" w:rsidR="79E5FC17">
        <w:rPr>
          <w:rFonts w:ascii="Calibri Light" w:hAnsi="Calibri Light" w:eastAsia="Calibri Light" w:cs="Calibri Light"/>
          <w:b w:val="0"/>
          <w:bCs w:val="0"/>
          <w:noProof w:val="0"/>
          <w:color w:val="2F5496" w:themeColor="accent1" w:themeTint="FF" w:themeShade="BF"/>
          <w:sz w:val="26"/>
          <w:szCs w:val="26"/>
          <w:lang w:val="en-US"/>
        </w:rPr>
        <w:t>Data Analysis approach (154)</w:t>
      </w:r>
    </w:p>
    <w:p xmlns:wp14="http://schemas.microsoft.com/office/word/2010/wordml" w:rsidP="79E5FC17" w14:paraId="48AD7E8D" wp14:textId="3AE932F4">
      <w:pPr>
        <w:spacing w:line="257" w:lineRule="auto"/>
      </w:pPr>
      <w:r w:rsidRPr="79E5FC17" w:rsidR="79E5FC17">
        <w:rPr>
          <w:rFonts w:ascii="Arial" w:hAnsi="Arial" w:eastAsia="Arial" w:cs="Arial"/>
          <w:noProof w:val="0"/>
          <w:color w:val="202124"/>
          <w:sz w:val="24"/>
          <w:szCs w:val="24"/>
          <w:lang w:val="en-US"/>
        </w:rPr>
        <w:t xml:space="preserve"> </w:t>
      </w:r>
    </w:p>
    <w:p xmlns:wp14="http://schemas.microsoft.com/office/word/2010/wordml" w:rsidP="79E5FC17" w14:paraId="56E29A3E" wp14:textId="092C5030">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The statistical software platform </w:t>
      </w:r>
      <w:r w:rsidRPr="79E5FC17" w:rsidR="79E5FC17">
        <w:rPr>
          <w:rFonts w:ascii="Calibri" w:hAnsi="Calibri" w:eastAsia="Calibri" w:cs="Calibri"/>
          <w:i w:val="1"/>
          <w:iCs w:val="1"/>
          <w:noProof w:val="0"/>
          <w:color w:val="767171" w:themeColor="background2" w:themeTint="FF" w:themeShade="80"/>
          <w:sz w:val="24"/>
          <w:szCs w:val="24"/>
          <w:lang w:val="en-US"/>
        </w:rPr>
        <w:t>IBM® SPSS®</w:t>
      </w:r>
      <w:r w:rsidRPr="79E5FC17" w:rsidR="79E5FC17">
        <w:rPr>
          <w:rFonts w:ascii="Calibri" w:hAnsi="Calibri" w:eastAsia="Calibri" w:cs="Calibri"/>
          <w:noProof w:val="0"/>
          <w:color w:val="767171" w:themeColor="background2" w:themeTint="FF" w:themeShade="80"/>
          <w:sz w:val="21"/>
          <w:szCs w:val="21"/>
          <w:lang w:val="en-US"/>
        </w:rPr>
        <w:t xml:space="preserve"> </w:t>
      </w:r>
      <w:r w:rsidRPr="79E5FC17" w:rsidR="79E5FC17">
        <w:rPr>
          <w:rFonts w:ascii="Calibri" w:hAnsi="Calibri" w:eastAsia="Calibri" w:cs="Calibri"/>
          <w:noProof w:val="0"/>
          <w:color w:val="767171" w:themeColor="background2" w:themeTint="FF" w:themeShade="80"/>
          <w:sz w:val="24"/>
          <w:szCs w:val="24"/>
          <w:lang w:val="en-US"/>
        </w:rPr>
        <w:t xml:space="preserve">was used for analysis, this was chosen due to its user-friendly interface offering similarities to </w:t>
      </w:r>
      <w:r w:rsidRPr="79E5FC17" w:rsidR="79E5FC17">
        <w:rPr>
          <w:rFonts w:ascii="Calibri" w:hAnsi="Calibri" w:eastAsia="Calibri" w:cs="Calibri"/>
          <w:i w:val="1"/>
          <w:iCs w:val="1"/>
          <w:noProof w:val="0"/>
          <w:color w:val="767171" w:themeColor="background2" w:themeTint="FF" w:themeShade="80"/>
          <w:sz w:val="24"/>
          <w:szCs w:val="24"/>
          <w:lang w:val="en-US"/>
        </w:rPr>
        <w:t>Microsoft Excel</w:t>
      </w:r>
      <w:r w:rsidRPr="79E5FC17" w:rsidR="79E5FC17">
        <w:rPr>
          <w:rFonts w:ascii="Calibri" w:hAnsi="Calibri" w:eastAsia="Calibri" w:cs="Calibri"/>
          <w:noProof w:val="0"/>
          <w:color w:val="767171" w:themeColor="background2" w:themeTint="FF" w:themeShade="80"/>
          <w:sz w:val="24"/>
          <w:szCs w:val="24"/>
          <w:lang w:val="en-US"/>
        </w:rPr>
        <w:t xml:space="preserve"> and providing a quick and easy set up and learning, this is supported by (Bryman &amp; Cramer, 2012). The raw data captured from the survey was exported using </w:t>
      </w:r>
      <w:r w:rsidRPr="79E5FC17" w:rsidR="79E5FC17">
        <w:rPr>
          <w:rFonts w:ascii="Calibri" w:hAnsi="Calibri" w:eastAsia="Calibri" w:cs="Calibri"/>
          <w:i w:val="1"/>
          <w:iCs w:val="1"/>
          <w:noProof w:val="0"/>
          <w:color w:val="767171" w:themeColor="background2" w:themeTint="FF" w:themeShade="80"/>
          <w:sz w:val="24"/>
          <w:szCs w:val="24"/>
          <w:lang w:val="en-US"/>
        </w:rPr>
        <w:t>Microsoft Excel</w:t>
      </w:r>
      <w:r w:rsidRPr="79E5FC17" w:rsidR="79E5FC17">
        <w:rPr>
          <w:rFonts w:ascii="Calibri" w:hAnsi="Calibri" w:eastAsia="Calibri" w:cs="Calibri"/>
          <w:noProof w:val="0"/>
          <w:color w:val="767171" w:themeColor="background2" w:themeTint="FF" w:themeShade="80"/>
          <w:sz w:val="24"/>
          <w:szCs w:val="24"/>
          <w:lang w:val="en-US"/>
        </w:rPr>
        <w:t xml:space="preserve"> and formatted into a clean structure before beginning analysis, this entailed eliminating any faulty or useless data, flagging any outliers, and structuring it in a computer-readable format. This was completed by adding values to each answer and creating variables within </w:t>
      </w:r>
      <w:r w:rsidRPr="79E5FC17" w:rsidR="79E5FC17">
        <w:rPr>
          <w:rFonts w:ascii="Calibri" w:hAnsi="Calibri" w:eastAsia="Calibri" w:cs="Calibri"/>
          <w:i w:val="1"/>
          <w:iCs w:val="1"/>
          <w:noProof w:val="0"/>
          <w:color w:val="767171" w:themeColor="background2" w:themeTint="FF" w:themeShade="80"/>
          <w:sz w:val="24"/>
          <w:szCs w:val="24"/>
          <w:lang w:val="en-US"/>
        </w:rPr>
        <w:t>IBM® SPSS®.</w:t>
      </w:r>
    </w:p>
    <w:p xmlns:wp14="http://schemas.microsoft.com/office/word/2010/wordml" w:rsidP="79E5FC17" w14:paraId="2F112255" wp14:textId="563AA68E">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Once the data was structured in a useable format, analysis began, this entailed utilising aspects of </w:t>
      </w:r>
      <w:r w:rsidRPr="79E5FC17" w:rsidR="79E5FC17">
        <w:rPr>
          <w:rFonts w:ascii="Calibri" w:hAnsi="Calibri" w:eastAsia="Calibri" w:cs="Calibri"/>
          <w:i w:val="1"/>
          <w:iCs w:val="1"/>
          <w:noProof w:val="0"/>
          <w:color w:val="767171" w:themeColor="background2" w:themeTint="FF" w:themeShade="80"/>
          <w:sz w:val="24"/>
          <w:szCs w:val="24"/>
          <w:lang w:val="en-US"/>
        </w:rPr>
        <w:t xml:space="preserve">IBM® SPSS® </w:t>
      </w:r>
      <w:r w:rsidRPr="79E5FC17" w:rsidR="79E5FC17">
        <w:rPr>
          <w:rFonts w:ascii="Calibri" w:hAnsi="Calibri" w:eastAsia="Calibri" w:cs="Calibri"/>
          <w:noProof w:val="0"/>
          <w:color w:val="767171" w:themeColor="background2" w:themeTint="FF" w:themeShade="80"/>
          <w:sz w:val="24"/>
          <w:szCs w:val="24"/>
          <w:lang w:val="en-US"/>
        </w:rPr>
        <w:t>to ascertain frequencies. This involved cross tabulation, which produces data tables enabling examination of links within data sets and Chi-Square; allowing for testing hypotheses to determine if nominal and ordinal variables in a bivariate table have a statistically significant connection (Dickinson, 2020; Wooditch et al., 2021, PP. 135-153)</w:t>
      </w:r>
    </w:p>
    <w:p xmlns:wp14="http://schemas.microsoft.com/office/word/2010/wordml" w:rsidP="79E5FC17" w14:paraId="0772AEDE" wp14:textId="4BAA7573">
      <w:pPr>
        <w:spacing w:line="360" w:lineRule="auto"/>
        <w:jc w:val="both"/>
      </w:pPr>
      <w:r w:rsidRPr="79E5FC17" w:rsidR="79E5FC17">
        <w:rPr>
          <w:rFonts w:ascii="Calibri" w:hAnsi="Calibri" w:eastAsia="Calibri" w:cs="Calibri"/>
          <w:noProof w:val="0"/>
          <w:color w:val="767171" w:themeColor="background2" w:themeTint="FF" w:themeShade="80"/>
          <w:sz w:val="24"/>
          <w:szCs w:val="24"/>
          <w:highlight w:val="yellow"/>
          <w:lang w:val="en-US"/>
        </w:rPr>
        <w:t xml:space="preserve"> </w:t>
      </w:r>
    </w:p>
    <w:p xmlns:wp14="http://schemas.microsoft.com/office/word/2010/wordml" w:rsidP="79E5FC17" w14:paraId="0F07F7C3" wp14:textId="0E2159BE">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061036E3" wp14:textId="0C795870">
      <w:pPr>
        <w:spacing w:line="257" w:lineRule="auto"/>
      </w:pPr>
      <w:r>
        <w:br/>
      </w:r>
    </w:p>
    <w:p xmlns:wp14="http://schemas.microsoft.com/office/word/2010/wordml" w:rsidP="79E5FC17" w14:paraId="51E12537" wp14:textId="3853B71D">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 xml:space="preserve"> </w:t>
      </w:r>
    </w:p>
    <w:p xmlns:wp14="http://schemas.microsoft.com/office/word/2010/wordml" w:rsidP="79E5FC17" w14:paraId="48B23008" wp14:textId="6CB90A25">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Findings (190)</w:t>
      </w:r>
    </w:p>
    <w:p xmlns:wp14="http://schemas.microsoft.com/office/word/2010/wordml" w:rsidP="79E5FC17" w14:paraId="2FC76C0B" wp14:textId="2CD1ED80">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01D31BFB" wp14:textId="1FEA72E0">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Rigorous data cleansing and testing were undertaken to analyse data and identify trends, due to issues with the survey structure, there were no underlying findings. The basic findings which appeared are as follows; (other findings are included within Appendix II)</w:t>
      </w:r>
    </w:p>
    <w:p xmlns:wp14="http://schemas.microsoft.com/office/word/2010/wordml" w:rsidP="79E5FC17" w14:paraId="323F81EF" wp14:textId="16D9050C">
      <w:pPr>
        <w:spacing w:line="360" w:lineRule="auto"/>
        <w:jc w:val="both"/>
      </w:pPr>
      <w:r w:rsidRPr="79E5FC17" w:rsidR="79E5FC17">
        <w:rPr>
          <w:rFonts w:ascii="Calibri" w:hAnsi="Calibri" w:eastAsia="Calibri" w:cs="Calibri"/>
          <w:b w:val="1"/>
          <w:bCs w:val="1"/>
          <w:noProof w:val="0"/>
          <w:color w:val="767171" w:themeColor="background2" w:themeTint="FF" w:themeShade="80"/>
          <w:sz w:val="24"/>
          <w:szCs w:val="24"/>
          <w:lang w:val="en-US"/>
        </w:rPr>
        <w:t>Q4 – How long have you operated a business?</w:t>
      </w:r>
    </w:p>
    <w:p xmlns:wp14="http://schemas.microsoft.com/office/word/2010/wordml" w:rsidP="79E5FC17" w14:paraId="7967F396" wp14:textId="357CEB4F">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55B1BE2A" wp14:textId="5451F769">
      <w:pPr>
        <w:spacing w:line="257" w:lineRule="auto"/>
        <w:jc w:val="center"/>
      </w:pPr>
    </w:p>
    <w:p xmlns:wp14="http://schemas.microsoft.com/office/word/2010/wordml" w:rsidP="79E5FC17" w14:paraId="3FD47F85" wp14:textId="1E609D5C">
      <w:pPr>
        <w:spacing w:line="257" w:lineRule="auto"/>
        <w:jc w:val="center"/>
      </w:pPr>
      <w:r w:rsidRPr="79E5FC17" w:rsidR="79E5FC17">
        <w:rPr>
          <w:rFonts w:ascii="Calibri" w:hAnsi="Calibri" w:eastAsia="Calibri" w:cs="Calibri"/>
          <w:noProof w:val="0"/>
          <w:sz w:val="16"/>
          <w:szCs w:val="16"/>
          <w:lang w:val="en-US"/>
        </w:rPr>
        <w:t>Fig - 5</w:t>
      </w:r>
    </w:p>
    <w:p xmlns:wp14="http://schemas.microsoft.com/office/word/2010/wordml" w:rsidP="79E5FC17" w14:paraId="68A20EC5" wp14:textId="5720EBED">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Fig 5 – collected data relating to how long the entrepreneurs who participated had operated a business, the data found the majority had operated a business for between two and five years. This data was studied in conjunction to Q5 below, which sought to explore the frequency the entrepreneurs had changed their business sectors, Fig-6. A crosstabulation of data was preformed to study the correlation between the two data sets, Fig-7.  The mode data revealed a favourable trend in that the entrepreneurs' change business sector at least once every 2-5 years.</w:t>
      </w:r>
    </w:p>
    <w:p xmlns:wp14="http://schemas.microsoft.com/office/word/2010/wordml" w:rsidP="79E5FC17" w14:paraId="1A85E1C3" wp14:textId="46C42572">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783A9762" wp14:textId="2AC17F10">
      <w:pPr>
        <w:spacing w:line="257" w:lineRule="auto"/>
      </w:pPr>
      <w:r>
        <w:br/>
      </w:r>
    </w:p>
    <w:p xmlns:wp14="http://schemas.microsoft.com/office/word/2010/wordml" w:rsidP="79E5FC17" w14:paraId="2902564D" wp14:textId="1611F3D0">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6AE73C55" wp14:textId="614D06C8">
      <w:pPr>
        <w:spacing w:line="360" w:lineRule="auto"/>
        <w:jc w:val="both"/>
      </w:pPr>
      <w:r w:rsidRPr="79E5FC17" w:rsidR="79E5FC17">
        <w:rPr>
          <w:rFonts w:ascii="Calibri" w:hAnsi="Calibri" w:eastAsia="Calibri" w:cs="Calibri"/>
          <w:b w:val="1"/>
          <w:bCs w:val="1"/>
          <w:noProof w:val="0"/>
          <w:color w:val="767171" w:themeColor="background2" w:themeTint="FF" w:themeShade="80"/>
          <w:sz w:val="24"/>
          <w:szCs w:val="24"/>
          <w:lang w:val="en-US"/>
        </w:rPr>
        <w:t>Q10 – What factors do you feel have supported you to being a successful entrepreneur (you can choose as many answers as applicable</w:t>
      </w:r>
    </w:p>
    <w:p xmlns:wp14="http://schemas.microsoft.com/office/word/2010/wordml" w:rsidP="79E5FC17" w14:paraId="52F485E3" wp14:textId="5B6EFA43">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1541EA0D" wp14:textId="17DF8BB4">
      <w:pPr>
        <w:spacing w:line="360" w:lineRule="auto"/>
        <w:jc w:val="center"/>
      </w:pPr>
    </w:p>
    <w:p xmlns:wp14="http://schemas.microsoft.com/office/word/2010/wordml" w:rsidP="79E5FC17" w14:paraId="40B0DB27" wp14:textId="2A5E4EDB">
      <w:pPr>
        <w:spacing w:line="360" w:lineRule="auto"/>
        <w:jc w:val="center"/>
      </w:pPr>
      <w:r w:rsidRPr="79E5FC17" w:rsidR="79E5FC17">
        <w:rPr>
          <w:rFonts w:ascii="Calibri" w:hAnsi="Calibri" w:eastAsia="Calibri" w:cs="Calibri"/>
          <w:noProof w:val="0"/>
          <w:color w:val="767171" w:themeColor="background2" w:themeTint="FF" w:themeShade="80"/>
          <w:sz w:val="16"/>
          <w:szCs w:val="16"/>
          <w:lang w:val="en-US"/>
        </w:rPr>
        <w:t>Fig – 13</w:t>
      </w:r>
    </w:p>
    <w:p xmlns:wp14="http://schemas.microsoft.com/office/word/2010/wordml" w:rsidP="79E5FC17" w14:paraId="78210ADD" wp14:textId="10A96B91">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Fig 13 &amp; 14 – When supporting factors which contribute to entrepreneurial success were compared with age, it revealed that learned skills were most common within two age demographics, being 35-44 and 45-54 years. When this data was cross tabulated with gender, Fig –1 4 the trends revealed a deeper finding in that women held these factors as being more important.</w:t>
      </w:r>
    </w:p>
    <w:p xmlns:wp14="http://schemas.microsoft.com/office/word/2010/wordml" w:rsidP="79E5FC17" w14:paraId="1EE86303" wp14:textId="488E65C1">
      <w:pPr>
        <w:spacing w:line="257" w:lineRule="auto"/>
        <w:jc w:val="center"/>
      </w:pPr>
      <w:r w:rsidRPr="79E5FC17" w:rsidR="79E5FC17">
        <w:rPr>
          <w:rFonts w:ascii="Calibri" w:hAnsi="Calibri" w:eastAsia="Calibri" w:cs="Calibri"/>
          <w:noProof w:val="0"/>
          <w:sz w:val="22"/>
          <w:szCs w:val="22"/>
          <w:lang w:val="en-US"/>
        </w:rPr>
        <w:t xml:space="preserve"> </w:t>
      </w:r>
    </w:p>
    <w:p xmlns:wp14="http://schemas.microsoft.com/office/word/2010/wordml" w:rsidP="79E5FC17" w14:paraId="10FC62C9" wp14:textId="271C2DFF">
      <w:pPr>
        <w:spacing w:line="257" w:lineRule="auto"/>
        <w:jc w:val="center"/>
      </w:pPr>
    </w:p>
    <w:p xmlns:wp14="http://schemas.microsoft.com/office/word/2010/wordml" w:rsidP="79E5FC17" w14:paraId="435B0FD9" wp14:textId="653E1872">
      <w:pPr>
        <w:spacing w:line="360" w:lineRule="auto"/>
        <w:jc w:val="center"/>
      </w:pPr>
      <w:r w:rsidRPr="79E5FC17" w:rsidR="79E5FC17">
        <w:rPr>
          <w:rFonts w:ascii="Calibri" w:hAnsi="Calibri" w:eastAsia="Calibri" w:cs="Calibri"/>
          <w:noProof w:val="0"/>
          <w:color w:val="767171" w:themeColor="background2" w:themeTint="FF" w:themeShade="80"/>
          <w:sz w:val="16"/>
          <w:szCs w:val="16"/>
          <w:lang w:val="en-US"/>
        </w:rPr>
        <w:t>Fig – 14</w:t>
      </w:r>
    </w:p>
    <w:p xmlns:wp14="http://schemas.microsoft.com/office/word/2010/wordml" w:rsidP="79E5FC17" w14:paraId="63656707" wp14:textId="41FBA323">
      <w:pPr>
        <w:spacing w:line="257" w:lineRule="auto"/>
      </w:pPr>
      <w:r>
        <w:br/>
      </w:r>
    </w:p>
    <w:p xmlns:wp14="http://schemas.microsoft.com/office/word/2010/wordml" w:rsidP="79E5FC17" w14:paraId="57286D6E" wp14:textId="151A6150">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6B5B10D2" wp14:textId="0F330610">
      <w:pPr>
        <w:spacing w:line="257" w:lineRule="auto"/>
      </w:pPr>
      <w:r w:rsidRPr="79E5FC17" w:rsidR="79E5FC17">
        <w:rPr>
          <w:rFonts w:ascii="Calibri Light" w:hAnsi="Calibri Light" w:eastAsia="Calibri Light" w:cs="Calibri Light"/>
          <w:noProof w:val="0"/>
          <w:color w:val="2F5496" w:themeColor="accent1" w:themeTint="FF" w:themeShade="BF"/>
          <w:sz w:val="32"/>
          <w:szCs w:val="32"/>
          <w:lang w:val="en-US"/>
        </w:rPr>
        <w:t xml:space="preserve"> </w:t>
      </w:r>
    </w:p>
    <w:p xmlns:wp14="http://schemas.microsoft.com/office/word/2010/wordml" w:rsidP="79E5FC17" w14:paraId="0394BD42" wp14:textId="62316D12">
      <w:pPr>
        <w:spacing w:line="257" w:lineRule="auto"/>
      </w:pPr>
      <w:r w:rsidRPr="79E5FC17" w:rsidR="79E5FC17">
        <w:rPr>
          <w:rFonts w:ascii="Calibri Light" w:hAnsi="Calibri Light" w:eastAsia="Calibri Light" w:cs="Calibri Light"/>
          <w:noProof w:val="0"/>
          <w:color w:val="2F5496" w:themeColor="accent1" w:themeTint="FF" w:themeShade="BF"/>
          <w:sz w:val="32"/>
          <w:szCs w:val="32"/>
          <w:lang w:val="en-US"/>
        </w:rPr>
        <w:t>Conclusion (137)</w:t>
      </w:r>
    </w:p>
    <w:p xmlns:wp14="http://schemas.microsoft.com/office/word/2010/wordml" w:rsidP="79E5FC17" w14:paraId="7E059C23" wp14:textId="2A739E7F">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06929273" wp14:textId="4F7B1503">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There were limitations to the research undertaken, such as restricting the survey collection to a small scale and using a snowball approach for distribution instead of a known group of participants. The research data gathering, and findings proved inconclusive in identifying any key data trends, the single point of failure being the way in which the survey was formed. Due to too many Likert scale multiple choice questions spread over a limited participant group diluted the ability to formulate trends.</w:t>
      </w:r>
    </w:p>
    <w:p xmlns:wp14="http://schemas.microsoft.com/office/word/2010/wordml" w:rsidP="79E5FC17" w14:paraId="58033BA7" wp14:textId="132D41A0">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0DB090AD" wp14:textId="37ED15F7">
      <w:pPr>
        <w:spacing w:line="360" w:lineRule="auto"/>
        <w:jc w:val="both"/>
      </w:pPr>
      <w:r w:rsidRPr="79E5FC17" w:rsidR="79E5FC17">
        <w:rPr>
          <w:rFonts w:ascii="Calibri" w:hAnsi="Calibri" w:eastAsia="Calibri" w:cs="Calibri"/>
          <w:noProof w:val="0"/>
          <w:color w:val="767171" w:themeColor="background2" w:themeTint="FF" w:themeShade="80"/>
          <w:sz w:val="24"/>
          <w:szCs w:val="24"/>
          <w:lang w:val="en-US"/>
        </w:rPr>
        <w:t>The researcher took key learnings from this study, particularly to question structure and the topic being too broad. If the study were to be repeated, the researcher would explore one particular motivating aspect and ensure data captured a balanced demographic. Although the data findings proved inconclusive the researcher learned skills relating to quantitative research approach and SPSS.</w:t>
      </w:r>
    </w:p>
    <w:p xmlns:wp14="http://schemas.microsoft.com/office/word/2010/wordml" w:rsidP="79E5FC17" w14:paraId="51638B50" wp14:textId="1189C0D7">
      <w:pPr>
        <w:spacing w:line="257" w:lineRule="auto"/>
        <w:rPr>
          <w:rFonts w:ascii="Calibri" w:hAnsi="Calibri" w:eastAsia="Calibri" w:cs="Calibri"/>
          <w:noProof w:val="0"/>
          <w:sz w:val="22"/>
          <w:szCs w:val="22"/>
          <w:lang w:val="en-US"/>
        </w:rPr>
      </w:pPr>
    </w:p>
    <w:p xmlns:wp14="http://schemas.microsoft.com/office/word/2010/wordml" w:rsidP="79E5FC17" w14:paraId="3B6B82AA" wp14:textId="3D9179B1">
      <w:pPr>
        <w:pStyle w:val="Heading1"/>
      </w:pPr>
      <w:r w:rsidRPr="79E5FC17" w:rsidR="79E5FC17">
        <w:rPr>
          <w:rFonts w:ascii="Calibri Light" w:hAnsi="Calibri Light" w:eastAsia="Calibri Light" w:cs="Calibri Light"/>
          <w:b w:val="0"/>
          <w:bCs w:val="0"/>
          <w:noProof w:val="0"/>
          <w:color w:val="2F5496" w:themeColor="accent1" w:themeTint="FF" w:themeShade="BF"/>
          <w:sz w:val="32"/>
          <w:szCs w:val="32"/>
          <w:lang w:val="en-US"/>
        </w:rPr>
        <w:t>References</w:t>
      </w:r>
    </w:p>
    <w:p xmlns:wp14="http://schemas.microsoft.com/office/word/2010/wordml" w:rsidP="79E5FC17" w14:paraId="208BB0A9" wp14:textId="5DB338EC">
      <w:pPr>
        <w:spacing w:line="257"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004EA94A" wp14:textId="397CBE8C">
      <w:pPr>
        <w:spacing w:line="480" w:lineRule="auto"/>
      </w:pPr>
      <w:r w:rsidRPr="79E5FC17" w:rsidR="79E5FC17">
        <w:rPr>
          <w:rFonts w:ascii="Calibri" w:hAnsi="Calibri" w:eastAsia="Calibri" w:cs="Calibri"/>
          <w:noProof w:val="0"/>
          <w:sz w:val="22"/>
          <w:szCs w:val="22"/>
          <w:lang w:val="en-US"/>
        </w:rPr>
        <w:t xml:space="preserve"> </w:t>
      </w:r>
    </w:p>
    <w:p xmlns:wp14="http://schemas.microsoft.com/office/word/2010/wordml" w:rsidP="79E5FC17" w14:paraId="0090BDD7" wp14:textId="38808665">
      <w:pPr>
        <w:spacing w:line="480" w:lineRule="auto"/>
        <w:ind w:left="720" w:hanging="720"/>
      </w:pPr>
      <w:r w:rsidRPr="79E5FC17" w:rsidR="79E5FC17">
        <w:rPr>
          <w:rFonts w:ascii="Calibri" w:hAnsi="Calibri" w:eastAsia="Calibri" w:cs="Calibri"/>
          <w:noProof w:val="0"/>
          <w:color w:val="000000" w:themeColor="text1" w:themeTint="FF" w:themeShade="FF"/>
          <w:sz w:val="24"/>
          <w:szCs w:val="24"/>
          <w:lang w:val="en-US"/>
        </w:rPr>
        <w:t>Akyol, E. M. (2016). A discussion about personal characteristics of entrepreneurs in the context of culture’s impact. Business &amp; Management Studies: An International Journal, 4(1), 63-83.</w:t>
      </w:r>
    </w:p>
    <w:p xmlns:wp14="http://schemas.microsoft.com/office/word/2010/wordml" w:rsidP="79E5FC17" w14:paraId="36CF8F3E" wp14:textId="5F53523D">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5B009FD8" wp14:textId="1B58C655">
      <w:pPr>
        <w:spacing w:line="480" w:lineRule="auto"/>
        <w:ind w:left="720" w:hanging="720"/>
      </w:pPr>
      <w:r w:rsidRPr="79E5FC17" w:rsidR="79E5FC17">
        <w:rPr>
          <w:rFonts w:ascii="Calibri" w:hAnsi="Calibri" w:eastAsia="Calibri" w:cs="Calibri"/>
          <w:noProof w:val="0"/>
          <w:color w:val="000000" w:themeColor="text1" w:themeTint="FF" w:themeShade="FF"/>
          <w:sz w:val="24"/>
          <w:szCs w:val="24"/>
          <w:lang w:val="en-US"/>
        </w:rPr>
        <w:t xml:space="preserve">Alvarez, S. A., &amp; Barney, J. B. (2010). Entrepreneurship and epistemology: The philosophical underpinnings of the study of entrepreneurial opportunities. </w:t>
      </w:r>
      <w:r w:rsidRPr="79E5FC17" w:rsidR="79E5FC17">
        <w:rPr>
          <w:rFonts w:ascii="Calibri" w:hAnsi="Calibri" w:eastAsia="Calibri" w:cs="Calibri"/>
          <w:i w:val="1"/>
          <w:iCs w:val="1"/>
          <w:noProof w:val="0"/>
          <w:color w:val="000000" w:themeColor="text1" w:themeTint="FF" w:themeShade="FF"/>
          <w:sz w:val="24"/>
          <w:szCs w:val="24"/>
          <w:lang w:val="en-US"/>
        </w:rPr>
        <w:t>Academy of Management annals</w:t>
      </w:r>
      <w:r w:rsidRPr="79E5FC17" w:rsidR="79E5FC17">
        <w:rPr>
          <w:rFonts w:ascii="Calibri" w:hAnsi="Calibri" w:eastAsia="Calibri" w:cs="Calibri"/>
          <w:noProof w:val="0"/>
          <w:color w:val="000000" w:themeColor="text1" w:themeTint="FF" w:themeShade="FF"/>
          <w:sz w:val="24"/>
          <w:szCs w:val="24"/>
          <w:lang w:val="en-US"/>
        </w:rPr>
        <w:t xml:space="preserve">, </w:t>
      </w:r>
      <w:r w:rsidRPr="79E5FC17" w:rsidR="79E5FC17">
        <w:rPr>
          <w:rFonts w:ascii="Calibri" w:hAnsi="Calibri" w:eastAsia="Calibri" w:cs="Calibri"/>
          <w:i w:val="1"/>
          <w:iCs w:val="1"/>
          <w:noProof w:val="0"/>
          <w:color w:val="000000" w:themeColor="text1" w:themeTint="FF" w:themeShade="FF"/>
          <w:sz w:val="24"/>
          <w:szCs w:val="24"/>
          <w:lang w:val="en-US"/>
        </w:rPr>
        <w:t>4</w:t>
      </w:r>
      <w:r w:rsidRPr="79E5FC17" w:rsidR="79E5FC17">
        <w:rPr>
          <w:rFonts w:ascii="Calibri" w:hAnsi="Calibri" w:eastAsia="Calibri" w:cs="Calibri"/>
          <w:noProof w:val="0"/>
          <w:color w:val="000000" w:themeColor="text1" w:themeTint="FF" w:themeShade="FF"/>
          <w:sz w:val="24"/>
          <w:szCs w:val="24"/>
          <w:lang w:val="en-US"/>
        </w:rPr>
        <w:t xml:space="preserve">(1), 557-583. </w:t>
      </w:r>
    </w:p>
    <w:p xmlns:wp14="http://schemas.microsoft.com/office/word/2010/wordml" w:rsidP="79E5FC17" w14:paraId="7379F766" wp14:textId="668B1767">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FA0E63A" wp14:textId="12327024">
      <w:pPr>
        <w:spacing w:line="480" w:lineRule="auto"/>
        <w:ind w:left="720" w:hanging="720"/>
      </w:pPr>
      <w:r w:rsidRPr="79E5FC17" w:rsidR="79E5FC17">
        <w:rPr>
          <w:rFonts w:ascii="Calibri" w:hAnsi="Calibri" w:eastAsia="Calibri" w:cs="Calibri"/>
          <w:noProof w:val="0"/>
          <w:color w:val="222222"/>
          <w:sz w:val="24"/>
          <w:szCs w:val="24"/>
          <w:lang w:val="en-US"/>
        </w:rPr>
        <w:t xml:space="preserve">Baker, T., &amp; Welter, F. (2018). </w:t>
      </w:r>
      <w:r w:rsidRPr="79E5FC17" w:rsidR="79E5FC17">
        <w:rPr>
          <w:rFonts w:ascii="Calibri" w:hAnsi="Calibri" w:eastAsia="Calibri" w:cs="Calibri"/>
          <w:i w:val="1"/>
          <w:iCs w:val="1"/>
          <w:noProof w:val="0"/>
          <w:color w:val="222222"/>
          <w:sz w:val="24"/>
          <w:szCs w:val="24"/>
          <w:lang w:val="en-US"/>
        </w:rPr>
        <w:t>Contextual entrepreneurship: An interdisciplinary perspective</w:t>
      </w:r>
      <w:r w:rsidRPr="79E5FC17" w:rsidR="79E5FC17">
        <w:rPr>
          <w:rFonts w:ascii="Calibri" w:hAnsi="Calibri" w:eastAsia="Calibri" w:cs="Calibri"/>
          <w:noProof w:val="0"/>
          <w:color w:val="222222"/>
          <w:sz w:val="24"/>
          <w:szCs w:val="24"/>
          <w:lang w:val="en-US"/>
        </w:rPr>
        <w:t>. Now.</w:t>
      </w:r>
    </w:p>
    <w:p xmlns:wp14="http://schemas.microsoft.com/office/word/2010/wordml" w:rsidP="79E5FC17" w14:paraId="013320A5" wp14:textId="1A6F3C75">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AD7EA06" wp14:textId="1CBB03C8">
      <w:pPr>
        <w:spacing w:line="480" w:lineRule="auto"/>
        <w:ind w:left="720" w:hanging="720"/>
      </w:pPr>
      <w:r w:rsidRPr="79E5FC17" w:rsidR="79E5FC17">
        <w:rPr>
          <w:rFonts w:ascii="Calibri" w:hAnsi="Calibri" w:eastAsia="Calibri" w:cs="Calibri"/>
          <w:noProof w:val="0"/>
          <w:color w:val="222222"/>
          <w:sz w:val="24"/>
          <w:szCs w:val="24"/>
          <w:lang w:val="en-US"/>
        </w:rPr>
        <w:t xml:space="preserve">Bloomfield, J., &amp; Fisher, M. J. (2019). Quantitative research design. </w:t>
      </w:r>
      <w:r w:rsidRPr="79E5FC17" w:rsidR="79E5FC17">
        <w:rPr>
          <w:rFonts w:ascii="Calibri" w:hAnsi="Calibri" w:eastAsia="Calibri" w:cs="Calibri"/>
          <w:i w:val="1"/>
          <w:iCs w:val="1"/>
          <w:noProof w:val="0"/>
          <w:color w:val="222222"/>
          <w:sz w:val="24"/>
          <w:szCs w:val="24"/>
          <w:lang w:val="en-US"/>
        </w:rPr>
        <w:t>Journal of the Australasian Rehabilitation Nurses Association</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22</w:t>
      </w:r>
      <w:r w:rsidRPr="79E5FC17" w:rsidR="79E5FC17">
        <w:rPr>
          <w:rFonts w:ascii="Calibri" w:hAnsi="Calibri" w:eastAsia="Calibri" w:cs="Calibri"/>
          <w:noProof w:val="0"/>
          <w:color w:val="222222"/>
          <w:sz w:val="24"/>
          <w:szCs w:val="24"/>
          <w:lang w:val="en-US"/>
        </w:rPr>
        <w:t>(2), 27-30.</w:t>
      </w:r>
    </w:p>
    <w:p xmlns:wp14="http://schemas.microsoft.com/office/word/2010/wordml" w:rsidP="79E5FC17" w14:paraId="1434D935" wp14:textId="302CB2BD">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48E0DC95" wp14:textId="15668B76">
      <w:pPr>
        <w:spacing w:line="480" w:lineRule="auto"/>
        <w:ind w:left="720" w:hanging="720"/>
      </w:pPr>
      <w:r w:rsidRPr="79E5FC17" w:rsidR="79E5FC17">
        <w:rPr>
          <w:rFonts w:ascii="Calibri" w:hAnsi="Calibri" w:eastAsia="Calibri" w:cs="Calibri"/>
          <w:noProof w:val="0"/>
          <w:sz w:val="24"/>
          <w:szCs w:val="24"/>
          <w:lang w:val="en-US"/>
        </w:rPr>
        <w:t xml:space="preserve">Bortz, D. (2022). </w:t>
      </w:r>
      <w:r w:rsidRPr="79E5FC17" w:rsidR="79E5FC17">
        <w:rPr>
          <w:rFonts w:ascii="Calibri" w:hAnsi="Calibri" w:eastAsia="Calibri" w:cs="Calibri"/>
          <w:i w:val="1"/>
          <w:iCs w:val="1"/>
          <w:noProof w:val="0"/>
          <w:sz w:val="24"/>
          <w:szCs w:val="24"/>
          <w:lang w:val="en-US"/>
        </w:rPr>
        <w:t>9 Characteristics of Entrepreneurship You Should Develop</w:t>
      </w:r>
      <w:r w:rsidRPr="79E5FC17" w:rsidR="79E5FC17">
        <w:rPr>
          <w:rFonts w:ascii="Calibri" w:hAnsi="Calibri" w:eastAsia="Calibri" w:cs="Calibri"/>
          <w:noProof w:val="0"/>
          <w:sz w:val="24"/>
          <w:szCs w:val="24"/>
          <w:lang w:val="en-US"/>
        </w:rPr>
        <w:t xml:space="preserve">. Monster. Retrieved May 13, 2022, from </w:t>
      </w:r>
      <w:hyperlink r:id="R110a7803745144e5">
        <w:r w:rsidRPr="79E5FC17" w:rsidR="79E5FC17">
          <w:rPr>
            <w:rStyle w:val="Hyperlink"/>
            <w:rFonts w:ascii="Calibri" w:hAnsi="Calibri" w:eastAsia="Calibri" w:cs="Calibri"/>
            <w:strike w:val="0"/>
            <w:dstrike w:val="0"/>
            <w:noProof w:val="0"/>
            <w:sz w:val="24"/>
            <w:szCs w:val="24"/>
            <w:lang w:val="en-US"/>
          </w:rPr>
          <w:t>https://www.monster.com/career-advice/article/entrepreneur-traits.</w:t>
        </w:r>
      </w:hyperlink>
    </w:p>
    <w:p xmlns:wp14="http://schemas.microsoft.com/office/word/2010/wordml" w:rsidP="79E5FC17" w14:paraId="7E600860" wp14:textId="4BD7F45B">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2B61E3BB" wp14:textId="7EE8B042">
      <w:pPr>
        <w:spacing w:line="480" w:lineRule="auto"/>
        <w:ind w:left="720" w:hanging="720"/>
      </w:pPr>
      <w:r w:rsidRPr="79E5FC17" w:rsidR="79E5FC17">
        <w:rPr>
          <w:rFonts w:ascii="Calibri" w:hAnsi="Calibri" w:eastAsia="Calibri" w:cs="Calibri"/>
          <w:noProof w:val="0"/>
          <w:color w:val="222222"/>
          <w:sz w:val="24"/>
          <w:szCs w:val="24"/>
          <w:lang w:val="en-US"/>
        </w:rPr>
        <w:t xml:space="preserve">Bryman, A. (2011). Research methods in the study of leadership. </w:t>
      </w:r>
      <w:r w:rsidRPr="79E5FC17" w:rsidR="79E5FC17">
        <w:rPr>
          <w:rFonts w:ascii="Calibri" w:hAnsi="Calibri" w:eastAsia="Calibri" w:cs="Calibri"/>
          <w:i w:val="1"/>
          <w:iCs w:val="1"/>
          <w:noProof w:val="0"/>
          <w:color w:val="222222"/>
          <w:sz w:val="24"/>
          <w:szCs w:val="24"/>
          <w:lang w:val="en-US"/>
        </w:rPr>
        <w:t>The SAGE handbook of leadership</w:t>
      </w:r>
      <w:r w:rsidRPr="79E5FC17" w:rsidR="79E5FC17">
        <w:rPr>
          <w:rFonts w:ascii="Calibri" w:hAnsi="Calibri" w:eastAsia="Calibri" w:cs="Calibri"/>
          <w:noProof w:val="0"/>
          <w:color w:val="222222"/>
          <w:sz w:val="24"/>
          <w:szCs w:val="24"/>
          <w:lang w:val="en-US"/>
        </w:rPr>
        <w:t>, 18.</w:t>
      </w:r>
    </w:p>
    <w:p xmlns:wp14="http://schemas.microsoft.com/office/word/2010/wordml" w:rsidP="79E5FC17" w14:paraId="192E17CE" wp14:textId="3AA03B74">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19BC523C" wp14:textId="42183BB2">
      <w:pPr>
        <w:spacing w:line="480" w:lineRule="auto"/>
        <w:ind w:left="720" w:hanging="720"/>
      </w:pPr>
      <w:r w:rsidRPr="79E5FC17" w:rsidR="79E5FC17">
        <w:rPr>
          <w:rFonts w:ascii="Calibri" w:hAnsi="Calibri" w:eastAsia="Calibri" w:cs="Calibri"/>
          <w:noProof w:val="0"/>
          <w:color w:val="222222"/>
          <w:sz w:val="24"/>
          <w:szCs w:val="24"/>
          <w:lang w:val="en-US"/>
        </w:rPr>
        <w:t xml:space="preserve">Bryman, A. (2016). </w:t>
      </w:r>
      <w:r w:rsidRPr="79E5FC17" w:rsidR="79E5FC17">
        <w:rPr>
          <w:rFonts w:ascii="Calibri" w:hAnsi="Calibri" w:eastAsia="Calibri" w:cs="Calibri"/>
          <w:i w:val="1"/>
          <w:iCs w:val="1"/>
          <w:noProof w:val="0"/>
          <w:color w:val="222222"/>
          <w:sz w:val="24"/>
          <w:szCs w:val="24"/>
          <w:lang w:val="en-US"/>
        </w:rPr>
        <w:t>Social research methods</w:t>
      </w:r>
      <w:r w:rsidRPr="79E5FC17" w:rsidR="79E5FC17">
        <w:rPr>
          <w:rFonts w:ascii="Calibri" w:hAnsi="Calibri" w:eastAsia="Calibri" w:cs="Calibri"/>
          <w:noProof w:val="0"/>
          <w:color w:val="222222"/>
          <w:sz w:val="24"/>
          <w:szCs w:val="24"/>
          <w:lang w:val="en-US"/>
        </w:rPr>
        <w:t>. Oxford university press, 221-224.</w:t>
      </w:r>
    </w:p>
    <w:p xmlns:wp14="http://schemas.microsoft.com/office/word/2010/wordml" w:rsidP="79E5FC17" w14:paraId="079AB4FD" wp14:textId="3ED25FB7">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25A4F936" wp14:textId="638CB45F">
      <w:pPr>
        <w:spacing w:line="480" w:lineRule="auto"/>
        <w:ind w:left="720" w:hanging="720"/>
      </w:pPr>
      <w:r w:rsidRPr="79E5FC17" w:rsidR="79E5FC17">
        <w:rPr>
          <w:rFonts w:ascii="Calibri" w:hAnsi="Calibri" w:eastAsia="Calibri" w:cs="Calibri"/>
          <w:noProof w:val="0"/>
          <w:color w:val="222222"/>
          <w:sz w:val="24"/>
          <w:szCs w:val="24"/>
          <w:lang w:val="en-US"/>
        </w:rPr>
        <w:t xml:space="preserve">Bryman, A., &amp; Cramer, D. (2012). </w:t>
      </w:r>
      <w:r w:rsidRPr="79E5FC17" w:rsidR="79E5FC17">
        <w:rPr>
          <w:rFonts w:ascii="Calibri" w:hAnsi="Calibri" w:eastAsia="Calibri" w:cs="Calibri"/>
          <w:i w:val="1"/>
          <w:iCs w:val="1"/>
          <w:noProof w:val="0"/>
          <w:color w:val="222222"/>
          <w:sz w:val="24"/>
          <w:szCs w:val="24"/>
          <w:lang w:val="en-US"/>
        </w:rPr>
        <w:t>Quantitative data analysis with IBM SPSS 17, 18 &amp; 19: A guide for social scientists</w:t>
      </w:r>
      <w:r w:rsidRPr="79E5FC17" w:rsidR="79E5FC17">
        <w:rPr>
          <w:rFonts w:ascii="Calibri" w:hAnsi="Calibri" w:eastAsia="Calibri" w:cs="Calibri"/>
          <w:noProof w:val="0"/>
          <w:color w:val="222222"/>
          <w:sz w:val="24"/>
          <w:szCs w:val="24"/>
          <w:lang w:val="en-US"/>
        </w:rPr>
        <w:t>. Routledge.</w:t>
      </w:r>
    </w:p>
    <w:p xmlns:wp14="http://schemas.microsoft.com/office/word/2010/wordml" w:rsidP="79E5FC17" w14:paraId="77398481" wp14:textId="7E06497F">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AAE2389" wp14:textId="12DE130D">
      <w:pPr>
        <w:spacing w:line="480" w:lineRule="auto"/>
        <w:ind w:left="720" w:hanging="720"/>
      </w:pPr>
      <w:r w:rsidRPr="79E5FC17" w:rsidR="79E5FC17">
        <w:rPr>
          <w:rFonts w:ascii="Calibri" w:hAnsi="Calibri" w:eastAsia="Calibri" w:cs="Calibri"/>
          <w:noProof w:val="0"/>
          <w:color w:val="222222"/>
          <w:sz w:val="24"/>
          <w:szCs w:val="24"/>
          <w:lang w:val="en-US"/>
        </w:rPr>
        <w:t xml:space="preserve">Cumming, G. S., Barnes, G., Perz, S., Schmink, M., Sieving, K. E., Southworth, J., ... &amp; Van Holt, T. (2005). An exploratory framework for the empirical measurement of resilience. </w:t>
      </w:r>
      <w:r w:rsidRPr="79E5FC17" w:rsidR="79E5FC17">
        <w:rPr>
          <w:rFonts w:ascii="Calibri" w:hAnsi="Calibri" w:eastAsia="Calibri" w:cs="Calibri"/>
          <w:i w:val="1"/>
          <w:iCs w:val="1"/>
          <w:noProof w:val="0"/>
          <w:color w:val="222222"/>
          <w:sz w:val="24"/>
          <w:szCs w:val="24"/>
          <w:lang w:val="en-US"/>
        </w:rPr>
        <w:t>Ecosystems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8</w:t>
      </w:r>
      <w:r w:rsidRPr="79E5FC17" w:rsidR="79E5FC17">
        <w:rPr>
          <w:rFonts w:ascii="Calibri" w:hAnsi="Calibri" w:eastAsia="Calibri" w:cs="Calibri"/>
          <w:noProof w:val="0"/>
          <w:color w:val="222222"/>
          <w:sz w:val="24"/>
          <w:szCs w:val="24"/>
          <w:lang w:val="en-US"/>
        </w:rPr>
        <w:t>(8), 975-987.</w:t>
      </w:r>
    </w:p>
    <w:p xmlns:wp14="http://schemas.microsoft.com/office/word/2010/wordml" w:rsidP="79E5FC17" w14:paraId="1EC0C466" wp14:textId="1E5726B1">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B10F252" wp14:textId="2AF1E91F">
      <w:pPr>
        <w:spacing w:line="480" w:lineRule="auto"/>
        <w:ind w:left="720" w:hanging="720"/>
      </w:pPr>
      <w:r w:rsidRPr="79E5FC17" w:rsidR="79E5FC17">
        <w:rPr>
          <w:rFonts w:ascii="Calibri" w:hAnsi="Calibri" w:eastAsia="Calibri" w:cs="Calibri"/>
          <w:noProof w:val="0"/>
          <w:color w:val="222222"/>
          <w:sz w:val="24"/>
          <w:szCs w:val="24"/>
          <w:lang w:val="en-US"/>
        </w:rPr>
        <w:t xml:space="preserve">Dickinson, J. (2020, March). MTABS Analyses of Chi-square Cross-tabulations at ABSEL. In </w:t>
      </w:r>
      <w:r w:rsidRPr="79E5FC17" w:rsidR="79E5FC17">
        <w:rPr>
          <w:rFonts w:ascii="Calibri" w:hAnsi="Calibri" w:eastAsia="Calibri" w:cs="Calibri"/>
          <w:i w:val="1"/>
          <w:iCs w:val="1"/>
          <w:noProof w:val="0"/>
          <w:color w:val="222222"/>
          <w:sz w:val="24"/>
          <w:szCs w:val="24"/>
          <w:lang w:val="en-US"/>
        </w:rPr>
        <w:t>Developments in Business Simulation and Experiential Learning: Proceedings of the Annual ABSEL conference</w:t>
      </w:r>
      <w:r w:rsidRPr="79E5FC17" w:rsidR="79E5FC17">
        <w:rPr>
          <w:rFonts w:ascii="Calibri" w:hAnsi="Calibri" w:eastAsia="Calibri" w:cs="Calibri"/>
          <w:noProof w:val="0"/>
          <w:color w:val="222222"/>
          <w:sz w:val="24"/>
          <w:szCs w:val="24"/>
          <w:lang w:val="en-US"/>
        </w:rPr>
        <w:t xml:space="preserve"> (Vol. 47).</w:t>
      </w:r>
    </w:p>
    <w:p xmlns:wp14="http://schemas.microsoft.com/office/word/2010/wordml" w:rsidP="79E5FC17" w14:paraId="5F5059F5" wp14:textId="73C32EE1">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74D798E1" wp14:textId="387A63BB">
      <w:pPr>
        <w:spacing w:line="480" w:lineRule="auto"/>
        <w:ind w:left="720" w:hanging="720"/>
      </w:pPr>
      <w:r w:rsidRPr="79E5FC17" w:rsidR="79E5FC17">
        <w:rPr>
          <w:rFonts w:ascii="Calibri" w:hAnsi="Calibri" w:eastAsia="Calibri" w:cs="Calibri"/>
          <w:noProof w:val="0"/>
          <w:color w:val="222222"/>
          <w:sz w:val="24"/>
          <w:szCs w:val="24"/>
          <w:lang w:val="en-US"/>
        </w:rPr>
        <w:t xml:space="preserve">Emmert-Streib, F., Yang, Z., Feng, H., Tripathi, S., &amp; Dehmer, M. (2020). An introductory review of deep learning for prediction models with big data. </w:t>
      </w:r>
      <w:r w:rsidRPr="79E5FC17" w:rsidR="79E5FC17">
        <w:rPr>
          <w:rFonts w:ascii="Calibri" w:hAnsi="Calibri" w:eastAsia="Calibri" w:cs="Calibri"/>
          <w:i w:val="1"/>
          <w:iCs w:val="1"/>
          <w:noProof w:val="0"/>
          <w:color w:val="222222"/>
          <w:sz w:val="24"/>
          <w:szCs w:val="24"/>
          <w:lang w:val="en-US"/>
        </w:rPr>
        <w:t>Frontiers in Artificial Intelligence</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3</w:t>
      </w:r>
      <w:r w:rsidRPr="79E5FC17" w:rsidR="79E5FC17">
        <w:rPr>
          <w:rFonts w:ascii="Calibri" w:hAnsi="Calibri" w:eastAsia="Calibri" w:cs="Calibri"/>
          <w:noProof w:val="0"/>
          <w:color w:val="222222"/>
          <w:sz w:val="24"/>
          <w:szCs w:val="24"/>
          <w:lang w:val="en-US"/>
        </w:rPr>
        <w:t>, 4.</w:t>
      </w:r>
    </w:p>
    <w:p xmlns:wp14="http://schemas.microsoft.com/office/word/2010/wordml" w:rsidP="79E5FC17" w14:paraId="2EC1FD4D" wp14:textId="7464C156">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52E53FD9" wp14:textId="5FF70248">
      <w:pPr>
        <w:spacing w:line="480" w:lineRule="auto"/>
        <w:ind w:left="720" w:hanging="720"/>
      </w:pPr>
      <w:r w:rsidRPr="79E5FC17" w:rsidR="79E5FC17">
        <w:rPr>
          <w:rFonts w:ascii="Calibri" w:hAnsi="Calibri" w:eastAsia="Calibri" w:cs="Calibri"/>
          <w:noProof w:val="0"/>
          <w:color w:val="222222"/>
          <w:sz w:val="24"/>
          <w:szCs w:val="24"/>
          <w:lang w:val="en-US"/>
        </w:rPr>
        <w:t xml:space="preserve">Foss, N. J., &amp; Klein, P. G. (2020). Entrepreneurial opportunities: who needs them?. </w:t>
      </w:r>
      <w:r w:rsidRPr="79E5FC17" w:rsidR="79E5FC17">
        <w:rPr>
          <w:rFonts w:ascii="Calibri" w:hAnsi="Calibri" w:eastAsia="Calibri" w:cs="Calibri"/>
          <w:i w:val="1"/>
          <w:iCs w:val="1"/>
          <w:noProof w:val="0"/>
          <w:color w:val="222222"/>
          <w:sz w:val="24"/>
          <w:szCs w:val="24"/>
          <w:lang w:val="en-US"/>
        </w:rPr>
        <w:t>Academy of Management Perspectives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34</w:t>
      </w:r>
      <w:r w:rsidRPr="79E5FC17" w:rsidR="79E5FC17">
        <w:rPr>
          <w:rFonts w:ascii="Calibri" w:hAnsi="Calibri" w:eastAsia="Calibri" w:cs="Calibri"/>
          <w:noProof w:val="0"/>
          <w:color w:val="222222"/>
          <w:sz w:val="24"/>
          <w:szCs w:val="24"/>
          <w:lang w:val="en-US"/>
        </w:rPr>
        <w:t>(3), 366-377.</w:t>
      </w:r>
    </w:p>
    <w:p xmlns:wp14="http://schemas.microsoft.com/office/word/2010/wordml" w:rsidP="79E5FC17" w14:paraId="05556270" wp14:textId="450906C3">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1E826B60" wp14:textId="53977C9D">
      <w:pPr>
        <w:spacing w:line="480" w:lineRule="auto"/>
        <w:ind w:left="720" w:hanging="720"/>
      </w:pPr>
      <w:r w:rsidRPr="79E5FC17" w:rsidR="79E5FC17">
        <w:rPr>
          <w:rFonts w:ascii="Calibri" w:hAnsi="Calibri" w:eastAsia="Calibri" w:cs="Calibri"/>
          <w:noProof w:val="0"/>
          <w:color w:val="222222"/>
          <w:sz w:val="24"/>
          <w:szCs w:val="24"/>
          <w:lang w:val="en-US"/>
        </w:rPr>
        <w:t xml:space="preserve">Giudice, P. L., Musarella, L., Sofo, G., &amp; Ursino, D. (2019). An approach to extracting complex knowledge patterns among concepts belonging to structured, semi-structured and unstructured sources in a data lake. </w:t>
      </w:r>
      <w:r w:rsidRPr="79E5FC17" w:rsidR="79E5FC17">
        <w:rPr>
          <w:rFonts w:ascii="Calibri" w:hAnsi="Calibri" w:eastAsia="Calibri" w:cs="Calibri"/>
          <w:i w:val="1"/>
          <w:iCs w:val="1"/>
          <w:noProof w:val="0"/>
          <w:color w:val="222222"/>
          <w:sz w:val="24"/>
          <w:szCs w:val="24"/>
          <w:lang w:val="en-US"/>
        </w:rPr>
        <w:t>Information Sciences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478</w:t>
      </w:r>
      <w:r w:rsidRPr="79E5FC17" w:rsidR="79E5FC17">
        <w:rPr>
          <w:rFonts w:ascii="Calibri" w:hAnsi="Calibri" w:eastAsia="Calibri" w:cs="Calibri"/>
          <w:noProof w:val="0"/>
          <w:color w:val="222222"/>
          <w:sz w:val="24"/>
          <w:szCs w:val="24"/>
          <w:lang w:val="en-US"/>
        </w:rPr>
        <w:t>, 606-626.</w:t>
      </w:r>
    </w:p>
    <w:p xmlns:wp14="http://schemas.microsoft.com/office/word/2010/wordml" w:rsidP="79E5FC17" w14:paraId="05650A16" wp14:textId="6AC06995">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2EAB4D5F" wp14:textId="7D23F054">
      <w:pPr>
        <w:spacing w:line="480" w:lineRule="auto"/>
        <w:ind w:left="720" w:hanging="720"/>
      </w:pPr>
      <w:r w:rsidRPr="79E5FC17" w:rsidR="79E5FC17">
        <w:rPr>
          <w:rFonts w:ascii="Calibri" w:hAnsi="Calibri" w:eastAsia="Calibri" w:cs="Calibri"/>
          <w:noProof w:val="0"/>
          <w:sz w:val="24"/>
          <w:szCs w:val="24"/>
          <w:lang w:val="en-US"/>
        </w:rPr>
        <w:t xml:space="preserve">Indeed, Editorial Team. (2021). </w:t>
      </w:r>
      <w:r w:rsidRPr="79E5FC17" w:rsidR="79E5FC17">
        <w:rPr>
          <w:rFonts w:ascii="Calibri" w:hAnsi="Calibri" w:eastAsia="Calibri" w:cs="Calibri"/>
          <w:i w:val="1"/>
          <w:iCs w:val="1"/>
          <w:noProof w:val="0"/>
          <w:sz w:val="24"/>
          <w:szCs w:val="24"/>
          <w:lang w:val="en-US"/>
        </w:rPr>
        <w:t>What Are the Characteristics of Successful Entrepreneurs?</w:t>
      </w:r>
      <w:r w:rsidRPr="79E5FC17" w:rsidR="79E5FC17">
        <w:rPr>
          <w:rFonts w:ascii="Calibri" w:hAnsi="Calibri" w:eastAsia="Calibri" w:cs="Calibri"/>
          <w:noProof w:val="0"/>
          <w:sz w:val="24"/>
          <w:szCs w:val="24"/>
          <w:lang w:val="en-US"/>
        </w:rPr>
        <w:t xml:space="preserve"> Indeed. Retrieved May 13, 2022, from </w:t>
      </w:r>
      <w:hyperlink r:id="Rba6f0149cc72426c">
        <w:r w:rsidRPr="79E5FC17" w:rsidR="79E5FC17">
          <w:rPr>
            <w:rStyle w:val="Hyperlink"/>
            <w:rFonts w:ascii="Calibri" w:hAnsi="Calibri" w:eastAsia="Calibri" w:cs="Calibri"/>
            <w:strike w:val="0"/>
            <w:dstrike w:val="0"/>
            <w:noProof w:val="0"/>
            <w:sz w:val="24"/>
            <w:szCs w:val="24"/>
            <w:lang w:val="en-US"/>
          </w:rPr>
          <w:t>https://uk.indeed.com/career-advice/career-development/characteristics-of-entrepreneurs.</w:t>
        </w:r>
      </w:hyperlink>
    </w:p>
    <w:p xmlns:wp14="http://schemas.microsoft.com/office/word/2010/wordml" w:rsidP="79E5FC17" w14:paraId="0757DBA3" wp14:textId="25E2BB37">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6040A09A" wp14:textId="188FC852">
      <w:pPr>
        <w:spacing w:line="480" w:lineRule="auto"/>
        <w:ind w:left="720" w:hanging="720"/>
      </w:pPr>
      <w:r w:rsidRPr="79E5FC17" w:rsidR="79E5FC17">
        <w:rPr>
          <w:rFonts w:ascii="Calibri" w:hAnsi="Calibri" w:eastAsia="Calibri" w:cs="Calibri"/>
          <w:noProof w:val="0"/>
          <w:color w:val="222222"/>
          <w:sz w:val="24"/>
          <w:szCs w:val="24"/>
          <w:lang w:val="en-US"/>
        </w:rPr>
        <w:t xml:space="preserve">Johannisson, B., Alexanderson, O., Nowicki, K., &amp; Senneseth, K. (1994). Beyond anarchy and organization: entrepreneurs in contextual networks. </w:t>
      </w:r>
      <w:r w:rsidRPr="79E5FC17" w:rsidR="79E5FC17">
        <w:rPr>
          <w:rFonts w:ascii="Calibri" w:hAnsi="Calibri" w:eastAsia="Calibri" w:cs="Calibri"/>
          <w:i w:val="1"/>
          <w:iCs w:val="1"/>
          <w:noProof w:val="0"/>
          <w:color w:val="222222"/>
          <w:sz w:val="24"/>
          <w:szCs w:val="24"/>
          <w:lang w:val="en-US"/>
        </w:rPr>
        <w:t>Entrepreneurship &amp; Regional Development</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6</w:t>
      </w:r>
      <w:r w:rsidRPr="79E5FC17" w:rsidR="79E5FC17">
        <w:rPr>
          <w:rFonts w:ascii="Calibri" w:hAnsi="Calibri" w:eastAsia="Calibri" w:cs="Calibri"/>
          <w:noProof w:val="0"/>
          <w:color w:val="222222"/>
          <w:sz w:val="24"/>
          <w:szCs w:val="24"/>
          <w:lang w:val="en-US"/>
        </w:rPr>
        <w:t>(4), 329-356.</w:t>
      </w:r>
    </w:p>
    <w:p xmlns:wp14="http://schemas.microsoft.com/office/word/2010/wordml" w:rsidP="79E5FC17" w14:paraId="23C483DA" wp14:textId="2D9B5FF1">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62E0B2A8" wp14:textId="4CEF9152">
      <w:pPr>
        <w:spacing w:line="480" w:lineRule="auto"/>
        <w:ind w:left="720" w:hanging="720"/>
      </w:pPr>
      <w:r w:rsidRPr="79E5FC17" w:rsidR="79E5FC17">
        <w:rPr>
          <w:rFonts w:ascii="Calibri" w:hAnsi="Calibri" w:eastAsia="Calibri" w:cs="Calibri"/>
          <w:noProof w:val="0"/>
          <w:color w:val="222222"/>
          <w:sz w:val="24"/>
          <w:szCs w:val="24"/>
          <w:lang w:val="en-US"/>
        </w:rPr>
        <w:t xml:space="preserve">Kozinets, R. V. (2006). Netnography. </w:t>
      </w:r>
      <w:r w:rsidRPr="79E5FC17" w:rsidR="79E5FC17">
        <w:rPr>
          <w:rFonts w:ascii="Calibri" w:hAnsi="Calibri" w:eastAsia="Calibri" w:cs="Calibri"/>
          <w:i w:val="1"/>
          <w:iCs w:val="1"/>
          <w:noProof w:val="0"/>
          <w:color w:val="222222"/>
          <w:sz w:val="24"/>
          <w:szCs w:val="24"/>
          <w:lang w:val="en-US"/>
        </w:rPr>
        <w:t>Handbook of qualitative research methods in marketing</w:t>
      </w:r>
      <w:r w:rsidRPr="79E5FC17" w:rsidR="79E5FC17">
        <w:rPr>
          <w:rFonts w:ascii="Calibri" w:hAnsi="Calibri" w:eastAsia="Calibri" w:cs="Calibri"/>
          <w:noProof w:val="0"/>
          <w:color w:val="222222"/>
          <w:sz w:val="24"/>
          <w:szCs w:val="24"/>
          <w:lang w:val="en-US"/>
        </w:rPr>
        <w:t>, 129-142.</w:t>
      </w:r>
    </w:p>
    <w:p xmlns:wp14="http://schemas.microsoft.com/office/word/2010/wordml" w:rsidP="79E5FC17" w14:paraId="15E6BF73" wp14:textId="7D346D5A">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1876A0DA" wp14:textId="5AAAFC59">
      <w:pPr>
        <w:spacing w:line="480" w:lineRule="auto"/>
        <w:ind w:left="720" w:hanging="720"/>
      </w:pPr>
      <w:r w:rsidRPr="79E5FC17" w:rsidR="79E5FC17">
        <w:rPr>
          <w:rFonts w:ascii="Calibri" w:hAnsi="Calibri" w:eastAsia="Calibri" w:cs="Calibri"/>
          <w:noProof w:val="0"/>
          <w:color w:val="222222"/>
          <w:sz w:val="24"/>
          <w:szCs w:val="24"/>
          <w:lang w:val="en-US"/>
        </w:rPr>
        <w:t xml:space="preserve">Krauss, S. E. (2005). Research paradigms and meaning making: A primer. </w:t>
      </w:r>
      <w:r w:rsidRPr="79E5FC17" w:rsidR="79E5FC17">
        <w:rPr>
          <w:rFonts w:ascii="Calibri" w:hAnsi="Calibri" w:eastAsia="Calibri" w:cs="Calibri"/>
          <w:i w:val="1"/>
          <w:iCs w:val="1"/>
          <w:noProof w:val="0"/>
          <w:color w:val="222222"/>
          <w:sz w:val="24"/>
          <w:szCs w:val="24"/>
          <w:lang w:val="en-US"/>
        </w:rPr>
        <w:t>The qualitative report</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10</w:t>
      </w:r>
      <w:r w:rsidRPr="79E5FC17" w:rsidR="79E5FC17">
        <w:rPr>
          <w:rFonts w:ascii="Calibri" w:hAnsi="Calibri" w:eastAsia="Calibri" w:cs="Calibri"/>
          <w:noProof w:val="0"/>
          <w:color w:val="222222"/>
          <w:sz w:val="24"/>
          <w:szCs w:val="24"/>
          <w:lang w:val="en-US"/>
        </w:rPr>
        <w:t>(4), 758-770.</w:t>
      </w:r>
    </w:p>
    <w:p xmlns:wp14="http://schemas.microsoft.com/office/word/2010/wordml" w:rsidP="79E5FC17" w14:paraId="7FCFDDA1" wp14:textId="51F2F9A8">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F325165" wp14:textId="15F42DCD">
      <w:pPr>
        <w:spacing w:line="480" w:lineRule="auto"/>
        <w:ind w:left="720" w:hanging="720"/>
      </w:pPr>
      <w:r w:rsidRPr="79E5FC17" w:rsidR="79E5FC17">
        <w:rPr>
          <w:rFonts w:ascii="Calibri" w:hAnsi="Calibri" w:eastAsia="Calibri" w:cs="Calibri"/>
          <w:noProof w:val="0"/>
          <w:color w:val="222222"/>
          <w:sz w:val="24"/>
          <w:szCs w:val="24"/>
          <w:lang w:val="en-US"/>
        </w:rPr>
        <w:t xml:space="preserve">Lewin, C. (2005). Elementary quantitative methods. </w:t>
      </w:r>
      <w:r w:rsidRPr="79E5FC17" w:rsidR="79E5FC17">
        <w:rPr>
          <w:rFonts w:ascii="Calibri" w:hAnsi="Calibri" w:eastAsia="Calibri" w:cs="Calibri"/>
          <w:i w:val="1"/>
          <w:iCs w:val="1"/>
          <w:noProof w:val="0"/>
          <w:color w:val="222222"/>
          <w:sz w:val="24"/>
          <w:szCs w:val="24"/>
          <w:lang w:val="en-US"/>
        </w:rPr>
        <w:t>Research methods in the social sciences</w:t>
      </w:r>
      <w:r w:rsidRPr="79E5FC17" w:rsidR="79E5FC17">
        <w:rPr>
          <w:rFonts w:ascii="Calibri" w:hAnsi="Calibri" w:eastAsia="Calibri" w:cs="Calibri"/>
          <w:noProof w:val="0"/>
          <w:color w:val="222222"/>
          <w:sz w:val="24"/>
          <w:szCs w:val="24"/>
          <w:lang w:val="en-US"/>
        </w:rPr>
        <w:t>, 215-225.</w:t>
      </w:r>
    </w:p>
    <w:p xmlns:wp14="http://schemas.microsoft.com/office/word/2010/wordml" w:rsidP="79E5FC17" w14:paraId="0607AC41" wp14:textId="4FCE5A57">
      <w:pPr>
        <w:spacing w:line="480" w:lineRule="auto"/>
        <w:ind w:left="720" w:hanging="720"/>
      </w:pPr>
      <w:r w:rsidRPr="79E5FC17" w:rsidR="79E5FC17">
        <w:rPr>
          <w:rFonts w:ascii="Calibri" w:hAnsi="Calibri" w:eastAsia="Calibri" w:cs="Calibri"/>
          <w:noProof w:val="0"/>
          <w:color w:val="000000" w:themeColor="text1" w:themeTint="FF" w:themeShade="FF"/>
          <w:sz w:val="24"/>
          <w:szCs w:val="24"/>
          <w:lang w:val="en-US"/>
        </w:rPr>
        <w:t xml:space="preserve"> </w:t>
      </w:r>
    </w:p>
    <w:p xmlns:wp14="http://schemas.microsoft.com/office/word/2010/wordml" w:rsidP="79E5FC17" w14:paraId="5CFD67A3" wp14:textId="7B3FE2C4">
      <w:pPr>
        <w:spacing w:line="480" w:lineRule="auto"/>
        <w:ind w:left="720" w:hanging="720"/>
      </w:pPr>
      <w:r w:rsidRPr="79E5FC17" w:rsidR="79E5FC17">
        <w:rPr>
          <w:rFonts w:ascii="Calibri" w:hAnsi="Calibri" w:eastAsia="Calibri" w:cs="Calibri"/>
          <w:noProof w:val="0"/>
          <w:color w:val="000000" w:themeColor="text1" w:themeTint="FF" w:themeShade="FF"/>
          <w:sz w:val="24"/>
          <w:szCs w:val="24"/>
          <w:lang w:val="en-US"/>
        </w:rPr>
        <w:t>Linan, F. (2008). Skill and value perceptions: how do they affect entrepreneurial intentions?. International entrepreneurship and management journal, 4(3), 257-272.</w:t>
      </w:r>
    </w:p>
    <w:p xmlns:wp14="http://schemas.microsoft.com/office/word/2010/wordml" w:rsidP="79E5FC17" w14:paraId="70A8D377" wp14:textId="2C5E113B">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B47C967" wp14:textId="378141CA">
      <w:pPr>
        <w:spacing w:line="480" w:lineRule="auto"/>
        <w:ind w:left="720" w:hanging="720"/>
      </w:pPr>
      <w:r w:rsidRPr="79E5FC17" w:rsidR="79E5FC17">
        <w:rPr>
          <w:rFonts w:ascii="Calibri" w:hAnsi="Calibri" w:eastAsia="Calibri" w:cs="Calibri"/>
          <w:noProof w:val="0"/>
          <w:color w:val="222222"/>
          <w:sz w:val="24"/>
          <w:szCs w:val="24"/>
          <w:lang w:val="en-US"/>
        </w:rPr>
        <w:t xml:space="preserve">McBride, R., Wuebker, R. J., &amp; Grant, J. (2013). The ontology of entrepreneurial opportunity. In </w:t>
      </w:r>
      <w:r w:rsidRPr="79E5FC17" w:rsidR="79E5FC17">
        <w:rPr>
          <w:rFonts w:ascii="Calibri" w:hAnsi="Calibri" w:eastAsia="Calibri" w:cs="Calibri"/>
          <w:i w:val="1"/>
          <w:iCs w:val="1"/>
          <w:noProof w:val="0"/>
          <w:color w:val="222222"/>
          <w:sz w:val="24"/>
          <w:szCs w:val="24"/>
          <w:lang w:val="en-US"/>
        </w:rPr>
        <w:t>Academy of Management Proceedings</w:t>
      </w:r>
      <w:r w:rsidRPr="79E5FC17" w:rsidR="79E5FC17">
        <w:rPr>
          <w:rFonts w:ascii="Calibri" w:hAnsi="Calibri" w:eastAsia="Calibri" w:cs="Calibri"/>
          <w:noProof w:val="0"/>
          <w:color w:val="222222"/>
          <w:sz w:val="24"/>
          <w:szCs w:val="24"/>
          <w:lang w:val="en-US"/>
        </w:rPr>
        <w:t xml:space="preserve"> (Vol. 2013, No. 1, p. 16582). Briarcliff Manor, NY 10510: Academy of Management.</w:t>
      </w:r>
    </w:p>
    <w:p xmlns:wp14="http://schemas.microsoft.com/office/word/2010/wordml" w:rsidP="79E5FC17" w14:paraId="5C692BAE" wp14:textId="3C7AA791">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1B167F34" wp14:textId="1E78865B">
      <w:pPr>
        <w:spacing w:line="480" w:lineRule="auto"/>
        <w:ind w:left="720" w:hanging="720"/>
      </w:pPr>
      <w:r w:rsidRPr="79E5FC17" w:rsidR="79E5FC17">
        <w:rPr>
          <w:rFonts w:ascii="Calibri" w:hAnsi="Calibri" w:eastAsia="Calibri" w:cs="Calibri"/>
          <w:noProof w:val="0"/>
          <w:color w:val="222222"/>
          <w:sz w:val="24"/>
          <w:szCs w:val="24"/>
          <w:lang w:val="en-US"/>
        </w:rPr>
        <w:t xml:space="preserve">Meyer, N., &amp; de Jongh, J. (2018). The importance of entrepreneurship as a contributing factor to economic growth and development: The case of selected European countries. </w:t>
      </w:r>
      <w:r w:rsidRPr="79E5FC17" w:rsidR="79E5FC17">
        <w:rPr>
          <w:rFonts w:ascii="Calibri" w:hAnsi="Calibri" w:eastAsia="Calibri" w:cs="Calibri"/>
          <w:i w:val="1"/>
          <w:iCs w:val="1"/>
          <w:noProof w:val="0"/>
          <w:color w:val="222222"/>
          <w:sz w:val="24"/>
          <w:szCs w:val="24"/>
          <w:lang w:val="en-US"/>
        </w:rPr>
        <w:t>Journal of Economics and Behavioral Studies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10</w:t>
      </w:r>
      <w:r w:rsidRPr="79E5FC17" w:rsidR="79E5FC17">
        <w:rPr>
          <w:rFonts w:ascii="Calibri" w:hAnsi="Calibri" w:eastAsia="Calibri" w:cs="Calibri"/>
          <w:noProof w:val="0"/>
          <w:color w:val="222222"/>
          <w:sz w:val="24"/>
          <w:szCs w:val="24"/>
          <w:lang w:val="en-US"/>
        </w:rPr>
        <w:t>(4 (J)), 287-299.</w:t>
      </w:r>
    </w:p>
    <w:p xmlns:wp14="http://schemas.microsoft.com/office/word/2010/wordml" w:rsidP="79E5FC17" w14:paraId="4F563940" wp14:textId="407338B7">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0C4B4FC" wp14:textId="2E93C4FD">
      <w:pPr>
        <w:spacing w:line="480" w:lineRule="auto"/>
        <w:ind w:left="720" w:hanging="720"/>
      </w:pPr>
      <w:r w:rsidRPr="79E5FC17" w:rsidR="79E5FC17">
        <w:rPr>
          <w:rFonts w:ascii="Calibri" w:hAnsi="Calibri" w:eastAsia="Calibri" w:cs="Calibri"/>
          <w:noProof w:val="0"/>
          <w:color w:val="222222"/>
          <w:sz w:val="24"/>
          <w:szCs w:val="24"/>
          <w:lang w:val="en-US"/>
        </w:rPr>
        <w:t xml:space="preserve">Milward, R., Popescu, G. H., Michalikova, K. F., Musova, Z., &amp; Machova, V. (2019). Sensing, smart, and sustainable technologies in Industry 4.0: Cyber-physical networks, machine data capturing systems, and digitized mass production. </w:t>
      </w:r>
      <w:r w:rsidRPr="79E5FC17" w:rsidR="79E5FC17">
        <w:rPr>
          <w:rFonts w:ascii="Calibri" w:hAnsi="Calibri" w:eastAsia="Calibri" w:cs="Calibri"/>
          <w:i w:val="1"/>
          <w:iCs w:val="1"/>
          <w:noProof w:val="0"/>
          <w:color w:val="222222"/>
          <w:sz w:val="24"/>
          <w:szCs w:val="24"/>
          <w:lang w:val="en-US"/>
        </w:rPr>
        <w:t>Economics, Management and Financial Markets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14</w:t>
      </w:r>
      <w:r w:rsidRPr="79E5FC17" w:rsidR="79E5FC17">
        <w:rPr>
          <w:rFonts w:ascii="Calibri" w:hAnsi="Calibri" w:eastAsia="Calibri" w:cs="Calibri"/>
          <w:noProof w:val="0"/>
          <w:color w:val="222222"/>
          <w:sz w:val="24"/>
          <w:szCs w:val="24"/>
          <w:lang w:val="en-US"/>
        </w:rPr>
        <w:t>(3), 37-43.</w:t>
      </w:r>
    </w:p>
    <w:p xmlns:wp14="http://schemas.microsoft.com/office/word/2010/wordml" w:rsidP="79E5FC17" w14:paraId="32142182" wp14:textId="28DA62A1">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29E5A957" wp14:textId="5073D2F4">
      <w:pPr>
        <w:spacing w:line="480" w:lineRule="auto"/>
        <w:ind w:left="720" w:hanging="720"/>
      </w:pPr>
      <w:r w:rsidRPr="79E5FC17" w:rsidR="79E5FC17">
        <w:rPr>
          <w:rFonts w:ascii="Calibri" w:hAnsi="Calibri" w:eastAsia="Calibri" w:cs="Calibri"/>
          <w:noProof w:val="0"/>
          <w:color w:val="222222"/>
          <w:sz w:val="24"/>
          <w:szCs w:val="24"/>
          <w:lang w:val="en-US"/>
        </w:rPr>
        <w:t xml:space="preserve">Minatogawa, V., Franco, M., Durán, O., Quadros, R., Holgado, M., &amp; Batocchio, A. (2020). Carving out new business models in a small company through contextual ambidexterity: The case of a sustainable company. </w:t>
      </w:r>
      <w:r w:rsidRPr="79E5FC17" w:rsidR="79E5FC17">
        <w:rPr>
          <w:rFonts w:ascii="Calibri" w:hAnsi="Calibri" w:eastAsia="Calibri" w:cs="Calibri"/>
          <w:i w:val="1"/>
          <w:iCs w:val="1"/>
          <w:noProof w:val="0"/>
          <w:color w:val="222222"/>
          <w:sz w:val="24"/>
          <w:szCs w:val="24"/>
          <w:lang w:val="en-US"/>
        </w:rPr>
        <w:t>Sustainability</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12</w:t>
      </w:r>
      <w:r w:rsidRPr="79E5FC17" w:rsidR="79E5FC17">
        <w:rPr>
          <w:rFonts w:ascii="Calibri" w:hAnsi="Calibri" w:eastAsia="Calibri" w:cs="Calibri"/>
          <w:noProof w:val="0"/>
          <w:color w:val="222222"/>
          <w:sz w:val="24"/>
          <w:szCs w:val="24"/>
          <w:lang w:val="en-US"/>
        </w:rPr>
        <w:t>(6), 2337.</w:t>
      </w:r>
    </w:p>
    <w:p xmlns:wp14="http://schemas.microsoft.com/office/word/2010/wordml" w:rsidP="79E5FC17" w14:paraId="76EFD01C" wp14:textId="43179935">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0F134FD6" wp14:textId="240ECB63">
      <w:pPr>
        <w:spacing w:line="480" w:lineRule="auto"/>
        <w:ind w:left="720" w:hanging="720"/>
      </w:pPr>
      <w:r w:rsidRPr="79E5FC17" w:rsidR="79E5FC17">
        <w:rPr>
          <w:rFonts w:ascii="Calibri" w:hAnsi="Calibri" w:eastAsia="Calibri" w:cs="Calibri"/>
          <w:noProof w:val="0"/>
          <w:color w:val="222222"/>
          <w:sz w:val="24"/>
          <w:szCs w:val="24"/>
          <w:lang w:val="en-US"/>
        </w:rPr>
        <w:t xml:space="preserve">Morgan, D. L. (2015). From themes to hypotheses: Following up with quantitative methods. </w:t>
      </w:r>
      <w:r w:rsidRPr="79E5FC17" w:rsidR="79E5FC17">
        <w:rPr>
          <w:rFonts w:ascii="Calibri" w:hAnsi="Calibri" w:eastAsia="Calibri" w:cs="Calibri"/>
          <w:i w:val="1"/>
          <w:iCs w:val="1"/>
          <w:noProof w:val="0"/>
          <w:color w:val="222222"/>
          <w:sz w:val="24"/>
          <w:szCs w:val="24"/>
          <w:lang w:val="en-US"/>
        </w:rPr>
        <w:t>Qualitative health research</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25</w:t>
      </w:r>
      <w:r w:rsidRPr="79E5FC17" w:rsidR="79E5FC17">
        <w:rPr>
          <w:rFonts w:ascii="Calibri" w:hAnsi="Calibri" w:eastAsia="Calibri" w:cs="Calibri"/>
          <w:noProof w:val="0"/>
          <w:color w:val="222222"/>
          <w:sz w:val="24"/>
          <w:szCs w:val="24"/>
          <w:lang w:val="en-US"/>
        </w:rPr>
        <w:t>(6), 789-793.</w:t>
      </w:r>
    </w:p>
    <w:p xmlns:wp14="http://schemas.microsoft.com/office/word/2010/wordml" w:rsidP="79E5FC17" w14:paraId="40FFFD72" wp14:textId="51643B07">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1FED7CD2" wp14:textId="6E0AE0DB">
      <w:pPr>
        <w:spacing w:line="480" w:lineRule="auto"/>
        <w:ind w:left="720" w:hanging="720"/>
      </w:pPr>
      <w:r w:rsidRPr="79E5FC17" w:rsidR="79E5FC17">
        <w:rPr>
          <w:rFonts w:ascii="Calibri" w:hAnsi="Calibri" w:eastAsia="Calibri" w:cs="Calibri"/>
          <w:noProof w:val="0"/>
          <w:sz w:val="24"/>
          <w:szCs w:val="24"/>
          <w:lang w:val="en-US"/>
        </w:rPr>
        <w:t xml:space="preserve">O’Gorman, K., &amp; MacIntosh, R. (2015, P. 59). </w:t>
      </w:r>
      <w:r w:rsidRPr="79E5FC17" w:rsidR="79E5FC17">
        <w:rPr>
          <w:rFonts w:ascii="Calibri" w:hAnsi="Calibri" w:eastAsia="Calibri" w:cs="Calibri"/>
          <w:i w:val="1"/>
          <w:iCs w:val="1"/>
          <w:noProof w:val="0"/>
          <w:sz w:val="24"/>
          <w:szCs w:val="24"/>
          <w:lang w:val="en-US"/>
        </w:rPr>
        <w:t>Research Methods for Business and Management: A Guide to Writing Your Dissertation</w:t>
      </w:r>
      <w:r w:rsidRPr="79E5FC17" w:rsidR="79E5FC17">
        <w:rPr>
          <w:rFonts w:ascii="Calibri" w:hAnsi="Calibri" w:eastAsia="Calibri" w:cs="Calibri"/>
          <w:noProof w:val="0"/>
          <w:sz w:val="24"/>
          <w:szCs w:val="24"/>
          <w:lang w:val="en-US"/>
        </w:rPr>
        <w:t xml:space="preserve"> (2nd Revised edition). Goodfellow Publishers Limited.</w:t>
      </w:r>
    </w:p>
    <w:p xmlns:wp14="http://schemas.microsoft.com/office/word/2010/wordml" w:rsidP="79E5FC17" w14:paraId="6E669290" wp14:textId="24DF652F">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36567334" wp14:textId="58CD5AF2">
      <w:pPr>
        <w:spacing w:line="480" w:lineRule="auto"/>
        <w:ind w:left="720" w:hanging="720"/>
      </w:pPr>
      <w:r w:rsidRPr="79E5FC17" w:rsidR="79E5FC17">
        <w:rPr>
          <w:rFonts w:ascii="Calibri" w:hAnsi="Calibri" w:eastAsia="Calibri" w:cs="Calibri"/>
          <w:noProof w:val="0"/>
          <w:color w:val="222222"/>
          <w:sz w:val="24"/>
          <w:szCs w:val="24"/>
          <w:lang w:val="en-US"/>
        </w:rPr>
        <w:t>Ogunlana, F. (2018). The role of entrepreneurship as the driver of economic growth.</w:t>
      </w:r>
    </w:p>
    <w:p xmlns:wp14="http://schemas.microsoft.com/office/word/2010/wordml" w:rsidP="79E5FC17" w14:paraId="00B817B0" wp14:textId="2AF16CFB">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5C9BAF3E" wp14:textId="7B0D5480">
      <w:pPr>
        <w:spacing w:line="480" w:lineRule="auto"/>
        <w:ind w:left="720" w:hanging="720"/>
      </w:pPr>
      <w:r w:rsidRPr="79E5FC17" w:rsidR="79E5FC17">
        <w:rPr>
          <w:rFonts w:ascii="Calibri" w:hAnsi="Calibri" w:eastAsia="Calibri" w:cs="Calibri"/>
          <w:noProof w:val="0"/>
          <w:sz w:val="24"/>
          <w:szCs w:val="24"/>
          <w:lang w:val="en-US"/>
        </w:rPr>
        <w:t xml:space="preserve">Oxford reference. (2022). </w:t>
      </w:r>
      <w:r w:rsidRPr="79E5FC17" w:rsidR="79E5FC17">
        <w:rPr>
          <w:rFonts w:ascii="Calibri" w:hAnsi="Calibri" w:eastAsia="Calibri" w:cs="Calibri"/>
          <w:i w:val="1"/>
          <w:iCs w:val="1"/>
          <w:noProof w:val="0"/>
          <w:sz w:val="24"/>
          <w:szCs w:val="24"/>
          <w:lang w:val="en-US"/>
        </w:rPr>
        <w:t>entrepreneur</w:t>
      </w:r>
      <w:r w:rsidRPr="79E5FC17" w:rsidR="79E5FC17">
        <w:rPr>
          <w:rFonts w:ascii="Calibri" w:hAnsi="Calibri" w:eastAsia="Calibri" w:cs="Calibri"/>
          <w:noProof w:val="0"/>
          <w:sz w:val="24"/>
          <w:szCs w:val="24"/>
          <w:lang w:val="en-US"/>
        </w:rPr>
        <w:t xml:space="preserve">. Retrieved April 20, 2022, from </w:t>
      </w:r>
      <w:hyperlink w:anchor=":~:text=An%20individual%20who%20undertakes%20(from,risks%20associated%20with%20the%20investment" r:id="R57833716d79944d3">
        <w:r w:rsidRPr="79E5FC17" w:rsidR="79E5FC17">
          <w:rPr>
            <w:rStyle w:val="Hyperlink"/>
            <w:rFonts w:ascii="Calibri" w:hAnsi="Calibri" w:eastAsia="Calibri" w:cs="Calibri"/>
            <w:strike w:val="0"/>
            <w:dstrike w:val="0"/>
            <w:noProof w:val="0"/>
            <w:sz w:val="24"/>
            <w:szCs w:val="24"/>
            <w:lang w:val="en-US"/>
          </w:rPr>
          <w:t>https://www.oxfordreference.com/view/10.1093/oi/authority.20110803095753147#:~:text=An%20individual%20who%20undertakes%20(from,risks%20associated%20with%20the%20investment</w:t>
        </w:r>
      </w:hyperlink>
      <w:r w:rsidRPr="79E5FC17" w:rsidR="79E5FC17">
        <w:rPr>
          <w:rFonts w:ascii="Calibri" w:hAnsi="Calibri" w:eastAsia="Calibri" w:cs="Calibri"/>
          <w:noProof w:val="0"/>
          <w:sz w:val="24"/>
          <w:szCs w:val="24"/>
          <w:lang w:val="en-US"/>
        </w:rPr>
        <w:t>.</w:t>
      </w:r>
    </w:p>
    <w:p xmlns:wp14="http://schemas.microsoft.com/office/word/2010/wordml" w:rsidP="79E5FC17" w14:paraId="58CDD599" wp14:textId="16CE8619">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10788414" wp14:textId="0E8D55B2">
      <w:pPr>
        <w:spacing w:line="480" w:lineRule="auto"/>
        <w:ind w:left="720" w:hanging="720"/>
      </w:pPr>
      <w:r w:rsidRPr="79E5FC17" w:rsidR="79E5FC17">
        <w:rPr>
          <w:rFonts w:ascii="Calibri" w:hAnsi="Calibri" w:eastAsia="Calibri" w:cs="Calibri"/>
          <w:noProof w:val="0"/>
          <w:color w:val="222222"/>
          <w:sz w:val="24"/>
          <w:szCs w:val="24"/>
          <w:lang w:val="en-US"/>
        </w:rPr>
        <w:t xml:space="preserve">Ramoglou, S., &amp; Tsang, E. W. (2016). A realist perspective of entrepreneurship: Opportunities as propensities. </w:t>
      </w:r>
      <w:r w:rsidRPr="79E5FC17" w:rsidR="79E5FC17">
        <w:rPr>
          <w:rFonts w:ascii="Calibri" w:hAnsi="Calibri" w:eastAsia="Calibri" w:cs="Calibri"/>
          <w:i w:val="1"/>
          <w:iCs w:val="1"/>
          <w:noProof w:val="0"/>
          <w:color w:val="222222"/>
          <w:sz w:val="24"/>
          <w:szCs w:val="24"/>
          <w:lang w:val="en-US"/>
        </w:rPr>
        <w:t>Academy of Management Review</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41</w:t>
      </w:r>
      <w:r w:rsidRPr="79E5FC17" w:rsidR="79E5FC17">
        <w:rPr>
          <w:rFonts w:ascii="Calibri" w:hAnsi="Calibri" w:eastAsia="Calibri" w:cs="Calibri"/>
          <w:noProof w:val="0"/>
          <w:color w:val="222222"/>
          <w:sz w:val="24"/>
          <w:szCs w:val="24"/>
          <w:lang w:val="en-US"/>
        </w:rPr>
        <w:t>(3), 410-434.</w:t>
      </w:r>
    </w:p>
    <w:p xmlns:wp14="http://schemas.microsoft.com/office/word/2010/wordml" w:rsidP="79E5FC17" w14:paraId="50441FD4" wp14:textId="50AE0E62">
      <w:pPr>
        <w:spacing w:line="480" w:lineRule="auto"/>
        <w:ind w:left="720" w:hanging="720"/>
      </w:pPr>
      <w:r w:rsidRPr="79E5FC17" w:rsidR="79E5FC17">
        <w:rPr>
          <w:rFonts w:ascii="Calibri" w:hAnsi="Calibri" w:eastAsia="Calibri" w:cs="Calibri"/>
          <w:noProof w:val="0"/>
          <w:color w:val="767171" w:themeColor="background2" w:themeTint="FF" w:themeShade="80"/>
          <w:sz w:val="24"/>
          <w:szCs w:val="24"/>
          <w:lang w:val="en-US"/>
        </w:rPr>
        <w:t xml:space="preserve"> </w:t>
      </w:r>
    </w:p>
    <w:p xmlns:wp14="http://schemas.microsoft.com/office/word/2010/wordml" w:rsidP="79E5FC17" w14:paraId="4CB48778" wp14:textId="73D8B763">
      <w:pPr>
        <w:spacing w:line="480" w:lineRule="auto"/>
        <w:ind w:left="720" w:hanging="720"/>
      </w:pPr>
      <w:r w:rsidRPr="79E5FC17" w:rsidR="79E5FC17">
        <w:rPr>
          <w:rFonts w:ascii="Calibri" w:hAnsi="Calibri" w:eastAsia="Calibri" w:cs="Calibri"/>
          <w:noProof w:val="0"/>
          <w:color w:val="222222"/>
          <w:sz w:val="24"/>
          <w:szCs w:val="24"/>
          <w:lang w:val="en-US"/>
        </w:rPr>
        <w:t xml:space="preserve">Roche, C. (2003). Ontology: a survey. </w:t>
      </w:r>
      <w:r w:rsidRPr="79E5FC17" w:rsidR="79E5FC17">
        <w:rPr>
          <w:rFonts w:ascii="Calibri" w:hAnsi="Calibri" w:eastAsia="Calibri" w:cs="Calibri"/>
          <w:i w:val="1"/>
          <w:iCs w:val="1"/>
          <w:noProof w:val="0"/>
          <w:color w:val="222222"/>
          <w:sz w:val="24"/>
          <w:szCs w:val="24"/>
          <w:lang w:val="en-US"/>
        </w:rPr>
        <w:t>IFAC Proceedings Volumes</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36</w:t>
      </w:r>
      <w:r w:rsidRPr="79E5FC17" w:rsidR="79E5FC17">
        <w:rPr>
          <w:rFonts w:ascii="Calibri" w:hAnsi="Calibri" w:eastAsia="Calibri" w:cs="Calibri"/>
          <w:noProof w:val="0"/>
          <w:color w:val="222222"/>
          <w:sz w:val="24"/>
          <w:szCs w:val="24"/>
          <w:lang w:val="en-US"/>
        </w:rPr>
        <w:t>(22), 187-192.</w:t>
      </w:r>
    </w:p>
    <w:p xmlns:wp14="http://schemas.microsoft.com/office/word/2010/wordml" w:rsidP="79E5FC17" w14:paraId="05BE0CBE" wp14:textId="0DBF4085">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448155EF" wp14:textId="146BE087">
      <w:pPr>
        <w:spacing w:line="480" w:lineRule="auto"/>
        <w:ind w:left="720" w:hanging="720"/>
      </w:pPr>
      <w:r w:rsidRPr="79E5FC17" w:rsidR="79E5FC17">
        <w:rPr>
          <w:rFonts w:ascii="Calibri" w:hAnsi="Calibri" w:eastAsia="Calibri" w:cs="Calibri"/>
          <w:noProof w:val="0"/>
          <w:color w:val="222222"/>
          <w:sz w:val="24"/>
          <w:szCs w:val="24"/>
          <w:lang w:val="en-US"/>
        </w:rPr>
        <w:t xml:space="preserve">Ryan, G. (2018). Introduction to positivism, interpretivism and critical theory. </w:t>
      </w:r>
      <w:r w:rsidRPr="79E5FC17" w:rsidR="79E5FC17">
        <w:rPr>
          <w:rFonts w:ascii="Calibri" w:hAnsi="Calibri" w:eastAsia="Calibri" w:cs="Calibri"/>
          <w:i w:val="1"/>
          <w:iCs w:val="1"/>
          <w:noProof w:val="0"/>
          <w:color w:val="222222"/>
          <w:sz w:val="24"/>
          <w:szCs w:val="24"/>
          <w:lang w:val="en-US"/>
        </w:rPr>
        <w:t>Nurse researcher</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25</w:t>
      </w:r>
      <w:r w:rsidRPr="79E5FC17" w:rsidR="79E5FC17">
        <w:rPr>
          <w:rFonts w:ascii="Calibri" w:hAnsi="Calibri" w:eastAsia="Calibri" w:cs="Calibri"/>
          <w:noProof w:val="0"/>
          <w:color w:val="222222"/>
          <w:sz w:val="24"/>
          <w:szCs w:val="24"/>
          <w:lang w:val="en-US"/>
        </w:rPr>
        <w:t>(4), 41-49.</w:t>
      </w:r>
    </w:p>
    <w:p xmlns:wp14="http://schemas.microsoft.com/office/word/2010/wordml" w:rsidP="79E5FC17" w14:paraId="04E1FBFC" wp14:textId="4B5C8F07">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09EB4818" wp14:textId="09D8E62F">
      <w:pPr>
        <w:spacing w:line="480" w:lineRule="auto"/>
        <w:ind w:left="720" w:hanging="720"/>
      </w:pPr>
      <w:r w:rsidRPr="79E5FC17" w:rsidR="79E5FC17">
        <w:rPr>
          <w:rFonts w:ascii="Calibri" w:hAnsi="Calibri" w:eastAsia="Calibri" w:cs="Calibri"/>
          <w:noProof w:val="0"/>
          <w:color w:val="222222"/>
          <w:sz w:val="24"/>
          <w:szCs w:val="24"/>
          <w:lang w:val="en-US"/>
        </w:rPr>
        <w:t xml:space="preserve">Stoica, O., Roman, A., &amp; Rusu, V. D. (2020). The nexus between entrepreneurship and economic growth: A comparative analysis on groups of countries. </w:t>
      </w:r>
      <w:r w:rsidRPr="79E5FC17" w:rsidR="79E5FC17">
        <w:rPr>
          <w:rFonts w:ascii="Calibri" w:hAnsi="Calibri" w:eastAsia="Calibri" w:cs="Calibri"/>
          <w:i w:val="1"/>
          <w:iCs w:val="1"/>
          <w:noProof w:val="0"/>
          <w:color w:val="222222"/>
          <w:sz w:val="24"/>
          <w:szCs w:val="24"/>
          <w:lang w:val="en-US"/>
        </w:rPr>
        <w:t>Sustainability</w:t>
      </w:r>
      <w:r w:rsidRPr="79E5FC17" w:rsidR="79E5FC17">
        <w:rPr>
          <w:rFonts w:ascii="Calibri" w:hAnsi="Calibri" w:eastAsia="Calibri" w:cs="Calibri"/>
          <w:noProof w:val="0"/>
          <w:color w:val="222222"/>
          <w:sz w:val="24"/>
          <w:szCs w:val="24"/>
          <w:lang w:val="en-US"/>
        </w:rPr>
        <w:t xml:space="preserve">, </w:t>
      </w:r>
      <w:r w:rsidRPr="79E5FC17" w:rsidR="79E5FC17">
        <w:rPr>
          <w:rFonts w:ascii="Calibri" w:hAnsi="Calibri" w:eastAsia="Calibri" w:cs="Calibri"/>
          <w:i w:val="1"/>
          <w:iCs w:val="1"/>
          <w:noProof w:val="0"/>
          <w:color w:val="222222"/>
          <w:sz w:val="24"/>
          <w:szCs w:val="24"/>
          <w:lang w:val="en-US"/>
        </w:rPr>
        <w:t>12</w:t>
      </w:r>
      <w:r w:rsidRPr="79E5FC17" w:rsidR="79E5FC17">
        <w:rPr>
          <w:rFonts w:ascii="Calibri" w:hAnsi="Calibri" w:eastAsia="Calibri" w:cs="Calibri"/>
          <w:noProof w:val="0"/>
          <w:color w:val="222222"/>
          <w:sz w:val="24"/>
          <w:szCs w:val="24"/>
          <w:lang w:val="en-US"/>
        </w:rPr>
        <w:t>(3), 1186.</w:t>
      </w:r>
    </w:p>
    <w:p xmlns:wp14="http://schemas.microsoft.com/office/word/2010/wordml" w:rsidP="79E5FC17" w14:paraId="3E6B5305" wp14:textId="4DDE10E6">
      <w:pPr>
        <w:spacing w:line="480" w:lineRule="auto"/>
        <w:ind w:left="720" w:hanging="720"/>
      </w:pPr>
      <w:r w:rsidRPr="79E5FC17" w:rsidR="79E5FC17">
        <w:rPr>
          <w:rFonts w:ascii="Calibri" w:hAnsi="Calibri" w:eastAsia="Calibri" w:cs="Calibri"/>
          <w:noProof w:val="0"/>
          <w:color w:val="222222"/>
          <w:sz w:val="24"/>
          <w:szCs w:val="24"/>
          <w:lang w:val="en-US"/>
        </w:rPr>
        <w:t xml:space="preserve"> </w:t>
      </w:r>
    </w:p>
    <w:p xmlns:wp14="http://schemas.microsoft.com/office/word/2010/wordml" w:rsidP="79E5FC17" w14:paraId="0B6E3A06" wp14:textId="1289FA86">
      <w:pPr>
        <w:spacing w:line="480" w:lineRule="auto"/>
        <w:ind w:left="720" w:hanging="720"/>
      </w:pPr>
      <w:r w:rsidRPr="79E5FC17" w:rsidR="79E5FC17">
        <w:rPr>
          <w:rFonts w:ascii="Calibri" w:hAnsi="Calibri" w:eastAsia="Calibri" w:cs="Calibri"/>
          <w:noProof w:val="0"/>
          <w:sz w:val="24"/>
          <w:szCs w:val="24"/>
          <w:lang w:val="en-US"/>
        </w:rPr>
        <w:t xml:space="preserve">University of Wales Trinity Saint David. (2022 (UWTSD). </w:t>
      </w:r>
      <w:r w:rsidRPr="79E5FC17" w:rsidR="79E5FC17">
        <w:rPr>
          <w:rFonts w:ascii="Calibri" w:hAnsi="Calibri" w:eastAsia="Calibri" w:cs="Calibri"/>
          <w:i w:val="1"/>
          <w:iCs w:val="1"/>
          <w:noProof w:val="0"/>
          <w:sz w:val="24"/>
          <w:szCs w:val="24"/>
          <w:lang w:val="en-US"/>
        </w:rPr>
        <w:t>Research Integrity &amp; Ethics</w:t>
      </w:r>
      <w:r w:rsidRPr="79E5FC17" w:rsidR="79E5FC17">
        <w:rPr>
          <w:rFonts w:ascii="Calibri" w:hAnsi="Calibri" w:eastAsia="Calibri" w:cs="Calibri"/>
          <w:noProof w:val="0"/>
          <w:sz w:val="24"/>
          <w:szCs w:val="24"/>
          <w:lang w:val="en-US"/>
        </w:rPr>
        <w:t xml:space="preserve">. UWTSD. Retrieved May 13, 2022, from </w:t>
      </w:r>
      <w:hyperlink r:id="R79df64def5eb4df2">
        <w:r w:rsidRPr="79E5FC17" w:rsidR="79E5FC17">
          <w:rPr>
            <w:rStyle w:val="Hyperlink"/>
            <w:rFonts w:ascii="Calibri" w:hAnsi="Calibri" w:eastAsia="Calibri" w:cs="Calibri"/>
            <w:strike w:val="0"/>
            <w:dstrike w:val="0"/>
            <w:noProof w:val="0"/>
            <w:sz w:val="24"/>
            <w:szCs w:val="24"/>
            <w:lang w:val="en-US"/>
          </w:rPr>
          <w:t>https://www.uwtsd.ac.uk/research/research-ethics/</w:t>
        </w:r>
      </w:hyperlink>
    </w:p>
    <w:p xmlns:wp14="http://schemas.microsoft.com/office/word/2010/wordml" w:rsidP="79E5FC17" w14:paraId="501D61AA" wp14:textId="1F44E0A5">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77F13B07" wp14:textId="4024564A">
      <w:pPr>
        <w:spacing w:line="480" w:lineRule="auto"/>
        <w:ind w:left="720" w:hanging="720"/>
      </w:pPr>
      <w:r w:rsidRPr="79E5FC17" w:rsidR="79E5FC17">
        <w:rPr>
          <w:rFonts w:ascii="Calibri" w:hAnsi="Calibri" w:eastAsia="Calibri" w:cs="Calibri"/>
          <w:noProof w:val="0"/>
          <w:color w:val="222222"/>
          <w:sz w:val="24"/>
          <w:szCs w:val="24"/>
          <w:lang w:val="en-US"/>
        </w:rPr>
        <w:t xml:space="preserve">Wooditch, A., Johnson, N. J., Solymosi, R., Medina Ariza, J., &amp; Langton, S. (2021). Chi-Square and Contingency Tables. In </w:t>
      </w:r>
      <w:r w:rsidRPr="79E5FC17" w:rsidR="79E5FC17">
        <w:rPr>
          <w:rFonts w:ascii="Calibri" w:hAnsi="Calibri" w:eastAsia="Calibri" w:cs="Calibri"/>
          <w:i w:val="1"/>
          <w:iCs w:val="1"/>
          <w:noProof w:val="0"/>
          <w:color w:val="222222"/>
          <w:sz w:val="24"/>
          <w:szCs w:val="24"/>
          <w:lang w:val="en-US"/>
        </w:rPr>
        <w:t>A Beginner’s Guide to Statistics for Criminology and Criminal Justice Using R</w:t>
      </w:r>
      <w:r w:rsidRPr="79E5FC17" w:rsidR="79E5FC17">
        <w:rPr>
          <w:rFonts w:ascii="Calibri" w:hAnsi="Calibri" w:eastAsia="Calibri" w:cs="Calibri"/>
          <w:noProof w:val="0"/>
          <w:color w:val="222222"/>
          <w:sz w:val="24"/>
          <w:szCs w:val="24"/>
          <w:lang w:val="en-US"/>
        </w:rPr>
        <w:t xml:space="preserve"> (pp. 135-153). Springer, Cham.</w:t>
      </w:r>
    </w:p>
    <w:p xmlns:wp14="http://schemas.microsoft.com/office/word/2010/wordml" w:rsidP="79E5FC17" w14:paraId="21EE874E" wp14:textId="7D8EE529">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417663BF" wp14:textId="7C60C5BC">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3957F22C" wp14:textId="667EEA96">
      <w:pPr>
        <w:spacing w:line="480" w:lineRule="auto"/>
        <w:ind w:left="720" w:hanging="720"/>
      </w:pPr>
      <w:r w:rsidRPr="79E5FC17" w:rsidR="79E5FC17">
        <w:rPr>
          <w:rFonts w:ascii="Calibri" w:hAnsi="Calibri" w:eastAsia="Calibri" w:cs="Calibri"/>
          <w:noProof w:val="0"/>
          <w:sz w:val="24"/>
          <w:szCs w:val="24"/>
          <w:lang w:val="en-US"/>
        </w:rPr>
        <w:t xml:space="preserve"> </w:t>
      </w:r>
    </w:p>
    <w:p xmlns:wp14="http://schemas.microsoft.com/office/word/2010/wordml" w:rsidP="79E5FC17" w14:paraId="62A8BDC9" wp14:textId="75056C6F">
      <w:pPr>
        <w:spacing w:line="257" w:lineRule="auto"/>
        <w:rPr>
          <w:rFonts w:ascii="Calibri" w:hAnsi="Calibri" w:eastAsia="Calibri" w:cs="Calibri"/>
          <w:noProof w:val="0"/>
          <w:sz w:val="22"/>
          <w:szCs w:val="22"/>
          <w:lang w:val="en-US"/>
        </w:rPr>
      </w:pPr>
    </w:p>
    <w:p xmlns:wp14="http://schemas.microsoft.com/office/word/2010/wordml" w:rsidP="79E5FC17" w14:paraId="2C078E63" wp14:textId="064BF64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569FF"/>
    <w:rsid w:val="3D0569FF"/>
    <w:rsid w:val="5F4E5B71"/>
    <w:rsid w:val="79E5FC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569FF"/>
  <w15:chartTrackingRefBased/>
  <w15:docId w15:val="{088BD21B-F25C-4677-8C20-486D8FAF7A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3523c7c0f5884dc1"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ad047ab7bf96419b"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8ca3adf0d0a5478e"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d43bfd90a136484a"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69d53b1c1b1e496b"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b3b2089c9ddc439e"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0a9f2cd424a94aff"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3e02fdecd8574e01"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2a12d03d78844f8c"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cb98b3099e82409e"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eaee52fb708a4af1"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37e98e1cad4d4449"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948410cf20bf41ea"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105a05bfd4a84fcf" /><Relationship Type="http://schemas.openxmlformats.org/officeDocument/2006/relationships/hyperlink" Target="https://ukc-word-edit.officeapps.live.com/we/wordeditorframe.aspx?new=1&amp;ui=en%2DUS&amp;rs=en%2DUS&amp;wdorigin=OFFICECOM-WEB.START.NEW-INSTANT&amp;wdenableroaming=1&amp;wdfr=1&amp;mscc=1&amp;wdodb=1&amp;hid=79553FA0-3092-4000-2FA8-F93B0E1599B4&amp;wopisrc=https%3A%2F%2Fuowtsd-my.sharepoint.com%2Fpersonal%2F2009194_student_uwtsd_ac_uk%2F_vti_bin%2Fwopi.ashx%2Ffiles%2F16b8aeec8809475484c8d894a83a09c1&amp;wdhostclicktime=1653078670933&amp;jsapi=1&amp;jsapiver=v1&amp;newsession=1&amp;corrid=811a1f98-13e4-4bbd-9ef7-bc5885129914&amp;usid=811a1f98-13e4-4bbd-9ef7-bc5885129914&amp;sftc=1&amp;cac=1&amp;mtf=1&amp;sfp=1&amp;wdredirectionreason=Unified_SingleFlush&amp;rct=Medium&amp;ctp=LeastProtected" TargetMode="External" Id="Rd3d1ec4b9cbe44f7" /><Relationship Type="http://schemas.openxmlformats.org/officeDocument/2006/relationships/hyperlink" Target="https://www.monster.com/career-advice/article/entrepreneur-traits." TargetMode="External" Id="R110a7803745144e5" /><Relationship Type="http://schemas.openxmlformats.org/officeDocument/2006/relationships/hyperlink" Target="https://uk.indeed.com/career-advice/career-development/characteristics-of-entrepreneurs." TargetMode="External" Id="Rba6f0149cc72426c" /><Relationship Type="http://schemas.openxmlformats.org/officeDocument/2006/relationships/hyperlink" Target="https://www.oxfordreference.com/view/10.1093/oi/authority.20110803095753147" TargetMode="External" Id="R57833716d79944d3" /><Relationship Type="http://schemas.openxmlformats.org/officeDocument/2006/relationships/hyperlink" Target="https://www.uwtsd.ac.uk/research/research-ethics/" TargetMode="External" Id="R79df64def5eb4d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2022-05-20T20:31:12.3007393Z</dcterms:created>
  <dcterms:modified xsi:type="dcterms:W3CDTF">2022-05-20T20:34:19.5860865Z</dcterms:modified>
  <dc:creator>Christine Joy (2009194)</dc:creator>
  <lastModifiedBy>Christine Joy (2009194)</lastModifiedBy>
</coreProperties>
</file>