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6609" w:rsidRPr="007A48DE" w:rsidRDefault="007C4D98" w:rsidP="00437FFD">
      <w:pPr>
        <w:spacing w:line="480" w:lineRule="auto"/>
        <w:jc w:val="both"/>
        <w:rPr>
          <w:b/>
        </w:rPr>
      </w:pPr>
      <w:r w:rsidRPr="007A48DE">
        <w:rPr>
          <w:b/>
        </w:rPr>
        <w:t>Analyse the following extract from Hammurabi’s Law Code. Consider what this text might tell us about the society in which it was created. You should consider the wider social, historical and archaeological context of the text: how was this text used, what was its message an</w:t>
      </w:r>
      <w:r w:rsidR="00AB6609" w:rsidRPr="007A48DE">
        <w:rPr>
          <w:b/>
        </w:rPr>
        <w:t xml:space="preserve">d who was its intended audience? </w:t>
      </w:r>
    </w:p>
    <w:p w:rsidR="007149CE" w:rsidRDefault="007149CE" w:rsidP="00437FFD">
      <w:pPr>
        <w:spacing w:line="480" w:lineRule="auto"/>
        <w:jc w:val="both"/>
      </w:pPr>
    </w:p>
    <w:p w:rsidR="000639DA" w:rsidRDefault="00AB6609" w:rsidP="00437FFD">
      <w:pPr>
        <w:spacing w:line="480" w:lineRule="auto"/>
        <w:jc w:val="both"/>
      </w:pPr>
      <w:r>
        <w:t>The physical manifestation of the Law Code of Ham</w:t>
      </w:r>
      <w:r w:rsidR="0081765B">
        <w:t>murabi was</w:t>
      </w:r>
      <w:r>
        <w:t xml:space="preserve"> </w:t>
      </w:r>
      <w:r w:rsidR="00206147">
        <w:t xml:space="preserve">excavated </w:t>
      </w:r>
      <w:r w:rsidR="0081765B">
        <w:t>in Susa, made of black basalt stone</w:t>
      </w:r>
      <w:r w:rsidR="0019117A">
        <w:t xml:space="preserve"> stele</w:t>
      </w:r>
      <w:r w:rsidR="00206147">
        <w:t xml:space="preserve"> of cruciform script</w:t>
      </w:r>
      <w:r w:rsidR="0081765B">
        <w:rPr>
          <w:rStyle w:val="FootnoteReference"/>
        </w:rPr>
        <w:footnoteReference w:id="1"/>
      </w:r>
      <w:r>
        <w:t xml:space="preserve">reaching </w:t>
      </w:r>
      <w:r w:rsidR="0081765B">
        <w:t>7ft in height</w:t>
      </w:r>
      <w:r w:rsidR="00CE3816">
        <w:t>.</w:t>
      </w:r>
      <w:r>
        <w:rPr>
          <w:rStyle w:val="FootnoteReference"/>
        </w:rPr>
        <w:footnoteReference w:id="2"/>
      </w:r>
      <w:r>
        <w:t xml:space="preserve"> </w:t>
      </w:r>
      <w:r w:rsidR="00F8760C">
        <w:t>T</w:t>
      </w:r>
      <w:r w:rsidR="00206147">
        <w:t>he deciphered list contains an extensive list of guidelines, laws</w:t>
      </w:r>
      <w:r w:rsidR="00CE3816">
        <w:t xml:space="preserve"> and codes </w:t>
      </w:r>
      <w:r w:rsidR="00206147">
        <w:t>which date back to the Babylonian King Hammurabi</w:t>
      </w:r>
      <w:r w:rsidR="00206147">
        <w:rPr>
          <w:rStyle w:val="FootnoteReference"/>
        </w:rPr>
        <w:footnoteReference w:id="3"/>
      </w:r>
      <w:r w:rsidR="00CE3816">
        <w:t>. W</w:t>
      </w:r>
      <w:r w:rsidR="00206147">
        <w:t xml:space="preserve">ith </w:t>
      </w:r>
      <w:r w:rsidR="0019117A">
        <w:t>182 codes written upon the stele</w:t>
      </w:r>
      <w:r w:rsidR="00206147">
        <w:t xml:space="preserve"> the code itself was written in the Akkadian language </w:t>
      </w:r>
      <w:r w:rsidR="00CE3816">
        <w:t xml:space="preserve">when </w:t>
      </w:r>
      <w:r w:rsidR="00206147">
        <w:t>excavated in 1901, and a full translation of the law code</w:t>
      </w:r>
      <w:r w:rsidR="00CE3816">
        <w:t xml:space="preserve"> was</w:t>
      </w:r>
      <w:r w:rsidR="00206147">
        <w:t xml:space="preserve"> released and published by 1902.</w:t>
      </w:r>
      <w:r w:rsidR="00206147">
        <w:rPr>
          <w:rStyle w:val="FootnoteReference"/>
        </w:rPr>
        <w:footnoteReference w:id="4"/>
      </w:r>
      <w:r w:rsidR="00206147">
        <w:t xml:space="preserve"> But, what exactly is the Law Code? Hammurabi’s Law Code seems to be made up of a composition of various laws, codes, reforms and guidelines</w:t>
      </w:r>
      <w:r w:rsidR="0050558B">
        <w:rPr>
          <w:rStyle w:val="FootnoteReference"/>
        </w:rPr>
        <w:footnoteReference w:id="5"/>
      </w:r>
      <w:r w:rsidR="0050558B">
        <w:t xml:space="preserve"> that amount to one of the longest and most com</w:t>
      </w:r>
      <w:r w:rsidR="0033727E">
        <w:t>plete works of written law code</w:t>
      </w:r>
      <w:r w:rsidR="0050558B">
        <w:t xml:space="preserve"> that date back to the 17</w:t>
      </w:r>
      <w:r w:rsidR="0050558B" w:rsidRPr="0050558B">
        <w:rPr>
          <w:vertAlign w:val="superscript"/>
        </w:rPr>
        <w:t>th</w:t>
      </w:r>
      <w:r w:rsidR="0050558B">
        <w:t xml:space="preserve"> Century BC</w:t>
      </w:r>
      <w:r w:rsidR="0081765B">
        <w:t xml:space="preserve"> (1760 BCE)</w:t>
      </w:r>
      <w:r w:rsidR="0050558B">
        <w:rPr>
          <w:rStyle w:val="FootnoteReference"/>
        </w:rPr>
        <w:footnoteReference w:id="6"/>
      </w:r>
      <w:r w:rsidR="0033727E">
        <w:t>.</w:t>
      </w:r>
      <w:r w:rsidR="0081765B">
        <w:t xml:space="preserve"> </w:t>
      </w:r>
      <w:r w:rsidR="0033727E">
        <w:t xml:space="preserve">It is the </w:t>
      </w:r>
      <w:r w:rsidR="0081765B">
        <w:t>oldest most complete set of l</w:t>
      </w:r>
      <w:r w:rsidR="0033727E">
        <w:t xml:space="preserve">aws pre-Roman, in fact the </w:t>
      </w:r>
      <w:r w:rsidR="0019117A" w:rsidRPr="002C4035">
        <w:t>stele</w:t>
      </w:r>
      <w:r w:rsidR="0081765B" w:rsidRPr="002C4035">
        <w:t xml:space="preserve"> is</w:t>
      </w:r>
      <w:r w:rsidR="0081765B">
        <w:t xml:space="preserve"> where we get the </w:t>
      </w:r>
      <w:r w:rsidR="0033727E">
        <w:t xml:space="preserve">phrase </w:t>
      </w:r>
      <w:r w:rsidR="0081765B">
        <w:t>“</w:t>
      </w:r>
      <w:r w:rsidR="0033727E">
        <w:t xml:space="preserve">an </w:t>
      </w:r>
      <w:r w:rsidR="0081765B">
        <w:t xml:space="preserve">eye for an eye, </w:t>
      </w:r>
      <w:r w:rsidR="0033727E">
        <w:t xml:space="preserve">and a </w:t>
      </w:r>
      <w:r w:rsidR="0081765B">
        <w:t>tooth for a tooth”</w:t>
      </w:r>
      <w:r w:rsidR="0033727E">
        <w:t xml:space="preserve"> set of laws</w:t>
      </w:r>
      <w:r w:rsidR="0081765B">
        <w:t>.</w:t>
      </w:r>
      <w:r w:rsidR="0081765B">
        <w:rPr>
          <w:rStyle w:val="FootnoteReference"/>
        </w:rPr>
        <w:footnoteReference w:id="7"/>
      </w:r>
      <w:r w:rsidR="0050558B">
        <w:t xml:space="preserve"> The Laws and Codes s</w:t>
      </w:r>
      <w:r w:rsidR="0033727E">
        <w:t xml:space="preserve">eem to encompass many parts </w:t>
      </w:r>
      <w:r w:rsidR="00A10BE2">
        <w:t>of society</w:t>
      </w:r>
      <w:r w:rsidR="00F8760C">
        <w:t xml:space="preserve"> but not all</w:t>
      </w:r>
      <w:r w:rsidR="0050558B">
        <w:t xml:space="preserve">, anything from divorce settlements to cutting a </w:t>
      </w:r>
      <w:r w:rsidR="00B91DF9">
        <w:t>slave’s</w:t>
      </w:r>
      <w:r w:rsidR="0050558B">
        <w:t xml:space="preserve"> hair</w:t>
      </w:r>
      <w:r w:rsidR="000E448C">
        <w:t>.</w:t>
      </w:r>
      <w:r w:rsidR="0050558B">
        <w:rPr>
          <w:rStyle w:val="FootnoteReference"/>
        </w:rPr>
        <w:footnoteReference w:id="8"/>
      </w:r>
      <w:r w:rsidR="000E448C">
        <w:t xml:space="preserve"> </w:t>
      </w:r>
    </w:p>
    <w:p w:rsidR="00206147" w:rsidRDefault="000E448C" w:rsidP="00437FFD">
      <w:pPr>
        <w:spacing w:line="480" w:lineRule="auto"/>
        <w:jc w:val="both"/>
      </w:pPr>
      <w:r>
        <w:t>M</w:t>
      </w:r>
      <w:r w:rsidR="00B91DF9">
        <w:t>any of the codes and laws coming with their own writt</w:t>
      </w:r>
      <w:r w:rsidR="005A601E">
        <w:t xml:space="preserve">en analogies to support the law, and </w:t>
      </w:r>
      <w:r w:rsidR="00B91DF9">
        <w:t xml:space="preserve">also to allow the man or woman reading the codes </w:t>
      </w:r>
      <w:r w:rsidR="005A601E">
        <w:t xml:space="preserve">to </w:t>
      </w:r>
      <w:r w:rsidR="00B91DF9">
        <w:t xml:space="preserve">know if their case could hold up in </w:t>
      </w:r>
      <w:r w:rsidR="005A601E">
        <w:t>a court. T</w:t>
      </w:r>
      <w:r w:rsidR="00B91DF9">
        <w:t>he main purpose was to inform</w:t>
      </w:r>
      <w:r w:rsidR="005A601E">
        <w:t xml:space="preserve"> the people of the laws</w:t>
      </w:r>
      <w:r w:rsidR="00B91DF9">
        <w:t>, in fact th</w:t>
      </w:r>
      <w:r w:rsidR="005A601E">
        <w:t>e s</w:t>
      </w:r>
      <w:r w:rsidR="0019117A">
        <w:t>tele</w:t>
      </w:r>
      <w:r w:rsidR="00B91DF9">
        <w:t xml:space="preserve"> </w:t>
      </w:r>
      <w:r w:rsidR="005A601E">
        <w:t>states that</w:t>
      </w:r>
      <w:r w:rsidR="00B91DF9">
        <w:t xml:space="preserve"> any ‘wronged man’ can go to the statue</w:t>
      </w:r>
      <w:r w:rsidR="005A601E">
        <w:t xml:space="preserve"> of the stele and read the laws</w:t>
      </w:r>
      <w:r w:rsidR="00B91DF9">
        <w:t xml:space="preserve"> </w:t>
      </w:r>
      <w:r w:rsidR="005A601E">
        <w:t xml:space="preserve">according to the word </w:t>
      </w:r>
      <w:r w:rsidR="00B91DF9">
        <w:t>the word of Hammurabi and the Code itself</w:t>
      </w:r>
      <w:r w:rsidR="00B91DF9">
        <w:rPr>
          <w:rStyle w:val="FootnoteReference"/>
        </w:rPr>
        <w:footnoteReference w:id="9"/>
      </w:r>
      <w:r w:rsidR="005A601E">
        <w:t>.</w:t>
      </w:r>
      <w:r w:rsidR="00B91DF9">
        <w:t xml:space="preserve"> </w:t>
      </w:r>
      <w:r w:rsidR="005A601E">
        <w:t>The</w:t>
      </w:r>
      <w:r w:rsidR="00B91DF9">
        <w:t xml:space="preserve"> codes themselves </w:t>
      </w:r>
      <w:r w:rsidR="005A601E">
        <w:t xml:space="preserve">can </w:t>
      </w:r>
      <w:r w:rsidR="00B91DF9">
        <w:t>be used in every day discourse and</w:t>
      </w:r>
      <w:r w:rsidR="005A601E">
        <w:t xml:space="preserve"> are</w:t>
      </w:r>
      <w:r w:rsidR="00B91DF9">
        <w:t xml:space="preserve"> recognised as legally </w:t>
      </w:r>
      <w:r w:rsidR="00B91DF9">
        <w:lastRenderedPageBreak/>
        <w:t>valid within the territories of Hammurabi’s Babylonia</w:t>
      </w:r>
      <w:r w:rsidR="005A601E">
        <w:t>, and even after Hammurabi is dead and his divine word is transcribed and the stele taken by the nearby kingdom as loot.</w:t>
      </w:r>
      <w:r w:rsidR="00B91DF9">
        <w:rPr>
          <w:rStyle w:val="FootnoteReference"/>
        </w:rPr>
        <w:footnoteReference w:id="10"/>
      </w:r>
    </w:p>
    <w:p w:rsidR="004925A0" w:rsidRDefault="004925A0" w:rsidP="00437FFD">
      <w:pPr>
        <w:spacing w:line="480" w:lineRule="auto"/>
        <w:jc w:val="both"/>
      </w:pPr>
      <w:r>
        <w:t xml:space="preserve">The written word was perceived as divine, King </w:t>
      </w:r>
      <w:proofErr w:type="spellStart"/>
      <w:r>
        <w:t>Sulgi</w:t>
      </w:r>
      <w:proofErr w:type="spellEnd"/>
      <w:r>
        <w:t xml:space="preserve"> the father of Hammurabi and Hammurabi himself boasted of the power of </w:t>
      </w:r>
      <w:r w:rsidR="005A601E">
        <w:t xml:space="preserve">the </w:t>
      </w:r>
      <w:r>
        <w:t>written word and its connotation to the gods and justice</w:t>
      </w:r>
      <w:r>
        <w:rPr>
          <w:rStyle w:val="FootnoteReference"/>
        </w:rPr>
        <w:footnoteReference w:id="11"/>
      </w:r>
      <w:r w:rsidR="005A601E">
        <w:t>. T</w:t>
      </w:r>
      <w:r w:rsidR="0019117A">
        <w:t>he stele</w:t>
      </w:r>
      <w:r>
        <w:t xml:space="preserve"> is depicted with a relief of Hammurabi (as a smaller figure) holding the hand of the Divine to signify the importance of the laws and establishment of writing</w:t>
      </w:r>
      <w:r>
        <w:rPr>
          <w:rStyle w:val="FootnoteReference"/>
        </w:rPr>
        <w:footnoteReference w:id="12"/>
      </w:r>
      <w:r w:rsidR="005A601E">
        <w:t>. The likelihood</w:t>
      </w:r>
      <w:r>
        <w:t xml:space="preserve"> is that scribes were predo</w:t>
      </w:r>
      <w:r w:rsidR="00C917B1">
        <w:t xml:space="preserve">minantly male </w:t>
      </w:r>
      <w:r w:rsidR="005A601E">
        <w:t xml:space="preserve">however, </w:t>
      </w:r>
      <w:r>
        <w:t xml:space="preserve">there are extracts that prove that female scribes existed and </w:t>
      </w:r>
      <w:r w:rsidR="00C917B1">
        <w:t xml:space="preserve">it is known  that </w:t>
      </w:r>
      <w:r>
        <w:t>the wives of important figures could read.</w:t>
      </w:r>
      <w:r>
        <w:rPr>
          <w:rStyle w:val="FootnoteReference"/>
        </w:rPr>
        <w:footnoteReference w:id="13"/>
      </w:r>
      <w:r>
        <w:t xml:space="preserve"> The written word would be passed through the families from father to son mostly</w:t>
      </w:r>
      <w:r w:rsidR="003E439C">
        <w:t>,</w:t>
      </w:r>
      <w:r>
        <w:t xml:space="preserve"> but females were not excluded from this as we see in the correspondence from queens to their kings, </w:t>
      </w:r>
      <w:r w:rsidR="003E439C">
        <w:t>where</w:t>
      </w:r>
      <w:r>
        <w:t xml:space="preserve"> their terminology is usually “tell my Lord” or “Your Loyal Handmaid” as we see in the letters from Queen Mari to her husband.</w:t>
      </w:r>
      <w:r>
        <w:rPr>
          <w:rStyle w:val="FootnoteReference"/>
        </w:rPr>
        <w:footnoteReference w:id="14"/>
      </w:r>
      <w:r>
        <w:t xml:space="preserve"> This is either due to it being a dictation of her spoken word or a clue towards the position of females in the society of Ba</w:t>
      </w:r>
      <w:r w:rsidR="005419CB">
        <w:t xml:space="preserve">bylon and the surrounding areas, if it was dictated there is evidence of local heralds for each territory which could be contacted to read out the laws and </w:t>
      </w:r>
      <w:r w:rsidR="00832B4D">
        <w:t>proclamations</w:t>
      </w:r>
      <w:r w:rsidR="005419CB">
        <w:t>.</w:t>
      </w:r>
      <w:r w:rsidR="005419CB">
        <w:rPr>
          <w:rStyle w:val="FootnoteReference"/>
        </w:rPr>
        <w:footnoteReference w:id="15"/>
      </w:r>
      <w:r>
        <w:t xml:space="preserve"> We can see from the s</w:t>
      </w:r>
      <w:r w:rsidR="0019117A">
        <w:t>tele</w:t>
      </w:r>
      <w:r>
        <w:t xml:space="preserve"> itself that there are multiple class systems in place</w:t>
      </w:r>
      <w:r>
        <w:rPr>
          <w:rStyle w:val="FootnoteReference"/>
        </w:rPr>
        <w:footnoteReference w:id="16"/>
      </w:r>
      <w:r>
        <w:t xml:space="preserve"> but </w:t>
      </w:r>
      <w:r w:rsidR="00D82EC3">
        <w:t>the position of women is unclear. The laws themselves seem to be relatively fair towards women in Babylo</w:t>
      </w:r>
      <w:r w:rsidR="003E439C">
        <w:t xml:space="preserve">n as opposed to those of </w:t>
      </w:r>
      <w:proofErr w:type="spellStart"/>
      <w:r w:rsidR="003E439C">
        <w:t>Esunna</w:t>
      </w:r>
      <w:proofErr w:type="spellEnd"/>
      <w:r w:rsidR="003E439C">
        <w:t>.</w:t>
      </w:r>
      <w:r w:rsidR="00D82EC3">
        <w:rPr>
          <w:rStyle w:val="FootnoteReference"/>
        </w:rPr>
        <w:footnoteReference w:id="17"/>
      </w:r>
      <w:r w:rsidR="003E439C">
        <w:t xml:space="preserve"> I</w:t>
      </w:r>
      <w:r w:rsidR="00D82EC3">
        <w:t>n the law code of Hammurabi fidelity is taken into account on behalf of both parties however</w:t>
      </w:r>
      <w:r w:rsidR="003E439C">
        <w:t>,</w:t>
      </w:r>
      <w:r w:rsidR="00D82EC3">
        <w:t xml:space="preserve"> the males appear to have more leeway in this department as opposed to the women in the relationship</w:t>
      </w:r>
      <w:r w:rsidR="003E439C">
        <w:t>,</w:t>
      </w:r>
      <w:r w:rsidR="00D82EC3">
        <w:rPr>
          <w:rStyle w:val="FootnoteReference"/>
        </w:rPr>
        <w:footnoteReference w:id="18"/>
      </w:r>
      <w:r w:rsidR="00D82EC3">
        <w:t xml:space="preserve"> whereas in the </w:t>
      </w:r>
      <w:proofErr w:type="spellStart"/>
      <w:r w:rsidR="00D82EC3">
        <w:t>Esunna</w:t>
      </w:r>
      <w:proofErr w:type="spellEnd"/>
      <w:r w:rsidR="00D82EC3">
        <w:t xml:space="preserve"> law codes the woman would be killed if they were to be found out taking another man other than her husband rather than simply divorced.</w:t>
      </w:r>
      <w:r w:rsidR="00D82EC3">
        <w:rPr>
          <w:rStyle w:val="FootnoteReference"/>
        </w:rPr>
        <w:footnoteReference w:id="19"/>
      </w:r>
    </w:p>
    <w:p w:rsidR="000639DA" w:rsidRDefault="00D82EC3" w:rsidP="00437FFD">
      <w:pPr>
        <w:spacing w:line="480" w:lineRule="auto"/>
        <w:jc w:val="both"/>
      </w:pPr>
      <w:r>
        <w:lastRenderedPageBreak/>
        <w:t>Furthermore, in the code of Hammurabi if a woman if unable to produce offspring to carry on the lineage the man can take a servant to bear their heirs on the</w:t>
      </w:r>
      <w:r w:rsidR="003E439C">
        <w:t>ir behalf,</w:t>
      </w:r>
      <w:r>
        <w:t xml:space="preserve"> however</w:t>
      </w:r>
      <w:r w:rsidR="003E439C">
        <w:t>,</w:t>
      </w:r>
      <w:r>
        <w:t xml:space="preserve"> the </w:t>
      </w:r>
      <w:proofErr w:type="spellStart"/>
      <w:r>
        <w:t>naditum</w:t>
      </w:r>
      <w:proofErr w:type="spellEnd"/>
      <w:r>
        <w:t xml:space="preserve"> (wife) is ranked above the concubine which is taken.</w:t>
      </w:r>
      <w:r>
        <w:rPr>
          <w:rStyle w:val="FootnoteReference"/>
        </w:rPr>
        <w:footnoteReference w:id="20"/>
      </w:r>
      <w:r>
        <w:t xml:space="preserve"> The man can then take the woman to court over the matter however</w:t>
      </w:r>
      <w:r w:rsidR="003E439C">
        <w:t>,</w:t>
      </w:r>
      <w:r>
        <w:t xml:space="preserve"> as opposed to surrounding areas and their laws, the woman cannot simply be cast out for her infertility, instead she would be able to have all her holdings and possessions and her dowry would be returned to her.</w:t>
      </w:r>
      <w:r>
        <w:rPr>
          <w:rStyle w:val="FootnoteReference"/>
        </w:rPr>
        <w:footnoteReference w:id="21"/>
      </w:r>
      <w:r>
        <w:t xml:space="preserve"> If the woman is accused of other such accounts there would be a fair trial with the local alum (council) and witnesses called from the area to give their accounts of both behaviours to come to decision.</w:t>
      </w:r>
      <w:r>
        <w:rPr>
          <w:rStyle w:val="FootnoteReference"/>
        </w:rPr>
        <w:footnoteReference w:id="22"/>
      </w:r>
      <w:r>
        <w:t xml:space="preserve"> </w:t>
      </w:r>
    </w:p>
    <w:p w:rsidR="000639DA" w:rsidRDefault="00D82EC3" w:rsidP="00437FFD">
      <w:pPr>
        <w:spacing w:line="480" w:lineRule="auto"/>
        <w:jc w:val="both"/>
      </w:pPr>
      <w:r>
        <w:t xml:space="preserve">The councils themselves appear to be from the territories but the law code itself was </w:t>
      </w:r>
      <w:r w:rsidR="001A2723">
        <w:t>applicable to local courts and councils</w:t>
      </w:r>
      <w:r w:rsidR="005419CB">
        <w:rPr>
          <w:rStyle w:val="FootnoteReference"/>
        </w:rPr>
        <w:footnoteReference w:id="23"/>
      </w:r>
      <w:r w:rsidR="001A2723">
        <w:t>, a judge prov</w:t>
      </w:r>
      <w:r w:rsidR="0019117A">
        <w:t>ided but any can go to the stele</w:t>
      </w:r>
      <w:r w:rsidR="001A2723">
        <w:t xml:space="preserve"> and recount the laws or have them read to him/her</w:t>
      </w:r>
      <w:r w:rsidR="001A2723">
        <w:rPr>
          <w:rStyle w:val="FootnoteReference"/>
        </w:rPr>
        <w:footnoteReference w:id="24"/>
      </w:r>
      <w:r w:rsidR="001A2723">
        <w:t xml:space="preserve">. Due to this </w:t>
      </w:r>
      <w:r w:rsidR="003E439C">
        <w:t>disparity between the genders</w:t>
      </w:r>
      <w:r w:rsidR="001A2723">
        <w:t xml:space="preserve"> and the rift betwixt male and female</w:t>
      </w:r>
      <w:r w:rsidR="003E439C">
        <w:t>,</w:t>
      </w:r>
      <w:r w:rsidR="001A2723">
        <w:t xml:space="preserve"> fidelity is apparent but the judgement of such appears to be fair in the cotemporary socie</w:t>
      </w:r>
      <w:r w:rsidR="00137A46">
        <w:t>ties and surrounding law codes.</w:t>
      </w:r>
      <w:r w:rsidR="003E439C">
        <w:t xml:space="preserve"> </w:t>
      </w:r>
      <w:r w:rsidR="00137A46">
        <w:t>H</w:t>
      </w:r>
      <w:r w:rsidR="001A2723">
        <w:t>owever</w:t>
      </w:r>
      <w:r w:rsidR="003E439C">
        <w:t>,</w:t>
      </w:r>
      <w:r w:rsidR="001A2723">
        <w:t xml:space="preserve"> it seems as though social order was taken more into account rather than the individual cases</w:t>
      </w:r>
      <w:r w:rsidR="001A2723">
        <w:rPr>
          <w:rStyle w:val="FootnoteReference"/>
        </w:rPr>
        <w:footnoteReference w:id="25"/>
      </w:r>
      <w:r w:rsidR="001A2723">
        <w:t>, for example in another extract of the code a whole alum (Council) can be held accountable if a thief were not caught and the property reimbursed from their community funds.</w:t>
      </w:r>
      <w:r w:rsidR="001A2723">
        <w:rPr>
          <w:rStyle w:val="FootnoteReference"/>
        </w:rPr>
        <w:footnoteReference w:id="26"/>
      </w:r>
      <w:r w:rsidR="00137A46">
        <w:t xml:space="preserve"> But, what does not</w:t>
      </w:r>
      <w:r w:rsidR="001A2723">
        <w:t xml:space="preserve"> seem to be mentioned in the code is what is to happen to the orphans, or basta</w:t>
      </w:r>
      <w:r w:rsidR="00137A46">
        <w:t>rds of illegitimate marriages, as t</w:t>
      </w:r>
      <w:r w:rsidR="001A2723">
        <w:t>he children of concubines were not always able to gain inheritance whether male or female, nor is it mentioned what were to happen to a widow or a divorcee after the settlement is given.</w:t>
      </w:r>
      <w:r w:rsidR="001A2723">
        <w:rPr>
          <w:rStyle w:val="FootnoteReference"/>
        </w:rPr>
        <w:footnoteReference w:id="27"/>
      </w:r>
    </w:p>
    <w:p w:rsidR="00280C82" w:rsidRDefault="00137A46" w:rsidP="00437FFD">
      <w:pPr>
        <w:spacing w:line="480" w:lineRule="auto"/>
        <w:jc w:val="both"/>
      </w:pPr>
      <w:r>
        <w:t xml:space="preserve">Neither do the laws </w:t>
      </w:r>
      <w:r w:rsidR="001A2723">
        <w:t>cover the fact that prostitutes were around</w:t>
      </w:r>
      <w:r w:rsidR="0071016A">
        <w:t>,</w:t>
      </w:r>
      <w:r w:rsidR="001A2723">
        <w:t xml:space="preserve"> and </w:t>
      </w:r>
      <w:r w:rsidR="0071016A">
        <w:t xml:space="preserve">state </w:t>
      </w:r>
      <w:r w:rsidR="001A2723">
        <w:t xml:space="preserve">what would have happened to the children of such a solicited profession, whether they </w:t>
      </w:r>
      <w:r w:rsidR="0071016A">
        <w:t>would be</w:t>
      </w:r>
      <w:r w:rsidR="001A2723">
        <w:t xml:space="preserve"> provided for by the </w:t>
      </w:r>
      <w:r>
        <w:t>man</w:t>
      </w:r>
      <w:r w:rsidR="001A2723">
        <w:t xml:space="preserve"> or if </w:t>
      </w:r>
      <w:r w:rsidR="001A2723">
        <w:lastRenderedPageBreak/>
        <w:t>they were turned to slavery or bondage, there is some speculation that they would have perhaps been given to the temples to care for but it is not stated specifically.</w:t>
      </w:r>
      <w:r w:rsidR="001A2723">
        <w:rPr>
          <w:rStyle w:val="FootnoteReference"/>
        </w:rPr>
        <w:footnoteReference w:id="28"/>
      </w:r>
      <w:r w:rsidR="0071016A">
        <w:t xml:space="preserve"> So, how can the</w:t>
      </w:r>
      <w:r w:rsidR="001A2723">
        <w:t xml:space="preserve"> ‘Shepherd’ and ‘Just’ </w:t>
      </w:r>
      <w:r w:rsidR="005419CB">
        <w:rPr>
          <w:rStyle w:val="FootnoteReference"/>
        </w:rPr>
        <w:footnoteReference w:id="29"/>
      </w:r>
      <w:r w:rsidR="001A2723">
        <w:t>Hammurabi really be so lenient?</w:t>
      </w:r>
      <w:r w:rsidR="005419CB">
        <w:t xml:space="preserve"> </w:t>
      </w:r>
      <w:proofErr w:type="spellStart"/>
      <w:r w:rsidR="005419CB">
        <w:t>Bahrani</w:t>
      </w:r>
      <w:proofErr w:type="spellEnd"/>
      <w:r w:rsidR="005419CB">
        <w:t xml:space="preserve"> speculates that the Hammurabi Law Code is not only a list of laws as such but also a theory of law or a study</w:t>
      </w:r>
      <w:r w:rsidR="005419CB">
        <w:rPr>
          <w:rStyle w:val="FootnoteReference"/>
        </w:rPr>
        <w:footnoteReference w:id="30"/>
      </w:r>
      <w:r w:rsidR="005419CB">
        <w:t>, which would explain why there are so many anecdotes included in the description of the laws, and why they seem to cover a very extensive area of the laws of the land but do not touch upon every aspect of the society</w:t>
      </w:r>
      <w:r w:rsidR="005419CB">
        <w:rPr>
          <w:rStyle w:val="FootnoteReference"/>
        </w:rPr>
        <w:footnoteReference w:id="31"/>
      </w:r>
      <w:r w:rsidR="005419CB">
        <w:t xml:space="preserve">. </w:t>
      </w:r>
      <w:r w:rsidR="0071016A">
        <w:t xml:space="preserve"> </w:t>
      </w:r>
      <w:bookmarkStart w:id="0" w:name="_GoBack"/>
      <w:bookmarkEnd w:id="0"/>
    </w:p>
    <w:p w:rsidR="000639DA" w:rsidRDefault="00280C82" w:rsidP="00437FFD">
      <w:pPr>
        <w:spacing w:line="480" w:lineRule="auto"/>
        <w:jc w:val="both"/>
      </w:pPr>
      <w:r>
        <w:t xml:space="preserve">From this we can try to understand the society in which the code is written, we can tell that there are multiple classes and that different laws would apply to different social classes, </w:t>
      </w:r>
      <w:r w:rsidRPr="002C4035">
        <w:t xml:space="preserve">and </w:t>
      </w:r>
      <w:r w:rsidR="0019117A" w:rsidRPr="002C4035">
        <w:t>settlements</w:t>
      </w:r>
      <w:r w:rsidRPr="002C4035">
        <w:t xml:space="preserve"> would be rewarded </w:t>
      </w:r>
      <w:r w:rsidR="0019117A" w:rsidRPr="002C4035">
        <w:t>to whom</w:t>
      </w:r>
      <w:r w:rsidRPr="002C4035">
        <w:t xml:space="preserve"> in court</w:t>
      </w:r>
      <w:r>
        <w:t>.</w:t>
      </w:r>
      <w:r>
        <w:rPr>
          <w:rStyle w:val="FootnoteReference"/>
        </w:rPr>
        <w:footnoteReference w:id="32"/>
      </w:r>
      <w:r w:rsidR="005419CB">
        <w:t xml:space="preserve"> </w:t>
      </w:r>
      <w:r>
        <w:t xml:space="preserve"> Gender is also taken into account and there are separation between gender and which laws which would be applicable, we can clearly see that there are holes and forgotten voices which are not mentioned or are </w:t>
      </w:r>
      <w:r w:rsidR="0071016A">
        <w:t>missed</w:t>
      </w:r>
      <w:r>
        <w:t>, such as in the case of slaves, prostitutes, widows, and orphans.</w:t>
      </w:r>
      <w:r>
        <w:rPr>
          <w:rStyle w:val="FootnoteReference"/>
        </w:rPr>
        <w:footnoteReference w:id="33"/>
      </w:r>
      <w:r>
        <w:t xml:space="preserve"> The source is reliable in this sense as we can see the stance of each individual, and that any ‘wronged man’</w:t>
      </w:r>
      <w:r>
        <w:rPr>
          <w:rStyle w:val="FootnoteReference"/>
        </w:rPr>
        <w:footnoteReference w:id="34"/>
      </w:r>
      <w:r>
        <w:t xml:space="preserve"> can have his case heard. </w:t>
      </w:r>
    </w:p>
    <w:p w:rsidR="000639DA" w:rsidRDefault="00280C82" w:rsidP="00437FFD">
      <w:pPr>
        <w:spacing w:line="480" w:lineRule="auto"/>
        <w:jc w:val="both"/>
      </w:pPr>
      <w:r>
        <w:t>The Laws themselves seem to be just and fair as Hammurabi seems to wish with his “eye for an eye”</w:t>
      </w:r>
      <w:r>
        <w:rPr>
          <w:rStyle w:val="FootnoteReference"/>
        </w:rPr>
        <w:footnoteReference w:id="35"/>
      </w:r>
      <w:r>
        <w:t xml:space="preserve"> treatment, but also in application which we can see through the stela with the local judges, alum, and witnesses to have credence in each case appears to give a fair trial where many of the community is involved</w:t>
      </w:r>
      <w:r>
        <w:rPr>
          <w:rStyle w:val="FootnoteReference"/>
        </w:rPr>
        <w:footnoteReference w:id="36"/>
      </w:r>
      <w:r w:rsidR="0071016A">
        <w:t xml:space="preserve">. </w:t>
      </w:r>
      <w:r w:rsidR="00A10BE2">
        <w:t>We</w:t>
      </w:r>
      <w:r>
        <w:t xml:space="preserve"> can discern that social order and community is taken into account and that anywhere in the territory of Hammurabi the laws will be </w:t>
      </w:r>
      <w:r w:rsidR="00A10BE2">
        <w:t>legally valid</w:t>
      </w:r>
      <w:r>
        <w:t>,</w:t>
      </w:r>
      <w:r w:rsidR="00A10BE2">
        <w:t xml:space="preserve"> and</w:t>
      </w:r>
      <w:r>
        <w:t xml:space="preserve"> even foreign kings take the word of Hammurabi into account in their own courts</w:t>
      </w:r>
      <w:r>
        <w:rPr>
          <w:rStyle w:val="FootnoteReference"/>
        </w:rPr>
        <w:footnoteReference w:id="37"/>
      </w:r>
      <w:r w:rsidR="000639DA">
        <w:t xml:space="preserve"> and recognise the laws in the territory and with Hammurabi and Babylon as its capital.</w:t>
      </w:r>
      <w:r w:rsidR="000639DA">
        <w:rPr>
          <w:rStyle w:val="FootnoteReference"/>
        </w:rPr>
        <w:footnoteReference w:id="38"/>
      </w:r>
      <w:r w:rsidR="000639DA">
        <w:t xml:space="preserve"> From the laws which concern the shepherds and workers, as </w:t>
      </w:r>
      <w:r w:rsidR="000639DA">
        <w:lastRenderedPageBreak/>
        <w:t xml:space="preserve">well as the treatment of slaves and their appearance we can also catch a glimpse at the socio-economic side, from the divorce settlements we can evaluate the earnings and from the fines we can gleam the importance of certain materials and trades within the society which Hammurabi rules. The evidence </w:t>
      </w:r>
      <w:r w:rsidR="008B4DDB">
        <w:t>in the</w:t>
      </w:r>
      <w:r w:rsidR="000639DA">
        <w:t xml:space="preserve"> code and from the letters and correspondence between the ‘states’ tha</w:t>
      </w:r>
      <w:r w:rsidR="008B4DDB">
        <w:t>t there is a political overview. F</w:t>
      </w:r>
      <w:r w:rsidR="000639DA">
        <w:t>rom the laws you can discern snippets of the society in which the laws were created and applied. However, we cannot truly account the Law Code itself as a Historical Source itself on politics or social history</w:t>
      </w:r>
      <w:r w:rsidR="008B4DDB">
        <w:t>,</w:t>
      </w:r>
      <w:r w:rsidR="000639DA">
        <w:t xml:space="preserve"> but we can use the text and compare with archaeological evidence of the period to juxtapose and compare to draw an analysis of the wider social and political context. </w:t>
      </w:r>
    </w:p>
    <w:p w:rsidR="00275E46" w:rsidRDefault="00275E46" w:rsidP="00437FFD">
      <w:pPr>
        <w:spacing w:line="480" w:lineRule="auto"/>
        <w:jc w:val="both"/>
      </w:pPr>
    </w:p>
    <w:p w:rsidR="00275E46" w:rsidRDefault="00275E46" w:rsidP="00437FFD">
      <w:pPr>
        <w:spacing w:line="480" w:lineRule="auto"/>
        <w:jc w:val="both"/>
      </w:pPr>
      <w:r>
        <w:t>Bibliography:</w:t>
      </w:r>
    </w:p>
    <w:p w:rsidR="00275E46" w:rsidRDefault="00275E46" w:rsidP="00437FFD">
      <w:pPr>
        <w:spacing w:line="480" w:lineRule="auto"/>
        <w:jc w:val="both"/>
        <w:rPr>
          <w:sz w:val="16"/>
          <w:szCs w:val="16"/>
        </w:rPr>
      </w:pPr>
      <w:proofErr w:type="spellStart"/>
      <w:r w:rsidRPr="006F37A4">
        <w:rPr>
          <w:sz w:val="16"/>
          <w:szCs w:val="16"/>
        </w:rPr>
        <w:t>Bahrani</w:t>
      </w:r>
      <w:proofErr w:type="spellEnd"/>
      <w:r w:rsidRPr="006F37A4">
        <w:rPr>
          <w:sz w:val="16"/>
          <w:szCs w:val="16"/>
        </w:rPr>
        <w:t xml:space="preserve">, Z. 2017. Mesopotamia: Ancient Art and </w:t>
      </w:r>
      <w:proofErr w:type="gramStart"/>
      <w:r w:rsidRPr="006F37A4">
        <w:rPr>
          <w:sz w:val="16"/>
          <w:szCs w:val="16"/>
        </w:rPr>
        <w:t>Architecture..</w:t>
      </w:r>
      <w:proofErr w:type="gramEnd"/>
      <w:r w:rsidRPr="006F37A4">
        <w:rPr>
          <w:sz w:val="16"/>
          <w:szCs w:val="16"/>
        </w:rPr>
        <w:t xml:space="preserve"> London Thames and Hudson Press</w:t>
      </w:r>
      <w:r>
        <w:rPr>
          <w:sz w:val="16"/>
          <w:szCs w:val="16"/>
        </w:rPr>
        <w:t>.</w:t>
      </w:r>
    </w:p>
    <w:p w:rsidR="00A01C75" w:rsidRPr="00A01C75" w:rsidRDefault="00A01C75" w:rsidP="00437FFD">
      <w:pPr>
        <w:spacing w:line="480" w:lineRule="auto"/>
        <w:jc w:val="both"/>
        <w:rPr>
          <w:rFonts w:ascii="Calibri" w:hAnsi="Calibri" w:cs="Calibri"/>
          <w:color w:val="222222"/>
          <w:sz w:val="16"/>
          <w:szCs w:val="16"/>
        </w:rPr>
      </w:pPr>
      <w:proofErr w:type="spellStart"/>
      <w:r w:rsidRPr="006F37A4">
        <w:rPr>
          <w:rStyle w:val="reference-text"/>
          <w:rFonts w:ascii="Calibri" w:hAnsi="Calibri" w:cs="Calibri"/>
          <w:color w:val="222222"/>
          <w:sz w:val="16"/>
          <w:szCs w:val="16"/>
        </w:rPr>
        <w:t>Groneberg</w:t>
      </w:r>
      <w:proofErr w:type="spellEnd"/>
      <w:r w:rsidRPr="006F37A4">
        <w:rPr>
          <w:rStyle w:val="reference-text"/>
          <w:rFonts w:ascii="Calibri" w:hAnsi="Calibri" w:cs="Calibri"/>
          <w:color w:val="222222"/>
          <w:sz w:val="16"/>
          <w:szCs w:val="16"/>
        </w:rPr>
        <w:t xml:space="preserve">, Brigitte; </w:t>
      </w:r>
      <w:proofErr w:type="spellStart"/>
      <w:r w:rsidRPr="006F37A4">
        <w:rPr>
          <w:rStyle w:val="reference-text"/>
          <w:rFonts w:ascii="Calibri" w:hAnsi="Calibri" w:cs="Calibri"/>
          <w:color w:val="222222"/>
          <w:sz w:val="16"/>
          <w:szCs w:val="16"/>
        </w:rPr>
        <w:t>Spieckermann</w:t>
      </w:r>
      <w:proofErr w:type="spellEnd"/>
      <w:r w:rsidRPr="006F37A4">
        <w:rPr>
          <w:rStyle w:val="reference-text"/>
          <w:rFonts w:ascii="Calibri" w:hAnsi="Calibri" w:cs="Calibri"/>
          <w:color w:val="222222"/>
          <w:sz w:val="16"/>
          <w:szCs w:val="16"/>
        </w:rPr>
        <w:t xml:space="preserve">, </w:t>
      </w:r>
      <w:proofErr w:type="gramStart"/>
      <w:r w:rsidRPr="006F37A4">
        <w:rPr>
          <w:rStyle w:val="reference-text"/>
          <w:rFonts w:ascii="Calibri" w:hAnsi="Calibri" w:cs="Calibri"/>
          <w:color w:val="222222"/>
          <w:sz w:val="16"/>
          <w:szCs w:val="16"/>
        </w:rPr>
        <w:t>Hermann;,</w:t>
      </w:r>
      <w:proofErr w:type="gramEnd"/>
      <w:r w:rsidRPr="006F37A4">
        <w:rPr>
          <w:rStyle w:val="reference-text"/>
          <w:rFonts w:ascii="Calibri" w:hAnsi="Calibri" w:cs="Calibri"/>
          <w:color w:val="222222"/>
          <w:sz w:val="16"/>
          <w:szCs w:val="16"/>
        </w:rPr>
        <w:t xml:space="preserve"> and </w:t>
      </w:r>
      <w:proofErr w:type="spellStart"/>
      <w:r w:rsidRPr="006F37A4">
        <w:rPr>
          <w:rStyle w:val="reference-text"/>
          <w:rFonts w:ascii="Calibri" w:hAnsi="Calibri" w:cs="Calibri"/>
          <w:color w:val="222222"/>
          <w:sz w:val="16"/>
          <w:szCs w:val="16"/>
        </w:rPr>
        <w:t>Weiershäuser</w:t>
      </w:r>
      <w:proofErr w:type="spellEnd"/>
      <w:r w:rsidRPr="006F37A4">
        <w:rPr>
          <w:rStyle w:val="reference-text"/>
          <w:rFonts w:ascii="Calibri" w:hAnsi="Calibri" w:cs="Calibri"/>
          <w:color w:val="222222"/>
          <w:sz w:val="16"/>
          <w:szCs w:val="16"/>
        </w:rPr>
        <w:t xml:space="preserve">, </w:t>
      </w:r>
      <w:proofErr w:type="spellStart"/>
      <w:r w:rsidRPr="006F37A4">
        <w:rPr>
          <w:rStyle w:val="reference-text"/>
          <w:rFonts w:ascii="Calibri" w:hAnsi="Calibri" w:cs="Calibri"/>
          <w:color w:val="222222"/>
          <w:sz w:val="16"/>
          <w:szCs w:val="16"/>
        </w:rPr>
        <w:t>Frauke</w:t>
      </w:r>
      <w:proofErr w:type="spellEnd"/>
      <w:r w:rsidRPr="006F37A4">
        <w:rPr>
          <w:rStyle w:val="reference-text"/>
          <w:rFonts w:ascii="Calibri" w:hAnsi="Calibri" w:cs="Calibri"/>
          <w:color w:val="222222"/>
          <w:sz w:val="16"/>
          <w:szCs w:val="16"/>
        </w:rPr>
        <w:t xml:space="preserve"> 2007</w:t>
      </w:r>
      <w:r w:rsidRPr="006F37A4">
        <w:rPr>
          <w:rFonts w:ascii="Calibri" w:hAnsi="Calibri" w:cs="Calibri"/>
          <w:color w:val="222222"/>
          <w:sz w:val="16"/>
          <w:szCs w:val="16"/>
        </w:rPr>
        <w:t> </w:t>
      </w:r>
      <w:r w:rsidRPr="006F37A4">
        <w:rPr>
          <w:rStyle w:val="reference-text"/>
          <w:rFonts w:ascii="Calibri" w:hAnsi="Calibri" w:cs="Calibri"/>
          <w:color w:val="222222"/>
          <w:sz w:val="16"/>
          <w:szCs w:val="16"/>
        </w:rPr>
        <w:t xml:space="preserve">Iconographic Evidence for Some Mesopotamian Cult Statues, Dominique </w:t>
      </w:r>
      <w:proofErr w:type="spellStart"/>
      <w:r w:rsidRPr="006F37A4">
        <w:rPr>
          <w:rStyle w:val="reference-text"/>
          <w:rFonts w:ascii="Calibri" w:hAnsi="Calibri" w:cs="Calibri"/>
          <w:color w:val="222222"/>
          <w:sz w:val="16"/>
          <w:szCs w:val="16"/>
        </w:rPr>
        <w:t>Collon</w:t>
      </w:r>
      <w:proofErr w:type="spellEnd"/>
      <w:r w:rsidRPr="006F37A4">
        <w:rPr>
          <w:rStyle w:val="reference-text"/>
          <w:rFonts w:ascii="Calibri" w:hAnsi="Calibri" w:cs="Calibri"/>
          <w:color w:val="222222"/>
          <w:sz w:val="16"/>
          <w:szCs w:val="16"/>
        </w:rPr>
        <w:t xml:space="preserve">, Die Welt der </w:t>
      </w:r>
      <w:proofErr w:type="spellStart"/>
      <w:r w:rsidRPr="006F37A4">
        <w:rPr>
          <w:rStyle w:val="reference-text"/>
          <w:rFonts w:ascii="Calibri" w:hAnsi="Calibri" w:cs="Calibri"/>
          <w:color w:val="222222"/>
          <w:sz w:val="16"/>
          <w:szCs w:val="16"/>
        </w:rPr>
        <w:t>Götterbilder</w:t>
      </w:r>
      <w:proofErr w:type="spellEnd"/>
      <w:r w:rsidRPr="006F37A4">
        <w:rPr>
          <w:rStyle w:val="reference-text"/>
          <w:rFonts w:ascii="Calibri" w:hAnsi="Calibri" w:cs="Calibri"/>
          <w:color w:val="222222"/>
          <w:sz w:val="16"/>
          <w:szCs w:val="16"/>
        </w:rPr>
        <w:t xml:space="preserve">, Berlin, New York (Walter de </w:t>
      </w:r>
      <w:proofErr w:type="spellStart"/>
      <w:r w:rsidRPr="006F37A4">
        <w:rPr>
          <w:rStyle w:val="reference-text"/>
          <w:rFonts w:ascii="Calibri" w:hAnsi="Calibri" w:cs="Calibri"/>
          <w:color w:val="222222"/>
          <w:sz w:val="16"/>
          <w:szCs w:val="16"/>
        </w:rPr>
        <w:t>Gruyter</w:t>
      </w:r>
      <w:proofErr w:type="spellEnd"/>
      <w:r w:rsidRPr="006F37A4">
        <w:rPr>
          <w:rStyle w:val="reference-text"/>
          <w:rFonts w:ascii="Calibri" w:hAnsi="Calibri" w:cs="Calibri"/>
          <w:color w:val="222222"/>
          <w:sz w:val="16"/>
          <w:szCs w:val="16"/>
        </w:rPr>
        <w:t>)</w:t>
      </w:r>
    </w:p>
    <w:p w:rsidR="00275E46" w:rsidRDefault="00275E46" w:rsidP="00437FFD">
      <w:pPr>
        <w:spacing w:line="480" w:lineRule="auto"/>
        <w:jc w:val="both"/>
        <w:rPr>
          <w:sz w:val="16"/>
          <w:szCs w:val="16"/>
        </w:rPr>
      </w:pPr>
      <w:r w:rsidRPr="006F37A4">
        <w:rPr>
          <w:sz w:val="16"/>
          <w:szCs w:val="16"/>
        </w:rPr>
        <w:t>J.N Postgate.1994. The Social Order. Early Mesopotamia Society and Economy at the Dawn of History. Routledge Press.</w:t>
      </w:r>
    </w:p>
    <w:p w:rsidR="00275E46" w:rsidRDefault="00275E46" w:rsidP="00437FFD">
      <w:pPr>
        <w:spacing w:line="480" w:lineRule="auto"/>
        <w:jc w:val="both"/>
        <w:rPr>
          <w:rStyle w:val="HTMLCite"/>
          <w:rFonts w:ascii="Calibri" w:hAnsi="Calibri" w:cs="Calibri"/>
          <w:b/>
          <w:bCs/>
          <w:i w:val="0"/>
          <w:color w:val="222222"/>
          <w:sz w:val="16"/>
          <w:szCs w:val="16"/>
        </w:rPr>
      </w:pPr>
      <w:r w:rsidRPr="006F37A4">
        <w:rPr>
          <w:rStyle w:val="HTMLCite"/>
          <w:rFonts w:ascii="Calibri" w:hAnsi="Calibri" w:cs="Calibri"/>
          <w:i w:val="0"/>
          <w:color w:val="222222"/>
          <w:sz w:val="16"/>
          <w:szCs w:val="16"/>
        </w:rPr>
        <w:t xml:space="preserve">Prince, J. </w:t>
      </w:r>
      <w:proofErr w:type="spellStart"/>
      <w:r w:rsidRPr="006F37A4">
        <w:rPr>
          <w:rStyle w:val="HTMLCite"/>
          <w:rFonts w:ascii="Calibri" w:hAnsi="Calibri" w:cs="Calibri"/>
          <w:i w:val="0"/>
          <w:color w:val="222222"/>
          <w:sz w:val="16"/>
          <w:szCs w:val="16"/>
        </w:rPr>
        <w:t>Dyneley</w:t>
      </w:r>
      <w:proofErr w:type="spellEnd"/>
      <w:r>
        <w:rPr>
          <w:rStyle w:val="HTMLCite"/>
          <w:rFonts w:ascii="Calibri" w:hAnsi="Calibri" w:cs="Calibri"/>
          <w:i w:val="0"/>
          <w:color w:val="222222"/>
          <w:sz w:val="16"/>
          <w:szCs w:val="16"/>
        </w:rPr>
        <w:t>.</w:t>
      </w:r>
      <w:r w:rsidRPr="006F37A4">
        <w:rPr>
          <w:rStyle w:val="HTMLCite"/>
          <w:rFonts w:ascii="Calibri" w:hAnsi="Calibri" w:cs="Calibri"/>
          <w:i w:val="0"/>
          <w:color w:val="222222"/>
          <w:sz w:val="16"/>
          <w:szCs w:val="16"/>
        </w:rPr>
        <w:t xml:space="preserve"> 1904. Review: The Code of Hammurabi. The American Journal of Theology. The University of Chicago Press. </w:t>
      </w:r>
      <w:r w:rsidRPr="006F37A4">
        <w:rPr>
          <w:rStyle w:val="HTMLCite"/>
          <w:rFonts w:ascii="Calibri" w:hAnsi="Calibri" w:cs="Calibri"/>
          <w:b/>
          <w:bCs/>
          <w:i w:val="0"/>
          <w:color w:val="222222"/>
          <w:sz w:val="16"/>
          <w:szCs w:val="16"/>
        </w:rPr>
        <w:t xml:space="preserve"> </w:t>
      </w:r>
    </w:p>
    <w:p w:rsidR="00275E46" w:rsidRDefault="00383EB1" w:rsidP="00275E46">
      <w:pPr>
        <w:spacing w:line="480" w:lineRule="auto"/>
        <w:jc w:val="both"/>
      </w:pPr>
      <w:hyperlink r:id="rId7" w:history="1">
        <w:r w:rsidR="00275E46" w:rsidRPr="006F37A4">
          <w:rPr>
            <w:rStyle w:val="Hyperlink"/>
            <w:sz w:val="16"/>
            <w:szCs w:val="16"/>
          </w:rPr>
          <w:t>http://www.womenintheancientworld.com/hammurabilawcode.htm</w:t>
        </w:r>
      </w:hyperlink>
      <w:r w:rsidR="00275E46" w:rsidRPr="006F37A4">
        <w:rPr>
          <w:sz w:val="16"/>
          <w:szCs w:val="16"/>
        </w:rPr>
        <w:t xml:space="preserve"> (30/10/17)</w:t>
      </w:r>
    </w:p>
    <w:p w:rsidR="00275E46" w:rsidRDefault="00275E46" w:rsidP="00437FFD">
      <w:pPr>
        <w:spacing w:line="480" w:lineRule="auto"/>
        <w:jc w:val="both"/>
      </w:pPr>
    </w:p>
    <w:p w:rsidR="00B91DF9" w:rsidRDefault="00B91DF9" w:rsidP="00437FFD">
      <w:pPr>
        <w:spacing w:line="480" w:lineRule="auto"/>
        <w:jc w:val="both"/>
      </w:pPr>
    </w:p>
    <w:p w:rsidR="00B91DF9" w:rsidRDefault="00B91DF9" w:rsidP="00437FFD">
      <w:pPr>
        <w:spacing w:line="480" w:lineRule="auto"/>
        <w:jc w:val="both"/>
      </w:pPr>
    </w:p>
    <w:p w:rsidR="00B91DF9" w:rsidRDefault="00B91DF9" w:rsidP="00437FFD">
      <w:pPr>
        <w:spacing w:line="480" w:lineRule="auto"/>
        <w:jc w:val="both"/>
      </w:pPr>
    </w:p>
    <w:p w:rsidR="00B91DF9" w:rsidRDefault="00B91DF9" w:rsidP="00437FFD">
      <w:pPr>
        <w:spacing w:line="480" w:lineRule="auto"/>
        <w:jc w:val="both"/>
      </w:pPr>
    </w:p>
    <w:p w:rsidR="00B91DF9" w:rsidRDefault="00B91DF9" w:rsidP="00437FFD">
      <w:pPr>
        <w:spacing w:line="480" w:lineRule="auto"/>
        <w:jc w:val="both"/>
      </w:pPr>
    </w:p>
    <w:p w:rsidR="00B91DF9" w:rsidRDefault="00B91DF9" w:rsidP="00437FFD">
      <w:pPr>
        <w:spacing w:line="480" w:lineRule="auto"/>
        <w:jc w:val="both"/>
      </w:pPr>
    </w:p>
    <w:sectPr w:rsidR="00B91D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3EB1" w:rsidRDefault="00383EB1" w:rsidP="00AB6609">
      <w:pPr>
        <w:spacing w:after="0" w:line="240" w:lineRule="auto"/>
      </w:pPr>
      <w:r>
        <w:separator/>
      </w:r>
    </w:p>
  </w:endnote>
  <w:endnote w:type="continuationSeparator" w:id="0">
    <w:p w:rsidR="00383EB1" w:rsidRDefault="00383EB1" w:rsidP="00AB6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3EB1" w:rsidRDefault="00383EB1" w:rsidP="00AB6609">
      <w:pPr>
        <w:spacing w:after="0" w:line="240" w:lineRule="auto"/>
      </w:pPr>
      <w:r>
        <w:separator/>
      </w:r>
    </w:p>
  </w:footnote>
  <w:footnote w:type="continuationSeparator" w:id="0">
    <w:p w:rsidR="00383EB1" w:rsidRDefault="00383EB1" w:rsidP="00AB6609">
      <w:pPr>
        <w:spacing w:after="0" w:line="240" w:lineRule="auto"/>
      </w:pPr>
      <w:r>
        <w:continuationSeparator/>
      </w:r>
    </w:p>
  </w:footnote>
  <w:footnote w:id="1">
    <w:p w:rsidR="0081765B" w:rsidRPr="006F37A4" w:rsidRDefault="0081765B">
      <w:pPr>
        <w:pStyle w:val="FootnoteText"/>
        <w:rPr>
          <w:sz w:val="16"/>
          <w:szCs w:val="16"/>
        </w:rPr>
      </w:pPr>
      <w:r>
        <w:rPr>
          <w:rStyle w:val="FootnoteReference"/>
        </w:rPr>
        <w:footnoteRef/>
      </w:r>
      <w:r>
        <w:t xml:space="preserve"> </w:t>
      </w:r>
      <w:proofErr w:type="spellStart"/>
      <w:r w:rsidRPr="006F37A4">
        <w:rPr>
          <w:sz w:val="16"/>
          <w:szCs w:val="16"/>
        </w:rPr>
        <w:t>Bahrani</w:t>
      </w:r>
      <w:proofErr w:type="spellEnd"/>
      <w:r w:rsidRPr="006F37A4">
        <w:rPr>
          <w:sz w:val="16"/>
          <w:szCs w:val="16"/>
        </w:rPr>
        <w:t xml:space="preserve">, Z. 2017. </w:t>
      </w:r>
      <w:r w:rsidR="00FE3EE0">
        <w:rPr>
          <w:sz w:val="16"/>
          <w:szCs w:val="16"/>
        </w:rPr>
        <w:t>178</w:t>
      </w:r>
      <w:r w:rsidRPr="006F37A4">
        <w:rPr>
          <w:sz w:val="16"/>
          <w:szCs w:val="16"/>
        </w:rPr>
        <w:t>.</w:t>
      </w:r>
    </w:p>
  </w:footnote>
  <w:footnote w:id="2">
    <w:p w:rsidR="00AB6609" w:rsidRPr="006F37A4" w:rsidRDefault="00AB6609">
      <w:pPr>
        <w:pStyle w:val="FootnoteText"/>
        <w:rPr>
          <w:rFonts w:ascii="Calibri" w:hAnsi="Calibri" w:cs="Calibri"/>
          <w:sz w:val="16"/>
          <w:szCs w:val="16"/>
        </w:rPr>
      </w:pPr>
      <w:r w:rsidRPr="006F37A4">
        <w:rPr>
          <w:rStyle w:val="FootnoteReference"/>
          <w:sz w:val="16"/>
          <w:szCs w:val="16"/>
        </w:rPr>
        <w:footnoteRef/>
      </w:r>
      <w:r w:rsidRPr="006F37A4">
        <w:rPr>
          <w:sz w:val="16"/>
          <w:szCs w:val="16"/>
        </w:rPr>
        <w:t xml:space="preserve"> </w:t>
      </w:r>
      <w:r w:rsidRPr="006F37A4">
        <w:rPr>
          <w:rFonts w:ascii="Arial" w:hAnsi="Arial" w:cs="Arial"/>
          <w:color w:val="222222"/>
          <w:sz w:val="16"/>
          <w:szCs w:val="16"/>
        </w:rPr>
        <w:t> </w:t>
      </w:r>
      <w:r w:rsidR="0050558B" w:rsidRPr="006F37A4">
        <w:rPr>
          <w:rStyle w:val="HTMLCite"/>
          <w:rFonts w:ascii="Calibri" w:hAnsi="Calibri" w:cs="Calibri"/>
          <w:i w:val="0"/>
          <w:color w:val="222222"/>
          <w:sz w:val="16"/>
          <w:szCs w:val="16"/>
        </w:rPr>
        <w:t xml:space="preserve">Prince, J. </w:t>
      </w:r>
      <w:proofErr w:type="spellStart"/>
      <w:r w:rsidR="0050558B" w:rsidRPr="006F37A4">
        <w:rPr>
          <w:rStyle w:val="HTMLCite"/>
          <w:rFonts w:ascii="Calibri" w:hAnsi="Calibri" w:cs="Calibri"/>
          <w:i w:val="0"/>
          <w:color w:val="222222"/>
          <w:sz w:val="16"/>
          <w:szCs w:val="16"/>
        </w:rPr>
        <w:t>Dyneley</w:t>
      </w:r>
      <w:proofErr w:type="spellEnd"/>
      <w:r w:rsidR="0050558B" w:rsidRPr="006F37A4">
        <w:rPr>
          <w:rStyle w:val="HTMLCite"/>
          <w:rFonts w:ascii="Calibri" w:hAnsi="Calibri" w:cs="Calibri"/>
          <w:i w:val="0"/>
          <w:color w:val="222222"/>
          <w:sz w:val="16"/>
          <w:szCs w:val="16"/>
        </w:rPr>
        <w:t xml:space="preserve"> July 1904.</w:t>
      </w:r>
      <w:r w:rsidR="00FE3EE0">
        <w:rPr>
          <w:rStyle w:val="HTMLCite"/>
          <w:rFonts w:ascii="Calibri" w:hAnsi="Calibri" w:cs="Calibri"/>
          <w:i w:val="0"/>
          <w:color w:val="222222"/>
          <w:sz w:val="16"/>
          <w:szCs w:val="16"/>
        </w:rPr>
        <w:t>601</w:t>
      </w:r>
      <w:r w:rsidRPr="006F37A4">
        <w:rPr>
          <w:rStyle w:val="HTMLCite"/>
          <w:rFonts w:ascii="Calibri" w:hAnsi="Calibri" w:cs="Calibri"/>
          <w:i w:val="0"/>
          <w:color w:val="222222"/>
          <w:sz w:val="16"/>
          <w:szCs w:val="16"/>
        </w:rPr>
        <w:t>–609.</w:t>
      </w:r>
    </w:p>
  </w:footnote>
  <w:footnote w:id="3">
    <w:p w:rsidR="00206147" w:rsidRPr="006F37A4" w:rsidRDefault="00206147">
      <w:pPr>
        <w:pStyle w:val="FootnoteText"/>
        <w:rPr>
          <w:sz w:val="16"/>
          <w:szCs w:val="16"/>
        </w:rPr>
      </w:pPr>
      <w:r w:rsidRPr="006F37A4">
        <w:rPr>
          <w:rStyle w:val="FootnoteReference"/>
          <w:sz w:val="16"/>
          <w:szCs w:val="16"/>
        </w:rPr>
        <w:footnoteRef/>
      </w:r>
      <w:r w:rsidRPr="006F37A4">
        <w:rPr>
          <w:sz w:val="16"/>
          <w:szCs w:val="16"/>
        </w:rPr>
        <w:t xml:space="preserve"> </w:t>
      </w:r>
      <w:r w:rsidR="0050558B" w:rsidRPr="006F37A4">
        <w:rPr>
          <w:rStyle w:val="HTMLCite"/>
          <w:rFonts w:ascii="Calibri" w:hAnsi="Calibri" w:cs="Calibri"/>
          <w:i w:val="0"/>
          <w:color w:val="222222"/>
          <w:sz w:val="16"/>
          <w:szCs w:val="16"/>
        </w:rPr>
        <w:t xml:space="preserve">Prince, J. </w:t>
      </w:r>
      <w:proofErr w:type="spellStart"/>
      <w:r w:rsidR="0050558B" w:rsidRPr="006F37A4">
        <w:rPr>
          <w:rStyle w:val="HTMLCite"/>
          <w:rFonts w:ascii="Calibri" w:hAnsi="Calibri" w:cs="Calibri"/>
          <w:i w:val="0"/>
          <w:color w:val="222222"/>
          <w:sz w:val="16"/>
          <w:szCs w:val="16"/>
        </w:rPr>
        <w:t>Dyneley</w:t>
      </w:r>
      <w:proofErr w:type="spellEnd"/>
      <w:r w:rsidR="0050558B" w:rsidRPr="006F37A4">
        <w:rPr>
          <w:rStyle w:val="HTMLCite"/>
          <w:rFonts w:ascii="Calibri" w:hAnsi="Calibri" w:cs="Calibri"/>
          <w:i w:val="0"/>
          <w:color w:val="222222"/>
          <w:sz w:val="16"/>
          <w:szCs w:val="16"/>
        </w:rPr>
        <w:t xml:space="preserve"> July 1904. </w:t>
      </w:r>
      <w:r w:rsidRPr="006F37A4">
        <w:rPr>
          <w:rStyle w:val="HTMLCite"/>
          <w:rFonts w:ascii="Calibri" w:hAnsi="Calibri" w:cs="Calibri"/>
          <w:i w:val="0"/>
          <w:color w:val="222222"/>
          <w:sz w:val="16"/>
          <w:szCs w:val="16"/>
        </w:rPr>
        <w:t>601–609.</w:t>
      </w:r>
    </w:p>
  </w:footnote>
  <w:footnote w:id="4">
    <w:p w:rsidR="00206147" w:rsidRPr="006F37A4" w:rsidRDefault="00206147">
      <w:pPr>
        <w:pStyle w:val="FootnoteText"/>
        <w:rPr>
          <w:sz w:val="16"/>
          <w:szCs w:val="16"/>
        </w:rPr>
      </w:pPr>
      <w:r w:rsidRPr="006F37A4">
        <w:rPr>
          <w:rStyle w:val="FootnoteReference"/>
          <w:sz w:val="16"/>
          <w:szCs w:val="16"/>
        </w:rPr>
        <w:footnoteRef/>
      </w:r>
      <w:r w:rsidRPr="006F37A4">
        <w:rPr>
          <w:sz w:val="16"/>
          <w:szCs w:val="16"/>
        </w:rPr>
        <w:t xml:space="preserve"> </w:t>
      </w:r>
      <w:proofErr w:type="spellStart"/>
      <w:r w:rsidR="0050558B" w:rsidRPr="006F37A4">
        <w:rPr>
          <w:rStyle w:val="reference-text"/>
          <w:rFonts w:ascii="Calibri" w:hAnsi="Calibri" w:cs="Calibri"/>
          <w:color w:val="222222"/>
          <w:sz w:val="16"/>
          <w:szCs w:val="16"/>
        </w:rPr>
        <w:t>Groneberg</w:t>
      </w:r>
      <w:proofErr w:type="spellEnd"/>
      <w:r w:rsidR="0050558B" w:rsidRPr="006F37A4">
        <w:rPr>
          <w:rStyle w:val="reference-text"/>
          <w:rFonts w:ascii="Calibri" w:hAnsi="Calibri" w:cs="Calibri"/>
          <w:color w:val="222222"/>
          <w:sz w:val="16"/>
          <w:szCs w:val="16"/>
        </w:rPr>
        <w:t xml:space="preserve">, Brigitte; </w:t>
      </w:r>
      <w:proofErr w:type="spellStart"/>
      <w:r w:rsidR="0050558B" w:rsidRPr="006F37A4">
        <w:rPr>
          <w:rStyle w:val="reference-text"/>
          <w:rFonts w:ascii="Calibri" w:hAnsi="Calibri" w:cs="Calibri"/>
          <w:color w:val="222222"/>
          <w:sz w:val="16"/>
          <w:szCs w:val="16"/>
        </w:rPr>
        <w:t>Spieckermann</w:t>
      </w:r>
      <w:proofErr w:type="spellEnd"/>
      <w:r w:rsidR="0050558B" w:rsidRPr="006F37A4">
        <w:rPr>
          <w:rStyle w:val="reference-text"/>
          <w:rFonts w:ascii="Calibri" w:hAnsi="Calibri" w:cs="Calibri"/>
          <w:color w:val="222222"/>
          <w:sz w:val="16"/>
          <w:szCs w:val="16"/>
        </w:rPr>
        <w:t xml:space="preserve">, </w:t>
      </w:r>
      <w:proofErr w:type="gramStart"/>
      <w:r w:rsidR="0050558B" w:rsidRPr="006F37A4">
        <w:rPr>
          <w:rStyle w:val="reference-text"/>
          <w:rFonts w:ascii="Calibri" w:hAnsi="Calibri" w:cs="Calibri"/>
          <w:color w:val="222222"/>
          <w:sz w:val="16"/>
          <w:szCs w:val="16"/>
        </w:rPr>
        <w:t>Her</w:t>
      </w:r>
      <w:r w:rsidR="00FE3EE0">
        <w:rPr>
          <w:rStyle w:val="reference-text"/>
          <w:rFonts w:ascii="Calibri" w:hAnsi="Calibri" w:cs="Calibri"/>
          <w:color w:val="222222"/>
          <w:sz w:val="16"/>
          <w:szCs w:val="16"/>
        </w:rPr>
        <w:t>mann;,</w:t>
      </w:r>
      <w:proofErr w:type="gramEnd"/>
      <w:r w:rsidR="00FE3EE0">
        <w:rPr>
          <w:rStyle w:val="reference-text"/>
          <w:rFonts w:ascii="Calibri" w:hAnsi="Calibri" w:cs="Calibri"/>
          <w:color w:val="222222"/>
          <w:sz w:val="16"/>
          <w:szCs w:val="16"/>
        </w:rPr>
        <w:t xml:space="preserve"> and </w:t>
      </w:r>
      <w:proofErr w:type="spellStart"/>
      <w:r w:rsidR="00FE3EE0">
        <w:rPr>
          <w:rStyle w:val="reference-text"/>
          <w:rFonts w:ascii="Calibri" w:hAnsi="Calibri" w:cs="Calibri"/>
          <w:color w:val="222222"/>
          <w:sz w:val="16"/>
          <w:szCs w:val="16"/>
        </w:rPr>
        <w:t>Weiershäuser</w:t>
      </w:r>
      <w:proofErr w:type="spellEnd"/>
      <w:r w:rsidR="00FE3EE0">
        <w:rPr>
          <w:rStyle w:val="reference-text"/>
          <w:rFonts w:ascii="Calibri" w:hAnsi="Calibri" w:cs="Calibri"/>
          <w:color w:val="222222"/>
          <w:sz w:val="16"/>
          <w:szCs w:val="16"/>
        </w:rPr>
        <w:t>, Frauke.</w:t>
      </w:r>
      <w:r w:rsidR="0050558B" w:rsidRPr="006F37A4">
        <w:rPr>
          <w:rStyle w:val="reference-text"/>
          <w:rFonts w:ascii="Calibri" w:hAnsi="Calibri" w:cs="Calibri"/>
          <w:color w:val="222222"/>
          <w:sz w:val="16"/>
          <w:szCs w:val="16"/>
        </w:rPr>
        <w:t>2007</w:t>
      </w:r>
      <w:r w:rsidR="00FE3EE0">
        <w:rPr>
          <w:rStyle w:val="reference-text"/>
          <w:rFonts w:ascii="Calibri" w:hAnsi="Calibri" w:cs="Calibri"/>
          <w:color w:val="222222"/>
          <w:sz w:val="16"/>
          <w:szCs w:val="16"/>
        </w:rPr>
        <w:t>.</w:t>
      </w:r>
      <w:r w:rsidRPr="006F37A4">
        <w:rPr>
          <w:rFonts w:ascii="Calibri" w:hAnsi="Calibri" w:cs="Calibri"/>
          <w:color w:val="222222"/>
          <w:sz w:val="16"/>
          <w:szCs w:val="16"/>
        </w:rPr>
        <w:t> </w:t>
      </w:r>
      <w:r w:rsidR="00FE3EE0">
        <w:rPr>
          <w:rStyle w:val="reference-text"/>
          <w:rFonts w:ascii="Calibri" w:hAnsi="Calibri" w:cs="Calibri"/>
          <w:color w:val="222222"/>
          <w:sz w:val="16"/>
          <w:szCs w:val="16"/>
        </w:rPr>
        <w:t>57</w:t>
      </w:r>
      <w:r w:rsidRPr="006F37A4">
        <w:rPr>
          <w:rStyle w:val="reference-text"/>
          <w:rFonts w:ascii="Calibri" w:hAnsi="Calibri" w:cs="Calibri"/>
          <w:color w:val="222222"/>
          <w:sz w:val="16"/>
          <w:szCs w:val="16"/>
        </w:rPr>
        <w:t>–84</w:t>
      </w:r>
    </w:p>
  </w:footnote>
  <w:footnote w:id="5">
    <w:p w:rsidR="0050558B" w:rsidRPr="006F37A4" w:rsidRDefault="0050558B">
      <w:pPr>
        <w:pStyle w:val="FootnoteText"/>
        <w:rPr>
          <w:sz w:val="16"/>
          <w:szCs w:val="16"/>
        </w:rPr>
      </w:pPr>
      <w:r w:rsidRPr="006F37A4">
        <w:rPr>
          <w:rStyle w:val="FootnoteReference"/>
          <w:sz w:val="16"/>
          <w:szCs w:val="16"/>
        </w:rPr>
        <w:footnoteRef/>
      </w:r>
      <w:r w:rsidRPr="006F37A4">
        <w:rPr>
          <w:sz w:val="16"/>
          <w:szCs w:val="16"/>
        </w:rPr>
        <w:t xml:space="preserve"> J.N Postgate.1994. </w:t>
      </w:r>
      <w:r w:rsidR="00FE3EE0">
        <w:rPr>
          <w:sz w:val="16"/>
          <w:szCs w:val="16"/>
        </w:rPr>
        <w:t>358</w:t>
      </w:r>
      <w:r w:rsidR="00811540" w:rsidRPr="006F37A4">
        <w:rPr>
          <w:sz w:val="16"/>
          <w:szCs w:val="16"/>
        </w:rPr>
        <w:t>-359</w:t>
      </w:r>
    </w:p>
  </w:footnote>
  <w:footnote w:id="6">
    <w:p w:rsidR="0050558B" w:rsidRPr="006F37A4" w:rsidRDefault="0050558B">
      <w:pPr>
        <w:pStyle w:val="FootnoteText"/>
        <w:rPr>
          <w:sz w:val="16"/>
          <w:szCs w:val="16"/>
        </w:rPr>
      </w:pPr>
      <w:r w:rsidRPr="006F37A4">
        <w:rPr>
          <w:rStyle w:val="FootnoteReference"/>
          <w:sz w:val="16"/>
          <w:szCs w:val="16"/>
        </w:rPr>
        <w:footnoteRef/>
      </w:r>
      <w:r w:rsidRPr="006F37A4">
        <w:rPr>
          <w:sz w:val="16"/>
          <w:szCs w:val="16"/>
        </w:rPr>
        <w:t xml:space="preserve"> J.N Postgate.1994. 285-289</w:t>
      </w:r>
    </w:p>
  </w:footnote>
  <w:footnote w:id="7">
    <w:p w:rsidR="0081765B" w:rsidRPr="006F37A4" w:rsidRDefault="0081765B">
      <w:pPr>
        <w:pStyle w:val="FootnoteText"/>
        <w:rPr>
          <w:sz w:val="16"/>
          <w:szCs w:val="16"/>
        </w:rPr>
      </w:pPr>
      <w:r w:rsidRPr="006F37A4">
        <w:rPr>
          <w:rStyle w:val="FootnoteReference"/>
          <w:sz w:val="16"/>
          <w:szCs w:val="16"/>
        </w:rPr>
        <w:footnoteRef/>
      </w:r>
      <w:r w:rsidRPr="006F37A4">
        <w:rPr>
          <w:sz w:val="16"/>
          <w:szCs w:val="16"/>
        </w:rPr>
        <w:t xml:space="preserve"> </w:t>
      </w:r>
      <w:hyperlink r:id="rId1" w:history="1">
        <w:r w:rsidRPr="006F37A4">
          <w:rPr>
            <w:rStyle w:val="Hyperlink"/>
            <w:sz w:val="16"/>
            <w:szCs w:val="16"/>
          </w:rPr>
          <w:t>http://www.womenintheancientworld.com/hammurabilawcode.htm</w:t>
        </w:r>
      </w:hyperlink>
      <w:r w:rsidRPr="006F37A4">
        <w:rPr>
          <w:sz w:val="16"/>
          <w:szCs w:val="16"/>
        </w:rPr>
        <w:t xml:space="preserve"> (30/10/17)</w:t>
      </w:r>
    </w:p>
  </w:footnote>
  <w:footnote w:id="8">
    <w:p w:rsidR="0050558B" w:rsidRDefault="0050558B">
      <w:pPr>
        <w:pStyle w:val="FootnoteText"/>
      </w:pPr>
      <w:r w:rsidRPr="006F37A4">
        <w:rPr>
          <w:rStyle w:val="FootnoteReference"/>
          <w:sz w:val="16"/>
          <w:szCs w:val="16"/>
        </w:rPr>
        <w:footnoteRef/>
      </w:r>
      <w:r w:rsidRPr="006F37A4">
        <w:rPr>
          <w:sz w:val="16"/>
          <w:szCs w:val="16"/>
        </w:rPr>
        <w:t xml:space="preserve"> J.N Postgate.1994.</w:t>
      </w:r>
      <w:r w:rsidR="00FE3EE0">
        <w:rPr>
          <w:sz w:val="16"/>
          <w:szCs w:val="16"/>
        </w:rPr>
        <w:t>285</w:t>
      </w:r>
      <w:r w:rsidRPr="006F37A4">
        <w:rPr>
          <w:sz w:val="16"/>
          <w:szCs w:val="16"/>
        </w:rPr>
        <w:t>-289</w:t>
      </w:r>
    </w:p>
  </w:footnote>
  <w:footnote w:id="9">
    <w:p w:rsidR="00B91DF9" w:rsidRPr="006F37A4" w:rsidRDefault="00B91DF9">
      <w:pPr>
        <w:pStyle w:val="FootnoteText"/>
        <w:rPr>
          <w:sz w:val="16"/>
          <w:szCs w:val="16"/>
        </w:rPr>
      </w:pPr>
      <w:r w:rsidRPr="006F37A4">
        <w:rPr>
          <w:rStyle w:val="FootnoteReference"/>
          <w:sz w:val="16"/>
          <w:szCs w:val="16"/>
        </w:rPr>
        <w:footnoteRef/>
      </w:r>
      <w:r w:rsidRPr="006F37A4">
        <w:rPr>
          <w:sz w:val="16"/>
          <w:szCs w:val="16"/>
        </w:rPr>
        <w:t xml:space="preserve"> J.N Postgate.1994. </w:t>
      </w:r>
      <w:r w:rsidR="00FE3EE0">
        <w:rPr>
          <w:sz w:val="16"/>
          <w:szCs w:val="16"/>
        </w:rPr>
        <w:t>285</w:t>
      </w:r>
      <w:r w:rsidRPr="006F37A4">
        <w:rPr>
          <w:sz w:val="16"/>
          <w:szCs w:val="16"/>
        </w:rPr>
        <w:t>-289</w:t>
      </w:r>
    </w:p>
  </w:footnote>
  <w:footnote w:id="10">
    <w:p w:rsidR="00B91DF9" w:rsidRPr="006F37A4" w:rsidRDefault="00B91DF9">
      <w:pPr>
        <w:pStyle w:val="FootnoteText"/>
        <w:rPr>
          <w:sz w:val="16"/>
          <w:szCs w:val="16"/>
        </w:rPr>
      </w:pPr>
      <w:r w:rsidRPr="006F37A4">
        <w:rPr>
          <w:rStyle w:val="FootnoteReference"/>
          <w:sz w:val="16"/>
          <w:szCs w:val="16"/>
        </w:rPr>
        <w:footnoteRef/>
      </w:r>
      <w:r w:rsidRPr="006F37A4">
        <w:rPr>
          <w:sz w:val="16"/>
          <w:szCs w:val="16"/>
        </w:rPr>
        <w:t xml:space="preserve"> </w:t>
      </w:r>
      <w:r w:rsidR="004925A0" w:rsidRPr="006F37A4">
        <w:rPr>
          <w:sz w:val="16"/>
          <w:szCs w:val="16"/>
        </w:rPr>
        <w:t xml:space="preserve">J.N Postgate.1994. </w:t>
      </w:r>
      <w:r w:rsidRPr="006F37A4">
        <w:rPr>
          <w:sz w:val="16"/>
          <w:szCs w:val="16"/>
        </w:rPr>
        <w:t>276</w:t>
      </w:r>
    </w:p>
  </w:footnote>
  <w:footnote w:id="11">
    <w:p w:rsidR="004925A0" w:rsidRPr="006F37A4" w:rsidRDefault="004925A0" w:rsidP="004925A0">
      <w:pPr>
        <w:pStyle w:val="FootnoteText"/>
        <w:rPr>
          <w:sz w:val="16"/>
          <w:szCs w:val="16"/>
        </w:rPr>
      </w:pPr>
      <w:r w:rsidRPr="006F37A4">
        <w:rPr>
          <w:rStyle w:val="FootnoteReference"/>
          <w:sz w:val="16"/>
          <w:szCs w:val="16"/>
        </w:rPr>
        <w:footnoteRef/>
      </w:r>
      <w:r w:rsidRPr="006F37A4">
        <w:rPr>
          <w:sz w:val="16"/>
          <w:szCs w:val="16"/>
        </w:rPr>
        <w:t xml:space="preserve"> J.N Postgate.1994. 69</w:t>
      </w:r>
    </w:p>
  </w:footnote>
  <w:footnote w:id="12">
    <w:p w:rsidR="004925A0" w:rsidRPr="006F37A4" w:rsidRDefault="004925A0">
      <w:pPr>
        <w:pStyle w:val="FootnoteText"/>
        <w:rPr>
          <w:sz w:val="16"/>
          <w:szCs w:val="16"/>
        </w:rPr>
      </w:pPr>
      <w:r w:rsidRPr="006F37A4">
        <w:rPr>
          <w:rStyle w:val="FootnoteReference"/>
          <w:sz w:val="16"/>
          <w:szCs w:val="16"/>
        </w:rPr>
        <w:footnoteRef/>
      </w:r>
      <w:r w:rsidRPr="006F37A4">
        <w:rPr>
          <w:sz w:val="16"/>
          <w:szCs w:val="16"/>
        </w:rPr>
        <w:t xml:space="preserve"> </w:t>
      </w:r>
      <w:proofErr w:type="spellStart"/>
      <w:r w:rsidRPr="006F37A4">
        <w:rPr>
          <w:sz w:val="16"/>
          <w:szCs w:val="16"/>
        </w:rPr>
        <w:t>Bahrani</w:t>
      </w:r>
      <w:proofErr w:type="spellEnd"/>
      <w:r w:rsidRPr="006F37A4">
        <w:rPr>
          <w:sz w:val="16"/>
          <w:szCs w:val="16"/>
        </w:rPr>
        <w:t>, Z. 2017. 178-180</w:t>
      </w:r>
    </w:p>
  </w:footnote>
  <w:footnote w:id="13">
    <w:p w:rsidR="004925A0" w:rsidRPr="006F37A4" w:rsidRDefault="004925A0">
      <w:pPr>
        <w:pStyle w:val="FootnoteText"/>
        <w:rPr>
          <w:sz w:val="16"/>
          <w:szCs w:val="16"/>
        </w:rPr>
      </w:pPr>
      <w:r w:rsidRPr="006F37A4">
        <w:rPr>
          <w:rStyle w:val="FootnoteReference"/>
          <w:sz w:val="16"/>
          <w:szCs w:val="16"/>
        </w:rPr>
        <w:footnoteRef/>
      </w:r>
      <w:r w:rsidRPr="006F37A4">
        <w:rPr>
          <w:sz w:val="16"/>
          <w:szCs w:val="16"/>
        </w:rPr>
        <w:t xml:space="preserve"> J.N Postgate.1994. 69</w:t>
      </w:r>
    </w:p>
  </w:footnote>
  <w:footnote w:id="14">
    <w:p w:rsidR="004925A0" w:rsidRPr="006F37A4" w:rsidRDefault="004925A0">
      <w:pPr>
        <w:pStyle w:val="FootnoteText"/>
        <w:rPr>
          <w:sz w:val="16"/>
          <w:szCs w:val="16"/>
        </w:rPr>
      </w:pPr>
      <w:r w:rsidRPr="006F37A4">
        <w:rPr>
          <w:rStyle w:val="FootnoteReference"/>
          <w:sz w:val="16"/>
          <w:szCs w:val="16"/>
        </w:rPr>
        <w:footnoteRef/>
      </w:r>
      <w:r w:rsidR="00FE3EE0">
        <w:rPr>
          <w:sz w:val="16"/>
          <w:szCs w:val="16"/>
        </w:rPr>
        <w:t xml:space="preserve"> J.N Postgate.1994. </w:t>
      </w:r>
      <w:r w:rsidRPr="006F37A4">
        <w:rPr>
          <w:sz w:val="16"/>
          <w:szCs w:val="16"/>
        </w:rPr>
        <w:t>60</w:t>
      </w:r>
    </w:p>
  </w:footnote>
  <w:footnote w:id="15">
    <w:p w:rsidR="005419CB" w:rsidRDefault="005419CB" w:rsidP="005419CB">
      <w:pPr>
        <w:pStyle w:val="FootnoteText"/>
      </w:pPr>
      <w:r w:rsidRPr="006F37A4">
        <w:rPr>
          <w:rStyle w:val="FootnoteReference"/>
          <w:sz w:val="16"/>
          <w:szCs w:val="16"/>
        </w:rPr>
        <w:footnoteRef/>
      </w:r>
      <w:r w:rsidRPr="006F37A4">
        <w:rPr>
          <w:sz w:val="16"/>
          <w:szCs w:val="16"/>
        </w:rPr>
        <w:t xml:space="preserve"> J.N Postgate.1994. 276</w:t>
      </w:r>
    </w:p>
  </w:footnote>
  <w:footnote w:id="16">
    <w:p w:rsidR="004925A0" w:rsidRPr="003E439C" w:rsidRDefault="004925A0">
      <w:pPr>
        <w:pStyle w:val="FootnoteText"/>
        <w:rPr>
          <w:sz w:val="16"/>
          <w:szCs w:val="16"/>
        </w:rPr>
      </w:pPr>
      <w:r w:rsidRPr="003E439C">
        <w:rPr>
          <w:rStyle w:val="FootnoteReference"/>
          <w:sz w:val="16"/>
          <w:szCs w:val="16"/>
        </w:rPr>
        <w:footnoteRef/>
      </w:r>
      <w:r w:rsidRPr="003E439C">
        <w:rPr>
          <w:sz w:val="16"/>
          <w:szCs w:val="16"/>
        </w:rPr>
        <w:t xml:space="preserve"> </w:t>
      </w:r>
      <w:proofErr w:type="spellStart"/>
      <w:r w:rsidRPr="003E439C">
        <w:rPr>
          <w:sz w:val="16"/>
          <w:szCs w:val="16"/>
        </w:rPr>
        <w:t>Bahrani</w:t>
      </w:r>
      <w:proofErr w:type="spellEnd"/>
      <w:r w:rsidRPr="003E439C">
        <w:rPr>
          <w:sz w:val="16"/>
          <w:szCs w:val="16"/>
        </w:rPr>
        <w:t xml:space="preserve">, Z. 2017. </w:t>
      </w:r>
      <w:r w:rsidR="00FE3EE0">
        <w:rPr>
          <w:sz w:val="16"/>
          <w:szCs w:val="16"/>
        </w:rPr>
        <w:t>178</w:t>
      </w:r>
    </w:p>
  </w:footnote>
  <w:footnote w:id="17">
    <w:p w:rsidR="00D82EC3" w:rsidRPr="003E439C" w:rsidRDefault="00D82EC3" w:rsidP="00D82EC3">
      <w:pPr>
        <w:pStyle w:val="FootnoteText"/>
        <w:rPr>
          <w:sz w:val="16"/>
          <w:szCs w:val="16"/>
        </w:rPr>
      </w:pPr>
      <w:r w:rsidRPr="003E439C">
        <w:rPr>
          <w:rStyle w:val="FootnoteReference"/>
          <w:sz w:val="16"/>
          <w:szCs w:val="16"/>
        </w:rPr>
        <w:footnoteRef/>
      </w:r>
      <w:r w:rsidRPr="003E439C">
        <w:rPr>
          <w:sz w:val="16"/>
          <w:szCs w:val="16"/>
        </w:rPr>
        <w:t xml:space="preserve"> J.N Postgate.1994. </w:t>
      </w:r>
      <w:r w:rsidR="00FE3EE0">
        <w:rPr>
          <w:sz w:val="16"/>
          <w:szCs w:val="16"/>
        </w:rPr>
        <w:t>102</w:t>
      </w:r>
    </w:p>
  </w:footnote>
  <w:footnote w:id="18">
    <w:p w:rsidR="00D82EC3" w:rsidRPr="003E439C" w:rsidRDefault="00D82EC3">
      <w:pPr>
        <w:pStyle w:val="FootnoteText"/>
        <w:rPr>
          <w:sz w:val="16"/>
          <w:szCs w:val="16"/>
        </w:rPr>
      </w:pPr>
      <w:r w:rsidRPr="003E439C">
        <w:rPr>
          <w:rStyle w:val="FootnoteReference"/>
          <w:sz w:val="16"/>
          <w:szCs w:val="16"/>
        </w:rPr>
        <w:footnoteRef/>
      </w:r>
      <w:r w:rsidRPr="003E439C">
        <w:rPr>
          <w:sz w:val="16"/>
          <w:szCs w:val="16"/>
        </w:rPr>
        <w:t xml:space="preserve"> </w:t>
      </w:r>
      <w:hyperlink r:id="rId2" w:history="1">
        <w:r w:rsidRPr="003E439C">
          <w:rPr>
            <w:rStyle w:val="Hyperlink"/>
            <w:sz w:val="16"/>
            <w:szCs w:val="16"/>
          </w:rPr>
          <w:t>http://www.womenintheancientworld.com/hammurabilawcode.htm</w:t>
        </w:r>
      </w:hyperlink>
      <w:r w:rsidRPr="003E439C">
        <w:rPr>
          <w:sz w:val="16"/>
          <w:szCs w:val="16"/>
        </w:rPr>
        <w:t xml:space="preserve"> (30/10/17)</w:t>
      </w:r>
    </w:p>
  </w:footnote>
  <w:footnote w:id="19">
    <w:p w:rsidR="00D82EC3" w:rsidRPr="003E439C" w:rsidRDefault="00D82EC3">
      <w:pPr>
        <w:pStyle w:val="FootnoteText"/>
        <w:rPr>
          <w:sz w:val="16"/>
          <w:szCs w:val="16"/>
        </w:rPr>
      </w:pPr>
      <w:r w:rsidRPr="003E439C">
        <w:rPr>
          <w:rStyle w:val="FootnoteReference"/>
          <w:sz w:val="16"/>
          <w:szCs w:val="16"/>
        </w:rPr>
        <w:footnoteRef/>
      </w:r>
      <w:r w:rsidRPr="003E439C">
        <w:rPr>
          <w:sz w:val="16"/>
          <w:szCs w:val="16"/>
        </w:rPr>
        <w:t xml:space="preserve"> </w:t>
      </w:r>
      <w:r w:rsidR="005419CB" w:rsidRPr="003E439C">
        <w:rPr>
          <w:sz w:val="16"/>
          <w:szCs w:val="16"/>
        </w:rPr>
        <w:t>J. N</w:t>
      </w:r>
      <w:r w:rsidRPr="003E439C">
        <w:rPr>
          <w:sz w:val="16"/>
          <w:szCs w:val="16"/>
        </w:rPr>
        <w:t xml:space="preserve"> Postgate.1994. 102</w:t>
      </w:r>
    </w:p>
  </w:footnote>
  <w:footnote w:id="20">
    <w:p w:rsidR="00D82EC3" w:rsidRPr="003E439C" w:rsidRDefault="00D82EC3">
      <w:pPr>
        <w:pStyle w:val="FootnoteText"/>
        <w:rPr>
          <w:sz w:val="16"/>
          <w:szCs w:val="16"/>
        </w:rPr>
      </w:pPr>
      <w:r w:rsidRPr="003E439C">
        <w:rPr>
          <w:rStyle w:val="FootnoteReference"/>
          <w:sz w:val="16"/>
          <w:szCs w:val="16"/>
        </w:rPr>
        <w:footnoteRef/>
      </w:r>
      <w:r w:rsidRPr="003E439C">
        <w:rPr>
          <w:sz w:val="16"/>
          <w:szCs w:val="16"/>
        </w:rPr>
        <w:t xml:space="preserve"> </w:t>
      </w:r>
      <w:r w:rsidR="005419CB" w:rsidRPr="003E439C">
        <w:rPr>
          <w:sz w:val="16"/>
          <w:szCs w:val="16"/>
        </w:rPr>
        <w:t>J. N</w:t>
      </w:r>
      <w:r w:rsidRPr="003E439C">
        <w:rPr>
          <w:sz w:val="16"/>
          <w:szCs w:val="16"/>
        </w:rPr>
        <w:t xml:space="preserve"> Postgate.1994. 105</w:t>
      </w:r>
    </w:p>
  </w:footnote>
  <w:footnote w:id="21">
    <w:p w:rsidR="00D82EC3" w:rsidRPr="003E439C" w:rsidRDefault="00D82EC3">
      <w:pPr>
        <w:pStyle w:val="FootnoteText"/>
        <w:rPr>
          <w:sz w:val="16"/>
          <w:szCs w:val="16"/>
        </w:rPr>
      </w:pPr>
      <w:r w:rsidRPr="003E439C">
        <w:rPr>
          <w:rStyle w:val="FootnoteReference"/>
          <w:sz w:val="16"/>
          <w:szCs w:val="16"/>
        </w:rPr>
        <w:footnoteRef/>
      </w:r>
      <w:r w:rsidRPr="003E439C">
        <w:rPr>
          <w:sz w:val="16"/>
          <w:szCs w:val="16"/>
        </w:rPr>
        <w:t xml:space="preserve"> </w:t>
      </w:r>
      <w:r w:rsidR="005419CB" w:rsidRPr="003E439C">
        <w:rPr>
          <w:sz w:val="16"/>
          <w:szCs w:val="16"/>
        </w:rPr>
        <w:t>J. N</w:t>
      </w:r>
      <w:r w:rsidRPr="003E439C">
        <w:rPr>
          <w:sz w:val="16"/>
          <w:szCs w:val="16"/>
        </w:rPr>
        <w:t xml:space="preserve"> Postgate.1994. 102</w:t>
      </w:r>
    </w:p>
  </w:footnote>
  <w:footnote w:id="22">
    <w:p w:rsidR="00D82EC3" w:rsidRPr="003E439C" w:rsidRDefault="00D82EC3">
      <w:pPr>
        <w:pStyle w:val="FootnoteText"/>
        <w:rPr>
          <w:sz w:val="16"/>
          <w:szCs w:val="16"/>
        </w:rPr>
      </w:pPr>
      <w:r w:rsidRPr="003E439C">
        <w:rPr>
          <w:rStyle w:val="FootnoteReference"/>
          <w:sz w:val="16"/>
          <w:szCs w:val="16"/>
        </w:rPr>
        <w:footnoteRef/>
      </w:r>
      <w:r w:rsidR="005419CB" w:rsidRPr="003E439C">
        <w:rPr>
          <w:sz w:val="16"/>
          <w:szCs w:val="16"/>
        </w:rPr>
        <w:t>J. N</w:t>
      </w:r>
      <w:r w:rsidRPr="003E439C">
        <w:rPr>
          <w:sz w:val="16"/>
          <w:szCs w:val="16"/>
        </w:rPr>
        <w:t xml:space="preserve"> Postgate.1994. </w:t>
      </w:r>
      <w:r w:rsidR="004C2A3F">
        <w:rPr>
          <w:sz w:val="16"/>
          <w:szCs w:val="16"/>
        </w:rPr>
        <w:t>83</w:t>
      </w:r>
      <w:r w:rsidRPr="003E439C">
        <w:rPr>
          <w:sz w:val="16"/>
          <w:szCs w:val="16"/>
        </w:rPr>
        <w:t xml:space="preserve"> </w:t>
      </w:r>
    </w:p>
  </w:footnote>
  <w:footnote w:id="23">
    <w:p w:rsidR="005419CB" w:rsidRPr="003E439C" w:rsidRDefault="005419CB" w:rsidP="005419CB">
      <w:pPr>
        <w:pStyle w:val="FootnoteText"/>
        <w:rPr>
          <w:sz w:val="16"/>
          <w:szCs w:val="16"/>
        </w:rPr>
      </w:pPr>
      <w:r w:rsidRPr="003E439C">
        <w:rPr>
          <w:rStyle w:val="FootnoteReference"/>
          <w:sz w:val="16"/>
          <w:szCs w:val="16"/>
        </w:rPr>
        <w:footnoteRef/>
      </w:r>
      <w:r w:rsidRPr="003E439C">
        <w:rPr>
          <w:sz w:val="16"/>
          <w:szCs w:val="16"/>
        </w:rPr>
        <w:t xml:space="preserve">J N Postgate.1994. </w:t>
      </w:r>
      <w:r w:rsidR="004C2A3F">
        <w:rPr>
          <w:sz w:val="16"/>
          <w:szCs w:val="16"/>
        </w:rPr>
        <w:t>276 +</w:t>
      </w:r>
      <w:r w:rsidRPr="003E439C">
        <w:rPr>
          <w:sz w:val="16"/>
          <w:szCs w:val="16"/>
        </w:rPr>
        <w:t>289</w:t>
      </w:r>
    </w:p>
  </w:footnote>
  <w:footnote w:id="24">
    <w:p w:rsidR="001A2723" w:rsidRDefault="001A2723">
      <w:pPr>
        <w:pStyle w:val="FootnoteText"/>
      </w:pPr>
      <w:r w:rsidRPr="003E439C">
        <w:rPr>
          <w:rStyle w:val="FootnoteReference"/>
          <w:sz w:val="16"/>
          <w:szCs w:val="16"/>
        </w:rPr>
        <w:footnoteRef/>
      </w:r>
      <w:r w:rsidRPr="003E439C">
        <w:rPr>
          <w:sz w:val="16"/>
          <w:szCs w:val="16"/>
        </w:rPr>
        <w:t xml:space="preserve"> </w:t>
      </w:r>
      <w:r w:rsidR="005419CB" w:rsidRPr="003E439C">
        <w:rPr>
          <w:sz w:val="16"/>
          <w:szCs w:val="16"/>
        </w:rPr>
        <w:t>J. N</w:t>
      </w:r>
      <w:r w:rsidRPr="003E439C">
        <w:rPr>
          <w:sz w:val="16"/>
          <w:szCs w:val="16"/>
        </w:rPr>
        <w:t xml:space="preserve"> Postgate.1994.105-6</w:t>
      </w:r>
    </w:p>
  </w:footnote>
  <w:footnote w:id="25">
    <w:p w:rsidR="001A2723" w:rsidRPr="003E439C" w:rsidRDefault="001A2723">
      <w:pPr>
        <w:pStyle w:val="FootnoteText"/>
        <w:rPr>
          <w:sz w:val="16"/>
          <w:szCs w:val="16"/>
        </w:rPr>
      </w:pPr>
      <w:r w:rsidRPr="003E439C">
        <w:rPr>
          <w:rStyle w:val="FootnoteReference"/>
          <w:sz w:val="16"/>
          <w:szCs w:val="16"/>
        </w:rPr>
        <w:footnoteRef/>
      </w:r>
      <w:r w:rsidRPr="003E439C">
        <w:rPr>
          <w:sz w:val="16"/>
          <w:szCs w:val="16"/>
        </w:rPr>
        <w:t xml:space="preserve"> </w:t>
      </w:r>
      <w:hyperlink r:id="rId3" w:history="1">
        <w:r w:rsidRPr="003E439C">
          <w:rPr>
            <w:rStyle w:val="Hyperlink"/>
            <w:sz w:val="16"/>
            <w:szCs w:val="16"/>
          </w:rPr>
          <w:t>http://www.womenintheancientworld.com/hammurabilawcode.htm</w:t>
        </w:r>
      </w:hyperlink>
      <w:r w:rsidRPr="003E439C">
        <w:rPr>
          <w:sz w:val="16"/>
          <w:szCs w:val="16"/>
        </w:rPr>
        <w:t xml:space="preserve"> (30/10/17)</w:t>
      </w:r>
    </w:p>
  </w:footnote>
  <w:footnote w:id="26">
    <w:p w:rsidR="001A2723" w:rsidRDefault="001A2723">
      <w:pPr>
        <w:pStyle w:val="FootnoteText"/>
      </w:pPr>
      <w:r w:rsidRPr="003E439C">
        <w:rPr>
          <w:rStyle w:val="FootnoteReference"/>
          <w:sz w:val="16"/>
          <w:szCs w:val="16"/>
        </w:rPr>
        <w:footnoteRef/>
      </w:r>
      <w:r w:rsidRPr="003E439C">
        <w:rPr>
          <w:sz w:val="16"/>
          <w:szCs w:val="16"/>
        </w:rPr>
        <w:t xml:space="preserve"> N Postgate.1994</w:t>
      </w:r>
      <w:r w:rsidR="004C2A3F">
        <w:rPr>
          <w:sz w:val="16"/>
          <w:szCs w:val="16"/>
        </w:rPr>
        <w:t xml:space="preserve">. </w:t>
      </w:r>
      <w:r w:rsidRPr="003E439C">
        <w:rPr>
          <w:sz w:val="16"/>
          <w:szCs w:val="16"/>
        </w:rPr>
        <w:t>83</w:t>
      </w:r>
    </w:p>
  </w:footnote>
  <w:footnote w:id="27">
    <w:p w:rsidR="001A2723" w:rsidRPr="006F37A4" w:rsidRDefault="001A2723">
      <w:pPr>
        <w:pStyle w:val="FootnoteText"/>
        <w:rPr>
          <w:sz w:val="16"/>
          <w:szCs w:val="16"/>
        </w:rPr>
      </w:pPr>
      <w:r w:rsidRPr="006F37A4">
        <w:rPr>
          <w:rStyle w:val="FootnoteReference"/>
          <w:sz w:val="16"/>
          <w:szCs w:val="16"/>
        </w:rPr>
        <w:footnoteRef/>
      </w:r>
      <w:r w:rsidRPr="006F37A4">
        <w:rPr>
          <w:sz w:val="16"/>
          <w:szCs w:val="16"/>
        </w:rPr>
        <w:t xml:space="preserve"> N Postgate.1994.106</w:t>
      </w:r>
    </w:p>
  </w:footnote>
  <w:footnote w:id="28">
    <w:p w:rsidR="001A2723" w:rsidRPr="006F37A4" w:rsidRDefault="001A2723">
      <w:pPr>
        <w:pStyle w:val="FootnoteText"/>
        <w:rPr>
          <w:sz w:val="16"/>
          <w:szCs w:val="16"/>
        </w:rPr>
      </w:pPr>
      <w:r w:rsidRPr="006F37A4">
        <w:rPr>
          <w:rStyle w:val="FootnoteReference"/>
          <w:sz w:val="16"/>
          <w:szCs w:val="16"/>
        </w:rPr>
        <w:footnoteRef/>
      </w:r>
      <w:r w:rsidRPr="006F37A4">
        <w:rPr>
          <w:sz w:val="16"/>
          <w:szCs w:val="16"/>
        </w:rPr>
        <w:t xml:space="preserve"> N Postgate.1994. 106</w:t>
      </w:r>
    </w:p>
  </w:footnote>
  <w:footnote w:id="29">
    <w:p w:rsidR="005419CB" w:rsidRPr="006F37A4" w:rsidRDefault="005419CB">
      <w:pPr>
        <w:pStyle w:val="FootnoteText"/>
        <w:rPr>
          <w:sz w:val="16"/>
          <w:szCs w:val="16"/>
        </w:rPr>
      </w:pPr>
      <w:r w:rsidRPr="006F37A4">
        <w:rPr>
          <w:rStyle w:val="FootnoteReference"/>
          <w:sz w:val="16"/>
          <w:szCs w:val="16"/>
        </w:rPr>
        <w:footnoteRef/>
      </w:r>
      <w:r w:rsidRPr="006F37A4">
        <w:rPr>
          <w:sz w:val="16"/>
          <w:szCs w:val="16"/>
        </w:rPr>
        <w:t xml:space="preserve"> N Postgate.1994. 182</w:t>
      </w:r>
    </w:p>
  </w:footnote>
  <w:footnote w:id="30">
    <w:p w:rsidR="005419CB" w:rsidRPr="006F37A4" w:rsidRDefault="005419CB">
      <w:pPr>
        <w:pStyle w:val="FootnoteText"/>
        <w:rPr>
          <w:sz w:val="16"/>
          <w:szCs w:val="16"/>
        </w:rPr>
      </w:pPr>
      <w:r w:rsidRPr="006F37A4">
        <w:rPr>
          <w:rStyle w:val="FootnoteReference"/>
          <w:sz w:val="16"/>
          <w:szCs w:val="16"/>
        </w:rPr>
        <w:footnoteRef/>
      </w:r>
      <w:r w:rsidRPr="006F37A4">
        <w:rPr>
          <w:sz w:val="16"/>
          <w:szCs w:val="16"/>
        </w:rPr>
        <w:t xml:space="preserve"> </w:t>
      </w:r>
      <w:proofErr w:type="spellStart"/>
      <w:r w:rsidRPr="006F37A4">
        <w:rPr>
          <w:sz w:val="16"/>
          <w:szCs w:val="16"/>
        </w:rPr>
        <w:t>Bahrani</w:t>
      </w:r>
      <w:proofErr w:type="spellEnd"/>
      <w:r w:rsidRPr="006F37A4">
        <w:rPr>
          <w:sz w:val="16"/>
          <w:szCs w:val="16"/>
        </w:rPr>
        <w:t>, Z. 2017</w:t>
      </w:r>
      <w:r w:rsidR="004C2A3F">
        <w:rPr>
          <w:sz w:val="16"/>
          <w:szCs w:val="16"/>
        </w:rPr>
        <w:t xml:space="preserve">. </w:t>
      </w:r>
      <w:r w:rsidRPr="006F37A4">
        <w:rPr>
          <w:sz w:val="16"/>
          <w:szCs w:val="16"/>
        </w:rPr>
        <w:t>178-180</w:t>
      </w:r>
    </w:p>
  </w:footnote>
  <w:footnote w:id="31">
    <w:p w:rsidR="005419CB" w:rsidRPr="006F37A4" w:rsidRDefault="005419CB">
      <w:pPr>
        <w:pStyle w:val="FootnoteText"/>
        <w:rPr>
          <w:sz w:val="16"/>
          <w:szCs w:val="16"/>
        </w:rPr>
      </w:pPr>
      <w:r w:rsidRPr="006F37A4">
        <w:rPr>
          <w:rStyle w:val="FootnoteReference"/>
          <w:sz w:val="16"/>
          <w:szCs w:val="16"/>
        </w:rPr>
        <w:footnoteRef/>
      </w:r>
      <w:r w:rsidRPr="006F37A4">
        <w:rPr>
          <w:sz w:val="16"/>
          <w:szCs w:val="16"/>
        </w:rPr>
        <w:t xml:space="preserve"> </w:t>
      </w:r>
      <w:proofErr w:type="spellStart"/>
      <w:r w:rsidRPr="006F37A4">
        <w:rPr>
          <w:sz w:val="16"/>
          <w:szCs w:val="16"/>
        </w:rPr>
        <w:t>Bahrani</w:t>
      </w:r>
      <w:proofErr w:type="spellEnd"/>
      <w:r w:rsidRPr="006F37A4">
        <w:rPr>
          <w:sz w:val="16"/>
          <w:szCs w:val="16"/>
        </w:rPr>
        <w:t>, Z.</w:t>
      </w:r>
      <w:r w:rsidR="004C2A3F">
        <w:rPr>
          <w:sz w:val="16"/>
          <w:szCs w:val="16"/>
        </w:rPr>
        <w:t xml:space="preserve"> 2017.</w:t>
      </w:r>
      <w:r w:rsidRPr="006F37A4">
        <w:rPr>
          <w:sz w:val="16"/>
          <w:szCs w:val="16"/>
        </w:rPr>
        <w:t xml:space="preserve"> </w:t>
      </w:r>
      <w:r w:rsidR="004C2A3F">
        <w:rPr>
          <w:sz w:val="16"/>
          <w:szCs w:val="16"/>
        </w:rPr>
        <w:t>178</w:t>
      </w:r>
      <w:r w:rsidRPr="006F37A4">
        <w:rPr>
          <w:sz w:val="16"/>
          <w:szCs w:val="16"/>
        </w:rPr>
        <w:t>-180</w:t>
      </w:r>
    </w:p>
  </w:footnote>
  <w:footnote w:id="32">
    <w:p w:rsidR="00280C82" w:rsidRDefault="00280C82">
      <w:pPr>
        <w:pStyle w:val="FootnoteText"/>
      </w:pPr>
      <w:r w:rsidRPr="006F37A4">
        <w:rPr>
          <w:rStyle w:val="FootnoteReference"/>
          <w:sz w:val="16"/>
          <w:szCs w:val="16"/>
        </w:rPr>
        <w:footnoteRef/>
      </w:r>
      <w:r w:rsidRPr="006F37A4">
        <w:rPr>
          <w:sz w:val="16"/>
          <w:szCs w:val="16"/>
        </w:rPr>
        <w:t xml:space="preserve"> </w:t>
      </w:r>
      <w:proofErr w:type="spellStart"/>
      <w:r w:rsidRPr="006F37A4">
        <w:rPr>
          <w:sz w:val="16"/>
          <w:szCs w:val="16"/>
        </w:rPr>
        <w:t>Bahrani</w:t>
      </w:r>
      <w:proofErr w:type="spellEnd"/>
      <w:r w:rsidRPr="006F37A4">
        <w:rPr>
          <w:sz w:val="16"/>
          <w:szCs w:val="16"/>
        </w:rPr>
        <w:t>, Z. 2017. 178-180</w:t>
      </w:r>
    </w:p>
  </w:footnote>
  <w:footnote w:id="33">
    <w:p w:rsidR="00280C82" w:rsidRPr="006F37A4" w:rsidRDefault="00280C82">
      <w:pPr>
        <w:pStyle w:val="FootnoteText"/>
        <w:rPr>
          <w:sz w:val="16"/>
          <w:szCs w:val="16"/>
        </w:rPr>
      </w:pPr>
      <w:r>
        <w:rPr>
          <w:rStyle w:val="FootnoteReference"/>
        </w:rPr>
        <w:footnoteRef/>
      </w:r>
      <w:r w:rsidR="00275E46">
        <w:t>J.</w:t>
      </w:r>
      <w:r>
        <w:t xml:space="preserve"> </w:t>
      </w:r>
      <w:r w:rsidRPr="006F37A4">
        <w:rPr>
          <w:sz w:val="16"/>
          <w:szCs w:val="16"/>
        </w:rPr>
        <w:t>N Postgate.1994.106</w:t>
      </w:r>
    </w:p>
  </w:footnote>
  <w:footnote w:id="34">
    <w:p w:rsidR="00280C82" w:rsidRPr="006F37A4" w:rsidRDefault="00280C82">
      <w:pPr>
        <w:pStyle w:val="FootnoteText"/>
        <w:rPr>
          <w:sz w:val="16"/>
          <w:szCs w:val="16"/>
        </w:rPr>
      </w:pPr>
      <w:r w:rsidRPr="006F37A4">
        <w:rPr>
          <w:rStyle w:val="FootnoteReference"/>
          <w:sz w:val="16"/>
          <w:szCs w:val="16"/>
        </w:rPr>
        <w:footnoteRef/>
      </w:r>
      <w:r w:rsidRPr="006F37A4">
        <w:rPr>
          <w:sz w:val="16"/>
          <w:szCs w:val="16"/>
        </w:rPr>
        <w:t xml:space="preserve"> J.N Postgate.1994. 276</w:t>
      </w:r>
    </w:p>
  </w:footnote>
  <w:footnote w:id="35">
    <w:p w:rsidR="00280C82" w:rsidRPr="006F37A4" w:rsidRDefault="00280C82">
      <w:pPr>
        <w:pStyle w:val="FootnoteText"/>
        <w:rPr>
          <w:sz w:val="16"/>
          <w:szCs w:val="16"/>
        </w:rPr>
      </w:pPr>
      <w:r w:rsidRPr="006F37A4">
        <w:rPr>
          <w:rStyle w:val="FootnoteReference"/>
          <w:sz w:val="16"/>
          <w:szCs w:val="16"/>
        </w:rPr>
        <w:footnoteRef/>
      </w:r>
      <w:r w:rsidRPr="006F37A4">
        <w:rPr>
          <w:sz w:val="16"/>
          <w:szCs w:val="16"/>
        </w:rPr>
        <w:t xml:space="preserve"> </w:t>
      </w:r>
      <w:hyperlink r:id="rId4" w:history="1">
        <w:r w:rsidRPr="006F37A4">
          <w:rPr>
            <w:rStyle w:val="Hyperlink"/>
            <w:sz w:val="16"/>
            <w:szCs w:val="16"/>
          </w:rPr>
          <w:t>http://www.womenintheancientworld.com/hammurabilawcode.htm</w:t>
        </w:r>
      </w:hyperlink>
      <w:r w:rsidRPr="006F37A4">
        <w:rPr>
          <w:sz w:val="16"/>
          <w:szCs w:val="16"/>
        </w:rPr>
        <w:t xml:space="preserve"> (30/10/17)</w:t>
      </w:r>
    </w:p>
  </w:footnote>
  <w:footnote w:id="36">
    <w:p w:rsidR="00280C82" w:rsidRPr="006F37A4" w:rsidRDefault="00280C82">
      <w:pPr>
        <w:pStyle w:val="FootnoteText"/>
        <w:rPr>
          <w:sz w:val="16"/>
          <w:szCs w:val="16"/>
        </w:rPr>
      </w:pPr>
      <w:r w:rsidRPr="006F37A4">
        <w:rPr>
          <w:rStyle w:val="FootnoteReference"/>
          <w:sz w:val="16"/>
          <w:szCs w:val="16"/>
        </w:rPr>
        <w:footnoteRef/>
      </w:r>
      <w:r w:rsidRPr="006F37A4">
        <w:rPr>
          <w:sz w:val="16"/>
          <w:szCs w:val="16"/>
        </w:rPr>
        <w:t xml:space="preserve"> J.N Postgate.1994.</w:t>
      </w:r>
      <w:r w:rsidR="004C2A3F">
        <w:rPr>
          <w:sz w:val="16"/>
          <w:szCs w:val="16"/>
        </w:rPr>
        <w:t xml:space="preserve"> </w:t>
      </w:r>
      <w:r w:rsidRPr="006F37A4">
        <w:rPr>
          <w:sz w:val="16"/>
          <w:szCs w:val="16"/>
        </w:rPr>
        <w:t>83</w:t>
      </w:r>
    </w:p>
  </w:footnote>
  <w:footnote w:id="37">
    <w:p w:rsidR="00280C82" w:rsidRPr="006F37A4" w:rsidRDefault="00280C82">
      <w:pPr>
        <w:pStyle w:val="FootnoteText"/>
        <w:rPr>
          <w:sz w:val="16"/>
          <w:szCs w:val="16"/>
        </w:rPr>
      </w:pPr>
      <w:r w:rsidRPr="006F37A4">
        <w:rPr>
          <w:rStyle w:val="FootnoteReference"/>
          <w:sz w:val="16"/>
          <w:szCs w:val="16"/>
        </w:rPr>
        <w:footnoteRef/>
      </w:r>
      <w:r w:rsidR="004C2A3F">
        <w:rPr>
          <w:sz w:val="16"/>
          <w:szCs w:val="16"/>
        </w:rPr>
        <w:t xml:space="preserve"> J.N Postgate.1994. </w:t>
      </w:r>
      <w:r w:rsidR="000639DA" w:rsidRPr="006F37A4">
        <w:rPr>
          <w:sz w:val="16"/>
          <w:szCs w:val="16"/>
        </w:rPr>
        <w:t>46</w:t>
      </w:r>
    </w:p>
  </w:footnote>
  <w:footnote w:id="38">
    <w:p w:rsidR="000639DA" w:rsidRDefault="000639DA">
      <w:pPr>
        <w:pStyle w:val="FootnoteText"/>
      </w:pPr>
      <w:r w:rsidRPr="006F37A4">
        <w:rPr>
          <w:rStyle w:val="FootnoteReference"/>
          <w:sz w:val="16"/>
          <w:szCs w:val="16"/>
        </w:rPr>
        <w:footnoteRef/>
      </w:r>
      <w:r w:rsidR="004C2A3F">
        <w:rPr>
          <w:sz w:val="16"/>
          <w:szCs w:val="16"/>
        </w:rPr>
        <w:t xml:space="preserve"> J.N Postgate.1994. </w:t>
      </w:r>
      <w:r w:rsidRPr="006F37A4">
        <w:rPr>
          <w:sz w:val="16"/>
          <w:szCs w:val="16"/>
        </w:rPr>
        <w:t>49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D98"/>
    <w:rsid w:val="000639DA"/>
    <w:rsid w:val="000E448C"/>
    <w:rsid w:val="000F36D1"/>
    <w:rsid w:val="00137A46"/>
    <w:rsid w:val="00142D88"/>
    <w:rsid w:val="0019117A"/>
    <w:rsid w:val="001A2723"/>
    <w:rsid w:val="00206147"/>
    <w:rsid w:val="00275E46"/>
    <w:rsid w:val="00280C82"/>
    <w:rsid w:val="002C4035"/>
    <w:rsid w:val="0033727E"/>
    <w:rsid w:val="00383EB1"/>
    <w:rsid w:val="003D185A"/>
    <w:rsid w:val="003E439C"/>
    <w:rsid w:val="00437FFD"/>
    <w:rsid w:val="004925A0"/>
    <w:rsid w:val="004979C7"/>
    <w:rsid w:val="004C2A3F"/>
    <w:rsid w:val="0050558B"/>
    <w:rsid w:val="005419CB"/>
    <w:rsid w:val="005A601E"/>
    <w:rsid w:val="005B2C3D"/>
    <w:rsid w:val="006F37A4"/>
    <w:rsid w:val="0071016A"/>
    <w:rsid w:val="007149CE"/>
    <w:rsid w:val="007A48DE"/>
    <w:rsid w:val="007C4D98"/>
    <w:rsid w:val="00811540"/>
    <w:rsid w:val="00815A8B"/>
    <w:rsid w:val="0081765B"/>
    <w:rsid w:val="00832B4D"/>
    <w:rsid w:val="008B4DDB"/>
    <w:rsid w:val="00A01C75"/>
    <w:rsid w:val="00A10BE2"/>
    <w:rsid w:val="00AB6609"/>
    <w:rsid w:val="00B91DF9"/>
    <w:rsid w:val="00C33D43"/>
    <w:rsid w:val="00C917B1"/>
    <w:rsid w:val="00CB6246"/>
    <w:rsid w:val="00CE3816"/>
    <w:rsid w:val="00CE7594"/>
    <w:rsid w:val="00D82EC3"/>
    <w:rsid w:val="00E526D8"/>
    <w:rsid w:val="00F8760C"/>
    <w:rsid w:val="00FE3EE0"/>
    <w:rsid w:val="00FF1414"/>
    <w:rsid w:val="00FF7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4B59"/>
  <w15:chartTrackingRefBased/>
  <w15:docId w15:val="{DA59CAF0-4893-4668-BDBC-B33769E6F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B66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6609"/>
    <w:rPr>
      <w:sz w:val="20"/>
      <w:szCs w:val="20"/>
    </w:rPr>
  </w:style>
  <w:style w:type="character" w:styleId="FootnoteReference">
    <w:name w:val="footnote reference"/>
    <w:basedOn w:val="DefaultParagraphFont"/>
    <w:uiPriority w:val="99"/>
    <w:semiHidden/>
    <w:unhideWhenUsed/>
    <w:rsid w:val="00AB6609"/>
    <w:rPr>
      <w:vertAlign w:val="superscript"/>
    </w:rPr>
  </w:style>
  <w:style w:type="character" w:styleId="HTMLCite">
    <w:name w:val="HTML Cite"/>
    <w:basedOn w:val="DefaultParagraphFont"/>
    <w:uiPriority w:val="99"/>
    <w:semiHidden/>
    <w:unhideWhenUsed/>
    <w:rsid w:val="00AB6609"/>
    <w:rPr>
      <w:i/>
      <w:iCs/>
    </w:rPr>
  </w:style>
  <w:style w:type="character" w:customStyle="1" w:styleId="reference-text">
    <w:name w:val="reference-text"/>
    <w:basedOn w:val="DefaultParagraphFont"/>
    <w:rsid w:val="00206147"/>
  </w:style>
  <w:style w:type="character" w:styleId="Hyperlink">
    <w:name w:val="Hyperlink"/>
    <w:basedOn w:val="DefaultParagraphFont"/>
    <w:uiPriority w:val="99"/>
    <w:unhideWhenUsed/>
    <w:rsid w:val="008176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omenintheancientworld.com/hammurabilawcode.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womenintheancientworld.com/hammurabilawcode.htm" TargetMode="External"/><Relationship Id="rId2" Type="http://schemas.openxmlformats.org/officeDocument/2006/relationships/hyperlink" Target="http://www.womenintheancientworld.com/hammurabilawcode.htm" TargetMode="External"/><Relationship Id="rId1" Type="http://schemas.openxmlformats.org/officeDocument/2006/relationships/hyperlink" Target="http://www.womenintheancientworld.com/hammurabilawcode.htm" TargetMode="External"/><Relationship Id="rId4" Type="http://schemas.openxmlformats.org/officeDocument/2006/relationships/hyperlink" Target="http://www.womenintheancientworld.com/hammurabilawcod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FF964-4681-49FE-9783-6FFCE712E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1364</Words>
  <Characters>7778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Kerslake</dc:creator>
  <cp:keywords/>
  <dc:description/>
  <cp:lastModifiedBy>Charlotte Kerslake</cp:lastModifiedBy>
  <cp:revision>3</cp:revision>
  <dcterms:created xsi:type="dcterms:W3CDTF">2017-11-14T19:30:00Z</dcterms:created>
  <dcterms:modified xsi:type="dcterms:W3CDTF">2017-11-14T19:33:00Z</dcterms:modified>
</cp:coreProperties>
</file>